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3"/>
        <w:ind w:left="1902" w:right="2565" w:firstLine="0"/>
        <w:jc w:val="center"/>
        <w:rPr>
          <w:rFonts w:ascii="黑体" w:eastAsia="黑体" w:hint="eastAsia"/>
          <w:b/>
          <w:sz w:val="36"/>
        </w:rPr>
      </w:pPr>
      <w:r>
        <w:rPr>
          <w:rFonts w:ascii="黑体" w:eastAsia="黑体" w:hint="eastAsia"/>
          <w:b/>
          <w:sz w:val="36"/>
        </w:rPr>
        <w:t>景顺长城景系列开放式证券投资基金</w:t>
      </w:r>
    </w:p>
    <w:p>
      <w:pPr>
        <w:pStyle w:val="BodyText"/>
        <w:rPr>
          <w:rFonts w:ascii="黑体"/>
          <w:b/>
          <w:sz w:val="36"/>
        </w:rPr>
      </w:pPr>
    </w:p>
    <w:p>
      <w:pPr>
        <w:pStyle w:val="BodyText"/>
        <w:spacing w:before="5"/>
        <w:rPr>
          <w:rFonts w:ascii="黑体"/>
          <w:b/>
          <w:sz w:val="25"/>
        </w:rPr>
      </w:pPr>
    </w:p>
    <w:p>
      <w:pPr>
        <w:spacing w:before="0"/>
        <w:ind w:left="0" w:right="658" w:firstLine="0"/>
        <w:jc w:val="center"/>
        <w:rPr>
          <w:rFonts w:ascii="黑体" w:eastAsia="黑体" w:hint="eastAsia"/>
          <w:b/>
          <w:sz w:val="36"/>
        </w:rPr>
      </w:pPr>
      <w:r>
        <w:rPr>
          <w:rFonts w:ascii="黑体" w:eastAsia="黑体" w:hint="eastAsia"/>
          <w:b/>
          <w:w w:val="99"/>
          <w:sz w:val="36"/>
        </w:rPr>
        <w:t>暨</w:t>
      </w:r>
    </w:p>
    <w:p>
      <w:pPr>
        <w:spacing w:line="388" w:lineRule="auto" w:before="199"/>
        <w:ind w:left="2553" w:right="3215" w:firstLine="0"/>
        <w:jc w:val="center"/>
        <w:rPr>
          <w:rFonts w:ascii="黑体" w:eastAsia="黑体" w:hint="eastAsia"/>
          <w:b/>
          <w:sz w:val="30"/>
        </w:rPr>
      </w:pPr>
      <w:r>
        <w:rPr>
          <w:rFonts w:ascii="黑体" w:eastAsia="黑体" w:hint="eastAsia"/>
          <w:b/>
          <w:spacing w:val="-2"/>
          <w:sz w:val="30"/>
        </w:rPr>
        <w:t>景顺长城优选混合型证券投资基金</w:t>
      </w:r>
      <w:r>
        <w:rPr>
          <w:rFonts w:ascii="黑体" w:eastAsia="黑体" w:hint="eastAsia"/>
          <w:b/>
          <w:sz w:val="30"/>
        </w:rPr>
        <w:t>景顺长城货币市场证券投资基金 景顺长城动力平衡证券投资基金</w:t>
      </w:r>
    </w:p>
    <w:p>
      <w:pPr>
        <w:pStyle w:val="BodyText"/>
        <w:rPr>
          <w:rFonts w:ascii="黑体"/>
          <w:b/>
          <w:sz w:val="30"/>
        </w:rPr>
      </w:pPr>
    </w:p>
    <w:p>
      <w:pPr>
        <w:spacing w:before="208"/>
        <w:ind w:left="1902" w:right="2564" w:firstLine="0"/>
        <w:jc w:val="center"/>
        <w:rPr>
          <w:rFonts w:ascii="黑体" w:eastAsia="黑体" w:hint="eastAsia"/>
          <w:b/>
          <w:sz w:val="36"/>
        </w:rPr>
      </w:pPr>
      <w:r>
        <w:rPr>
          <w:rFonts w:ascii="黑体" w:eastAsia="黑体" w:hint="eastAsia"/>
          <w:b/>
          <w:sz w:val="36"/>
        </w:rPr>
        <w:t>2020 年第 1 号更新招募说明书</w:t>
      </w:r>
    </w:p>
    <w:p>
      <w:pPr>
        <w:pStyle w:val="BodyText"/>
        <w:rPr>
          <w:rFonts w:ascii="黑体"/>
          <w:b/>
          <w:sz w:val="36"/>
        </w:rPr>
      </w:pPr>
    </w:p>
    <w:p>
      <w:pPr>
        <w:pStyle w:val="BodyText"/>
        <w:spacing w:before="5"/>
        <w:rPr>
          <w:rFonts w:ascii="黑体"/>
          <w:b/>
          <w:sz w:val="29"/>
        </w:rPr>
      </w:pPr>
    </w:p>
    <w:p>
      <w:pPr>
        <w:spacing w:before="1"/>
        <w:ind w:left="1902" w:right="2558" w:firstLine="0"/>
        <w:jc w:val="center"/>
        <w:rPr>
          <w:b/>
          <w:sz w:val="28"/>
        </w:rPr>
      </w:pPr>
      <w:r>
        <w:rPr>
          <w:b/>
          <w:sz w:val="28"/>
        </w:rPr>
        <w:t>重要提示</w:t>
      </w:r>
    </w:p>
    <w:p>
      <w:pPr>
        <w:pStyle w:val="BodyText"/>
        <w:rPr>
          <w:b/>
          <w:sz w:val="28"/>
        </w:rPr>
      </w:pPr>
    </w:p>
    <w:p>
      <w:pPr>
        <w:pStyle w:val="BodyText"/>
        <w:spacing w:before="10"/>
        <w:rPr>
          <w:b/>
          <w:sz w:val="38"/>
        </w:rPr>
      </w:pPr>
    </w:p>
    <w:p>
      <w:pPr>
        <w:pStyle w:val="BodyText"/>
        <w:spacing w:line="417" w:lineRule="auto"/>
        <w:ind w:left="658" w:right="1203" w:firstLine="419"/>
      </w:pPr>
      <w:r>
        <w:rPr>
          <w:w w:val="100"/>
        </w:rPr>
        <w:t>（一）</w:t>
      </w:r>
      <w:r>
        <w:rPr>
          <w:spacing w:val="-3"/>
          <w:w w:val="100"/>
        </w:rPr>
        <w:t>景顺长城景系列开放式证券投资基金</w:t>
      </w:r>
      <w:r>
        <w:rPr>
          <w:w w:val="100"/>
        </w:rPr>
        <w:t>（</w:t>
      </w:r>
      <w:r>
        <w:rPr>
          <w:spacing w:val="-13"/>
          <w:w w:val="100"/>
        </w:rPr>
        <w:t>以下简称“本系列基金”</w:t>
      </w:r>
      <w:r>
        <w:rPr>
          <w:w w:val="100"/>
        </w:rPr>
        <w:t>）</w:t>
      </w:r>
      <w:r>
        <w:rPr>
          <w:spacing w:val="-3"/>
          <w:w w:val="100"/>
        </w:rPr>
        <w:t>是契约型开放</w:t>
      </w:r>
      <w:r>
        <w:rPr>
          <w:spacing w:val="-16"/>
        </w:rPr>
        <w:t>式证券投资基金，下设景顺长城优选混合型证券投资基金、景顺长城货币市场证券投资基金、</w:t>
      </w:r>
      <w:r>
        <w:rPr>
          <w:spacing w:val="-11"/>
        </w:rPr>
        <w:t>景顺长城动力平衡证券投资基金三只基金。三只基金作为独立的法律主体设立并存续，三只</w:t>
      </w:r>
      <w:r>
        <w:rPr>
          <w:spacing w:val="-12"/>
        </w:rPr>
        <w:t>基金在基金财产管理、基金交易及交易单元、基金估值、基金收益分配、基金费用支出、基</w:t>
      </w:r>
      <w:r>
        <w:rPr>
          <w:spacing w:val="-6"/>
        </w:rPr>
        <w:t>金终止等方面具有独立性。</w:t>
      </w:r>
    </w:p>
    <w:p>
      <w:pPr>
        <w:pStyle w:val="BodyText"/>
        <w:spacing w:line="268" w:lineRule="exact"/>
        <w:ind w:left="1078"/>
      </w:pPr>
      <w:r>
        <w:rPr/>
        <w:t>（二）本系列基金经中国证监会 2003 年 8 月 25 日证监基金字[2003]96 号文件批准发</w:t>
      </w:r>
    </w:p>
    <w:p>
      <w:pPr>
        <w:pStyle w:val="BodyText"/>
        <w:spacing w:before="8"/>
        <w:rPr>
          <w:sz w:val="15"/>
        </w:rPr>
      </w:pPr>
    </w:p>
    <w:p>
      <w:pPr>
        <w:pStyle w:val="BodyText"/>
        <w:ind w:left="658"/>
        <w:jc w:val="both"/>
      </w:pPr>
      <w:r>
        <w:rPr/>
        <w:t>起设立，并于 2003 年 10 月 24 日正式成立。</w:t>
      </w:r>
    </w:p>
    <w:p>
      <w:pPr>
        <w:pStyle w:val="BodyText"/>
        <w:spacing w:before="6"/>
        <w:rPr>
          <w:sz w:val="15"/>
        </w:rPr>
      </w:pPr>
    </w:p>
    <w:p>
      <w:pPr>
        <w:pStyle w:val="BodyText"/>
        <w:spacing w:line="417" w:lineRule="auto"/>
        <w:ind w:left="658" w:right="1309" w:firstLine="419"/>
        <w:jc w:val="both"/>
      </w:pPr>
      <w:r>
        <w:rPr/>
        <w:t>（</w:t>
      </w:r>
      <w:r>
        <w:rPr>
          <w:spacing w:val="-3"/>
        </w:rPr>
        <w:t>三</w:t>
      </w:r>
      <w:r>
        <w:rPr>
          <w:spacing w:val="-22"/>
        </w:rPr>
        <w:t>）</w:t>
      </w:r>
      <w:r>
        <w:rPr>
          <w:spacing w:val="-7"/>
        </w:rPr>
        <w:t>基金管理人保证本招募说明书的内容真实、准确、完整。本招募说明书经中国证</w:t>
      </w:r>
      <w:r>
        <w:rPr>
          <w:spacing w:val="-12"/>
        </w:rPr>
        <w:t>监会核准，但中国证监会对本系列基金募集的核准，并不表明其对本系列基金的价值和收益</w:t>
      </w:r>
      <w:r>
        <w:rPr>
          <w:spacing w:val="-6"/>
        </w:rPr>
        <w:t>作出实质性判断或保证，也不表明投资于本系列基金没有风险。</w:t>
      </w:r>
    </w:p>
    <w:p>
      <w:pPr>
        <w:pStyle w:val="BodyText"/>
        <w:spacing w:line="269" w:lineRule="exact"/>
        <w:ind w:left="1078"/>
      </w:pPr>
      <w:r>
        <w:rPr/>
        <w:t>（四）投资有风险，投资人申购基金时应认真阅读本招募说明书。</w:t>
      </w:r>
    </w:p>
    <w:p>
      <w:pPr>
        <w:pStyle w:val="BodyText"/>
        <w:spacing w:before="7"/>
        <w:rPr>
          <w:sz w:val="15"/>
        </w:rPr>
      </w:pPr>
    </w:p>
    <w:p>
      <w:pPr>
        <w:pStyle w:val="BodyText"/>
        <w:spacing w:line="417" w:lineRule="auto"/>
        <w:ind w:left="658" w:right="1309" w:firstLine="419"/>
        <w:jc w:val="both"/>
      </w:pPr>
      <w:r>
        <w:rPr/>
        <w:t>（</w:t>
      </w:r>
      <w:r>
        <w:rPr>
          <w:spacing w:val="-3"/>
        </w:rPr>
        <w:t>五</w:t>
      </w:r>
      <w:r>
        <w:rPr>
          <w:spacing w:val="-29"/>
        </w:rPr>
        <w:t>）</w:t>
      </w:r>
      <w:r>
        <w:rPr>
          <w:spacing w:val="-7"/>
        </w:rPr>
        <w:t>基金合同是约定基金当事人之间权利、义务的法律文件。基金投资人自依基金合</w:t>
      </w:r>
      <w:r>
        <w:rPr>
          <w:spacing w:val="-12"/>
        </w:rPr>
        <w:t>同取得基金份额，即成为基金份额持有人和本基金合同的当事人，其持有基金份额的行为本</w:t>
      </w:r>
      <w:r>
        <w:rPr>
          <w:spacing w:val="-10"/>
        </w:rPr>
        <w:t>身即表明其对基金合同的承认和接受，并按照《基金法》、基金合同及其他有关规定享有权</w:t>
      </w:r>
      <w:r>
        <w:rPr>
          <w:spacing w:val="-5"/>
        </w:rPr>
        <w:t>利、承担义务。基金投资人欲了解基金份额持有人的权利和义务，应详细查阅基金合同。</w:t>
      </w:r>
    </w:p>
    <w:p>
      <w:pPr>
        <w:spacing w:after="0" w:line="417" w:lineRule="auto"/>
        <w:jc w:val="both"/>
        <w:sectPr>
          <w:type w:val="continuous"/>
          <w:pgSz w:w="11910" w:h="16840"/>
          <w:pgMar w:top="1480" w:bottom="280" w:left="1140" w:right="480"/>
        </w:sectPr>
      </w:pPr>
    </w:p>
    <w:p>
      <w:pPr>
        <w:pStyle w:val="BodyText"/>
        <w:spacing w:before="8"/>
        <w:rPr>
          <w:sz w:val="19"/>
        </w:rPr>
      </w:pPr>
    </w:p>
    <w:p>
      <w:pPr>
        <w:pStyle w:val="BodyText"/>
        <w:spacing w:before="71"/>
        <w:ind w:left="1078"/>
      </w:pPr>
      <w:r>
        <w:rPr/>
        <w:t>（六）基金的过往业绩并不预示其未来表现。</w:t>
      </w:r>
    </w:p>
    <w:p>
      <w:pPr>
        <w:pStyle w:val="BodyText"/>
        <w:spacing w:before="7"/>
        <w:rPr>
          <w:sz w:val="15"/>
        </w:rPr>
      </w:pPr>
    </w:p>
    <w:p>
      <w:pPr>
        <w:pStyle w:val="BodyText"/>
        <w:spacing w:line="417" w:lineRule="auto"/>
        <w:ind w:left="658" w:right="1308" w:firstLine="419"/>
        <w:jc w:val="both"/>
      </w:pPr>
      <w:r>
        <w:rPr/>
        <w:t>（七</w:t>
      </w:r>
      <w:r>
        <w:rPr>
          <w:spacing w:val="-92"/>
        </w:rPr>
        <w:t>）</w:t>
      </w:r>
      <w:r>
        <w:rPr>
          <w:spacing w:val="-3"/>
        </w:rPr>
        <w:t>投资者购买本系列基金之货币市场基金并不等于将资金作为存款存放在银行或存</w:t>
      </w:r>
      <w:r>
        <w:rPr>
          <w:spacing w:val="-21"/>
        </w:rPr>
        <w:t>款类金融机构。基金管理人依照恪尽职守、诚实信用、谨慎勤勉的原则管理和运用基金财产， </w:t>
      </w:r>
      <w:r>
        <w:rPr>
          <w:spacing w:val="-9"/>
        </w:rPr>
        <w:t>但不保证基金一定盈利，也不保证最低收益。当投资人赎回时,所得或会高于或低于投资人</w:t>
      </w:r>
      <w:r>
        <w:rPr>
          <w:spacing w:val="-5"/>
        </w:rPr>
        <w:t>先前所支付的金额。如对本招募说明书有任何疑问,应寻求独立及专业的财务意见。</w:t>
      </w:r>
    </w:p>
    <w:p>
      <w:pPr>
        <w:pStyle w:val="BodyText"/>
        <w:spacing w:line="268" w:lineRule="exact"/>
        <w:ind w:left="1078"/>
      </w:pPr>
      <w:r>
        <w:rPr/>
        <w:t>（八</w:t>
      </w:r>
      <w:r>
        <w:rPr>
          <w:spacing w:val="-3"/>
        </w:rPr>
        <w:t>）托管人对本招募说明书中的基金投资组合报告和基金业绩中的数据进行了复核。</w:t>
      </w:r>
    </w:p>
    <w:p>
      <w:pPr>
        <w:pStyle w:val="BodyText"/>
        <w:spacing w:before="7"/>
        <w:rPr>
          <w:sz w:val="15"/>
        </w:rPr>
      </w:pPr>
    </w:p>
    <w:p>
      <w:pPr>
        <w:pStyle w:val="BodyText"/>
        <w:spacing w:line="417" w:lineRule="auto"/>
        <w:ind w:left="658" w:right="1203" w:firstLine="419"/>
      </w:pPr>
      <w:r>
        <w:rPr/>
        <w:t>（九</w:t>
      </w:r>
      <w:r>
        <w:rPr>
          <w:spacing w:val="-92"/>
        </w:rPr>
        <w:t>）</w:t>
      </w:r>
      <w:r>
        <w:rPr>
          <w:spacing w:val="-3"/>
        </w:rPr>
        <w:t>景顺长城优选混合型证券投资基金和景顺长城动力平衡证券投资基金可以投资科</w:t>
      </w:r>
      <w:r>
        <w:rPr>
          <w:spacing w:val="-17"/>
        </w:rPr>
        <w:t>创板股票，会面临科创板机制下因投资标的、市场制度以及交易规则等差异带来的特有风险， </w:t>
      </w:r>
      <w:r>
        <w:rPr>
          <w:spacing w:val="-7"/>
        </w:rPr>
        <w:t>包括但不限于市场风险、流动性风险、退市风险、集中度风险、系统性风险、政策风险等。</w:t>
      </w:r>
    </w:p>
    <w:p>
      <w:pPr>
        <w:pStyle w:val="BodyText"/>
        <w:spacing w:line="417" w:lineRule="auto"/>
        <w:ind w:left="658" w:right="1308" w:firstLine="422"/>
        <w:jc w:val="both"/>
      </w:pPr>
      <w:r>
        <w:rPr>
          <w:spacing w:val="-3"/>
        </w:rPr>
        <w:t>（</w:t>
      </w:r>
      <w:r>
        <w:rPr/>
        <w:t>十</w:t>
      </w:r>
      <w:r>
        <w:rPr>
          <w:spacing w:val="-92"/>
        </w:rPr>
        <w:t>）</w:t>
      </w:r>
      <w:r>
        <w:rPr>
          <w:spacing w:val="-3"/>
        </w:rPr>
        <w:t>景顺长城优选混合型证券投资基金和景顺长城动力平衡证券投资基金的投资范围</w:t>
      </w:r>
      <w:r>
        <w:rPr>
          <w:spacing w:val="-9"/>
        </w:rPr>
        <w:t>包括存托凭证，若投资可能面临中国存托凭证价格大幅波动甚至出现较大亏损的风险，以及</w:t>
      </w:r>
      <w:r>
        <w:rPr>
          <w:spacing w:val="-12"/>
        </w:rPr>
        <w:t>与创新企业、境外发行人、中国存托凭证发行机制以及交易机制等相关的风险。具体风险烦</w:t>
      </w:r>
      <w:r>
        <w:rPr>
          <w:spacing w:val="-6"/>
        </w:rPr>
        <w:t>请查阅本招募说明书的“风险揭示”部分的具体内容。</w:t>
      </w:r>
    </w:p>
    <w:p>
      <w:pPr>
        <w:pStyle w:val="BodyText"/>
        <w:spacing w:line="417" w:lineRule="auto"/>
        <w:ind w:left="658" w:right="1308" w:firstLine="419"/>
        <w:jc w:val="both"/>
      </w:pPr>
      <w:r>
        <w:rPr/>
        <w:t>（十一</w:t>
      </w:r>
      <w:r>
        <w:rPr>
          <w:spacing w:val="-3"/>
        </w:rPr>
        <w:t>）基金管理人根据《存托凭证发行与交易管理办法（</w:t>
      </w:r>
      <w:r>
        <w:rPr/>
        <w:t>试行</w:t>
      </w:r>
      <w:r>
        <w:rPr>
          <w:spacing w:val="-106"/>
        </w:rPr>
        <w:t>）</w:t>
      </w:r>
      <w:r>
        <w:rPr>
          <w:spacing w:val="-3"/>
        </w:rPr>
        <w:t>》相关表述对本招募</w:t>
      </w:r>
      <w:r>
        <w:rPr>
          <w:spacing w:val="-10"/>
        </w:rPr>
        <w:t>说明书做了调整，并对本基金管理人的高管人员进行了调整。本招募说明书所载内容截止日</w:t>
      </w:r>
      <w:r>
        <w:rPr>
          <w:spacing w:val="-30"/>
        </w:rPr>
        <w:t>为 </w:t>
      </w:r>
      <w:r>
        <w:rPr/>
        <w:t>2019</w:t>
      </w:r>
      <w:r>
        <w:rPr>
          <w:spacing w:val="-34"/>
        </w:rPr>
        <w:t> 年 </w:t>
      </w:r>
      <w:r>
        <w:rPr/>
        <w:t>9</w:t>
      </w:r>
      <w:r>
        <w:rPr>
          <w:spacing w:val="-34"/>
        </w:rPr>
        <w:t> 月 </w:t>
      </w:r>
      <w:r>
        <w:rPr/>
        <w:t>30</w:t>
      </w:r>
      <w:r>
        <w:rPr>
          <w:spacing w:val="-14"/>
        </w:rPr>
        <w:t> 日，有关财务数据和净值表现截止日为 </w:t>
      </w:r>
      <w:r>
        <w:rPr/>
        <w:t>2019</w:t>
      </w:r>
      <w:r>
        <w:rPr>
          <w:spacing w:val="-34"/>
        </w:rPr>
        <w:t> 年 </w:t>
      </w:r>
      <w:r>
        <w:rPr/>
        <w:t>9</w:t>
      </w:r>
      <w:r>
        <w:rPr>
          <w:spacing w:val="-34"/>
        </w:rPr>
        <w:t> 月 </w:t>
      </w:r>
      <w:r>
        <w:rPr/>
        <w:t>30</w:t>
      </w:r>
      <w:r>
        <w:rPr>
          <w:spacing w:val="-14"/>
        </w:rPr>
        <w:t> 日。如本基金发生</w:t>
      </w:r>
      <w:r>
        <w:rPr>
          <w:spacing w:val="-7"/>
        </w:rPr>
        <w:t>重大期后事项的，本招募说明书也对相应内容进行了更新。</w:t>
      </w:r>
    </w:p>
    <w:p>
      <w:pPr>
        <w:pStyle w:val="BodyText"/>
        <w:spacing w:line="269" w:lineRule="exact"/>
        <w:ind w:left="1078"/>
        <w:jc w:val="both"/>
      </w:pPr>
      <w:r>
        <w:rPr/>
        <w:t>（十二）基金合同关于基金产品资料概要的编制、披露及更新等内容，将不晚于 2020</w:t>
      </w:r>
    </w:p>
    <w:p>
      <w:pPr>
        <w:pStyle w:val="BodyText"/>
        <w:spacing w:before="6"/>
        <w:rPr>
          <w:sz w:val="15"/>
        </w:rPr>
      </w:pPr>
    </w:p>
    <w:p>
      <w:pPr>
        <w:pStyle w:val="BodyText"/>
        <w:ind w:left="658"/>
      </w:pPr>
      <w:r>
        <w:rPr/>
        <w:t>年 9 月 1 日起执行。</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4"/>
        </w:rPr>
      </w:pPr>
    </w:p>
    <w:p>
      <w:pPr>
        <w:spacing w:line="388" w:lineRule="auto" w:before="0"/>
        <w:ind w:left="2402" w:right="2762" w:hanging="300"/>
        <w:jc w:val="left"/>
        <w:rPr>
          <w:rFonts w:ascii="黑体" w:eastAsia="黑体" w:hint="eastAsia"/>
          <w:b/>
          <w:sz w:val="30"/>
        </w:rPr>
      </w:pPr>
      <w:r>
        <w:rPr>
          <w:rFonts w:ascii="黑体" w:eastAsia="黑体" w:hint="eastAsia"/>
          <w:b/>
          <w:sz w:val="30"/>
        </w:rPr>
        <w:t>基金管理人：景顺长城基金管理有限公司基金托管人：中国银行股份有限公司</w:t>
      </w:r>
    </w:p>
    <w:p>
      <w:pPr>
        <w:spacing w:after="0" w:line="388" w:lineRule="auto"/>
        <w:jc w:val="left"/>
        <w:rPr>
          <w:rFonts w:ascii="黑体" w:eastAsia="黑体" w:hint="eastAsia"/>
          <w:sz w:val="30"/>
        </w:rPr>
        <w:sectPr>
          <w:headerReference w:type="default" r:id="rId5"/>
          <w:footerReference w:type="default" r:id="rId6"/>
          <w:pgSz w:w="11910" w:h="16840"/>
          <w:pgMar w:header="852" w:footer="992" w:top="1200" w:bottom="1180" w:left="1140" w:right="480"/>
          <w:pgNumType w:start="2"/>
        </w:sectPr>
      </w:pPr>
    </w:p>
    <w:p>
      <w:pPr>
        <w:pStyle w:val="BodyText"/>
        <w:spacing w:before="10"/>
        <w:rPr>
          <w:rFonts w:ascii="黑体"/>
          <w:b/>
          <w:sz w:val="20"/>
        </w:rPr>
      </w:pPr>
    </w:p>
    <w:p>
      <w:pPr>
        <w:spacing w:before="55"/>
        <w:ind w:left="1902" w:right="2560" w:firstLine="0"/>
        <w:jc w:val="center"/>
        <w:rPr>
          <w:rFonts w:ascii="黑体" w:eastAsia="黑体" w:hint="eastAsia"/>
          <w:b/>
          <w:sz w:val="32"/>
        </w:rPr>
      </w:pPr>
      <w:r>
        <w:rPr>
          <w:rFonts w:ascii="黑体" w:eastAsia="黑体" w:hint="eastAsia"/>
          <w:b/>
          <w:sz w:val="32"/>
        </w:rPr>
        <w:t>目录</w:t>
      </w:r>
    </w:p>
    <w:p>
      <w:pPr>
        <w:spacing w:after="0"/>
        <w:jc w:val="center"/>
        <w:rPr>
          <w:rFonts w:ascii="黑体" w:eastAsia="黑体" w:hint="eastAsia"/>
          <w:sz w:val="32"/>
        </w:rPr>
        <w:sectPr>
          <w:pgSz w:w="11910" w:h="16840"/>
          <w:pgMar w:header="852" w:footer="992" w:top="1220" w:bottom="1793" w:left="1140" w:right="480"/>
        </w:sectPr>
      </w:pPr>
    </w:p>
    <w:sdt>
      <w:sdtPr>
        <w:docPartObj>
          <w:docPartGallery w:val="Table of Contents"/>
          <w:docPartUnique/>
        </w:docPartObj>
      </w:sdtPr>
      <w:sdtEndPr/>
      <w:sdtContent>
        <w:p>
          <w:pPr>
            <w:pStyle w:val="TOC1"/>
            <w:tabs>
              <w:tab w:pos="8959" w:val="right" w:leader="dot"/>
            </w:tabs>
            <w:spacing w:before="331"/>
            <w:rPr>
              <w:rFonts w:ascii="Times New Roman" w:eastAsia="Times New Roman"/>
            </w:rPr>
          </w:pPr>
          <w:hyperlink w:history="true" w:anchor="_bookmark0">
            <w:r>
              <w:rPr/>
              <w:t>一、绪言</w:t>
              <w:tab/>
            </w:r>
            <w:r>
              <w:rPr>
                <w:rFonts w:ascii="Times New Roman" w:eastAsia="Times New Roman"/>
              </w:rPr>
              <w:t>5</w:t>
            </w:r>
          </w:hyperlink>
        </w:p>
        <w:p>
          <w:pPr>
            <w:pStyle w:val="TOC1"/>
            <w:tabs>
              <w:tab w:pos="8959" w:val="right" w:leader="dot"/>
            </w:tabs>
            <w:rPr>
              <w:rFonts w:ascii="Times New Roman" w:eastAsia="Times New Roman"/>
            </w:rPr>
          </w:pPr>
          <w:hyperlink w:history="true" w:anchor="_bookmark1">
            <w:r>
              <w:rPr/>
              <w:t>二、释义</w:t>
              <w:tab/>
            </w:r>
            <w:r>
              <w:rPr>
                <w:rFonts w:ascii="Times New Roman" w:eastAsia="Times New Roman"/>
              </w:rPr>
              <w:t>6</w:t>
            </w:r>
          </w:hyperlink>
        </w:p>
        <w:p>
          <w:pPr>
            <w:pStyle w:val="TOC1"/>
            <w:tabs>
              <w:tab w:pos="8963" w:val="right" w:leader="dot"/>
            </w:tabs>
            <w:rPr>
              <w:rFonts w:ascii="Times New Roman" w:eastAsia="Times New Roman"/>
            </w:rPr>
          </w:pPr>
          <w:hyperlink w:history="true" w:anchor="_bookmark2">
            <w:r>
              <w:rPr/>
              <w:t>三、基金管理人</w:t>
              <w:tab/>
            </w:r>
            <w:r>
              <w:rPr>
                <w:rFonts w:ascii="Times New Roman" w:eastAsia="Times New Roman"/>
              </w:rPr>
              <w:t>10</w:t>
            </w:r>
          </w:hyperlink>
        </w:p>
        <w:p>
          <w:pPr>
            <w:pStyle w:val="TOC1"/>
            <w:tabs>
              <w:tab w:pos="8963" w:val="right" w:leader="dot"/>
            </w:tabs>
            <w:spacing w:before="223"/>
            <w:rPr>
              <w:rFonts w:ascii="Times New Roman" w:eastAsia="Times New Roman"/>
            </w:rPr>
          </w:pPr>
          <w:hyperlink w:history="true" w:anchor="_bookmark3">
            <w:r>
              <w:rPr/>
              <w:t>四、基金托管人</w:t>
              <w:tab/>
            </w:r>
            <w:r>
              <w:rPr>
                <w:rFonts w:ascii="Times New Roman" w:eastAsia="Times New Roman"/>
              </w:rPr>
              <w:t>23</w:t>
            </w:r>
          </w:hyperlink>
        </w:p>
        <w:p>
          <w:pPr>
            <w:pStyle w:val="TOC1"/>
            <w:tabs>
              <w:tab w:pos="8963" w:val="right" w:leader="dot"/>
            </w:tabs>
            <w:rPr>
              <w:rFonts w:ascii="Times New Roman" w:eastAsia="Times New Roman"/>
            </w:rPr>
          </w:pPr>
          <w:hyperlink w:history="true" w:anchor="_bookmark4">
            <w:r>
              <w:rPr/>
              <w:t>（一）基本情况</w:t>
              <w:tab/>
            </w:r>
            <w:r>
              <w:rPr>
                <w:rFonts w:ascii="Times New Roman" w:eastAsia="Times New Roman"/>
              </w:rPr>
              <w:t>23</w:t>
            </w:r>
          </w:hyperlink>
        </w:p>
        <w:p>
          <w:pPr>
            <w:pStyle w:val="TOC1"/>
            <w:tabs>
              <w:tab w:pos="8963" w:val="right" w:leader="dot"/>
            </w:tabs>
            <w:spacing w:before="225"/>
            <w:rPr>
              <w:rFonts w:ascii="Times New Roman" w:eastAsia="Times New Roman"/>
            </w:rPr>
          </w:pPr>
          <w:hyperlink w:history="true" w:anchor="_bookmark5">
            <w:r>
              <w:rPr/>
              <w:t>（二）基金托管部门及主要人员情况</w:t>
              <w:tab/>
            </w:r>
            <w:r>
              <w:rPr>
                <w:rFonts w:ascii="Times New Roman" w:eastAsia="Times New Roman"/>
              </w:rPr>
              <w:t>23</w:t>
            </w:r>
          </w:hyperlink>
        </w:p>
        <w:p>
          <w:pPr>
            <w:pStyle w:val="TOC1"/>
            <w:tabs>
              <w:tab w:pos="8963" w:val="right" w:leader="dot"/>
            </w:tabs>
            <w:spacing w:before="223"/>
            <w:rPr>
              <w:rFonts w:ascii="Times New Roman" w:eastAsia="Times New Roman"/>
            </w:rPr>
          </w:pPr>
          <w:hyperlink w:history="true" w:anchor="_bookmark6">
            <w:r>
              <w:rPr/>
              <w:t>（四）托管业务的内部控制制度</w:t>
              <w:tab/>
            </w:r>
            <w:r>
              <w:rPr>
                <w:rFonts w:ascii="Times New Roman" w:eastAsia="Times New Roman"/>
              </w:rPr>
              <w:t>24</w:t>
            </w:r>
          </w:hyperlink>
        </w:p>
        <w:p>
          <w:pPr>
            <w:pStyle w:val="TOC1"/>
            <w:tabs>
              <w:tab w:pos="8963" w:val="right" w:leader="dot"/>
            </w:tabs>
            <w:rPr>
              <w:rFonts w:ascii="Times New Roman" w:eastAsia="Times New Roman"/>
            </w:rPr>
          </w:pPr>
          <w:hyperlink w:history="true" w:anchor="_bookmark7">
            <w:r>
              <w:rPr/>
              <w:t>（五）托管人对管理人运作基金进行监督的</w:t>
            </w:r>
            <w:r>
              <w:rPr>
                <w:spacing w:val="5"/>
              </w:rPr>
              <w:t>方</w:t>
            </w:r>
            <w:r>
              <w:rPr/>
              <w:t>法和程序</w:t>
              <w:tab/>
            </w:r>
            <w:r>
              <w:rPr>
                <w:rFonts w:ascii="Times New Roman" w:eastAsia="Times New Roman"/>
              </w:rPr>
              <w:t>24</w:t>
            </w:r>
          </w:hyperlink>
        </w:p>
        <w:p>
          <w:pPr>
            <w:pStyle w:val="TOC1"/>
            <w:tabs>
              <w:tab w:pos="8963" w:val="right" w:leader="dot"/>
            </w:tabs>
            <w:rPr>
              <w:rFonts w:ascii="Times New Roman" w:eastAsia="Times New Roman"/>
            </w:rPr>
          </w:pPr>
          <w:hyperlink w:history="true" w:anchor="_bookmark8">
            <w:r>
              <w:rPr/>
              <w:t>五、相关服务机构</w:t>
              <w:tab/>
            </w:r>
            <w:r>
              <w:rPr>
                <w:rFonts w:ascii="Times New Roman" w:eastAsia="Times New Roman"/>
              </w:rPr>
              <w:t>26</w:t>
            </w:r>
          </w:hyperlink>
        </w:p>
        <w:p>
          <w:pPr>
            <w:pStyle w:val="TOC1"/>
            <w:tabs>
              <w:tab w:pos="8963" w:val="right" w:leader="dot"/>
            </w:tabs>
            <w:rPr>
              <w:rFonts w:ascii="Times New Roman" w:eastAsia="Times New Roman"/>
            </w:rPr>
          </w:pPr>
          <w:hyperlink w:history="true" w:anchor="_bookmark9">
            <w:r>
              <w:rPr/>
              <w:t>六、货币市场基金份额的分级</w:t>
              <w:tab/>
            </w:r>
            <w:r>
              <w:rPr>
                <w:rFonts w:ascii="Times New Roman" w:eastAsia="Times New Roman"/>
              </w:rPr>
              <w:t>60</w:t>
            </w:r>
          </w:hyperlink>
        </w:p>
        <w:p>
          <w:pPr>
            <w:pStyle w:val="TOC1"/>
            <w:tabs>
              <w:tab w:pos="8963" w:val="right" w:leader="dot"/>
            </w:tabs>
            <w:spacing w:before="223"/>
            <w:rPr>
              <w:rFonts w:ascii="Times New Roman" w:eastAsia="Times New Roman"/>
            </w:rPr>
          </w:pPr>
          <w:hyperlink w:history="true" w:anchor="_bookmark10">
            <w:r>
              <w:rPr/>
              <w:t>七、基金的申购、赎回</w:t>
              <w:tab/>
            </w:r>
            <w:r>
              <w:rPr>
                <w:rFonts w:ascii="Times New Roman" w:eastAsia="Times New Roman"/>
              </w:rPr>
              <w:t>62</w:t>
            </w:r>
          </w:hyperlink>
        </w:p>
        <w:p>
          <w:pPr>
            <w:pStyle w:val="TOC1"/>
            <w:tabs>
              <w:tab w:pos="8963" w:val="right" w:leader="dot"/>
            </w:tabs>
            <w:rPr>
              <w:rFonts w:ascii="Times New Roman" w:eastAsia="Times New Roman"/>
            </w:rPr>
          </w:pPr>
          <w:hyperlink w:history="true" w:anchor="_bookmark11">
            <w:r>
              <w:rPr/>
              <w:t>八、基金的转换</w:t>
              <w:tab/>
            </w:r>
            <w:r>
              <w:rPr>
                <w:rFonts w:ascii="Times New Roman" w:eastAsia="Times New Roman"/>
              </w:rPr>
              <w:t>82</w:t>
            </w:r>
          </w:hyperlink>
        </w:p>
        <w:p>
          <w:pPr>
            <w:pStyle w:val="TOC1"/>
            <w:tabs>
              <w:tab w:pos="8963" w:val="right" w:leader="dot"/>
            </w:tabs>
            <w:rPr>
              <w:rFonts w:ascii="Times New Roman" w:eastAsia="Times New Roman"/>
            </w:rPr>
          </w:pPr>
          <w:hyperlink w:history="true" w:anchor="_bookmark12">
            <w:r>
              <w:rPr/>
              <w:t>九、基金的非交易过户与转托管</w:t>
              <w:tab/>
            </w:r>
            <w:r>
              <w:rPr>
                <w:rFonts w:ascii="Times New Roman" w:eastAsia="Times New Roman"/>
              </w:rPr>
              <w:t>87</w:t>
            </w:r>
          </w:hyperlink>
        </w:p>
        <w:p>
          <w:pPr>
            <w:pStyle w:val="TOC1"/>
            <w:tabs>
              <w:tab w:pos="8963" w:val="right" w:leader="dot"/>
            </w:tabs>
            <w:rPr>
              <w:rFonts w:ascii="Times New Roman" w:eastAsia="Times New Roman"/>
            </w:rPr>
          </w:pPr>
          <w:hyperlink w:history="true" w:anchor="_bookmark13">
            <w:r>
              <w:rPr/>
              <w:t>十、基金的投资</w:t>
              <w:tab/>
            </w:r>
            <w:r>
              <w:rPr>
                <w:rFonts w:ascii="Times New Roman" w:eastAsia="Times New Roman"/>
              </w:rPr>
              <w:t>88</w:t>
            </w:r>
          </w:hyperlink>
        </w:p>
        <w:p>
          <w:pPr>
            <w:pStyle w:val="TOC1"/>
            <w:tabs>
              <w:tab w:pos="8963" w:val="right" w:leader="dot"/>
            </w:tabs>
            <w:rPr>
              <w:rFonts w:ascii="Times New Roman" w:eastAsia="Times New Roman"/>
            </w:rPr>
          </w:pPr>
          <w:hyperlink w:history="true" w:anchor="_bookmark14">
            <w:r>
              <w:rPr/>
              <w:t>十一、基金的融资</w:t>
              <w:tab/>
            </w:r>
            <w:r>
              <w:rPr>
                <w:rFonts w:ascii="Times New Roman" w:eastAsia="Times New Roman"/>
              </w:rPr>
              <w:t>108</w:t>
            </w:r>
          </w:hyperlink>
        </w:p>
        <w:p>
          <w:pPr>
            <w:pStyle w:val="TOC1"/>
            <w:tabs>
              <w:tab w:pos="8963" w:val="right" w:leader="dot"/>
            </w:tabs>
            <w:rPr>
              <w:rFonts w:ascii="Times New Roman" w:eastAsia="Times New Roman"/>
            </w:rPr>
          </w:pPr>
          <w:hyperlink w:history="true" w:anchor="_bookmark15">
            <w:r>
              <w:rPr/>
              <w:t>十二、基金的业绩</w:t>
              <w:tab/>
            </w:r>
            <w:r>
              <w:rPr>
                <w:rFonts w:ascii="Times New Roman" w:eastAsia="Times New Roman"/>
              </w:rPr>
              <w:t>109</w:t>
            </w:r>
          </w:hyperlink>
        </w:p>
        <w:p>
          <w:pPr>
            <w:pStyle w:val="TOC1"/>
            <w:tabs>
              <w:tab w:pos="8962" w:val="right" w:leader="dot"/>
            </w:tabs>
            <w:spacing w:before="223"/>
            <w:rPr>
              <w:rFonts w:ascii="Times New Roman" w:eastAsia="Times New Roman"/>
            </w:rPr>
          </w:pPr>
          <w:hyperlink w:history="true" w:anchor="_bookmark16">
            <w:r>
              <w:rPr/>
              <w:t>十三、基金的财产</w:t>
              <w:tab/>
            </w:r>
            <w:r>
              <w:rPr>
                <w:rFonts w:ascii="Times New Roman" w:eastAsia="Times New Roman"/>
                <w:spacing w:val="-4"/>
              </w:rPr>
              <w:t>115</w:t>
            </w:r>
          </w:hyperlink>
        </w:p>
        <w:p>
          <w:pPr>
            <w:pStyle w:val="TOC1"/>
            <w:tabs>
              <w:tab w:pos="8962" w:val="right" w:leader="dot"/>
            </w:tabs>
            <w:rPr>
              <w:rFonts w:ascii="Times New Roman" w:eastAsia="Times New Roman"/>
            </w:rPr>
          </w:pPr>
          <w:hyperlink w:history="true" w:anchor="_bookmark17">
            <w:r>
              <w:rPr/>
              <w:t>十四、基金财产估值</w:t>
              <w:tab/>
            </w:r>
            <w:r>
              <w:rPr>
                <w:rFonts w:ascii="Times New Roman" w:eastAsia="Times New Roman"/>
                <w:spacing w:val="-4"/>
              </w:rPr>
              <w:t>117</w:t>
            </w:r>
          </w:hyperlink>
        </w:p>
        <w:p>
          <w:pPr>
            <w:pStyle w:val="TOC1"/>
            <w:tabs>
              <w:tab w:pos="8963" w:val="right" w:leader="dot"/>
            </w:tabs>
            <w:rPr>
              <w:rFonts w:ascii="Times New Roman" w:eastAsia="Times New Roman"/>
            </w:rPr>
          </w:pPr>
          <w:hyperlink w:history="true" w:anchor="_bookmark18">
            <w:r>
              <w:rPr/>
              <w:t>十五、基金收益与分配</w:t>
              <w:tab/>
            </w:r>
            <w:r>
              <w:rPr>
                <w:rFonts w:ascii="Times New Roman" w:eastAsia="Times New Roman"/>
              </w:rPr>
              <w:t>124</w:t>
            </w:r>
          </w:hyperlink>
        </w:p>
        <w:p>
          <w:pPr>
            <w:pStyle w:val="TOC1"/>
            <w:tabs>
              <w:tab w:pos="8963" w:val="right" w:leader="dot"/>
            </w:tabs>
            <w:rPr>
              <w:rFonts w:ascii="Times New Roman" w:eastAsia="Times New Roman"/>
            </w:rPr>
          </w:pPr>
          <w:hyperlink w:history="true" w:anchor="_bookmark19">
            <w:r>
              <w:rPr/>
              <w:t>十六、基金费用与税收</w:t>
              <w:tab/>
            </w:r>
            <w:r>
              <w:rPr>
                <w:rFonts w:ascii="Times New Roman" w:eastAsia="Times New Roman"/>
              </w:rPr>
              <w:t>127</w:t>
            </w:r>
          </w:hyperlink>
        </w:p>
        <w:p>
          <w:pPr>
            <w:pStyle w:val="TOC1"/>
            <w:tabs>
              <w:tab w:pos="8963" w:val="right" w:leader="dot"/>
            </w:tabs>
            <w:rPr>
              <w:rFonts w:ascii="Times New Roman" w:eastAsia="Times New Roman"/>
            </w:rPr>
          </w:pPr>
          <w:hyperlink w:history="true" w:anchor="_bookmark20">
            <w:r>
              <w:rPr/>
              <w:t>十七、基金的会计与审计</w:t>
              <w:tab/>
            </w:r>
            <w:r>
              <w:rPr>
                <w:rFonts w:ascii="Times New Roman" w:eastAsia="Times New Roman"/>
              </w:rPr>
              <w:t>134</w:t>
            </w:r>
          </w:hyperlink>
        </w:p>
        <w:p>
          <w:pPr>
            <w:pStyle w:val="TOC1"/>
            <w:tabs>
              <w:tab w:pos="8963" w:val="right" w:leader="dot"/>
            </w:tabs>
            <w:rPr>
              <w:rFonts w:ascii="Times New Roman" w:eastAsia="Times New Roman"/>
            </w:rPr>
          </w:pPr>
          <w:hyperlink w:history="true" w:anchor="_bookmark21">
            <w:r>
              <w:rPr/>
              <w:t>十八、基金的信息披露</w:t>
              <w:tab/>
            </w:r>
            <w:r>
              <w:rPr>
                <w:rFonts w:ascii="Times New Roman" w:eastAsia="Times New Roman"/>
              </w:rPr>
              <w:t>135</w:t>
            </w:r>
          </w:hyperlink>
        </w:p>
        <w:p>
          <w:pPr>
            <w:pStyle w:val="TOC1"/>
            <w:tabs>
              <w:tab w:pos="8963" w:val="right" w:leader="dot"/>
            </w:tabs>
            <w:spacing w:before="223"/>
            <w:rPr>
              <w:rFonts w:ascii="Times New Roman" w:eastAsia="Times New Roman"/>
            </w:rPr>
          </w:pPr>
          <w:hyperlink w:history="true" w:anchor="_bookmark22">
            <w:r>
              <w:rPr/>
              <w:t>十九、风险揭示</w:t>
              <w:tab/>
            </w:r>
            <w:r>
              <w:rPr>
                <w:rFonts w:ascii="Times New Roman" w:eastAsia="Times New Roman"/>
              </w:rPr>
              <w:t>140</w:t>
            </w:r>
          </w:hyperlink>
        </w:p>
        <w:p>
          <w:pPr>
            <w:pStyle w:val="TOC1"/>
            <w:tabs>
              <w:tab w:pos="8963" w:val="right" w:leader="dot"/>
            </w:tabs>
            <w:rPr>
              <w:rFonts w:ascii="Times New Roman" w:eastAsia="Times New Roman"/>
            </w:rPr>
          </w:pPr>
          <w:hyperlink w:history="true" w:anchor="_bookmark23">
            <w:r>
              <w:rPr/>
              <w:t>二十、基金合同的变更、终止与清算</w:t>
              <w:tab/>
            </w:r>
            <w:r>
              <w:rPr>
                <w:rFonts w:ascii="Times New Roman" w:eastAsia="Times New Roman"/>
              </w:rPr>
              <w:t>143</w:t>
            </w:r>
          </w:hyperlink>
        </w:p>
        <w:p>
          <w:pPr>
            <w:pStyle w:val="TOC1"/>
            <w:tabs>
              <w:tab w:pos="8963" w:val="right" w:leader="dot"/>
            </w:tabs>
            <w:rPr>
              <w:rFonts w:ascii="Times New Roman" w:eastAsia="Times New Roman"/>
            </w:rPr>
          </w:pPr>
          <w:hyperlink w:history="true" w:anchor="_bookmark24">
            <w:r>
              <w:rPr/>
              <w:t>二十一、基金合同的内容摘要</w:t>
              <w:tab/>
            </w:r>
            <w:r>
              <w:rPr>
                <w:rFonts w:ascii="Times New Roman" w:eastAsia="Times New Roman"/>
              </w:rPr>
              <w:t>146</w:t>
            </w:r>
          </w:hyperlink>
        </w:p>
        <w:p>
          <w:pPr>
            <w:pStyle w:val="TOC1"/>
            <w:tabs>
              <w:tab w:pos="8963" w:val="right" w:leader="dot"/>
            </w:tabs>
            <w:rPr>
              <w:rFonts w:ascii="Times New Roman" w:eastAsia="Times New Roman"/>
            </w:rPr>
          </w:pPr>
          <w:hyperlink w:history="true" w:anchor="_bookmark25">
            <w:r>
              <w:rPr/>
              <w:t>二十二、基金托管协议的内容摘要</w:t>
              <w:tab/>
            </w:r>
            <w:r>
              <w:rPr>
                <w:rFonts w:ascii="Times New Roman" w:eastAsia="Times New Roman"/>
              </w:rPr>
              <w:t>158</w:t>
            </w:r>
          </w:hyperlink>
        </w:p>
        <w:p>
          <w:pPr>
            <w:pStyle w:val="TOC1"/>
            <w:tabs>
              <w:tab w:pos="8963" w:val="right" w:leader="dot"/>
            </w:tabs>
            <w:spacing w:after="20"/>
            <w:rPr>
              <w:rFonts w:ascii="Times New Roman" w:eastAsia="Times New Roman"/>
            </w:rPr>
          </w:pPr>
          <w:hyperlink w:history="true" w:anchor="_bookmark26">
            <w:r>
              <w:rPr/>
              <w:t>二十三、对基金份额持有人的服务</w:t>
              <w:tab/>
            </w:r>
            <w:r>
              <w:rPr>
                <w:rFonts w:ascii="Times New Roman" w:eastAsia="Times New Roman"/>
              </w:rPr>
              <w:t>168</w:t>
            </w:r>
          </w:hyperlink>
        </w:p>
        <w:p>
          <w:pPr>
            <w:pStyle w:val="TOC1"/>
            <w:tabs>
              <w:tab w:pos="8963" w:val="right" w:leader="dot"/>
            </w:tabs>
            <w:spacing w:before="318"/>
            <w:rPr>
              <w:rFonts w:ascii="Times New Roman" w:eastAsia="Times New Roman"/>
            </w:rPr>
          </w:pPr>
          <w:hyperlink w:history="true" w:anchor="_bookmark27">
            <w:r>
              <w:rPr/>
              <w:t>二十四、其他应披露事项</w:t>
              <w:tab/>
            </w:r>
            <w:r>
              <w:rPr>
                <w:rFonts w:ascii="Times New Roman" w:eastAsia="Times New Roman"/>
              </w:rPr>
              <w:t>171</w:t>
            </w:r>
          </w:hyperlink>
        </w:p>
        <w:p>
          <w:pPr>
            <w:pStyle w:val="TOC1"/>
            <w:tabs>
              <w:tab w:pos="8963" w:val="right" w:leader="dot"/>
            </w:tabs>
            <w:rPr>
              <w:rFonts w:ascii="Times New Roman" w:eastAsia="Times New Roman"/>
            </w:rPr>
          </w:pPr>
          <w:hyperlink w:history="true" w:anchor="_bookmark28">
            <w:r>
              <w:rPr/>
              <w:t>二十五、招募说明书存放及其查阅方式</w:t>
              <w:tab/>
            </w:r>
            <w:r>
              <w:rPr>
                <w:rFonts w:ascii="Times New Roman" w:eastAsia="Times New Roman"/>
              </w:rPr>
              <w:t>174</w:t>
            </w:r>
          </w:hyperlink>
        </w:p>
        <w:p>
          <w:pPr>
            <w:pStyle w:val="TOC1"/>
            <w:tabs>
              <w:tab w:pos="8963" w:val="right" w:leader="dot"/>
            </w:tabs>
            <w:rPr>
              <w:rFonts w:ascii="Times New Roman" w:eastAsia="Times New Roman"/>
            </w:rPr>
          </w:pPr>
          <w:hyperlink w:history="true" w:anchor="_bookmark29">
            <w:r>
              <w:rPr/>
              <w:t>二十六、备查文件</w:t>
              <w:tab/>
            </w:r>
            <w:r>
              <w:rPr>
                <w:rFonts w:ascii="Times New Roman" w:eastAsia="Times New Roman"/>
              </w:rPr>
              <w:t>175</w:t>
            </w:r>
          </w:hyperlink>
        </w:p>
      </w:sdtContent>
    </w:sdt>
    <w:p>
      <w:pPr>
        <w:spacing w:after="0"/>
        <w:rPr>
          <w:rFonts w:ascii="Times New Roman" w:eastAsia="Times New Roman"/>
        </w:rPr>
        <w:sectPr>
          <w:type w:val="continuous"/>
          <w:pgSz w:w="11910" w:h="16840"/>
          <w:pgMar w:top="1226" w:bottom="1793" w:left="1140" w:right="480"/>
        </w:sectPr>
      </w:pPr>
    </w:p>
    <w:p>
      <w:pPr>
        <w:pStyle w:val="BodyText"/>
        <w:spacing w:before="8"/>
        <w:rPr>
          <w:rFonts w:ascii="Times New Roman"/>
          <w:b/>
          <w:sz w:val="25"/>
        </w:rPr>
      </w:pPr>
    </w:p>
    <w:p>
      <w:pPr>
        <w:pStyle w:val="Heading1"/>
        <w:ind w:left="1902" w:right="2560"/>
        <w:jc w:val="center"/>
      </w:pPr>
      <w:bookmarkStart w:name="_bookmark0" w:id="1"/>
      <w:bookmarkEnd w:id="1"/>
      <w:r>
        <w:rPr>
          <w:b w:val="0"/>
        </w:rPr>
      </w:r>
      <w:r>
        <w:rPr/>
        <w:t>一、绪言</w:t>
      </w:r>
    </w:p>
    <w:p>
      <w:pPr>
        <w:pStyle w:val="BodyText"/>
        <w:rPr>
          <w:b/>
          <w:sz w:val="24"/>
        </w:rPr>
      </w:pPr>
    </w:p>
    <w:p>
      <w:pPr>
        <w:pStyle w:val="BodyText"/>
        <w:spacing w:before="8"/>
        <w:rPr>
          <w:b/>
          <w:sz w:val="26"/>
        </w:rPr>
      </w:pPr>
    </w:p>
    <w:p>
      <w:pPr>
        <w:pStyle w:val="BodyText"/>
        <w:spacing w:line="417" w:lineRule="auto"/>
        <w:ind w:left="658" w:right="1308" w:firstLine="419"/>
        <w:jc w:val="right"/>
      </w:pPr>
      <w:r>
        <w:rPr>
          <w:spacing w:val="-6"/>
        </w:rPr>
        <w:t>本招募说明书依据《中华人民共和国证券投资基金法</w:t>
      </w:r>
      <w:r>
        <w:rPr>
          <w:spacing w:val="-128"/>
        </w:rPr>
        <w:t>》</w:t>
      </w:r>
      <w:r>
        <w:rPr>
          <w:spacing w:val="-3"/>
        </w:rPr>
        <w:t>（</w:t>
      </w:r>
      <w:r>
        <w:rPr>
          <w:spacing w:val="-18"/>
        </w:rPr>
        <w:t>以下简称《基金法》</w:t>
      </w:r>
      <w:r>
        <w:rPr>
          <w:spacing w:val="-108"/>
        </w:rPr>
        <w:t>）</w:t>
      </w:r>
      <w:r>
        <w:rPr>
          <w:spacing w:val="-27"/>
        </w:rPr>
        <w:t>、《公开募</w:t>
      </w:r>
      <w:r>
        <w:rPr>
          <w:spacing w:val="-9"/>
        </w:rPr>
        <w:t>集证券投资基金运作管理办法</w:t>
      </w:r>
      <w:r>
        <w:rPr>
          <w:spacing w:val="-157"/>
        </w:rPr>
        <w:t>》</w:t>
      </w:r>
      <w:r>
        <w:rPr/>
        <w:t>（</w:t>
      </w:r>
      <w:r>
        <w:rPr>
          <w:spacing w:val="-19"/>
        </w:rPr>
        <w:t>以下简称《运作办法》</w:t>
      </w:r>
      <w:r>
        <w:rPr>
          <w:spacing w:val="-106"/>
        </w:rPr>
        <w:t>）</w:t>
      </w:r>
      <w:r>
        <w:rPr>
          <w:spacing w:val="-16"/>
        </w:rPr>
        <w:t>、《证券投资基金销售管理办法</w:t>
      </w:r>
      <w:r>
        <w:rPr>
          <w:spacing w:val="-157"/>
        </w:rPr>
        <w:t>》</w:t>
      </w:r>
      <w:r>
        <w:rPr/>
        <w:t>（以</w:t>
      </w:r>
      <w:r>
        <w:rPr>
          <w:spacing w:val="-18"/>
        </w:rPr>
        <w:t>下简称《销售办法》</w:t>
      </w:r>
      <w:r>
        <w:rPr>
          <w:spacing w:val="-106"/>
        </w:rPr>
        <w:t>）</w:t>
      </w:r>
      <w:r>
        <w:rPr>
          <w:spacing w:val="-13"/>
        </w:rPr>
        <w:t>、《公开募集证券投资基金信息披露管理办法</w:t>
      </w:r>
      <w:r>
        <w:rPr>
          <w:spacing w:val="-130"/>
        </w:rPr>
        <w:t>》</w:t>
      </w:r>
      <w:r>
        <w:rPr/>
        <w:t>（</w:t>
      </w:r>
      <w:r>
        <w:rPr>
          <w:spacing w:val="-7"/>
        </w:rPr>
        <w:t>以下简称《信息披露办</w:t>
      </w:r>
      <w:r>
        <w:rPr>
          <w:spacing w:val="-57"/>
        </w:rPr>
        <w:t>法》</w:t>
      </w:r>
      <w:r>
        <w:rPr>
          <w:spacing w:val="-106"/>
        </w:rPr>
        <w:t>）</w:t>
      </w:r>
      <w:r>
        <w:rPr>
          <w:spacing w:val="-14"/>
        </w:rPr>
        <w:t>、《证券投资基金信息披露内容与格式准则第 </w:t>
      </w:r>
      <w:r>
        <w:rPr>
          <w:rFonts w:ascii="Times New Roman" w:hAnsi="Times New Roman" w:eastAsia="Times New Roman"/>
        </w:rPr>
        <w:t>5 </w:t>
      </w:r>
      <w:r>
        <w:rPr/>
        <w:t>号</w:t>
      </w:r>
      <w:r>
        <w:rPr>
          <w:rFonts w:ascii="Times New Roman" w:hAnsi="Times New Roman" w:eastAsia="Times New Roman"/>
        </w:rPr>
        <w:t>&lt;</w:t>
      </w:r>
      <w:r>
        <w:rPr>
          <w:spacing w:val="-3"/>
        </w:rPr>
        <w:t>招募说明书的内容与格式</w:t>
      </w:r>
      <w:r>
        <w:rPr>
          <w:rFonts w:ascii="Times New Roman" w:hAnsi="Times New Roman" w:eastAsia="Times New Roman"/>
        </w:rPr>
        <w:t>&gt;</w:t>
      </w:r>
      <w:r>
        <w:rPr>
          <w:spacing w:val="-46"/>
        </w:rPr>
        <w:t>》、《公开</w:t>
      </w:r>
      <w:r>
        <w:rPr>
          <w:spacing w:val="-11"/>
        </w:rPr>
        <w:t>募集开放式证券投资基金流动性风险管理规定</w:t>
      </w:r>
      <w:r>
        <w:rPr>
          <w:spacing w:val="-135"/>
        </w:rPr>
        <w:t>》</w:t>
      </w:r>
      <w:r>
        <w:rPr>
          <w:spacing w:val="-3"/>
        </w:rPr>
        <w:t>（</w:t>
      </w:r>
      <w:r>
        <w:rPr>
          <w:spacing w:val="-26"/>
        </w:rPr>
        <w:t>以下简称“《流动性风险管理规定》”</w:t>
      </w:r>
      <w:r>
        <w:rPr>
          <w:spacing w:val="-107"/>
        </w:rPr>
        <w:t>）</w:t>
      </w:r>
      <w:r>
        <w:rPr>
          <w:spacing w:val="-46"/>
        </w:rPr>
        <w:t>、《景</w:t>
      </w:r>
      <w:r>
        <w:rPr>
          <w:spacing w:val="-11"/>
        </w:rPr>
        <w:t>顺长城景系列开放式证券投资基金基金合同</w:t>
      </w:r>
      <w:r>
        <w:rPr>
          <w:spacing w:val="-205"/>
        </w:rPr>
        <w:t>》</w:t>
      </w:r>
      <w:r>
        <w:rPr/>
        <w:t>（</w:t>
      </w:r>
      <w:r>
        <w:rPr>
          <w:spacing w:val="-3"/>
        </w:rPr>
        <w:t>以下简称基金合同</w:t>
      </w:r>
      <w:r>
        <w:rPr>
          <w:spacing w:val="-97"/>
        </w:rPr>
        <w:t>）</w:t>
      </w:r>
      <w:r>
        <w:rPr>
          <w:spacing w:val="-3"/>
        </w:rPr>
        <w:t>及其它有关规定等编写。</w:t>
      </w:r>
      <w:r>
        <w:rPr>
          <w:spacing w:val="-7"/>
        </w:rPr>
        <w:t>基金管理人承诺本招募说明书不存在任何虚假记载、误导性陈述或者重大遗漏，并对其</w:t>
      </w:r>
    </w:p>
    <w:p>
      <w:pPr>
        <w:pStyle w:val="BodyText"/>
        <w:spacing w:line="417" w:lineRule="auto"/>
        <w:ind w:left="658" w:right="1308"/>
        <w:jc w:val="both"/>
      </w:pPr>
      <w:r>
        <w:rPr>
          <w:spacing w:val="-12"/>
        </w:rPr>
        <w:t>真实性、准确性、完整性承担法律责任。本系列基金是根据本招募说明书所载明的资料申请</w:t>
      </w:r>
      <w:r>
        <w:rPr>
          <w:spacing w:val="-11"/>
        </w:rPr>
        <w:t>募集的。本基金管理人没有委托或授权任何其他人提供未在本招募说明书中载明的信息，或</w:t>
      </w:r>
      <w:r>
        <w:rPr>
          <w:spacing w:val="-6"/>
        </w:rPr>
        <w:t>对本招募说明书作任何解释或者说明。</w:t>
      </w:r>
    </w:p>
    <w:p>
      <w:pPr>
        <w:pStyle w:val="BodyText"/>
        <w:spacing w:line="417" w:lineRule="auto"/>
        <w:ind w:left="658" w:right="1308" w:firstLine="419"/>
        <w:jc w:val="both"/>
      </w:pPr>
      <w:r>
        <w:rPr>
          <w:spacing w:val="-8"/>
        </w:rPr>
        <w:t>本招募说明书根据本系列基金的基金合同编写，并经中国证监会核准。基金合同是约定</w:t>
      </w:r>
      <w:r>
        <w:rPr>
          <w:spacing w:val="-11"/>
        </w:rPr>
        <w:t>基金当事人之间权利、义务的法律文件。基金投资人自依基金合同取得基金份额，即成为基金份额持有人和本基金合同的当事人，其持有基金份额的行为本身即表明其对基金合同的承</w:t>
      </w:r>
      <w:r>
        <w:rPr>
          <w:spacing w:val="-13"/>
        </w:rPr>
        <w:t>认和接受，并按照《基金法》、基金合同及其他有关规定享有权利、承担义务。基金投资人</w:t>
      </w:r>
      <w:r>
        <w:rPr>
          <w:spacing w:val="-6"/>
        </w:rPr>
        <w:t>欲了解基金份额持有人的权利和义务，应详细查阅基金合同。</w:t>
      </w:r>
    </w:p>
    <w:p>
      <w:pPr>
        <w:pStyle w:val="BodyText"/>
        <w:spacing w:line="417" w:lineRule="auto"/>
        <w:ind w:left="658" w:right="1208" w:firstLine="419"/>
        <w:jc w:val="both"/>
      </w:pPr>
      <w:r>
        <w:rPr>
          <w:spacing w:val="-3"/>
        </w:rPr>
        <w:t>本系列基金下设景顺长城优选混合型证券投资基金</w:t>
      </w:r>
      <w:r>
        <w:rPr>
          <w:rFonts w:ascii="Times New Roman" w:hAnsi="Times New Roman" w:eastAsia="Times New Roman"/>
          <w:spacing w:val="-4"/>
        </w:rPr>
        <w:t>(</w:t>
      </w:r>
      <w:r>
        <w:rPr>
          <w:spacing w:val="-1"/>
        </w:rPr>
        <w:t>以下简称</w:t>
      </w:r>
      <w:r>
        <w:rPr>
          <w:rFonts w:ascii="Times New Roman" w:hAnsi="Times New Roman" w:eastAsia="Times New Roman"/>
        </w:rPr>
        <w:t>“</w:t>
      </w:r>
      <w:r>
        <w:rPr>
          <w:spacing w:val="-3"/>
        </w:rPr>
        <w:t>优选混合型基金</w:t>
      </w:r>
      <w:r>
        <w:rPr>
          <w:rFonts w:ascii="Times New Roman" w:hAnsi="Times New Roman" w:eastAsia="Times New Roman"/>
        </w:rPr>
        <w:t>”)</w:t>
      </w:r>
      <w:r>
        <w:rPr/>
        <w:t>、景顺</w:t>
      </w:r>
      <w:r>
        <w:rPr>
          <w:spacing w:val="-3"/>
        </w:rPr>
        <w:t>长城货币市场证券投资基金</w:t>
      </w:r>
      <w:r>
        <w:rPr>
          <w:rFonts w:ascii="Times New Roman" w:hAnsi="Times New Roman" w:eastAsia="Times New Roman"/>
        </w:rPr>
        <w:t>(</w:t>
      </w:r>
      <w:r>
        <w:rPr>
          <w:spacing w:val="-6"/>
        </w:rPr>
        <w:t>以下简称“货币市场基金”或“货币基金”</w:t>
      </w:r>
      <w:r>
        <w:rPr>
          <w:rFonts w:ascii="Times New Roman" w:hAnsi="Times New Roman" w:eastAsia="Times New Roman"/>
          <w:spacing w:val="-3"/>
        </w:rPr>
        <w:t>)</w:t>
      </w:r>
      <w:r>
        <w:rPr>
          <w:spacing w:val="-3"/>
        </w:rPr>
        <w:t>和景顺长城动力平衡证券投资基金</w:t>
      </w:r>
      <w:r>
        <w:rPr>
          <w:rFonts w:ascii="Times New Roman" w:hAnsi="Times New Roman" w:eastAsia="Times New Roman"/>
          <w:spacing w:val="-4"/>
        </w:rPr>
        <w:t>(</w:t>
      </w:r>
      <w:r>
        <w:rPr>
          <w:spacing w:val="-4"/>
        </w:rPr>
        <w:t>以下简称“动力平衡基金”或“平衡基金”</w:t>
      </w:r>
      <w:r>
        <w:rPr>
          <w:rFonts w:ascii="Times New Roman" w:hAnsi="Times New Roman" w:eastAsia="Times New Roman"/>
          <w:spacing w:val="-3"/>
        </w:rPr>
        <w:t>)</w:t>
      </w:r>
      <w:r>
        <w:rPr>
          <w:spacing w:val="-4"/>
        </w:rPr>
        <w:t>三只基金。三只基金作为独立</w:t>
      </w:r>
      <w:r>
        <w:rPr>
          <w:spacing w:val="-8"/>
        </w:rPr>
        <w:t>的法律主体设立并存续，三只基金在基金财产管理、基金交易及交易单元、基金估值、基金</w:t>
      </w:r>
      <w:r>
        <w:rPr>
          <w:spacing w:val="-11"/>
        </w:rPr>
        <w:t>收益分配、基金费用支出、基金终止等方面具有独立性。本招募说明书同时适用于本系列基</w:t>
      </w:r>
      <w:r>
        <w:rPr>
          <w:spacing w:val="-6"/>
        </w:rPr>
        <w:t>金下的三只基金。但是，本招募说明书中针对其中一只基金的特殊规定仅对该只基金适用。</w:t>
      </w:r>
    </w:p>
    <w:p>
      <w:pPr>
        <w:spacing w:after="0" w:line="417" w:lineRule="auto"/>
        <w:jc w:val="both"/>
        <w:sectPr>
          <w:pgSz w:w="11910" w:h="16840"/>
          <w:pgMar w:header="852" w:footer="992" w:top="1220" w:bottom="1180" w:left="1140" w:right="480"/>
        </w:sectPr>
      </w:pPr>
    </w:p>
    <w:p>
      <w:pPr>
        <w:pStyle w:val="BodyText"/>
        <w:spacing w:before="11"/>
        <w:rPr>
          <w:sz w:val="17"/>
        </w:rPr>
      </w:pPr>
    </w:p>
    <w:p>
      <w:pPr>
        <w:pStyle w:val="Heading1"/>
        <w:spacing w:before="66"/>
        <w:ind w:left="1902" w:right="2560"/>
        <w:jc w:val="center"/>
      </w:pPr>
      <w:bookmarkStart w:name="_bookmark1" w:id="2"/>
      <w:bookmarkEnd w:id="2"/>
      <w:r>
        <w:rPr>
          <w:b w:val="0"/>
        </w:rPr>
      </w:r>
      <w:r>
        <w:rPr/>
        <w:t>二、释义</w:t>
      </w:r>
    </w:p>
    <w:p>
      <w:pPr>
        <w:pStyle w:val="BodyText"/>
        <w:rPr>
          <w:b/>
          <w:sz w:val="24"/>
        </w:rPr>
      </w:pPr>
    </w:p>
    <w:p>
      <w:pPr>
        <w:pStyle w:val="BodyText"/>
        <w:spacing w:before="9"/>
        <w:rPr>
          <w:b/>
          <w:sz w:val="26"/>
        </w:rPr>
      </w:pPr>
    </w:p>
    <w:p>
      <w:pPr>
        <w:pStyle w:val="BodyText"/>
        <w:ind w:left="1078"/>
      </w:pPr>
      <w:r>
        <w:rPr/>
        <w:t>在本招募说明书中，除非文义另有所指，下列词语具有以下含义：</w:t>
      </w:r>
    </w:p>
    <w:p>
      <w:pPr>
        <w:pStyle w:val="BodyText"/>
        <w:spacing w:before="6"/>
        <w:rPr>
          <w:sz w:val="15"/>
        </w:rPr>
      </w:pPr>
    </w:p>
    <w:p>
      <w:pPr>
        <w:pStyle w:val="BodyText"/>
        <w:tabs>
          <w:tab w:pos="2625" w:val="left" w:leader="none"/>
        </w:tabs>
        <w:spacing w:line="417" w:lineRule="auto" w:before="1"/>
        <w:ind w:left="2635" w:right="1310" w:hanging="1978"/>
        <w:jc w:val="both"/>
      </w:pPr>
      <w:r>
        <w:rPr/>
        <w:t>本系列基金</w:t>
      </w:r>
      <w:r>
        <w:rPr>
          <w:rFonts w:ascii="Times New Roman" w:eastAsia="Times New Roman"/>
        </w:rPr>
        <w:t>:</w:t>
        <w:tab/>
      </w:r>
      <w:r>
        <w:rPr/>
        <w:t>指景顺长</w:t>
      </w:r>
      <w:r>
        <w:rPr>
          <w:spacing w:val="3"/>
        </w:rPr>
        <w:t>城</w:t>
      </w:r>
      <w:r>
        <w:rPr/>
        <w:t>景系列开放式证券投资基金，下设相互独立的三只基金</w:t>
      </w:r>
      <w:r>
        <w:rPr>
          <w:spacing w:val="-16"/>
        </w:rPr>
        <w:t>， </w:t>
      </w:r>
      <w:r>
        <w:rPr/>
        <w:t>分别为：景顺长城优选混合型基金、景顺长城货币市场基金和景顺</w:t>
      </w:r>
      <w:r>
        <w:rPr>
          <w:spacing w:val="-15"/>
        </w:rPr>
        <w:t>长</w:t>
      </w:r>
      <w:r>
        <w:rPr/>
        <w:t>城动</w:t>
      </w:r>
      <w:r>
        <w:rPr>
          <w:spacing w:val="-3"/>
        </w:rPr>
        <w:t>力</w:t>
      </w:r>
      <w:r>
        <w:rPr/>
        <w:t>平</w:t>
      </w:r>
      <w:r>
        <w:rPr>
          <w:spacing w:val="-3"/>
        </w:rPr>
        <w:t>衡</w:t>
      </w:r>
      <w:r>
        <w:rPr/>
        <w:t>基</w:t>
      </w:r>
      <w:r>
        <w:rPr>
          <w:spacing w:val="-3"/>
        </w:rPr>
        <w:t>金</w:t>
      </w:r>
      <w:r>
        <w:rPr/>
        <w:t>；</w:t>
      </w:r>
    </w:p>
    <w:p>
      <w:pPr>
        <w:pStyle w:val="BodyText"/>
        <w:spacing w:line="269" w:lineRule="exact"/>
        <w:ind w:left="658"/>
      </w:pPr>
      <w:r>
        <w:rPr/>
        <w:t>基金合同或</w:t>
      </w:r>
    </w:p>
    <w:p>
      <w:pPr>
        <w:pStyle w:val="BodyText"/>
        <w:spacing w:before="7"/>
        <w:rPr>
          <w:sz w:val="15"/>
        </w:rPr>
      </w:pPr>
    </w:p>
    <w:p>
      <w:pPr>
        <w:pStyle w:val="BodyText"/>
        <w:tabs>
          <w:tab w:pos="2635" w:val="left" w:leader="none"/>
        </w:tabs>
        <w:ind w:left="658"/>
      </w:pPr>
      <w:r>
        <w:rPr/>
        <w:t>本基</w:t>
      </w:r>
      <w:r>
        <w:rPr>
          <w:spacing w:val="-3"/>
        </w:rPr>
        <w:t>金</w:t>
      </w:r>
      <w:r>
        <w:rPr/>
        <w:t>合</w:t>
      </w:r>
      <w:r>
        <w:rPr>
          <w:spacing w:val="-3"/>
        </w:rPr>
        <w:t>同</w:t>
      </w:r>
      <w:r>
        <w:rPr/>
        <w:t>：</w:t>
        <w:tab/>
        <w:t>指《</w:t>
      </w:r>
      <w:r>
        <w:rPr>
          <w:spacing w:val="-3"/>
        </w:rPr>
        <w:t>景</w:t>
      </w:r>
      <w:r>
        <w:rPr/>
        <w:t>顺</w:t>
      </w:r>
      <w:r>
        <w:rPr>
          <w:spacing w:val="-3"/>
        </w:rPr>
        <w:t>长</w:t>
      </w:r>
      <w:r>
        <w:rPr/>
        <w:t>城</w:t>
      </w:r>
      <w:r>
        <w:rPr>
          <w:spacing w:val="-3"/>
        </w:rPr>
        <w:t>景</w:t>
      </w:r>
      <w:r>
        <w:rPr/>
        <w:t>系</w:t>
      </w:r>
      <w:r>
        <w:rPr>
          <w:spacing w:val="-3"/>
        </w:rPr>
        <w:t>列</w:t>
      </w:r>
      <w:r>
        <w:rPr/>
        <w:t>开</w:t>
      </w:r>
      <w:r>
        <w:rPr>
          <w:spacing w:val="-3"/>
        </w:rPr>
        <w:t>放</w:t>
      </w:r>
      <w:r>
        <w:rPr/>
        <w:t>式证</w:t>
      </w:r>
      <w:r>
        <w:rPr>
          <w:spacing w:val="-3"/>
        </w:rPr>
        <w:t>券</w:t>
      </w:r>
      <w:r>
        <w:rPr/>
        <w:t>投</w:t>
      </w:r>
      <w:r>
        <w:rPr>
          <w:spacing w:val="-3"/>
        </w:rPr>
        <w:t>资</w:t>
      </w:r>
      <w:r>
        <w:rPr/>
        <w:t>基</w:t>
      </w:r>
      <w:r>
        <w:rPr>
          <w:spacing w:val="-3"/>
        </w:rPr>
        <w:t>金</w:t>
      </w:r>
      <w:r>
        <w:rPr/>
        <w:t>基</w:t>
      </w:r>
      <w:r>
        <w:rPr>
          <w:spacing w:val="-3"/>
        </w:rPr>
        <w:t>金</w:t>
      </w:r>
      <w:r>
        <w:rPr/>
        <w:t>合</w:t>
      </w:r>
      <w:r>
        <w:rPr>
          <w:spacing w:val="-3"/>
        </w:rPr>
        <w:t>同</w:t>
      </w:r>
      <w:r>
        <w:rPr>
          <w:spacing w:val="-108"/>
        </w:rPr>
        <w:t>》</w:t>
      </w:r>
      <w:r>
        <w:rPr/>
        <w:t>；</w:t>
      </w:r>
    </w:p>
    <w:p>
      <w:pPr>
        <w:pStyle w:val="BodyText"/>
        <w:spacing w:before="6"/>
        <w:rPr>
          <w:sz w:val="15"/>
        </w:rPr>
      </w:pPr>
    </w:p>
    <w:p>
      <w:pPr>
        <w:tabs>
          <w:tab w:pos="2635" w:val="left" w:leader="none"/>
        </w:tabs>
        <w:spacing w:line="417" w:lineRule="auto" w:before="1"/>
        <w:ind w:left="658" w:right="1551" w:firstLine="0"/>
        <w:jc w:val="left"/>
        <w:rPr>
          <w:sz w:val="21"/>
        </w:rPr>
      </w:pPr>
      <w:r>
        <w:rPr>
          <w:sz w:val="21"/>
        </w:rPr>
        <w:t>招募</w:t>
      </w:r>
      <w:r>
        <w:rPr>
          <w:spacing w:val="-3"/>
          <w:sz w:val="21"/>
        </w:rPr>
        <w:t>说</w:t>
      </w:r>
      <w:r>
        <w:rPr>
          <w:sz w:val="21"/>
        </w:rPr>
        <w:t>明</w:t>
      </w:r>
      <w:r>
        <w:rPr>
          <w:spacing w:val="-3"/>
          <w:sz w:val="21"/>
        </w:rPr>
        <w:t>书</w:t>
      </w:r>
      <w:r>
        <w:rPr>
          <w:sz w:val="21"/>
        </w:rPr>
        <w:t>：</w:t>
        <w:tab/>
        <w:t>指《</w:t>
      </w:r>
      <w:r>
        <w:rPr>
          <w:spacing w:val="-3"/>
          <w:sz w:val="21"/>
        </w:rPr>
        <w:t>景</w:t>
      </w:r>
      <w:r>
        <w:rPr>
          <w:sz w:val="21"/>
        </w:rPr>
        <w:t>顺</w:t>
      </w:r>
      <w:r>
        <w:rPr>
          <w:spacing w:val="-3"/>
          <w:sz w:val="21"/>
        </w:rPr>
        <w:t>长</w:t>
      </w:r>
      <w:r>
        <w:rPr>
          <w:sz w:val="21"/>
        </w:rPr>
        <w:t>城</w:t>
      </w:r>
      <w:r>
        <w:rPr>
          <w:spacing w:val="-3"/>
          <w:sz w:val="21"/>
        </w:rPr>
        <w:t>景</w:t>
      </w:r>
      <w:r>
        <w:rPr>
          <w:sz w:val="21"/>
        </w:rPr>
        <w:t>系</w:t>
      </w:r>
      <w:r>
        <w:rPr>
          <w:spacing w:val="-3"/>
          <w:sz w:val="21"/>
        </w:rPr>
        <w:t>列</w:t>
      </w:r>
      <w:r>
        <w:rPr>
          <w:sz w:val="21"/>
        </w:rPr>
        <w:t>开</w:t>
      </w:r>
      <w:r>
        <w:rPr>
          <w:spacing w:val="-3"/>
          <w:sz w:val="21"/>
        </w:rPr>
        <w:t>放</w:t>
      </w:r>
      <w:r>
        <w:rPr>
          <w:sz w:val="21"/>
        </w:rPr>
        <w:t>式证</w:t>
      </w:r>
      <w:r>
        <w:rPr>
          <w:spacing w:val="-3"/>
          <w:sz w:val="21"/>
        </w:rPr>
        <w:t>券</w:t>
      </w:r>
      <w:r>
        <w:rPr>
          <w:sz w:val="21"/>
        </w:rPr>
        <w:t>投</w:t>
      </w:r>
      <w:r>
        <w:rPr>
          <w:spacing w:val="-3"/>
          <w:sz w:val="21"/>
        </w:rPr>
        <w:t>资</w:t>
      </w:r>
      <w:r>
        <w:rPr>
          <w:sz w:val="21"/>
        </w:rPr>
        <w:t>基</w:t>
      </w:r>
      <w:r>
        <w:rPr>
          <w:spacing w:val="-3"/>
          <w:sz w:val="21"/>
        </w:rPr>
        <w:t>金</w:t>
      </w:r>
      <w:r>
        <w:rPr>
          <w:sz w:val="21"/>
        </w:rPr>
        <w:t>招</w:t>
      </w:r>
      <w:r>
        <w:rPr>
          <w:spacing w:val="-3"/>
          <w:sz w:val="21"/>
        </w:rPr>
        <w:t>募</w:t>
      </w:r>
      <w:r>
        <w:rPr>
          <w:sz w:val="21"/>
        </w:rPr>
        <w:t>说</w:t>
      </w:r>
      <w:r>
        <w:rPr>
          <w:spacing w:val="-3"/>
          <w:sz w:val="21"/>
        </w:rPr>
        <w:t>明</w:t>
      </w:r>
      <w:r>
        <w:rPr>
          <w:sz w:val="21"/>
        </w:rPr>
        <w:t>书》</w:t>
      </w:r>
      <w:r>
        <w:rPr>
          <w:spacing w:val="-3"/>
          <w:sz w:val="21"/>
        </w:rPr>
        <w:t>及</w:t>
      </w:r>
      <w:r>
        <w:rPr>
          <w:sz w:val="21"/>
        </w:rPr>
        <w:t>其</w:t>
      </w:r>
      <w:r>
        <w:rPr>
          <w:spacing w:val="-3"/>
          <w:sz w:val="21"/>
        </w:rPr>
        <w:t>更</w:t>
      </w:r>
      <w:r>
        <w:rPr>
          <w:sz w:val="21"/>
        </w:rPr>
        <w:t>新； 基金</w:t>
      </w:r>
      <w:r>
        <w:rPr>
          <w:spacing w:val="-3"/>
          <w:sz w:val="21"/>
        </w:rPr>
        <w:t>产</w:t>
      </w:r>
      <w:r>
        <w:rPr>
          <w:sz w:val="21"/>
        </w:rPr>
        <w:t>品</w:t>
      </w:r>
      <w:r>
        <w:rPr>
          <w:spacing w:val="-3"/>
          <w:sz w:val="21"/>
        </w:rPr>
        <w:t>资</w:t>
      </w:r>
      <w:r>
        <w:rPr>
          <w:sz w:val="21"/>
        </w:rPr>
        <w:t>料</w:t>
      </w:r>
      <w:r>
        <w:rPr>
          <w:spacing w:val="-3"/>
          <w:sz w:val="21"/>
        </w:rPr>
        <w:t>概</w:t>
      </w:r>
      <w:r>
        <w:rPr>
          <w:sz w:val="21"/>
        </w:rPr>
        <w:t>要</w:t>
      </w:r>
      <w:r>
        <w:rPr>
          <w:sz w:val="20"/>
        </w:rPr>
        <w:t>指景顺长城景系列开放式证券投资基金基金产品资料概要及其更新</w:t>
      </w:r>
      <w:r>
        <w:rPr>
          <w:sz w:val="21"/>
        </w:rPr>
        <w:t>；</w:t>
      </w:r>
    </w:p>
    <w:p>
      <w:pPr>
        <w:pStyle w:val="BodyText"/>
        <w:tabs>
          <w:tab w:pos="2635" w:val="left" w:leader="none"/>
        </w:tabs>
        <w:spacing w:line="417" w:lineRule="auto"/>
        <w:ind w:left="658" w:right="4703"/>
      </w:pPr>
      <w:r>
        <w:rPr/>
        <w:t>中国</w:t>
      </w:r>
      <w:r>
        <w:rPr>
          <w:spacing w:val="-3"/>
        </w:rPr>
        <w:t>证</w:t>
      </w:r>
      <w:r>
        <w:rPr/>
        <w:t>监</w:t>
      </w:r>
      <w:r>
        <w:rPr>
          <w:spacing w:val="-3"/>
        </w:rPr>
        <w:t>会</w:t>
      </w:r>
      <w:r>
        <w:rPr/>
        <w:t>：</w:t>
        <w:tab/>
        <w:t>指中</w:t>
      </w:r>
      <w:r>
        <w:rPr>
          <w:spacing w:val="-3"/>
        </w:rPr>
        <w:t>国</w:t>
      </w:r>
      <w:r>
        <w:rPr/>
        <w:t>证</w:t>
      </w:r>
      <w:r>
        <w:rPr>
          <w:spacing w:val="-3"/>
        </w:rPr>
        <w:t>券</w:t>
      </w:r>
      <w:r>
        <w:rPr/>
        <w:t>监</w:t>
      </w:r>
      <w:r>
        <w:rPr>
          <w:spacing w:val="-3"/>
        </w:rPr>
        <w:t>督</w:t>
      </w:r>
      <w:r>
        <w:rPr/>
        <w:t>管</w:t>
      </w:r>
      <w:r>
        <w:rPr>
          <w:spacing w:val="-3"/>
        </w:rPr>
        <w:t>理</w:t>
      </w:r>
      <w:r>
        <w:rPr/>
        <w:t>委</w:t>
      </w:r>
      <w:r>
        <w:rPr>
          <w:spacing w:val="-3"/>
        </w:rPr>
        <w:t>员</w:t>
      </w:r>
      <w:r>
        <w:rPr/>
        <w:t>会； 中国</w:t>
      </w:r>
      <w:r>
        <w:rPr>
          <w:spacing w:val="-3"/>
        </w:rPr>
        <w:t>银</w:t>
      </w:r>
      <w:r>
        <w:rPr/>
        <w:t>监</w:t>
      </w:r>
      <w:r>
        <w:rPr>
          <w:spacing w:val="-3"/>
        </w:rPr>
        <w:t>会</w:t>
      </w:r>
      <w:r>
        <w:rPr/>
        <w:t>：</w:t>
        <w:tab/>
        <w:t>指中</w:t>
      </w:r>
      <w:r>
        <w:rPr>
          <w:spacing w:val="-3"/>
        </w:rPr>
        <w:t>国</w:t>
      </w:r>
      <w:r>
        <w:rPr/>
        <w:t>银</w:t>
      </w:r>
      <w:r>
        <w:rPr>
          <w:spacing w:val="-3"/>
        </w:rPr>
        <w:t>行</w:t>
      </w:r>
      <w:r>
        <w:rPr/>
        <w:t>业</w:t>
      </w:r>
      <w:r>
        <w:rPr>
          <w:spacing w:val="-3"/>
        </w:rPr>
        <w:t>监</w:t>
      </w:r>
      <w:r>
        <w:rPr/>
        <w:t>督</w:t>
      </w:r>
      <w:r>
        <w:rPr>
          <w:spacing w:val="-3"/>
        </w:rPr>
        <w:t>管</w:t>
      </w:r>
      <w:r>
        <w:rPr/>
        <w:t>理</w:t>
      </w:r>
      <w:r>
        <w:rPr>
          <w:spacing w:val="-3"/>
        </w:rPr>
        <w:t>委</w:t>
      </w:r>
      <w:r>
        <w:rPr/>
        <w:t>员会</w:t>
      </w:r>
      <w:r>
        <w:rPr>
          <w:spacing w:val="-14"/>
        </w:rPr>
        <w:t>；</w:t>
      </w:r>
    </w:p>
    <w:p>
      <w:pPr>
        <w:pStyle w:val="BodyText"/>
        <w:tabs>
          <w:tab w:pos="2635" w:val="left" w:leader="none"/>
        </w:tabs>
        <w:spacing w:line="269" w:lineRule="exact"/>
        <w:ind w:left="658"/>
      </w:pPr>
      <w:r>
        <w:rPr/>
        <w:t>《基</w:t>
      </w:r>
      <w:r>
        <w:rPr>
          <w:spacing w:val="-3"/>
        </w:rPr>
        <w:t>金</w:t>
      </w:r>
      <w:r>
        <w:rPr/>
        <w:t>法</w:t>
      </w:r>
      <w:r>
        <w:rPr>
          <w:spacing w:val="-108"/>
        </w:rPr>
        <w:t>》</w:t>
      </w:r>
      <w:r>
        <w:rPr/>
        <w:t>：</w:t>
        <w:tab/>
        <w:t>指</w:t>
      </w:r>
      <w:r>
        <w:rPr>
          <w:spacing w:val="-60"/>
        </w:rPr>
        <w:t> </w:t>
      </w:r>
      <w:r>
        <w:rPr>
          <w:rFonts w:ascii="Times New Roman" w:eastAsia="Times New Roman"/>
        </w:rPr>
        <w:t>2003</w:t>
      </w:r>
      <w:r>
        <w:rPr>
          <w:rFonts w:ascii="Times New Roman" w:eastAsia="Times New Roman"/>
          <w:spacing w:val="-8"/>
        </w:rPr>
        <w:t> </w:t>
      </w:r>
      <w:r>
        <w:rPr/>
        <w:t>年</w:t>
      </w:r>
      <w:r>
        <w:rPr>
          <w:spacing w:val="-61"/>
        </w:rPr>
        <w:t> </w:t>
      </w:r>
      <w:r>
        <w:rPr>
          <w:rFonts w:ascii="Times New Roman" w:eastAsia="Times New Roman"/>
        </w:rPr>
        <w:t>10</w:t>
      </w:r>
      <w:r>
        <w:rPr>
          <w:rFonts w:ascii="Times New Roman" w:eastAsia="Times New Roman"/>
          <w:spacing w:val="-7"/>
        </w:rPr>
        <w:t> </w:t>
      </w:r>
      <w:r>
        <w:rPr/>
        <w:t>月</w:t>
      </w:r>
      <w:r>
        <w:rPr>
          <w:spacing w:val="-61"/>
        </w:rPr>
        <w:t> </w:t>
      </w:r>
      <w:r>
        <w:rPr>
          <w:rFonts w:ascii="Times New Roman" w:eastAsia="Times New Roman"/>
        </w:rPr>
        <w:t>28</w:t>
      </w:r>
      <w:r>
        <w:rPr>
          <w:rFonts w:ascii="Times New Roman" w:eastAsia="Times New Roman"/>
          <w:spacing w:val="-8"/>
        </w:rPr>
        <w:t> </w:t>
      </w:r>
      <w:r>
        <w:rPr>
          <w:spacing w:val="-3"/>
        </w:rPr>
        <w:t>日</w:t>
      </w:r>
      <w:r>
        <w:rPr/>
        <w:t>经</w:t>
      </w:r>
      <w:r>
        <w:rPr>
          <w:spacing w:val="-3"/>
        </w:rPr>
        <w:t>第</w:t>
      </w:r>
      <w:r>
        <w:rPr/>
        <w:t>十届</w:t>
      </w:r>
      <w:r>
        <w:rPr>
          <w:spacing w:val="-3"/>
        </w:rPr>
        <w:t>全</w:t>
      </w:r>
      <w:r>
        <w:rPr/>
        <w:t>国</w:t>
      </w:r>
      <w:r>
        <w:rPr>
          <w:spacing w:val="-3"/>
        </w:rPr>
        <w:t>人</w:t>
      </w:r>
      <w:r>
        <w:rPr/>
        <w:t>民</w:t>
      </w:r>
      <w:r>
        <w:rPr>
          <w:spacing w:val="-3"/>
        </w:rPr>
        <w:t>代</w:t>
      </w:r>
      <w:r>
        <w:rPr/>
        <w:t>表</w:t>
      </w:r>
      <w:r>
        <w:rPr>
          <w:spacing w:val="-3"/>
        </w:rPr>
        <w:t>大</w:t>
      </w:r>
      <w:r>
        <w:rPr/>
        <w:t>会</w:t>
      </w:r>
      <w:r>
        <w:rPr>
          <w:spacing w:val="-3"/>
        </w:rPr>
        <w:t>常</w:t>
      </w:r>
      <w:r>
        <w:rPr/>
        <w:t>务委</w:t>
      </w:r>
      <w:r>
        <w:rPr>
          <w:spacing w:val="-3"/>
        </w:rPr>
        <w:t>员</w:t>
      </w:r>
      <w:r>
        <w:rPr/>
        <w:t>会</w:t>
      </w:r>
      <w:r>
        <w:rPr>
          <w:spacing w:val="-3"/>
        </w:rPr>
        <w:t>第</w:t>
      </w:r>
      <w:r>
        <w:rPr/>
        <w:t>五</w:t>
      </w:r>
      <w:r>
        <w:rPr>
          <w:spacing w:val="-3"/>
        </w:rPr>
        <w:t>次</w:t>
      </w:r>
      <w:r>
        <w:rPr/>
        <w:t>会</w:t>
      </w:r>
    </w:p>
    <w:p>
      <w:pPr>
        <w:pStyle w:val="BodyText"/>
        <w:spacing w:before="6"/>
        <w:rPr>
          <w:sz w:val="15"/>
        </w:rPr>
      </w:pPr>
    </w:p>
    <w:p>
      <w:pPr>
        <w:pStyle w:val="BodyText"/>
        <w:ind w:left="2635"/>
      </w:pPr>
      <w:r>
        <w:rPr>
          <w:spacing w:val="-10"/>
        </w:rPr>
        <w:t>议通过并于 </w:t>
      </w:r>
      <w:r>
        <w:rPr>
          <w:rFonts w:ascii="Times New Roman" w:eastAsia="Times New Roman"/>
        </w:rPr>
        <w:t>2004</w:t>
      </w:r>
      <w:r>
        <w:rPr>
          <w:rFonts w:ascii="Times New Roman" w:eastAsia="Times New Roman"/>
          <w:spacing w:val="2"/>
        </w:rPr>
        <w:t> </w:t>
      </w:r>
      <w:r>
        <w:rPr>
          <w:spacing w:val="-27"/>
        </w:rPr>
        <w:t>年 </w:t>
      </w:r>
      <w:r>
        <w:rPr>
          <w:rFonts w:ascii="Times New Roman" w:eastAsia="Times New Roman"/>
        </w:rPr>
        <w:t>6</w:t>
      </w:r>
      <w:r>
        <w:rPr>
          <w:rFonts w:ascii="Times New Roman" w:eastAsia="Times New Roman"/>
          <w:spacing w:val="2"/>
        </w:rPr>
        <w:t> </w:t>
      </w:r>
      <w:r>
        <w:rPr>
          <w:spacing w:val="-26"/>
        </w:rPr>
        <w:t>月 </w:t>
      </w:r>
      <w:r>
        <w:rPr>
          <w:rFonts w:ascii="Times New Roman" w:eastAsia="Times New Roman"/>
        </w:rPr>
        <w:t>1</w:t>
      </w:r>
      <w:r>
        <w:rPr>
          <w:rFonts w:ascii="Times New Roman" w:eastAsia="Times New Roman"/>
          <w:spacing w:val="-1"/>
        </w:rPr>
        <w:t> </w:t>
      </w:r>
      <w:r>
        <w:rPr>
          <w:spacing w:val="-9"/>
        </w:rPr>
        <w:t>日起施行，经 </w:t>
      </w:r>
      <w:r>
        <w:rPr>
          <w:rFonts w:ascii="Times New Roman" w:eastAsia="Times New Roman"/>
        </w:rPr>
        <w:t>2012</w:t>
      </w:r>
      <w:r>
        <w:rPr>
          <w:rFonts w:ascii="Times New Roman" w:eastAsia="Times New Roman"/>
          <w:spacing w:val="-1"/>
        </w:rPr>
        <w:t> </w:t>
      </w:r>
      <w:r>
        <w:rPr>
          <w:spacing w:val="-26"/>
        </w:rPr>
        <w:t>年 </w:t>
      </w:r>
      <w:r>
        <w:rPr>
          <w:rFonts w:ascii="Times New Roman" w:eastAsia="Times New Roman"/>
        </w:rPr>
        <w:t>12</w:t>
      </w:r>
      <w:r>
        <w:rPr>
          <w:rFonts w:ascii="Times New Roman" w:eastAsia="Times New Roman"/>
          <w:spacing w:val="-1"/>
        </w:rPr>
        <w:t> </w:t>
      </w:r>
      <w:r>
        <w:rPr>
          <w:spacing w:val="-25"/>
        </w:rPr>
        <w:t>月 </w:t>
      </w:r>
      <w:r>
        <w:rPr>
          <w:rFonts w:ascii="Times New Roman" w:eastAsia="Times New Roman"/>
        </w:rPr>
        <w:t>28 </w:t>
      </w:r>
      <w:r>
        <w:rPr>
          <w:spacing w:val="-3"/>
        </w:rPr>
        <w:t>日第十一届</w:t>
      </w:r>
    </w:p>
    <w:p>
      <w:pPr>
        <w:pStyle w:val="BodyText"/>
        <w:spacing w:before="7"/>
        <w:rPr>
          <w:sz w:val="15"/>
        </w:rPr>
      </w:pPr>
    </w:p>
    <w:p>
      <w:pPr>
        <w:pStyle w:val="BodyText"/>
        <w:spacing w:line="417" w:lineRule="auto"/>
        <w:ind w:left="2635" w:right="1308"/>
      </w:pPr>
      <w:r>
        <w:rPr>
          <w:spacing w:val="-9"/>
        </w:rPr>
        <w:t>全国人民代表大会常务委员会第三十次会议修订，自 </w:t>
      </w:r>
      <w:r>
        <w:rPr>
          <w:rFonts w:ascii="Times New Roman" w:eastAsia="Times New Roman"/>
        </w:rPr>
        <w:t>2013 </w:t>
      </w:r>
      <w:r>
        <w:rPr>
          <w:spacing w:val="-25"/>
        </w:rPr>
        <w:t>年 </w:t>
      </w:r>
      <w:r>
        <w:rPr>
          <w:rFonts w:ascii="Times New Roman" w:eastAsia="Times New Roman"/>
        </w:rPr>
        <w:t>6 </w:t>
      </w:r>
      <w:r>
        <w:rPr>
          <w:spacing w:val="-25"/>
        </w:rPr>
        <w:t>月 </w:t>
      </w:r>
      <w:r>
        <w:rPr>
          <w:rFonts w:ascii="Times New Roman" w:eastAsia="Times New Roman"/>
        </w:rPr>
        <w:t>1 </w:t>
      </w:r>
      <w:r>
        <w:rPr/>
        <w:t>日</w:t>
      </w:r>
      <w:r>
        <w:rPr>
          <w:spacing w:val="-9"/>
        </w:rPr>
        <w:t>实施的《中华人民共和国证券投资基金法》；</w:t>
      </w:r>
    </w:p>
    <w:p>
      <w:pPr>
        <w:pStyle w:val="BodyText"/>
        <w:tabs>
          <w:tab w:pos="2635" w:val="left" w:leader="none"/>
        </w:tabs>
        <w:spacing w:line="417" w:lineRule="auto"/>
        <w:ind w:left="2635" w:right="1311" w:hanging="1978"/>
      </w:pPr>
      <w:r>
        <w:rPr/>
        <w:t>《暂</w:t>
      </w:r>
      <w:r>
        <w:rPr>
          <w:spacing w:val="-3"/>
        </w:rPr>
        <w:t>行</w:t>
      </w:r>
      <w:r>
        <w:rPr/>
        <w:t>办</w:t>
      </w:r>
      <w:r>
        <w:rPr>
          <w:spacing w:val="-3"/>
        </w:rPr>
        <w:t>法</w:t>
      </w:r>
      <w:r>
        <w:rPr>
          <w:spacing w:val="-106"/>
        </w:rPr>
        <w:t>》</w:t>
      </w:r>
      <w:r>
        <w:rPr/>
        <w:t>：</w:t>
        <w:tab/>
        <w:t>指</w:t>
      </w:r>
      <w:r>
        <w:rPr>
          <w:spacing w:val="-45"/>
        </w:rPr>
        <w:t> </w:t>
      </w:r>
      <w:r>
        <w:rPr>
          <w:rFonts w:ascii="Times New Roman" w:eastAsia="Times New Roman"/>
        </w:rPr>
        <w:t>1997</w:t>
      </w:r>
      <w:r>
        <w:rPr>
          <w:rFonts w:ascii="Times New Roman" w:eastAsia="Times New Roman"/>
          <w:spacing w:val="8"/>
        </w:rPr>
        <w:t> </w:t>
      </w:r>
      <w:r>
        <w:rPr/>
        <w:t>年</w:t>
      </w:r>
      <w:r>
        <w:rPr>
          <w:spacing w:val="-48"/>
        </w:rPr>
        <w:t> </w:t>
      </w:r>
      <w:r>
        <w:rPr>
          <w:rFonts w:ascii="Times New Roman" w:eastAsia="Times New Roman"/>
          <w:spacing w:val="-4"/>
        </w:rPr>
        <w:t>11</w:t>
      </w:r>
      <w:r>
        <w:rPr>
          <w:rFonts w:ascii="Times New Roman" w:eastAsia="Times New Roman"/>
          <w:spacing w:val="8"/>
        </w:rPr>
        <w:t> </w:t>
      </w:r>
      <w:r>
        <w:rPr/>
        <w:t>月</w:t>
      </w:r>
      <w:r>
        <w:rPr>
          <w:spacing w:val="-47"/>
        </w:rPr>
        <w:t> </w:t>
      </w:r>
      <w:r>
        <w:rPr>
          <w:rFonts w:ascii="Times New Roman" w:eastAsia="Times New Roman"/>
        </w:rPr>
        <w:t>5</w:t>
      </w:r>
      <w:r>
        <w:rPr>
          <w:rFonts w:ascii="Times New Roman" w:eastAsia="Times New Roman"/>
          <w:spacing w:val="7"/>
        </w:rPr>
        <w:t> </w:t>
      </w:r>
      <w:r>
        <w:rPr>
          <w:spacing w:val="-3"/>
        </w:rPr>
        <w:t>日</w:t>
      </w:r>
      <w:r>
        <w:rPr/>
        <w:t>经</w:t>
      </w:r>
      <w:r>
        <w:rPr>
          <w:spacing w:val="-3"/>
        </w:rPr>
        <w:t>国</w:t>
      </w:r>
      <w:r>
        <w:rPr/>
        <w:t>务院</w:t>
      </w:r>
      <w:r>
        <w:rPr>
          <w:spacing w:val="-3"/>
        </w:rPr>
        <w:t>批</w:t>
      </w:r>
      <w:r>
        <w:rPr/>
        <w:t>准</w:t>
      </w:r>
      <w:r>
        <w:rPr>
          <w:spacing w:val="-3"/>
        </w:rPr>
        <w:t>并</w:t>
      </w:r>
      <w:r>
        <w:rPr/>
        <w:t>于</w:t>
      </w:r>
      <w:r>
        <w:rPr>
          <w:spacing w:val="-3"/>
        </w:rPr>
        <w:t>同</w:t>
      </w:r>
      <w:r>
        <w:rPr/>
        <w:t>年</w:t>
      </w:r>
      <w:r>
        <w:rPr>
          <w:spacing w:val="-45"/>
        </w:rPr>
        <w:t> </w:t>
      </w:r>
      <w:r>
        <w:rPr>
          <w:rFonts w:ascii="Times New Roman" w:eastAsia="Times New Roman"/>
          <w:spacing w:val="-5"/>
        </w:rPr>
        <w:t>11</w:t>
      </w:r>
      <w:r>
        <w:rPr>
          <w:rFonts w:ascii="Times New Roman" w:eastAsia="Times New Roman"/>
          <w:spacing w:val="8"/>
        </w:rPr>
        <w:t> </w:t>
      </w:r>
      <w:r>
        <w:rPr/>
        <w:t>月</w:t>
      </w:r>
      <w:r>
        <w:rPr>
          <w:spacing w:val="-48"/>
        </w:rPr>
        <w:t> </w:t>
      </w:r>
      <w:r>
        <w:rPr>
          <w:rFonts w:ascii="Times New Roman" w:eastAsia="Times New Roman"/>
        </w:rPr>
        <w:t>14</w:t>
      </w:r>
      <w:r>
        <w:rPr>
          <w:rFonts w:ascii="Times New Roman" w:eastAsia="Times New Roman"/>
          <w:spacing w:val="8"/>
        </w:rPr>
        <w:t> </w:t>
      </w:r>
      <w:r>
        <w:rPr/>
        <w:t>日</w:t>
      </w:r>
      <w:r>
        <w:rPr>
          <w:spacing w:val="-3"/>
        </w:rPr>
        <w:t>实</w:t>
      </w:r>
      <w:r>
        <w:rPr/>
        <w:t>施</w:t>
      </w:r>
      <w:r>
        <w:rPr>
          <w:spacing w:val="-3"/>
        </w:rPr>
        <w:t>的</w:t>
      </w:r>
      <w:r>
        <w:rPr/>
        <w:t>《</w:t>
      </w:r>
      <w:r>
        <w:rPr>
          <w:spacing w:val="-3"/>
        </w:rPr>
        <w:t>证</w:t>
      </w:r>
      <w:r>
        <w:rPr/>
        <w:t>券投资</w:t>
      </w:r>
      <w:r>
        <w:rPr>
          <w:spacing w:val="-3"/>
        </w:rPr>
        <w:t>基</w:t>
      </w:r>
      <w:r>
        <w:rPr/>
        <w:t>金</w:t>
      </w:r>
      <w:r>
        <w:rPr>
          <w:spacing w:val="-3"/>
        </w:rPr>
        <w:t>管</w:t>
      </w:r>
      <w:r>
        <w:rPr/>
        <w:t>理</w:t>
      </w:r>
      <w:r>
        <w:rPr>
          <w:spacing w:val="-3"/>
        </w:rPr>
        <w:t>暂</w:t>
      </w:r>
      <w:r>
        <w:rPr/>
        <w:t>行</w:t>
      </w:r>
      <w:r>
        <w:rPr>
          <w:spacing w:val="-3"/>
        </w:rPr>
        <w:t>办</w:t>
      </w:r>
      <w:r>
        <w:rPr/>
        <w:t>法</w:t>
      </w:r>
      <w:r>
        <w:rPr>
          <w:spacing w:val="-108"/>
        </w:rPr>
        <w:t>》</w:t>
      </w:r>
      <w:r>
        <w:rPr>
          <w:spacing w:val="-3"/>
        </w:rPr>
        <w:t>，</w:t>
      </w:r>
      <w:r>
        <w:rPr/>
        <w:t>现已</w:t>
      </w:r>
      <w:r>
        <w:rPr>
          <w:spacing w:val="-3"/>
        </w:rPr>
        <w:t>废</w:t>
      </w:r>
      <w:r>
        <w:rPr/>
        <w:t>止；</w:t>
      </w:r>
    </w:p>
    <w:p>
      <w:pPr>
        <w:pStyle w:val="BodyText"/>
        <w:tabs>
          <w:tab w:pos="2635" w:val="left" w:leader="none"/>
        </w:tabs>
        <w:spacing w:line="269" w:lineRule="exact"/>
        <w:ind w:left="658"/>
      </w:pPr>
      <w:r>
        <w:rPr/>
        <w:t>《试</w:t>
      </w:r>
      <w:r>
        <w:rPr>
          <w:spacing w:val="-3"/>
        </w:rPr>
        <w:t>点</w:t>
      </w:r>
      <w:r>
        <w:rPr/>
        <w:t>办</w:t>
      </w:r>
      <w:r>
        <w:rPr>
          <w:spacing w:val="-3"/>
        </w:rPr>
        <w:t>法</w:t>
      </w:r>
      <w:r>
        <w:rPr>
          <w:spacing w:val="-106"/>
        </w:rPr>
        <w:t>》</w:t>
      </w:r>
      <w:r>
        <w:rPr/>
        <w:t>：</w:t>
        <w:tab/>
        <w:t>指《</w:t>
      </w:r>
      <w:r>
        <w:rPr>
          <w:spacing w:val="-3"/>
        </w:rPr>
        <w:t>开</w:t>
      </w:r>
      <w:r>
        <w:rPr/>
        <w:t>放</w:t>
      </w:r>
      <w:r>
        <w:rPr>
          <w:spacing w:val="-3"/>
        </w:rPr>
        <w:t>式</w:t>
      </w:r>
      <w:r>
        <w:rPr/>
        <w:t>证</w:t>
      </w:r>
      <w:r>
        <w:rPr>
          <w:spacing w:val="-3"/>
        </w:rPr>
        <w:t>券</w:t>
      </w:r>
      <w:r>
        <w:rPr/>
        <w:t>投</w:t>
      </w:r>
      <w:r>
        <w:rPr>
          <w:spacing w:val="-3"/>
        </w:rPr>
        <w:t>资</w:t>
      </w:r>
      <w:r>
        <w:rPr/>
        <w:t>基</w:t>
      </w:r>
      <w:r>
        <w:rPr>
          <w:spacing w:val="-3"/>
        </w:rPr>
        <w:t>金</w:t>
      </w:r>
      <w:r>
        <w:rPr/>
        <w:t>试点</w:t>
      </w:r>
      <w:r>
        <w:rPr>
          <w:spacing w:val="-3"/>
        </w:rPr>
        <w:t>办</w:t>
      </w:r>
      <w:r>
        <w:rPr/>
        <w:t>法</w:t>
      </w:r>
      <w:r>
        <w:rPr>
          <w:spacing w:val="-108"/>
        </w:rPr>
        <w:t>》</w:t>
      </w:r>
      <w:r>
        <w:rPr/>
        <w:t>，</w:t>
      </w:r>
      <w:r>
        <w:rPr>
          <w:spacing w:val="-3"/>
        </w:rPr>
        <w:t>现</w:t>
      </w:r>
      <w:r>
        <w:rPr/>
        <w:t>已</w:t>
      </w:r>
      <w:r>
        <w:rPr>
          <w:spacing w:val="-3"/>
        </w:rPr>
        <w:t>废</w:t>
      </w:r>
      <w:r>
        <w:rPr/>
        <w:t>止；</w:t>
      </w:r>
    </w:p>
    <w:p>
      <w:pPr>
        <w:pStyle w:val="BodyText"/>
        <w:spacing w:before="6"/>
        <w:rPr>
          <w:sz w:val="15"/>
        </w:rPr>
      </w:pPr>
    </w:p>
    <w:p>
      <w:pPr>
        <w:pStyle w:val="BodyText"/>
        <w:tabs>
          <w:tab w:pos="2635" w:val="left" w:leader="none"/>
        </w:tabs>
        <w:spacing w:line="417" w:lineRule="auto" w:before="1"/>
        <w:ind w:left="2635" w:right="1311" w:hanging="1978"/>
      </w:pPr>
      <w:r>
        <w:rPr/>
        <w:t>《运</w:t>
      </w:r>
      <w:r>
        <w:rPr>
          <w:spacing w:val="-3"/>
        </w:rPr>
        <w:t>作</w:t>
      </w:r>
      <w:r>
        <w:rPr/>
        <w:t>办</w:t>
      </w:r>
      <w:r>
        <w:rPr>
          <w:spacing w:val="-3"/>
        </w:rPr>
        <w:t>法</w:t>
      </w:r>
      <w:r>
        <w:rPr>
          <w:spacing w:val="-106"/>
        </w:rPr>
        <w:t>》</w:t>
      </w:r>
      <w:r>
        <w:rPr/>
        <w:t>：</w:t>
        <w:tab/>
        <w:t>指</w:t>
      </w:r>
      <w:r>
        <w:rPr>
          <w:spacing w:val="-49"/>
        </w:rPr>
        <w:t> </w:t>
      </w:r>
      <w:r>
        <w:rPr>
          <w:rFonts w:ascii="Times New Roman" w:eastAsia="Times New Roman"/>
        </w:rPr>
        <w:t>2014</w:t>
      </w:r>
      <w:r>
        <w:rPr>
          <w:rFonts w:ascii="Times New Roman" w:eastAsia="Times New Roman"/>
          <w:spacing w:val="3"/>
        </w:rPr>
        <w:t> </w:t>
      </w:r>
      <w:r>
        <w:rPr/>
        <w:t>年</w:t>
      </w:r>
      <w:r>
        <w:rPr>
          <w:spacing w:val="-53"/>
        </w:rPr>
        <w:t> </w:t>
      </w:r>
      <w:r>
        <w:rPr>
          <w:rFonts w:ascii="Times New Roman" w:eastAsia="Times New Roman"/>
        </w:rPr>
        <w:t>7</w:t>
      </w:r>
      <w:r>
        <w:rPr>
          <w:rFonts w:ascii="Times New Roman" w:eastAsia="Times New Roman"/>
          <w:spacing w:val="3"/>
        </w:rPr>
        <w:t> </w:t>
      </w:r>
      <w:r>
        <w:rPr/>
        <w:t>月</w:t>
      </w:r>
      <w:r>
        <w:rPr>
          <w:spacing w:val="-52"/>
        </w:rPr>
        <w:t> </w:t>
      </w:r>
      <w:r>
        <w:rPr>
          <w:rFonts w:ascii="Times New Roman" w:eastAsia="Times New Roman"/>
        </w:rPr>
        <w:t>7</w:t>
      </w:r>
      <w:r>
        <w:rPr>
          <w:rFonts w:ascii="Times New Roman" w:eastAsia="Times New Roman"/>
          <w:spacing w:val="3"/>
        </w:rPr>
        <w:t> </w:t>
      </w:r>
      <w:r>
        <w:rPr>
          <w:spacing w:val="-3"/>
        </w:rPr>
        <w:t>日</w:t>
      </w:r>
      <w:r>
        <w:rPr/>
        <w:t>由</w:t>
      </w:r>
      <w:r>
        <w:rPr>
          <w:spacing w:val="-3"/>
        </w:rPr>
        <w:t>中国</w:t>
      </w:r>
      <w:r>
        <w:rPr/>
        <w:t>证监</w:t>
      </w:r>
      <w:r>
        <w:rPr>
          <w:spacing w:val="-3"/>
        </w:rPr>
        <w:t>会</w:t>
      </w:r>
      <w:r>
        <w:rPr/>
        <w:t>发</w:t>
      </w:r>
      <w:r>
        <w:rPr>
          <w:spacing w:val="-3"/>
        </w:rPr>
        <w:t>布</w:t>
      </w:r>
      <w:r>
        <w:rPr/>
        <w:t>并</w:t>
      </w:r>
      <w:r>
        <w:rPr>
          <w:spacing w:val="-3"/>
        </w:rPr>
        <w:t>于同</w:t>
      </w:r>
      <w:r>
        <w:rPr/>
        <w:t>年</w:t>
      </w:r>
      <w:r>
        <w:rPr>
          <w:spacing w:val="-50"/>
        </w:rPr>
        <w:t> </w:t>
      </w:r>
      <w:r>
        <w:rPr>
          <w:rFonts w:ascii="Times New Roman" w:eastAsia="Times New Roman"/>
        </w:rPr>
        <w:t>8 </w:t>
      </w:r>
      <w:r>
        <w:rPr/>
        <w:t>月</w:t>
      </w:r>
      <w:r>
        <w:rPr>
          <w:spacing w:val="-52"/>
        </w:rPr>
        <w:t> </w:t>
      </w:r>
      <w:r>
        <w:rPr>
          <w:rFonts w:ascii="Times New Roman" w:eastAsia="Times New Roman"/>
        </w:rPr>
        <w:t>8</w:t>
      </w:r>
      <w:r>
        <w:rPr>
          <w:rFonts w:ascii="Times New Roman" w:eastAsia="Times New Roman"/>
          <w:spacing w:val="3"/>
        </w:rPr>
        <w:t> </w:t>
      </w:r>
      <w:r>
        <w:rPr/>
        <w:t>日</w:t>
      </w:r>
      <w:r>
        <w:rPr>
          <w:spacing w:val="-3"/>
        </w:rPr>
        <w:t>起</w:t>
      </w:r>
      <w:r>
        <w:rPr/>
        <w:t>施</w:t>
      </w:r>
      <w:r>
        <w:rPr>
          <w:spacing w:val="-3"/>
        </w:rPr>
        <w:t>行</w:t>
      </w:r>
      <w:r>
        <w:rPr>
          <w:spacing w:val="-73"/>
        </w:rPr>
        <w:t>的</w:t>
      </w:r>
      <w:r>
        <w:rPr/>
        <w:t>《公开募</w:t>
      </w:r>
      <w:r>
        <w:rPr>
          <w:spacing w:val="-3"/>
        </w:rPr>
        <w:t>集</w:t>
      </w:r>
      <w:r>
        <w:rPr/>
        <w:t>证</w:t>
      </w:r>
      <w:r>
        <w:rPr>
          <w:spacing w:val="-3"/>
        </w:rPr>
        <w:t>券</w:t>
      </w:r>
      <w:r>
        <w:rPr/>
        <w:t>投</w:t>
      </w:r>
      <w:r>
        <w:rPr>
          <w:spacing w:val="-3"/>
        </w:rPr>
        <w:t>资</w:t>
      </w:r>
      <w:r>
        <w:rPr/>
        <w:t>基</w:t>
      </w:r>
      <w:r>
        <w:rPr>
          <w:spacing w:val="-3"/>
        </w:rPr>
        <w:t>金</w:t>
      </w:r>
      <w:r>
        <w:rPr/>
        <w:t>运</w:t>
      </w:r>
      <w:r>
        <w:rPr>
          <w:spacing w:val="-3"/>
        </w:rPr>
        <w:t>作</w:t>
      </w:r>
      <w:r>
        <w:rPr/>
        <w:t>管理</w:t>
      </w:r>
      <w:r>
        <w:rPr>
          <w:spacing w:val="-3"/>
        </w:rPr>
        <w:t>办</w:t>
      </w:r>
      <w:r>
        <w:rPr/>
        <w:t>法</w:t>
      </w:r>
      <w:r>
        <w:rPr>
          <w:spacing w:val="-108"/>
        </w:rPr>
        <w:t>》；</w:t>
      </w:r>
    </w:p>
    <w:p>
      <w:pPr>
        <w:pStyle w:val="BodyText"/>
        <w:tabs>
          <w:tab w:pos="2635" w:val="left" w:leader="none"/>
        </w:tabs>
        <w:spacing w:line="417" w:lineRule="auto"/>
        <w:ind w:left="2635" w:right="1309" w:hanging="1978"/>
      </w:pPr>
      <w:r>
        <w:rPr/>
        <w:t>《销</w:t>
      </w:r>
      <w:r>
        <w:rPr>
          <w:spacing w:val="-3"/>
        </w:rPr>
        <w:t>售</w:t>
      </w:r>
      <w:r>
        <w:rPr/>
        <w:t>办</w:t>
      </w:r>
      <w:r>
        <w:rPr>
          <w:spacing w:val="-3"/>
        </w:rPr>
        <w:t>法</w:t>
      </w:r>
      <w:r>
        <w:rPr>
          <w:spacing w:val="-106"/>
        </w:rPr>
        <w:t>》</w:t>
      </w:r>
      <w:r>
        <w:rPr/>
        <w:t>：</w:t>
        <w:tab/>
        <w:t>指</w:t>
      </w:r>
      <w:r>
        <w:rPr>
          <w:spacing w:val="-57"/>
        </w:rPr>
        <w:t> </w:t>
      </w:r>
      <w:r>
        <w:rPr>
          <w:rFonts w:ascii="Times New Roman" w:eastAsia="Times New Roman"/>
        </w:rPr>
        <w:t>2013</w:t>
      </w:r>
      <w:r>
        <w:rPr>
          <w:rFonts w:ascii="Times New Roman" w:eastAsia="Times New Roman"/>
          <w:spacing w:val="-4"/>
        </w:rPr>
        <w:t> </w:t>
      </w:r>
      <w:r>
        <w:rPr/>
        <w:t>年</w:t>
      </w:r>
      <w:r>
        <w:rPr>
          <w:spacing w:val="-59"/>
        </w:rPr>
        <w:t> </w:t>
      </w:r>
      <w:r>
        <w:rPr>
          <w:rFonts w:ascii="Times New Roman" w:eastAsia="Times New Roman"/>
        </w:rPr>
        <w:t>3</w:t>
      </w:r>
      <w:r>
        <w:rPr>
          <w:rFonts w:ascii="Times New Roman" w:eastAsia="Times New Roman"/>
          <w:spacing w:val="-5"/>
        </w:rPr>
        <w:t> </w:t>
      </w:r>
      <w:r>
        <w:rPr/>
        <w:t>月</w:t>
      </w:r>
      <w:r>
        <w:rPr>
          <w:spacing w:val="-57"/>
        </w:rPr>
        <w:t> </w:t>
      </w:r>
      <w:r>
        <w:rPr>
          <w:rFonts w:ascii="Times New Roman" w:eastAsia="Times New Roman"/>
        </w:rPr>
        <w:t>15</w:t>
      </w:r>
      <w:r>
        <w:rPr>
          <w:rFonts w:ascii="Times New Roman" w:eastAsia="Times New Roman"/>
          <w:spacing w:val="-4"/>
        </w:rPr>
        <w:t> </w:t>
      </w:r>
      <w:r>
        <w:rPr>
          <w:spacing w:val="-3"/>
        </w:rPr>
        <w:t>日</w:t>
      </w:r>
      <w:r>
        <w:rPr/>
        <w:t>由</w:t>
      </w:r>
      <w:r>
        <w:rPr>
          <w:spacing w:val="-3"/>
        </w:rPr>
        <w:t>中</w:t>
      </w:r>
      <w:r>
        <w:rPr/>
        <w:t>国证</w:t>
      </w:r>
      <w:r>
        <w:rPr>
          <w:spacing w:val="-3"/>
        </w:rPr>
        <w:t>监</w:t>
      </w:r>
      <w:r>
        <w:rPr/>
        <w:t>会</w:t>
      </w:r>
      <w:r>
        <w:rPr>
          <w:spacing w:val="-3"/>
        </w:rPr>
        <w:t>发</w:t>
      </w:r>
      <w:r>
        <w:rPr/>
        <w:t>布</w:t>
      </w:r>
      <w:r>
        <w:rPr>
          <w:spacing w:val="-3"/>
        </w:rPr>
        <w:t>并</w:t>
      </w:r>
      <w:r>
        <w:rPr/>
        <w:t>于</w:t>
      </w:r>
      <w:r>
        <w:rPr>
          <w:spacing w:val="-3"/>
        </w:rPr>
        <w:t>同</w:t>
      </w:r>
      <w:r>
        <w:rPr/>
        <w:t>年</w:t>
      </w:r>
      <w:r>
        <w:rPr>
          <w:spacing w:val="-57"/>
        </w:rPr>
        <w:t> </w:t>
      </w:r>
      <w:r>
        <w:rPr>
          <w:rFonts w:ascii="Times New Roman" w:eastAsia="Times New Roman"/>
        </w:rPr>
        <w:t>6</w:t>
      </w:r>
      <w:r>
        <w:rPr>
          <w:rFonts w:ascii="Times New Roman" w:eastAsia="Times New Roman"/>
          <w:spacing w:val="-8"/>
        </w:rPr>
        <w:t> </w:t>
      </w:r>
      <w:r>
        <w:rPr/>
        <w:t>月</w:t>
      </w:r>
      <w:r>
        <w:rPr>
          <w:spacing w:val="-57"/>
        </w:rPr>
        <w:t> </w:t>
      </w:r>
      <w:r>
        <w:rPr>
          <w:rFonts w:ascii="Times New Roman" w:eastAsia="Times New Roman"/>
        </w:rPr>
        <w:t>1</w:t>
      </w:r>
      <w:r>
        <w:rPr>
          <w:rFonts w:ascii="Times New Roman" w:eastAsia="Times New Roman"/>
          <w:spacing w:val="-4"/>
        </w:rPr>
        <w:t> </w:t>
      </w:r>
      <w:r>
        <w:rPr>
          <w:spacing w:val="-3"/>
        </w:rPr>
        <w:t>日</w:t>
      </w:r>
      <w:r>
        <w:rPr/>
        <w:t>起</w:t>
      </w:r>
      <w:r>
        <w:rPr>
          <w:spacing w:val="-3"/>
        </w:rPr>
        <w:t>施</w:t>
      </w:r>
      <w:r>
        <w:rPr/>
        <w:t>行</w:t>
      </w:r>
      <w:r>
        <w:rPr>
          <w:spacing w:val="-108"/>
        </w:rPr>
        <w:t>的</w:t>
      </w:r>
      <w:r>
        <w:rPr/>
        <w:t>《证券投</w:t>
      </w:r>
      <w:r>
        <w:rPr>
          <w:spacing w:val="-3"/>
        </w:rPr>
        <w:t>资</w:t>
      </w:r>
      <w:r>
        <w:rPr/>
        <w:t>基</w:t>
      </w:r>
      <w:r>
        <w:rPr>
          <w:spacing w:val="-3"/>
        </w:rPr>
        <w:t>金</w:t>
      </w:r>
      <w:r>
        <w:rPr/>
        <w:t>销</w:t>
      </w:r>
      <w:r>
        <w:rPr>
          <w:spacing w:val="-3"/>
        </w:rPr>
        <w:t>售</w:t>
      </w:r>
      <w:r>
        <w:rPr/>
        <w:t>管</w:t>
      </w:r>
      <w:r>
        <w:rPr>
          <w:spacing w:val="-3"/>
        </w:rPr>
        <w:t>理</w:t>
      </w:r>
      <w:r>
        <w:rPr/>
        <w:t>办</w:t>
      </w:r>
      <w:r>
        <w:rPr>
          <w:spacing w:val="-3"/>
        </w:rPr>
        <w:t>法</w:t>
      </w:r>
      <w:r>
        <w:rPr>
          <w:spacing w:val="-108"/>
        </w:rPr>
        <w:t>》</w:t>
      </w:r>
      <w:r>
        <w:rPr/>
        <w:t>；</w:t>
      </w:r>
    </w:p>
    <w:p>
      <w:pPr>
        <w:pStyle w:val="BodyText"/>
        <w:spacing w:line="417" w:lineRule="auto"/>
        <w:ind w:left="2635" w:right="1206" w:hanging="1978"/>
      </w:pPr>
      <w:r>
        <w:rPr>
          <w:spacing w:val="-8"/>
        </w:rPr>
        <w:t>《信息披露办法》： 指中国证监会 </w:t>
      </w:r>
      <w:r>
        <w:rPr/>
        <w:t>2019</w:t>
      </w:r>
      <w:r>
        <w:rPr>
          <w:spacing w:val="-35"/>
        </w:rPr>
        <w:t> 年 </w:t>
      </w:r>
      <w:r>
        <w:rPr/>
        <w:t>7</w:t>
      </w:r>
      <w:r>
        <w:rPr>
          <w:spacing w:val="-35"/>
        </w:rPr>
        <w:t> 月 </w:t>
      </w:r>
      <w:r>
        <w:rPr/>
        <w:t>26</w:t>
      </w:r>
      <w:r>
        <w:rPr>
          <w:spacing w:val="-16"/>
        </w:rPr>
        <w:t> 日颁布、同年 </w:t>
      </w:r>
      <w:r>
        <w:rPr/>
        <w:t>9</w:t>
      </w:r>
      <w:r>
        <w:rPr>
          <w:spacing w:val="-35"/>
        </w:rPr>
        <w:t> 月 </w:t>
      </w:r>
      <w:r>
        <w:rPr/>
        <w:t>1</w:t>
      </w:r>
      <w:r>
        <w:rPr>
          <w:spacing w:val="-9"/>
        </w:rPr>
        <w:t> 日实施的《公开募</w:t>
      </w:r>
      <w:r>
        <w:rPr>
          <w:spacing w:val="-10"/>
        </w:rPr>
        <w:t>集证券投资基金信息披露管理办法》及颁布机关对其不时做出的修订；</w:t>
      </w:r>
    </w:p>
    <w:p>
      <w:pPr>
        <w:pStyle w:val="BodyText"/>
        <w:tabs>
          <w:tab w:pos="2635" w:val="left" w:leader="none"/>
        </w:tabs>
        <w:spacing w:line="417" w:lineRule="auto"/>
        <w:ind w:left="2635" w:right="1312" w:hanging="1978"/>
      </w:pPr>
      <w:r>
        <w:rPr/>
        <w:t>基金</w:t>
      </w:r>
      <w:r>
        <w:rPr>
          <w:spacing w:val="-3"/>
        </w:rPr>
        <w:t>合</w:t>
      </w:r>
      <w:r>
        <w:rPr/>
        <w:t>同</w:t>
      </w:r>
      <w:r>
        <w:rPr>
          <w:spacing w:val="-3"/>
        </w:rPr>
        <w:t>当</w:t>
      </w:r>
      <w:r>
        <w:rPr/>
        <w:t>事</w:t>
      </w:r>
      <w:r>
        <w:rPr>
          <w:spacing w:val="-3"/>
        </w:rPr>
        <w:t>人</w:t>
      </w:r>
      <w:r>
        <w:rPr/>
        <w:t>：</w:t>
        <w:tab/>
        <w:t>指受基金合同约束，根据本基金合同享有权利并承担义务的基金发</w:t>
      </w:r>
      <w:r>
        <w:rPr>
          <w:spacing w:val="-17"/>
        </w:rPr>
        <w:t>起</w:t>
      </w:r>
      <w:r>
        <w:rPr/>
        <w:t>人、</w:t>
      </w:r>
      <w:r>
        <w:rPr>
          <w:spacing w:val="-3"/>
        </w:rPr>
        <w:t>基</w:t>
      </w:r>
      <w:r>
        <w:rPr/>
        <w:t>金</w:t>
      </w:r>
      <w:r>
        <w:rPr>
          <w:spacing w:val="-3"/>
        </w:rPr>
        <w:t>管</w:t>
      </w:r>
      <w:r>
        <w:rPr/>
        <w:t>理</w:t>
      </w:r>
      <w:r>
        <w:rPr>
          <w:spacing w:val="-3"/>
        </w:rPr>
        <w:t>人</w:t>
      </w:r>
      <w:r>
        <w:rPr/>
        <w:t>、</w:t>
      </w:r>
      <w:r>
        <w:rPr>
          <w:spacing w:val="-3"/>
        </w:rPr>
        <w:t>基</w:t>
      </w:r>
      <w:r>
        <w:rPr/>
        <w:t>金</w:t>
      </w:r>
      <w:r>
        <w:rPr>
          <w:spacing w:val="-3"/>
        </w:rPr>
        <w:t>托</w:t>
      </w:r>
      <w:r>
        <w:rPr/>
        <w:t>管人</w:t>
      </w:r>
      <w:r>
        <w:rPr>
          <w:spacing w:val="-3"/>
        </w:rPr>
        <w:t>和</w:t>
      </w:r>
      <w:r>
        <w:rPr/>
        <w:t>基</w:t>
      </w:r>
      <w:r>
        <w:rPr>
          <w:spacing w:val="-3"/>
        </w:rPr>
        <w:t>金</w:t>
      </w:r>
      <w:r>
        <w:rPr/>
        <w:t>份</w:t>
      </w:r>
      <w:r>
        <w:rPr>
          <w:spacing w:val="-3"/>
        </w:rPr>
        <w:t>额</w:t>
      </w:r>
      <w:r>
        <w:rPr/>
        <w:t>持</w:t>
      </w:r>
      <w:r>
        <w:rPr>
          <w:spacing w:val="-3"/>
        </w:rPr>
        <w:t>有</w:t>
      </w:r>
      <w:r>
        <w:rPr/>
        <w:t>人；</w:t>
      </w:r>
    </w:p>
    <w:p>
      <w:pPr>
        <w:pStyle w:val="BodyText"/>
        <w:tabs>
          <w:tab w:pos="2635" w:val="left" w:leader="none"/>
        </w:tabs>
        <w:spacing w:line="269" w:lineRule="exact"/>
        <w:ind w:left="658"/>
      </w:pPr>
      <w:r>
        <w:rPr/>
        <w:t>基金</w:t>
      </w:r>
      <w:r>
        <w:rPr>
          <w:spacing w:val="-3"/>
        </w:rPr>
        <w:t>管</w:t>
      </w:r>
      <w:r>
        <w:rPr/>
        <w:t>理</w:t>
      </w:r>
      <w:r>
        <w:rPr>
          <w:spacing w:val="-3"/>
        </w:rPr>
        <w:t>人</w:t>
      </w:r>
      <w:r>
        <w:rPr/>
        <w:t>：</w:t>
        <w:tab/>
        <w:t>指景</w:t>
      </w:r>
      <w:r>
        <w:rPr>
          <w:spacing w:val="-3"/>
        </w:rPr>
        <w:t>顺</w:t>
      </w:r>
      <w:r>
        <w:rPr/>
        <w:t>长</w:t>
      </w:r>
      <w:r>
        <w:rPr>
          <w:spacing w:val="-3"/>
        </w:rPr>
        <w:t>城</w:t>
      </w:r>
      <w:r>
        <w:rPr/>
        <w:t>基</w:t>
      </w:r>
      <w:r>
        <w:rPr>
          <w:spacing w:val="-3"/>
        </w:rPr>
        <w:t>金</w:t>
      </w:r>
      <w:r>
        <w:rPr/>
        <w:t>管</w:t>
      </w:r>
      <w:r>
        <w:rPr>
          <w:spacing w:val="-3"/>
        </w:rPr>
        <w:t>理</w:t>
      </w:r>
      <w:r>
        <w:rPr/>
        <w:t>有</w:t>
      </w:r>
      <w:r>
        <w:rPr>
          <w:spacing w:val="-3"/>
        </w:rPr>
        <w:t>限</w:t>
      </w:r>
      <w:r>
        <w:rPr/>
        <w:t>公司；</w:t>
      </w:r>
    </w:p>
    <w:p>
      <w:pPr>
        <w:pStyle w:val="BodyText"/>
        <w:spacing w:before="6"/>
        <w:rPr>
          <w:sz w:val="15"/>
        </w:rPr>
      </w:pPr>
    </w:p>
    <w:p>
      <w:pPr>
        <w:pStyle w:val="BodyText"/>
        <w:tabs>
          <w:tab w:pos="2635" w:val="left" w:leader="none"/>
        </w:tabs>
        <w:ind w:left="658"/>
      </w:pPr>
      <w:r>
        <w:rPr>
          <w:w w:val="100"/>
        </w:rPr>
        <w:t>基金</w:t>
      </w:r>
      <w:r>
        <w:rPr>
          <w:spacing w:val="-3"/>
          <w:w w:val="100"/>
        </w:rPr>
        <w:t>托</w:t>
      </w:r>
      <w:r>
        <w:rPr>
          <w:w w:val="100"/>
        </w:rPr>
        <w:t>管</w:t>
      </w:r>
      <w:r>
        <w:rPr>
          <w:spacing w:val="-3"/>
          <w:w w:val="100"/>
        </w:rPr>
        <w:t>人</w:t>
      </w:r>
      <w:r>
        <w:rPr>
          <w:w w:val="100"/>
        </w:rPr>
        <w:t>：</w:t>
      </w:r>
      <w:r>
        <w:rPr/>
        <w:tab/>
      </w:r>
      <w:r>
        <w:rPr>
          <w:w w:val="100"/>
        </w:rPr>
        <w:t>指中</w:t>
      </w:r>
      <w:r>
        <w:rPr>
          <w:spacing w:val="-3"/>
          <w:w w:val="100"/>
        </w:rPr>
        <w:t>国</w:t>
      </w:r>
      <w:r>
        <w:rPr>
          <w:w w:val="100"/>
        </w:rPr>
        <w:t>银</w:t>
      </w:r>
      <w:r>
        <w:rPr>
          <w:spacing w:val="-2"/>
          <w:w w:val="100"/>
        </w:rPr>
        <w:t>行</w:t>
      </w:r>
      <w:r>
        <w:rPr>
          <w:w w:val="100"/>
        </w:rPr>
        <w:t>股</w:t>
      </w:r>
      <w:r>
        <w:rPr>
          <w:spacing w:val="-3"/>
          <w:w w:val="100"/>
        </w:rPr>
        <w:t>份</w:t>
      </w:r>
      <w:r>
        <w:rPr>
          <w:w w:val="100"/>
        </w:rPr>
        <w:t>有</w:t>
      </w:r>
      <w:r>
        <w:rPr>
          <w:spacing w:val="-3"/>
          <w:w w:val="100"/>
        </w:rPr>
        <w:t>限</w:t>
      </w:r>
      <w:r>
        <w:rPr>
          <w:w w:val="100"/>
        </w:rPr>
        <w:t>公</w:t>
      </w:r>
      <w:r>
        <w:rPr>
          <w:spacing w:val="-3"/>
          <w:w w:val="100"/>
        </w:rPr>
        <w:t>司</w:t>
      </w:r>
      <w:r>
        <w:rPr>
          <w:w w:val="100"/>
        </w:rPr>
        <w:t>（简</w:t>
      </w:r>
      <w:r>
        <w:rPr>
          <w:spacing w:val="-3"/>
          <w:w w:val="100"/>
        </w:rPr>
        <w:t>称</w:t>
      </w:r>
      <w:r>
        <w:rPr>
          <w:w w:val="100"/>
        </w:rPr>
        <w:t>“</w:t>
      </w:r>
      <w:r>
        <w:rPr>
          <w:spacing w:val="-3"/>
          <w:w w:val="100"/>
        </w:rPr>
        <w:t>中</w:t>
      </w:r>
      <w:r>
        <w:rPr>
          <w:w w:val="100"/>
        </w:rPr>
        <w:t>国</w:t>
      </w:r>
      <w:r>
        <w:rPr>
          <w:spacing w:val="-3"/>
          <w:w w:val="100"/>
        </w:rPr>
        <w:t>银</w:t>
      </w:r>
      <w:r>
        <w:rPr>
          <w:w w:val="100"/>
        </w:rPr>
        <w:t>行</w:t>
      </w:r>
      <w:r>
        <w:rPr>
          <w:spacing w:val="-106"/>
          <w:w w:val="100"/>
        </w:rPr>
        <w:t>”</w:t>
      </w:r>
      <w:r>
        <w:rPr>
          <w:spacing w:val="-109"/>
          <w:w w:val="100"/>
        </w:rPr>
        <w:t>）</w:t>
      </w:r>
      <w:r>
        <w:rPr>
          <w:w w:val="100"/>
        </w:rPr>
        <w:t>；</w:t>
      </w:r>
    </w:p>
    <w:p>
      <w:pPr>
        <w:pStyle w:val="BodyText"/>
        <w:spacing w:before="7"/>
        <w:rPr>
          <w:sz w:val="15"/>
        </w:rPr>
      </w:pPr>
    </w:p>
    <w:p>
      <w:pPr>
        <w:pStyle w:val="BodyText"/>
        <w:tabs>
          <w:tab w:pos="2635" w:val="left" w:leader="none"/>
        </w:tabs>
        <w:ind w:left="658"/>
      </w:pPr>
      <w:r>
        <w:rPr/>
        <w:t>注册</w:t>
      </w:r>
      <w:r>
        <w:rPr>
          <w:spacing w:val="-3"/>
        </w:rPr>
        <w:t>登</w:t>
      </w:r>
      <w:r>
        <w:rPr/>
        <w:t>记</w:t>
      </w:r>
      <w:r>
        <w:rPr>
          <w:spacing w:val="-3"/>
        </w:rPr>
        <w:t>业</w:t>
      </w:r>
      <w:r>
        <w:rPr/>
        <w:t>务：</w:t>
        <w:tab/>
        <w:t>指本系列基金登记、存管、清算和交收业务，具体内容包括投资人基</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2635" w:right="1312"/>
      </w:pPr>
      <w:r>
        <w:rPr/>
        <w:t>金账户管理、基金份额注册登记、清算及基金交易确认、代理发放红利、建立并保管基金份额持有人名册等；</w:t>
      </w:r>
    </w:p>
    <w:p>
      <w:pPr>
        <w:pStyle w:val="BodyText"/>
        <w:tabs>
          <w:tab w:pos="2635" w:val="left" w:leader="none"/>
        </w:tabs>
        <w:spacing w:line="417" w:lineRule="auto"/>
        <w:ind w:left="658" w:right="1312"/>
      </w:pPr>
      <w:r>
        <w:rPr/>
        <w:t>注册</w:t>
      </w:r>
      <w:r>
        <w:rPr>
          <w:spacing w:val="-3"/>
        </w:rPr>
        <w:t>登</w:t>
      </w:r>
      <w:r>
        <w:rPr/>
        <w:t>记</w:t>
      </w:r>
      <w:r>
        <w:rPr>
          <w:spacing w:val="-3"/>
        </w:rPr>
        <w:t>代</w:t>
      </w:r>
      <w:r>
        <w:rPr/>
        <w:t>理</w:t>
      </w:r>
      <w:r>
        <w:rPr>
          <w:spacing w:val="-3"/>
        </w:rPr>
        <w:t>机</w:t>
      </w:r>
      <w:r>
        <w:rPr/>
        <w:t>构：</w:t>
      </w:r>
      <w:r>
        <w:rPr>
          <w:spacing w:val="70"/>
        </w:rPr>
        <w:t> </w:t>
      </w:r>
      <w:r>
        <w:rPr/>
        <w:t>指接</w:t>
      </w:r>
      <w:r>
        <w:rPr>
          <w:spacing w:val="-3"/>
        </w:rPr>
        <w:t>受</w:t>
      </w:r>
      <w:r>
        <w:rPr/>
        <w:t>基</w:t>
      </w:r>
      <w:r>
        <w:rPr>
          <w:spacing w:val="-3"/>
        </w:rPr>
        <w:t>金</w:t>
      </w:r>
      <w:r>
        <w:rPr/>
        <w:t>管</w:t>
      </w:r>
      <w:r>
        <w:rPr>
          <w:spacing w:val="-3"/>
        </w:rPr>
        <w:t>理</w:t>
      </w:r>
      <w:r>
        <w:rPr/>
        <w:t>人</w:t>
      </w:r>
      <w:r>
        <w:rPr>
          <w:spacing w:val="-3"/>
        </w:rPr>
        <w:t>委</w:t>
      </w:r>
      <w:r>
        <w:rPr/>
        <w:t>托</w:t>
      </w:r>
      <w:r>
        <w:rPr>
          <w:spacing w:val="-3"/>
        </w:rPr>
        <w:t>代</w:t>
      </w:r>
      <w:r>
        <w:rPr/>
        <w:t>为办</w:t>
      </w:r>
      <w:r>
        <w:rPr>
          <w:spacing w:val="-3"/>
        </w:rPr>
        <w:t>理</w:t>
      </w:r>
      <w:r>
        <w:rPr/>
        <w:t>本</w:t>
      </w:r>
      <w:r>
        <w:rPr>
          <w:spacing w:val="-3"/>
        </w:rPr>
        <w:t>系</w:t>
      </w:r>
      <w:r>
        <w:rPr/>
        <w:t>列</w:t>
      </w:r>
      <w:r>
        <w:rPr>
          <w:spacing w:val="-3"/>
        </w:rPr>
        <w:t>基</w:t>
      </w:r>
      <w:r>
        <w:rPr/>
        <w:t>金</w:t>
      </w:r>
      <w:r>
        <w:rPr>
          <w:spacing w:val="-3"/>
        </w:rPr>
        <w:t>注</w:t>
      </w:r>
      <w:r>
        <w:rPr/>
        <w:t>册</w:t>
      </w:r>
      <w:r>
        <w:rPr>
          <w:spacing w:val="-3"/>
        </w:rPr>
        <w:t>登</w:t>
      </w:r>
      <w:r>
        <w:rPr/>
        <w:t>记业</w:t>
      </w:r>
      <w:r>
        <w:rPr>
          <w:spacing w:val="-3"/>
        </w:rPr>
        <w:t>务</w:t>
      </w:r>
      <w:r>
        <w:rPr/>
        <w:t>的</w:t>
      </w:r>
      <w:r>
        <w:rPr>
          <w:spacing w:val="-3"/>
        </w:rPr>
        <w:t>机</w:t>
      </w:r>
      <w:r>
        <w:rPr/>
        <w:t>构； 注册</w:t>
      </w:r>
      <w:r>
        <w:rPr>
          <w:spacing w:val="-3"/>
        </w:rPr>
        <w:t>登</w:t>
      </w:r>
      <w:r>
        <w:rPr/>
        <w:t>记</w:t>
      </w:r>
      <w:r>
        <w:rPr>
          <w:spacing w:val="-3"/>
        </w:rPr>
        <w:t>人</w:t>
      </w:r>
      <w:r>
        <w:rPr/>
        <w:t>：</w:t>
        <w:tab/>
        <w:t>指办理本系列基金注册登记业务的机构，本系列基金的注册登记人</w:t>
      </w:r>
      <w:r>
        <w:rPr>
          <w:spacing w:val="-17"/>
        </w:rPr>
        <w:t>为</w:t>
      </w:r>
    </w:p>
    <w:p>
      <w:pPr>
        <w:pStyle w:val="BodyText"/>
        <w:spacing w:line="269" w:lineRule="exact"/>
        <w:ind w:left="2635"/>
      </w:pPr>
      <w:r>
        <w:rPr/>
        <w:t>景顺长城基金管理有限公司或其委托的注册登记代理机构；</w:t>
      </w:r>
    </w:p>
    <w:p>
      <w:pPr>
        <w:pStyle w:val="BodyText"/>
        <w:spacing w:before="6"/>
        <w:rPr>
          <w:sz w:val="15"/>
        </w:rPr>
      </w:pPr>
    </w:p>
    <w:p>
      <w:pPr>
        <w:pStyle w:val="BodyText"/>
        <w:tabs>
          <w:tab w:pos="2635" w:val="left" w:leader="none"/>
        </w:tabs>
        <w:spacing w:line="417" w:lineRule="auto" w:before="1"/>
        <w:ind w:left="658" w:right="1206"/>
      </w:pPr>
      <w:r>
        <w:rPr/>
        <w:t>基金</w:t>
      </w:r>
      <w:r>
        <w:rPr>
          <w:spacing w:val="-3"/>
        </w:rPr>
        <w:t>合</w:t>
      </w:r>
      <w:r>
        <w:rPr/>
        <w:t>同</w:t>
      </w:r>
      <w:r>
        <w:rPr>
          <w:spacing w:val="-3"/>
        </w:rPr>
        <w:t>生</w:t>
      </w:r>
      <w:r>
        <w:rPr/>
        <w:t>效</w:t>
      </w:r>
      <w:r>
        <w:rPr>
          <w:spacing w:val="-3"/>
        </w:rPr>
        <w:t>日</w:t>
      </w:r>
      <w:r>
        <w:rPr/>
        <w:t>：</w:t>
        <w:tab/>
        <w:t>指本</w:t>
      </w:r>
      <w:r>
        <w:rPr>
          <w:spacing w:val="-3"/>
        </w:rPr>
        <w:t>系</w:t>
      </w:r>
      <w:r>
        <w:rPr/>
        <w:t>列</w:t>
      </w:r>
      <w:r>
        <w:rPr>
          <w:spacing w:val="-3"/>
        </w:rPr>
        <w:t>基</w:t>
      </w:r>
      <w:r>
        <w:rPr/>
        <w:t>金</w:t>
      </w:r>
      <w:r>
        <w:rPr>
          <w:spacing w:val="-3"/>
        </w:rPr>
        <w:t>达</w:t>
      </w:r>
      <w:r>
        <w:rPr/>
        <w:t>到</w:t>
      </w:r>
      <w:r>
        <w:rPr>
          <w:spacing w:val="-3"/>
        </w:rPr>
        <w:t>成</w:t>
      </w:r>
      <w:r>
        <w:rPr/>
        <w:t>立</w:t>
      </w:r>
      <w:r>
        <w:rPr>
          <w:spacing w:val="-3"/>
        </w:rPr>
        <w:t>条</w:t>
      </w:r>
      <w:r>
        <w:rPr/>
        <w:t>件后</w:t>
      </w:r>
      <w:r>
        <w:rPr>
          <w:spacing w:val="-75"/>
        </w:rPr>
        <w:t>，</w:t>
      </w:r>
      <w:r>
        <w:rPr/>
        <w:t>基</w:t>
      </w:r>
      <w:r>
        <w:rPr>
          <w:spacing w:val="-3"/>
        </w:rPr>
        <w:t>金</w:t>
      </w:r>
      <w:r>
        <w:rPr/>
        <w:t>发</w:t>
      </w:r>
      <w:r>
        <w:rPr>
          <w:spacing w:val="-3"/>
        </w:rPr>
        <w:t>起</w:t>
      </w:r>
      <w:r>
        <w:rPr/>
        <w:t>人</w:t>
      </w:r>
      <w:r>
        <w:rPr>
          <w:spacing w:val="-3"/>
        </w:rPr>
        <w:t>宣</w:t>
      </w:r>
      <w:r>
        <w:rPr/>
        <w:t>告</w:t>
      </w:r>
      <w:r>
        <w:rPr>
          <w:spacing w:val="-3"/>
        </w:rPr>
        <w:t>基金</w:t>
      </w:r>
      <w:r>
        <w:rPr/>
        <w:t>合同</w:t>
      </w:r>
      <w:r>
        <w:rPr>
          <w:spacing w:val="-3"/>
        </w:rPr>
        <w:t>生</w:t>
      </w:r>
      <w:r>
        <w:rPr/>
        <w:t>效</w:t>
      </w:r>
      <w:r>
        <w:rPr>
          <w:spacing w:val="-3"/>
        </w:rPr>
        <w:t>的</w:t>
      </w:r>
      <w:r>
        <w:rPr/>
        <w:t>日</w:t>
      </w:r>
      <w:r>
        <w:rPr>
          <w:spacing w:val="-3"/>
        </w:rPr>
        <w:t>期</w:t>
      </w:r>
      <w:r>
        <w:rPr/>
        <w:t>； 设立</w:t>
      </w:r>
      <w:r>
        <w:rPr>
          <w:spacing w:val="-3"/>
        </w:rPr>
        <w:t>募</w:t>
      </w:r>
      <w:r>
        <w:rPr/>
        <w:t>集</w:t>
      </w:r>
      <w:r>
        <w:rPr>
          <w:spacing w:val="-3"/>
        </w:rPr>
        <w:t>期</w:t>
      </w:r>
      <w:r>
        <w:rPr/>
        <w:t>：</w:t>
        <w:tab/>
        <w:t>指自招募说明书公告之日起到基金合同生效日的时间段，最长不超过</w:t>
      </w:r>
    </w:p>
    <w:p>
      <w:pPr>
        <w:pStyle w:val="BodyText"/>
        <w:ind w:left="2635"/>
      </w:pPr>
      <w:r>
        <w:rPr>
          <w:rFonts w:ascii="Times New Roman" w:eastAsia="Times New Roman"/>
        </w:rPr>
        <w:t>3 </w:t>
      </w:r>
      <w:r>
        <w:rPr/>
        <w:t>个月；</w:t>
      </w:r>
    </w:p>
    <w:p>
      <w:pPr>
        <w:pStyle w:val="BodyText"/>
        <w:spacing w:before="6"/>
        <w:rPr>
          <w:sz w:val="15"/>
        </w:rPr>
      </w:pPr>
    </w:p>
    <w:p>
      <w:pPr>
        <w:pStyle w:val="BodyText"/>
        <w:tabs>
          <w:tab w:pos="2635" w:val="left" w:leader="none"/>
        </w:tabs>
        <w:spacing w:line="417" w:lineRule="auto" w:before="1"/>
        <w:ind w:left="2635" w:right="1312" w:hanging="1978"/>
      </w:pPr>
      <w:r>
        <w:rPr/>
        <w:t>认购：</w:t>
        <w:tab/>
        <w:t>指在本系列基金设立募集期内，投资者申请购买本系列基金份额的</w:t>
      </w:r>
      <w:r>
        <w:rPr>
          <w:spacing w:val="-17"/>
        </w:rPr>
        <w:t>行</w:t>
      </w:r>
      <w:r>
        <w:rPr/>
        <w:t>为；</w:t>
      </w:r>
    </w:p>
    <w:p>
      <w:pPr>
        <w:pStyle w:val="BodyText"/>
        <w:tabs>
          <w:tab w:pos="2635" w:val="left" w:leader="none"/>
        </w:tabs>
        <w:spacing w:line="417" w:lineRule="auto"/>
        <w:ind w:left="658" w:right="1206"/>
      </w:pPr>
      <w:r>
        <w:rPr/>
        <w:t>申购：</w:t>
        <w:tab/>
        <w:t>指在</w:t>
      </w:r>
      <w:r>
        <w:rPr>
          <w:spacing w:val="-3"/>
        </w:rPr>
        <w:t>本</w:t>
      </w:r>
      <w:r>
        <w:rPr/>
        <w:t>系</w:t>
      </w:r>
      <w:r>
        <w:rPr>
          <w:spacing w:val="-3"/>
        </w:rPr>
        <w:t>列</w:t>
      </w:r>
      <w:r>
        <w:rPr/>
        <w:t>基</w:t>
      </w:r>
      <w:r>
        <w:rPr>
          <w:spacing w:val="-3"/>
        </w:rPr>
        <w:t>金</w:t>
      </w:r>
      <w:r>
        <w:rPr/>
        <w:t>合</w:t>
      </w:r>
      <w:r>
        <w:rPr>
          <w:spacing w:val="-3"/>
        </w:rPr>
        <w:t>同</w:t>
      </w:r>
      <w:r>
        <w:rPr/>
        <w:t>生</w:t>
      </w:r>
      <w:r>
        <w:rPr>
          <w:spacing w:val="-3"/>
        </w:rPr>
        <w:t>效</w:t>
      </w:r>
      <w:r>
        <w:rPr/>
        <w:t>后</w:t>
      </w:r>
      <w:r>
        <w:rPr>
          <w:spacing w:val="-73"/>
        </w:rPr>
        <w:t>，</w:t>
      </w:r>
      <w:r>
        <w:rPr>
          <w:spacing w:val="-3"/>
        </w:rPr>
        <w:t>投</w:t>
      </w:r>
      <w:r>
        <w:rPr/>
        <w:t>资</w:t>
      </w:r>
      <w:r>
        <w:rPr>
          <w:spacing w:val="-3"/>
        </w:rPr>
        <w:t>者</w:t>
      </w:r>
      <w:r>
        <w:rPr/>
        <w:t>申</w:t>
      </w:r>
      <w:r>
        <w:rPr>
          <w:spacing w:val="-3"/>
        </w:rPr>
        <w:t>请</w:t>
      </w:r>
      <w:r>
        <w:rPr/>
        <w:t>购</w:t>
      </w:r>
      <w:r>
        <w:rPr>
          <w:spacing w:val="-3"/>
        </w:rPr>
        <w:t>买</w:t>
      </w:r>
      <w:r>
        <w:rPr/>
        <w:t>本</w:t>
      </w:r>
      <w:r>
        <w:rPr>
          <w:spacing w:val="-3"/>
        </w:rPr>
        <w:t>系列</w:t>
      </w:r>
      <w:r>
        <w:rPr/>
        <w:t>基金</w:t>
      </w:r>
      <w:r>
        <w:rPr>
          <w:spacing w:val="-3"/>
        </w:rPr>
        <w:t>份</w:t>
      </w:r>
      <w:r>
        <w:rPr/>
        <w:t>额</w:t>
      </w:r>
      <w:r>
        <w:rPr>
          <w:spacing w:val="-3"/>
        </w:rPr>
        <w:t>的</w:t>
      </w:r>
      <w:r>
        <w:rPr/>
        <w:t>行</w:t>
      </w:r>
      <w:r>
        <w:rPr>
          <w:spacing w:val="-3"/>
        </w:rPr>
        <w:t>为</w:t>
      </w:r>
      <w:r>
        <w:rPr/>
        <w:t>； 赎回：</w:t>
        <w:tab/>
        <w:t>指基金份额持有人按本基金合同规定的条件，要求基金管理人购回本</w:t>
      </w:r>
    </w:p>
    <w:p>
      <w:pPr>
        <w:pStyle w:val="BodyText"/>
        <w:spacing w:line="269" w:lineRule="exact"/>
        <w:ind w:left="2635"/>
      </w:pPr>
      <w:r>
        <w:rPr/>
        <w:t>系列基金份额的行为；</w:t>
      </w:r>
    </w:p>
    <w:p>
      <w:pPr>
        <w:pStyle w:val="BodyText"/>
        <w:spacing w:before="6"/>
        <w:rPr>
          <w:sz w:val="15"/>
        </w:rPr>
      </w:pPr>
    </w:p>
    <w:p>
      <w:pPr>
        <w:pStyle w:val="BodyText"/>
        <w:tabs>
          <w:tab w:pos="2635" w:val="left" w:leader="none"/>
        </w:tabs>
        <w:spacing w:line="417" w:lineRule="auto"/>
        <w:ind w:left="2635" w:right="1312" w:hanging="1978"/>
        <w:jc w:val="both"/>
      </w:pPr>
      <w:r>
        <w:rPr/>
        <w:t>转换：</w:t>
        <w:tab/>
        <w:t>指投资者向基金管理人提出申请将其所持有的基金管理人管理的任</w:t>
      </w:r>
      <w:r>
        <w:rPr>
          <w:spacing w:val="-17"/>
        </w:rPr>
        <w:t>一</w:t>
      </w:r>
      <w:r>
        <w:rPr/>
        <w:t>开放式基金（转出基金）的全部或部分基金份额转换为基金管理人</w:t>
      </w:r>
      <w:r>
        <w:rPr>
          <w:spacing w:val="-17"/>
        </w:rPr>
        <w:t>管</w:t>
      </w:r>
      <w:r>
        <w:rPr/>
        <w:t>理的</w:t>
      </w:r>
      <w:r>
        <w:rPr>
          <w:spacing w:val="-3"/>
        </w:rPr>
        <w:t>任</w:t>
      </w:r>
      <w:r>
        <w:rPr/>
        <w:t>何</w:t>
      </w:r>
      <w:r>
        <w:rPr>
          <w:spacing w:val="-3"/>
        </w:rPr>
        <w:t>其</w:t>
      </w:r>
      <w:r>
        <w:rPr/>
        <w:t>他</w:t>
      </w:r>
      <w:r>
        <w:rPr>
          <w:spacing w:val="-3"/>
        </w:rPr>
        <w:t>开</w:t>
      </w:r>
      <w:r>
        <w:rPr/>
        <w:t>放</w:t>
      </w:r>
      <w:r>
        <w:rPr>
          <w:spacing w:val="-3"/>
        </w:rPr>
        <w:t>式</w:t>
      </w:r>
      <w:r>
        <w:rPr/>
        <w:t>基</w:t>
      </w:r>
      <w:r>
        <w:rPr>
          <w:spacing w:val="-3"/>
        </w:rPr>
        <w:t>金</w:t>
      </w:r>
      <w:r>
        <w:rPr/>
        <w:t>（转</w:t>
      </w:r>
      <w:r>
        <w:rPr>
          <w:spacing w:val="-3"/>
        </w:rPr>
        <w:t>入</w:t>
      </w:r>
      <w:r>
        <w:rPr/>
        <w:t>基</w:t>
      </w:r>
      <w:r>
        <w:rPr>
          <w:spacing w:val="-3"/>
        </w:rPr>
        <w:t>金</w:t>
      </w:r>
      <w:r>
        <w:rPr/>
        <w:t>）</w:t>
      </w:r>
      <w:r>
        <w:rPr>
          <w:spacing w:val="-3"/>
        </w:rPr>
        <w:t>的</w:t>
      </w:r>
      <w:r>
        <w:rPr/>
        <w:t>基</w:t>
      </w:r>
      <w:r>
        <w:rPr>
          <w:spacing w:val="-3"/>
        </w:rPr>
        <w:t>金</w:t>
      </w:r>
      <w:r>
        <w:rPr/>
        <w:t>份</w:t>
      </w:r>
      <w:r>
        <w:rPr>
          <w:spacing w:val="-3"/>
        </w:rPr>
        <w:t>额</w:t>
      </w:r>
      <w:r>
        <w:rPr/>
        <w:t>的行为；</w:t>
      </w:r>
    </w:p>
    <w:p>
      <w:pPr>
        <w:pStyle w:val="BodyText"/>
        <w:spacing w:line="417" w:lineRule="auto"/>
        <w:ind w:left="2635" w:right="1312" w:hanging="1978"/>
        <w:jc w:val="both"/>
      </w:pPr>
      <w:r>
        <w:rPr/>
        <w:t>巨额赎回：        指在单个开放日内，本系列基金下任一基金净赎回申请份额（该基金赎回申请总份额扣除申购申请总份额之余额）与净转出申请份额（该基金转出申请总份额扣除转入申请总份额之余额）之和超过上一开放日该基金总份额 </w:t>
      </w:r>
      <w:r>
        <w:rPr>
          <w:rFonts w:ascii="Times New Roman" w:eastAsia="Times New Roman"/>
        </w:rPr>
        <w:t>10%</w:t>
      </w:r>
      <w:r>
        <w:rPr/>
        <w:t>的情形；</w:t>
      </w:r>
    </w:p>
    <w:p>
      <w:pPr>
        <w:pStyle w:val="BodyText"/>
        <w:spacing w:line="417" w:lineRule="auto"/>
        <w:ind w:left="2635" w:right="1312" w:hanging="1978"/>
        <w:jc w:val="both"/>
      </w:pPr>
      <w:r>
        <w:rPr>
          <w:spacing w:val="-2"/>
        </w:rPr>
        <w:t>销售代理人：      指接受基金管理人委托代为办理本系列基金的认购、申购、赎回、转</w:t>
      </w:r>
      <w:r>
        <w:rPr>
          <w:spacing w:val="-3"/>
        </w:rPr>
        <w:t>换及转托管等业务的机构；</w:t>
      </w:r>
    </w:p>
    <w:p>
      <w:pPr>
        <w:pStyle w:val="BodyText"/>
        <w:ind w:left="658"/>
        <w:jc w:val="both"/>
      </w:pPr>
      <w:r>
        <w:rPr/>
        <w:t>销售机构： 指基金管理人及销售代理人；</w:t>
      </w:r>
    </w:p>
    <w:p>
      <w:pPr>
        <w:pStyle w:val="BodyText"/>
        <w:spacing w:before="6"/>
        <w:rPr>
          <w:sz w:val="15"/>
        </w:rPr>
      </w:pPr>
    </w:p>
    <w:p>
      <w:pPr>
        <w:pStyle w:val="BodyText"/>
        <w:spacing w:line="417" w:lineRule="auto"/>
        <w:ind w:left="2635" w:right="1312" w:hanging="1978"/>
        <w:jc w:val="both"/>
      </w:pPr>
      <w:r>
        <w:rPr/>
        <w:t>销售服务费用：    指本系列基金中的货币市场基金用于持续销售和服务基金份额持有人的费用。该笔费用从货币市场基金的基金资产中扣除，属于该基金的营运费用；</w:t>
      </w:r>
    </w:p>
    <w:p>
      <w:pPr>
        <w:pStyle w:val="BodyText"/>
        <w:spacing w:line="269" w:lineRule="exact"/>
        <w:ind w:left="658"/>
        <w:jc w:val="both"/>
      </w:pPr>
      <w:r>
        <w:rPr/>
        <w:t>基金投资者： 指个人投资者和机构投资者；</w:t>
      </w:r>
    </w:p>
    <w:p>
      <w:pPr>
        <w:pStyle w:val="BodyText"/>
        <w:spacing w:before="7"/>
        <w:rPr>
          <w:sz w:val="15"/>
        </w:rPr>
      </w:pPr>
    </w:p>
    <w:p>
      <w:pPr>
        <w:pStyle w:val="BodyText"/>
        <w:spacing w:line="417" w:lineRule="auto"/>
        <w:ind w:left="658" w:right="1312"/>
        <w:jc w:val="both"/>
      </w:pPr>
      <w:r>
        <w:rPr>
          <w:spacing w:val="-3"/>
        </w:rPr>
        <w:t>个人投资者：     指符合法律法规规定的条件可以投资开放式证券投资基金的自然人； </w:t>
      </w:r>
      <w:r>
        <w:rPr>
          <w:spacing w:val="-1"/>
        </w:rPr>
        <w:t>机构投资者： 指符合法律法规规定可以投资证券投资基金的在中华人民共和国注册</w:t>
      </w:r>
    </w:p>
    <w:p>
      <w:pPr>
        <w:pStyle w:val="BodyText"/>
        <w:ind w:left="2635"/>
      </w:pPr>
      <w:r>
        <w:rPr/>
        <w:t>登记或经政府有关部门批准设立的机构；</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2635" w:right="1310" w:hanging="1978"/>
        <w:jc w:val="both"/>
      </w:pPr>
      <w:r>
        <w:rPr>
          <w:spacing w:val="-5"/>
        </w:rPr>
        <w:t>合格境外机构投资者：   指符合《合格境外机构投资者境内证券投资管理办法》及相关法</w:t>
      </w:r>
      <w:r>
        <w:rPr>
          <w:spacing w:val="-6"/>
        </w:rPr>
        <w:t>律法规规定的可投资于中国境内合法募集的证券投资基金的中国境外</w:t>
      </w:r>
      <w:r>
        <w:rPr>
          <w:spacing w:val="-3"/>
        </w:rPr>
        <w:t>的基金管理机构、保险公司、证券公司以及其他资产管理机构；</w:t>
      </w:r>
    </w:p>
    <w:p>
      <w:pPr>
        <w:pStyle w:val="BodyText"/>
        <w:spacing w:line="417" w:lineRule="auto"/>
        <w:ind w:left="2635" w:right="1312" w:hanging="1978"/>
        <w:jc w:val="both"/>
      </w:pPr>
      <w:r>
        <w:rPr/>
        <w:t>基金账户：        指注册登记人为基金投资者开立的记录其持有的基金份额余额及其变动情况的账户；</w:t>
      </w:r>
    </w:p>
    <w:p>
      <w:pPr>
        <w:pStyle w:val="BodyText"/>
        <w:spacing w:line="417" w:lineRule="auto"/>
        <w:ind w:left="2635" w:right="1309" w:hanging="1978"/>
        <w:jc w:val="both"/>
      </w:pPr>
      <w:r>
        <w:rPr>
          <w:spacing w:val="-5"/>
        </w:rPr>
        <w:t>基金份额等级：    本系列基金中的货币市场基金自 </w:t>
      </w:r>
      <w:r>
        <w:rPr/>
        <w:t>2010</w:t>
      </w:r>
      <w:r>
        <w:rPr>
          <w:spacing w:val="-31"/>
        </w:rPr>
        <w:t> 年 </w:t>
      </w:r>
      <w:r>
        <w:rPr/>
        <w:t>4</w:t>
      </w:r>
      <w:r>
        <w:rPr>
          <w:spacing w:val="-31"/>
        </w:rPr>
        <w:t> 月 </w:t>
      </w:r>
      <w:r>
        <w:rPr/>
        <w:t>30</w:t>
      </w:r>
      <w:r>
        <w:rPr>
          <w:spacing w:val="-8"/>
        </w:rPr>
        <w:t> 日起分设两级基金份</w:t>
      </w:r>
      <w:r>
        <w:rPr>
          <w:spacing w:val="-20"/>
        </w:rPr>
        <w:t>额：</w:t>
      </w:r>
      <w:r>
        <w:rPr>
          <w:spacing w:val="-31"/>
        </w:rPr>
        <w:t>A</w:t>
      </w:r>
      <w:r>
        <w:rPr>
          <w:spacing w:val="-2"/>
        </w:rPr>
        <w:t> 级基金份额和</w:t>
      </w:r>
      <w:r>
        <w:rPr/>
        <w:t>B</w:t>
      </w:r>
      <w:r>
        <w:rPr>
          <w:spacing w:val="-12"/>
        </w:rPr>
        <w:t> 级基金份额。两级基金份额分设不同基金代码， </w:t>
      </w:r>
      <w:r>
        <w:rPr>
          <w:spacing w:val="-13"/>
        </w:rPr>
        <w:t>按照不同的费率计提持续销售费，各级基金份额单独公布每万份基金</w:t>
      </w:r>
      <w:r>
        <w:rPr>
          <w:spacing w:val="-3"/>
        </w:rPr>
        <w:t>净收益和基金七日年化收益率</w:t>
      </w:r>
    </w:p>
    <w:p>
      <w:pPr>
        <w:pStyle w:val="BodyText"/>
        <w:tabs>
          <w:tab w:pos="2635" w:val="left" w:leader="none"/>
        </w:tabs>
        <w:ind w:left="658"/>
        <w:jc w:val="both"/>
      </w:pPr>
      <w:r>
        <w:rPr/>
        <w:t>存续</w:t>
      </w:r>
      <w:r>
        <w:rPr>
          <w:spacing w:val="-3"/>
        </w:rPr>
        <w:t>期</w:t>
      </w:r>
      <w:r>
        <w:rPr/>
        <w:t>：</w:t>
        <w:tab/>
        <w:t>指基</w:t>
      </w:r>
      <w:r>
        <w:rPr>
          <w:spacing w:val="-3"/>
        </w:rPr>
        <w:t>金</w:t>
      </w:r>
      <w:r>
        <w:rPr/>
        <w:t>合</w:t>
      </w:r>
      <w:r>
        <w:rPr>
          <w:spacing w:val="-3"/>
        </w:rPr>
        <w:t>同</w:t>
      </w:r>
      <w:r>
        <w:rPr/>
        <w:t>生</w:t>
      </w:r>
      <w:r>
        <w:rPr>
          <w:spacing w:val="-3"/>
        </w:rPr>
        <w:t>效</w:t>
      </w:r>
      <w:r>
        <w:rPr/>
        <w:t>并</w:t>
      </w:r>
      <w:r>
        <w:rPr>
          <w:spacing w:val="-3"/>
        </w:rPr>
        <w:t>存</w:t>
      </w:r>
      <w:r>
        <w:rPr/>
        <w:t>续</w:t>
      </w:r>
      <w:r>
        <w:rPr>
          <w:spacing w:val="-3"/>
        </w:rPr>
        <w:t>的</w:t>
      </w:r>
      <w:r>
        <w:rPr/>
        <w:t>不定</w:t>
      </w:r>
      <w:r>
        <w:rPr>
          <w:spacing w:val="-3"/>
        </w:rPr>
        <w:t>期</w:t>
      </w:r>
      <w:r>
        <w:rPr/>
        <w:t>期</w:t>
      </w:r>
      <w:r>
        <w:rPr>
          <w:spacing w:val="-3"/>
        </w:rPr>
        <w:t>限</w:t>
      </w:r>
      <w:r>
        <w:rPr/>
        <w:t>；</w:t>
      </w:r>
    </w:p>
    <w:p>
      <w:pPr>
        <w:pStyle w:val="BodyText"/>
        <w:spacing w:before="6"/>
        <w:rPr>
          <w:sz w:val="15"/>
        </w:rPr>
      </w:pPr>
    </w:p>
    <w:p>
      <w:pPr>
        <w:pStyle w:val="BodyText"/>
        <w:tabs>
          <w:tab w:pos="2635" w:val="left" w:leader="none"/>
        </w:tabs>
        <w:ind w:left="658"/>
        <w:jc w:val="both"/>
      </w:pPr>
      <w:r>
        <w:rPr/>
        <w:t>工作</w:t>
      </w:r>
      <w:r>
        <w:rPr>
          <w:spacing w:val="-3"/>
        </w:rPr>
        <w:t>日</w:t>
      </w:r>
      <w:r>
        <w:rPr/>
        <w:t>：</w:t>
        <w:tab/>
        <w:t>指上</w:t>
      </w:r>
      <w:r>
        <w:rPr>
          <w:spacing w:val="-3"/>
        </w:rPr>
        <w:t>海</w:t>
      </w:r>
      <w:r>
        <w:rPr/>
        <w:t>证</w:t>
      </w:r>
      <w:r>
        <w:rPr>
          <w:spacing w:val="-3"/>
        </w:rPr>
        <w:t>券</w:t>
      </w:r>
      <w:r>
        <w:rPr/>
        <w:t>交</w:t>
      </w:r>
      <w:r>
        <w:rPr>
          <w:spacing w:val="-3"/>
        </w:rPr>
        <w:t>易</w:t>
      </w:r>
      <w:r>
        <w:rPr/>
        <w:t>所</w:t>
      </w:r>
      <w:r>
        <w:rPr>
          <w:spacing w:val="-3"/>
        </w:rPr>
        <w:t>和</w:t>
      </w:r>
      <w:r>
        <w:rPr/>
        <w:t>深</w:t>
      </w:r>
      <w:r>
        <w:rPr>
          <w:spacing w:val="-3"/>
        </w:rPr>
        <w:t>圳</w:t>
      </w:r>
      <w:r>
        <w:rPr/>
        <w:t>证券</w:t>
      </w:r>
      <w:r>
        <w:rPr>
          <w:spacing w:val="-3"/>
        </w:rPr>
        <w:t>交</w:t>
      </w:r>
      <w:r>
        <w:rPr/>
        <w:t>易</w:t>
      </w:r>
      <w:r>
        <w:rPr>
          <w:spacing w:val="-3"/>
        </w:rPr>
        <w:t>所</w:t>
      </w:r>
      <w:r>
        <w:rPr/>
        <w:t>的</w:t>
      </w:r>
      <w:r>
        <w:rPr>
          <w:spacing w:val="-3"/>
        </w:rPr>
        <w:t>正</w:t>
      </w:r>
      <w:r>
        <w:rPr/>
        <w:t>常</w:t>
      </w:r>
      <w:r>
        <w:rPr>
          <w:spacing w:val="-3"/>
        </w:rPr>
        <w:t>交</w:t>
      </w:r>
      <w:r>
        <w:rPr/>
        <w:t>易</w:t>
      </w:r>
      <w:r>
        <w:rPr>
          <w:spacing w:val="-3"/>
        </w:rPr>
        <w:t>日</w:t>
      </w:r>
      <w:r>
        <w:rPr/>
        <w:t>；</w:t>
      </w:r>
    </w:p>
    <w:p>
      <w:pPr>
        <w:pStyle w:val="BodyText"/>
        <w:spacing w:before="7"/>
        <w:rPr>
          <w:sz w:val="15"/>
        </w:rPr>
      </w:pPr>
    </w:p>
    <w:p>
      <w:pPr>
        <w:pStyle w:val="BodyText"/>
        <w:tabs>
          <w:tab w:pos="2635" w:val="left" w:leader="none"/>
        </w:tabs>
        <w:ind w:left="658"/>
      </w:pPr>
      <w:r>
        <w:rPr/>
        <w:t>开放</w:t>
      </w:r>
      <w:r>
        <w:rPr>
          <w:spacing w:val="-3"/>
        </w:rPr>
        <w:t>日</w:t>
      </w:r>
      <w:r>
        <w:rPr/>
        <w:t>：</w:t>
        <w:tab/>
        <w:t>指为</w:t>
      </w:r>
      <w:r>
        <w:rPr>
          <w:spacing w:val="-3"/>
        </w:rPr>
        <w:t>投</w:t>
      </w:r>
      <w:r>
        <w:rPr/>
        <w:t>资</w:t>
      </w:r>
      <w:r>
        <w:rPr>
          <w:spacing w:val="-3"/>
        </w:rPr>
        <w:t>者</w:t>
      </w:r>
      <w:r>
        <w:rPr/>
        <w:t>办</w:t>
      </w:r>
      <w:r>
        <w:rPr>
          <w:spacing w:val="-3"/>
        </w:rPr>
        <w:t>理</w:t>
      </w:r>
      <w:r>
        <w:rPr/>
        <w:t>基</w:t>
      </w:r>
      <w:r>
        <w:rPr>
          <w:spacing w:val="-3"/>
        </w:rPr>
        <w:t>金</w:t>
      </w:r>
      <w:r>
        <w:rPr/>
        <w:t>申</w:t>
      </w:r>
      <w:r>
        <w:rPr>
          <w:spacing w:val="-3"/>
        </w:rPr>
        <w:t>购</w:t>
      </w:r>
      <w:r>
        <w:rPr/>
        <w:t>、赎</w:t>
      </w:r>
      <w:r>
        <w:rPr>
          <w:spacing w:val="-3"/>
        </w:rPr>
        <w:t>回</w:t>
      </w:r>
      <w:r>
        <w:rPr/>
        <w:t>和</w:t>
      </w:r>
      <w:r>
        <w:rPr>
          <w:spacing w:val="-3"/>
        </w:rPr>
        <w:t>转</w:t>
      </w:r>
      <w:r>
        <w:rPr/>
        <w:t>换</w:t>
      </w:r>
      <w:r>
        <w:rPr>
          <w:spacing w:val="-3"/>
        </w:rPr>
        <w:t>等</w:t>
      </w:r>
      <w:r>
        <w:rPr/>
        <w:t>业</w:t>
      </w:r>
      <w:r>
        <w:rPr>
          <w:spacing w:val="-3"/>
        </w:rPr>
        <w:t>务</w:t>
      </w:r>
      <w:r>
        <w:rPr/>
        <w:t>的</w:t>
      </w:r>
      <w:r>
        <w:rPr>
          <w:spacing w:val="-3"/>
        </w:rPr>
        <w:t>工</w:t>
      </w:r>
      <w:r>
        <w:rPr/>
        <w:t>作日；</w:t>
      </w:r>
    </w:p>
    <w:p>
      <w:pPr>
        <w:pStyle w:val="BodyText"/>
        <w:spacing w:before="6"/>
        <w:rPr>
          <w:sz w:val="15"/>
        </w:rPr>
      </w:pPr>
    </w:p>
    <w:p>
      <w:pPr>
        <w:pStyle w:val="BodyText"/>
        <w:tabs>
          <w:tab w:pos="2635" w:val="left" w:leader="none"/>
        </w:tabs>
        <w:spacing w:line="417" w:lineRule="auto" w:before="1"/>
        <w:ind w:left="2635" w:right="1312" w:hanging="1978"/>
      </w:pPr>
      <w:r>
        <w:rPr>
          <w:rFonts w:ascii="Times New Roman" w:eastAsia="Times New Roman"/>
        </w:rPr>
        <w:t>T </w:t>
      </w:r>
      <w:r>
        <w:rPr>
          <w:spacing w:val="-3"/>
        </w:rPr>
        <w:t>日</w:t>
      </w:r>
      <w:r>
        <w:rPr/>
        <w:t>：</w:t>
        <w:tab/>
        <w:t>指销售机构在规定时间受理投资者申购、赎回、转换或其他业务申</w:t>
      </w:r>
      <w:r>
        <w:rPr>
          <w:spacing w:val="-17"/>
        </w:rPr>
        <w:t>请</w:t>
      </w:r>
      <w:r>
        <w:rPr/>
        <w:t>的日</w:t>
      </w:r>
      <w:r>
        <w:rPr>
          <w:spacing w:val="-3"/>
        </w:rPr>
        <w:t>期</w:t>
      </w:r>
      <w:r>
        <w:rPr/>
        <w:t>；</w:t>
      </w:r>
    </w:p>
    <w:p>
      <w:pPr>
        <w:pStyle w:val="BodyText"/>
        <w:tabs>
          <w:tab w:pos="2635" w:val="left" w:leader="none"/>
        </w:tabs>
        <w:spacing w:line="417" w:lineRule="auto"/>
        <w:ind w:left="658" w:right="4866"/>
      </w:pPr>
      <w:r>
        <w:rPr>
          <w:rFonts w:ascii="Times New Roman" w:eastAsia="Times New Roman"/>
          <w:w w:val="100"/>
        </w:rPr>
        <w:t>T</w:t>
      </w:r>
      <w:r>
        <w:rPr>
          <w:rFonts w:ascii="Times New Roman" w:eastAsia="Times New Roman"/>
          <w:spacing w:val="-2"/>
          <w:w w:val="100"/>
        </w:rPr>
        <w:t>+</w:t>
      </w:r>
      <w:r>
        <w:rPr>
          <w:rFonts w:ascii="Times New Roman" w:eastAsia="Times New Roman"/>
          <w:w w:val="100"/>
        </w:rPr>
        <w:t>n</w:t>
      </w:r>
      <w:r>
        <w:rPr>
          <w:rFonts w:ascii="Times New Roman" w:eastAsia="Times New Roman"/>
        </w:rPr>
        <w:t> </w:t>
      </w:r>
      <w:r>
        <w:rPr>
          <w:spacing w:val="-3"/>
          <w:w w:val="100"/>
        </w:rPr>
        <w:t>日</w:t>
      </w:r>
      <w:r>
        <w:rPr>
          <w:w w:val="100"/>
        </w:rPr>
        <w:t>：</w:t>
      </w:r>
      <w:r>
        <w:rPr>
          <w:spacing w:val="-3"/>
          <w:w w:val="100"/>
        </w:rPr>
        <w:t>指</w:t>
      </w:r>
      <w:r>
        <w:rPr>
          <w:w w:val="100"/>
        </w:rPr>
        <w:t>自</w:t>
      </w:r>
      <w:r>
        <w:rPr>
          <w:spacing w:val="-53"/>
        </w:rPr>
        <w:t> </w:t>
      </w:r>
      <w:r>
        <w:rPr>
          <w:rFonts w:ascii="Times New Roman" w:eastAsia="Times New Roman"/>
          <w:w w:val="100"/>
        </w:rPr>
        <w:t>T</w:t>
      </w:r>
      <w:r>
        <w:rPr>
          <w:rFonts w:ascii="Times New Roman" w:eastAsia="Times New Roman"/>
          <w:spacing w:val="-2"/>
        </w:rPr>
        <w:t> </w:t>
      </w:r>
      <w:r>
        <w:rPr>
          <w:w w:val="100"/>
        </w:rPr>
        <w:t>日</w:t>
      </w:r>
      <w:r>
        <w:rPr>
          <w:spacing w:val="-3"/>
          <w:w w:val="100"/>
        </w:rPr>
        <w:t>起</w:t>
      </w:r>
      <w:r>
        <w:rPr>
          <w:w w:val="100"/>
        </w:rPr>
        <w:t>第</w:t>
      </w:r>
      <w:r>
        <w:rPr>
          <w:spacing w:val="-52"/>
        </w:rPr>
        <w:t> </w:t>
      </w:r>
      <w:r>
        <w:rPr>
          <w:rFonts w:ascii="Times New Roman" w:eastAsia="Times New Roman"/>
          <w:w w:val="100"/>
        </w:rPr>
        <w:t>n</w:t>
      </w:r>
      <w:r>
        <w:rPr>
          <w:rFonts w:ascii="Times New Roman" w:eastAsia="Times New Roman"/>
          <w:spacing w:val="-3"/>
        </w:rPr>
        <w:t> </w:t>
      </w:r>
      <w:r>
        <w:rPr>
          <w:w w:val="100"/>
        </w:rPr>
        <w:t>个工</w:t>
      </w:r>
      <w:r>
        <w:rPr>
          <w:spacing w:val="-3"/>
          <w:w w:val="100"/>
        </w:rPr>
        <w:t>作</w:t>
      </w:r>
      <w:r>
        <w:rPr>
          <w:w w:val="100"/>
        </w:rPr>
        <w:t>日</w:t>
      </w:r>
      <w:r>
        <w:rPr>
          <w:spacing w:val="-3"/>
          <w:w w:val="100"/>
        </w:rPr>
        <w:t>（</w:t>
      </w:r>
      <w:r>
        <w:rPr>
          <w:w w:val="100"/>
        </w:rPr>
        <w:t>不</w:t>
      </w:r>
      <w:r>
        <w:rPr>
          <w:spacing w:val="-3"/>
          <w:w w:val="100"/>
        </w:rPr>
        <w:t>包</w:t>
      </w:r>
      <w:r>
        <w:rPr>
          <w:spacing w:val="50"/>
          <w:w w:val="100"/>
        </w:rPr>
        <w:t>含</w:t>
      </w:r>
      <w:r>
        <w:rPr>
          <w:rFonts w:ascii="Times New Roman" w:eastAsia="Times New Roman"/>
          <w:w w:val="100"/>
        </w:rPr>
        <w:t>T</w:t>
      </w:r>
      <w:r>
        <w:rPr>
          <w:rFonts w:ascii="Times New Roman" w:eastAsia="Times New Roman"/>
        </w:rPr>
        <w:t> </w:t>
      </w:r>
      <w:r>
        <w:rPr>
          <w:w w:val="100"/>
        </w:rPr>
        <w:t>日</w:t>
      </w:r>
      <w:r>
        <w:rPr>
          <w:spacing w:val="-108"/>
          <w:w w:val="100"/>
        </w:rPr>
        <w:t>）</w:t>
      </w:r>
      <w:r>
        <w:rPr>
          <w:w w:val="100"/>
        </w:rPr>
        <w:t>；</w:t>
      </w:r>
      <w:r>
        <w:rPr/>
        <w:t>元：</w:t>
        <w:tab/>
        <w:t>指人</w:t>
      </w:r>
      <w:r>
        <w:rPr>
          <w:spacing w:val="-3"/>
        </w:rPr>
        <w:t>民</w:t>
      </w:r>
      <w:r>
        <w:rPr/>
        <w:t>币</w:t>
      </w:r>
      <w:r>
        <w:rPr>
          <w:spacing w:val="-3"/>
        </w:rPr>
        <w:t>元</w:t>
      </w:r>
      <w:r>
        <w:rPr/>
        <w:t>；</w:t>
      </w:r>
    </w:p>
    <w:p>
      <w:pPr>
        <w:pStyle w:val="BodyText"/>
        <w:tabs>
          <w:tab w:pos="2635" w:val="left" w:leader="none"/>
        </w:tabs>
        <w:spacing w:line="417" w:lineRule="auto"/>
        <w:ind w:left="2635" w:right="1312" w:hanging="1978"/>
      </w:pPr>
      <w:r>
        <w:rPr/>
        <w:t>摊余</w:t>
      </w:r>
      <w:r>
        <w:rPr>
          <w:spacing w:val="-3"/>
        </w:rPr>
        <w:t>成</w:t>
      </w:r>
      <w:r>
        <w:rPr/>
        <w:t>本</w:t>
      </w:r>
      <w:r>
        <w:rPr>
          <w:spacing w:val="-3"/>
        </w:rPr>
        <w:t>法</w:t>
      </w:r>
      <w:r>
        <w:rPr/>
        <w:t>：</w:t>
        <w:tab/>
        <w:t>指估值对象以买入成本列示，按票面利率或商定利率并考虑其买入</w:t>
      </w:r>
      <w:r>
        <w:rPr>
          <w:spacing w:val="-17"/>
        </w:rPr>
        <w:t>时</w:t>
      </w:r>
      <w:r>
        <w:rPr/>
        <w:t>的溢</w:t>
      </w:r>
      <w:r>
        <w:rPr>
          <w:spacing w:val="-3"/>
        </w:rPr>
        <w:t>价</w:t>
      </w:r>
      <w:r>
        <w:rPr/>
        <w:t>与</w:t>
      </w:r>
      <w:r>
        <w:rPr>
          <w:spacing w:val="-3"/>
        </w:rPr>
        <w:t>折</w:t>
      </w:r>
      <w:r>
        <w:rPr/>
        <w:t>价</w:t>
      </w:r>
      <w:r>
        <w:rPr>
          <w:spacing w:val="-3"/>
        </w:rPr>
        <w:t>，</w:t>
      </w:r>
      <w:r>
        <w:rPr/>
        <w:t>在</w:t>
      </w:r>
      <w:r>
        <w:rPr>
          <w:spacing w:val="-3"/>
        </w:rPr>
        <w:t>其</w:t>
      </w:r>
      <w:r>
        <w:rPr/>
        <w:t>剩</w:t>
      </w:r>
      <w:r>
        <w:rPr>
          <w:spacing w:val="-3"/>
        </w:rPr>
        <w:t>余</w:t>
      </w:r>
      <w:r>
        <w:rPr/>
        <w:t>期限</w:t>
      </w:r>
      <w:r>
        <w:rPr>
          <w:spacing w:val="-3"/>
        </w:rPr>
        <w:t>内</w:t>
      </w:r>
      <w:r>
        <w:rPr/>
        <w:t>平</w:t>
      </w:r>
      <w:r>
        <w:rPr>
          <w:spacing w:val="-3"/>
        </w:rPr>
        <w:t>均</w:t>
      </w:r>
      <w:r>
        <w:rPr/>
        <w:t>摊</w:t>
      </w:r>
      <w:r>
        <w:rPr>
          <w:spacing w:val="-3"/>
        </w:rPr>
        <w:t>销</w:t>
      </w:r>
      <w:r>
        <w:rPr/>
        <w:t>，</w:t>
      </w:r>
      <w:r>
        <w:rPr>
          <w:spacing w:val="-3"/>
        </w:rPr>
        <w:t>每</w:t>
      </w:r>
      <w:r>
        <w:rPr/>
        <w:t>日</w:t>
      </w:r>
      <w:r>
        <w:rPr>
          <w:spacing w:val="-3"/>
        </w:rPr>
        <w:t>计</w:t>
      </w:r>
      <w:r>
        <w:rPr/>
        <w:t>提收</w:t>
      </w:r>
      <w:r>
        <w:rPr>
          <w:spacing w:val="-3"/>
        </w:rPr>
        <w:t>益</w:t>
      </w:r>
      <w:r>
        <w:rPr/>
        <w:t>；</w:t>
      </w:r>
    </w:p>
    <w:p>
      <w:pPr>
        <w:pStyle w:val="BodyText"/>
        <w:tabs>
          <w:tab w:pos="2635" w:val="left" w:leader="none"/>
        </w:tabs>
        <w:spacing w:line="417" w:lineRule="auto"/>
        <w:ind w:left="2635" w:right="1312" w:hanging="1978"/>
      </w:pPr>
      <w:r>
        <w:rPr/>
        <w:t>基金</w:t>
      </w:r>
      <w:r>
        <w:rPr>
          <w:spacing w:val="-3"/>
        </w:rPr>
        <w:t>收</w:t>
      </w:r>
      <w:r>
        <w:rPr/>
        <w:t>益：</w:t>
        <w:tab/>
        <w:t>指基金投资所得债券利息、股票分红、买卖证券价差、银行存款利</w:t>
      </w:r>
      <w:r>
        <w:rPr>
          <w:spacing w:val="-17"/>
        </w:rPr>
        <w:t>息</w:t>
      </w:r>
      <w:r>
        <w:rPr/>
        <w:t>及其</w:t>
      </w:r>
      <w:r>
        <w:rPr>
          <w:spacing w:val="-3"/>
        </w:rPr>
        <w:t>他</w:t>
      </w:r>
      <w:r>
        <w:rPr/>
        <w:t>合</w:t>
      </w:r>
      <w:r>
        <w:rPr>
          <w:spacing w:val="-3"/>
        </w:rPr>
        <w:t>法</w:t>
      </w:r>
      <w:r>
        <w:rPr/>
        <w:t>收</w:t>
      </w:r>
      <w:r>
        <w:rPr>
          <w:spacing w:val="-3"/>
        </w:rPr>
        <w:t>入</w:t>
      </w:r>
      <w:r>
        <w:rPr/>
        <w:t>；</w:t>
      </w:r>
    </w:p>
    <w:p>
      <w:pPr>
        <w:pStyle w:val="BodyText"/>
        <w:spacing w:line="417" w:lineRule="auto"/>
        <w:ind w:left="658" w:right="1551"/>
        <w:jc w:val="both"/>
      </w:pPr>
      <w:r>
        <w:rPr>
          <w:spacing w:val="-3"/>
        </w:rPr>
        <w:t>七日年化收益率： 指货币市场基金以最近七日</w:t>
      </w:r>
      <w:r>
        <w:rPr/>
        <w:t>（</w:t>
      </w:r>
      <w:r>
        <w:rPr>
          <w:spacing w:val="-3"/>
        </w:rPr>
        <w:t>含节假日）收益所折算的年收益率； 基金资产总值：   指基金购买的各类证券、银行存款本息及其他投资等的价值总和； 基金资产净值： 指基金资产总值减去基金负债后的价值；</w:t>
      </w:r>
    </w:p>
    <w:p>
      <w:pPr>
        <w:pStyle w:val="BodyText"/>
        <w:ind w:left="658"/>
        <w:jc w:val="both"/>
      </w:pPr>
      <w:r>
        <w:rPr/>
        <w:t>基金份额净值： 指基金资产净值除以基金份额总数；</w:t>
      </w:r>
    </w:p>
    <w:p>
      <w:pPr>
        <w:pStyle w:val="BodyText"/>
        <w:spacing w:before="5"/>
        <w:rPr>
          <w:sz w:val="15"/>
        </w:rPr>
      </w:pPr>
    </w:p>
    <w:p>
      <w:pPr>
        <w:pStyle w:val="BodyText"/>
        <w:tabs>
          <w:tab w:pos="2635" w:val="left" w:leader="none"/>
        </w:tabs>
        <w:spacing w:line="417" w:lineRule="auto"/>
        <w:ind w:left="2635" w:right="1312" w:hanging="1978"/>
      </w:pPr>
      <w:r>
        <w:rPr/>
        <w:t>基金</w:t>
      </w:r>
      <w:r>
        <w:rPr>
          <w:spacing w:val="-3"/>
        </w:rPr>
        <w:t>财</w:t>
      </w:r>
      <w:r>
        <w:rPr/>
        <w:t>产</w:t>
      </w:r>
      <w:r>
        <w:rPr>
          <w:spacing w:val="-3"/>
        </w:rPr>
        <w:t>估</w:t>
      </w:r>
      <w:r>
        <w:rPr/>
        <w:t>值：</w:t>
        <w:tab/>
        <w:t>指计算评估基金财产和负债的价值，以确定基金资产净值和基金份</w:t>
      </w:r>
      <w:r>
        <w:rPr>
          <w:spacing w:val="-17"/>
        </w:rPr>
        <w:t>额</w:t>
      </w:r>
      <w:r>
        <w:rPr/>
        <w:t>净值</w:t>
      </w:r>
      <w:r>
        <w:rPr>
          <w:spacing w:val="-3"/>
        </w:rPr>
        <w:t>的</w:t>
      </w:r>
      <w:r>
        <w:rPr/>
        <w:t>过</w:t>
      </w:r>
      <w:r>
        <w:rPr>
          <w:spacing w:val="-3"/>
        </w:rPr>
        <w:t>程</w:t>
      </w:r>
      <w:r>
        <w:rPr/>
        <w:t>；</w:t>
      </w:r>
    </w:p>
    <w:p>
      <w:pPr>
        <w:pStyle w:val="BodyText"/>
        <w:tabs>
          <w:tab w:pos="2635" w:val="left" w:leader="none"/>
        </w:tabs>
        <w:spacing w:line="417" w:lineRule="auto"/>
        <w:ind w:left="2635" w:right="1312" w:hanging="1978"/>
      </w:pPr>
      <w:r>
        <w:rPr/>
        <w:t>中国</w:t>
      </w:r>
      <w:r>
        <w:rPr>
          <w:spacing w:val="-3"/>
        </w:rPr>
        <w:t>债</w:t>
      </w:r>
      <w:r>
        <w:rPr/>
        <w:t>券</w:t>
      </w:r>
      <w:r>
        <w:rPr>
          <w:spacing w:val="-3"/>
        </w:rPr>
        <w:t>总</w:t>
      </w:r>
      <w:r>
        <w:rPr/>
        <w:t>指</w:t>
      </w:r>
      <w:r>
        <w:rPr>
          <w:spacing w:val="-3"/>
        </w:rPr>
        <w:t>数</w:t>
      </w:r>
      <w:r>
        <w:rPr/>
        <w:t>：</w:t>
        <w:tab/>
        <w:t>指中央国债登记结算有限公司推出的一只基于全市场角度衡量国内</w:t>
      </w:r>
      <w:r>
        <w:rPr>
          <w:spacing w:val="-17"/>
        </w:rPr>
        <w:t>债</w:t>
      </w:r>
      <w:r>
        <w:rPr/>
        <w:t>券市</w:t>
      </w:r>
      <w:r>
        <w:rPr>
          <w:spacing w:val="-3"/>
        </w:rPr>
        <w:t>场</w:t>
      </w:r>
      <w:r>
        <w:rPr/>
        <w:t>价</w:t>
      </w:r>
      <w:r>
        <w:rPr>
          <w:spacing w:val="-3"/>
        </w:rPr>
        <w:t>格</w:t>
      </w:r>
      <w:r>
        <w:rPr/>
        <w:t>总</w:t>
      </w:r>
      <w:r>
        <w:rPr>
          <w:spacing w:val="-3"/>
        </w:rPr>
        <w:t>体</w:t>
      </w:r>
      <w:r>
        <w:rPr/>
        <w:t>变</w:t>
      </w:r>
      <w:r>
        <w:rPr>
          <w:spacing w:val="-3"/>
        </w:rPr>
        <w:t>动</w:t>
      </w:r>
      <w:r>
        <w:rPr/>
        <w:t>水</w:t>
      </w:r>
      <w:r>
        <w:rPr>
          <w:spacing w:val="-3"/>
        </w:rPr>
        <w:t>平</w:t>
      </w:r>
      <w:r>
        <w:rPr/>
        <w:t>的指</w:t>
      </w:r>
      <w:r>
        <w:rPr>
          <w:spacing w:val="-3"/>
        </w:rPr>
        <w:t>标</w:t>
      </w:r>
      <w:r>
        <w:rPr/>
        <w:t>；</w:t>
      </w:r>
    </w:p>
    <w:p>
      <w:pPr>
        <w:pStyle w:val="BodyText"/>
        <w:tabs>
          <w:tab w:pos="2635" w:val="left" w:leader="none"/>
        </w:tabs>
        <w:spacing w:line="417" w:lineRule="auto"/>
        <w:ind w:left="2635" w:right="1311" w:hanging="1978"/>
      </w:pPr>
      <w:r>
        <w:rPr/>
        <w:t>不可</w:t>
      </w:r>
      <w:r>
        <w:rPr>
          <w:spacing w:val="-3"/>
        </w:rPr>
        <w:t>抗</w:t>
      </w:r>
      <w:r>
        <w:rPr/>
        <w:t>力：</w:t>
        <w:tab/>
        <w:t>指任</w:t>
      </w:r>
      <w:r>
        <w:rPr>
          <w:spacing w:val="-3"/>
        </w:rPr>
        <w:t>何</w:t>
      </w:r>
      <w:r>
        <w:rPr/>
        <w:t>无</w:t>
      </w:r>
      <w:r>
        <w:rPr>
          <w:spacing w:val="-3"/>
        </w:rPr>
        <w:t>法</w:t>
      </w:r>
      <w:r>
        <w:rPr/>
        <w:t>预</w:t>
      </w:r>
      <w:r>
        <w:rPr>
          <w:spacing w:val="-3"/>
        </w:rPr>
        <w:t>见</w:t>
      </w:r>
      <w:r>
        <w:rPr>
          <w:spacing w:val="-89"/>
        </w:rPr>
        <w:t>、</w:t>
      </w:r>
      <w:r>
        <w:rPr>
          <w:spacing w:val="-3"/>
        </w:rPr>
        <w:t>无</w:t>
      </w:r>
      <w:r>
        <w:rPr/>
        <w:t>法</w:t>
      </w:r>
      <w:r>
        <w:rPr>
          <w:spacing w:val="-3"/>
        </w:rPr>
        <w:t>避免</w:t>
      </w:r>
      <w:r>
        <w:rPr/>
        <w:t>和无</w:t>
      </w:r>
      <w:r>
        <w:rPr>
          <w:spacing w:val="-3"/>
        </w:rPr>
        <w:t>法</w:t>
      </w:r>
      <w:r>
        <w:rPr/>
        <w:t>克</w:t>
      </w:r>
      <w:r>
        <w:rPr>
          <w:spacing w:val="-3"/>
        </w:rPr>
        <w:t>服</w:t>
      </w:r>
      <w:r>
        <w:rPr/>
        <w:t>的</w:t>
      </w:r>
      <w:r>
        <w:rPr>
          <w:spacing w:val="-3"/>
        </w:rPr>
        <w:t>事</w:t>
      </w:r>
      <w:r>
        <w:rPr/>
        <w:t>件</w:t>
      </w:r>
      <w:r>
        <w:rPr>
          <w:spacing w:val="-3"/>
        </w:rPr>
        <w:t>或</w:t>
      </w:r>
      <w:r>
        <w:rPr/>
        <w:t>因</w:t>
      </w:r>
      <w:r>
        <w:rPr>
          <w:spacing w:val="-3"/>
        </w:rPr>
        <w:t>素</w:t>
      </w:r>
      <w:r>
        <w:rPr>
          <w:spacing w:val="-92"/>
        </w:rPr>
        <w:t>，</w:t>
      </w:r>
      <w:r>
        <w:rPr/>
        <w:t>包括</w:t>
      </w:r>
      <w:r>
        <w:rPr>
          <w:spacing w:val="-3"/>
        </w:rPr>
        <w:t>但</w:t>
      </w:r>
      <w:r>
        <w:rPr/>
        <w:t>不</w:t>
      </w:r>
      <w:r>
        <w:rPr>
          <w:spacing w:val="-3"/>
        </w:rPr>
        <w:t>限</w:t>
      </w:r>
      <w:r>
        <w:rPr/>
        <w:t>于： 地震、洪水等自然灾害，战争、骚乱、火灾、政府征用、没收，相</w:t>
      </w:r>
      <w:r>
        <w:rPr>
          <w:spacing w:val="-16"/>
        </w:rPr>
        <w:t>关</w:t>
      </w:r>
    </w:p>
    <w:p>
      <w:pPr>
        <w:spacing w:after="0" w:line="417" w:lineRule="auto"/>
        <w:sectPr>
          <w:pgSz w:w="11910" w:h="16840"/>
          <w:pgMar w:header="852" w:footer="992" w:top="1220" w:bottom="1180" w:left="1140" w:right="480"/>
        </w:sectPr>
      </w:pPr>
    </w:p>
    <w:p>
      <w:pPr>
        <w:pStyle w:val="BodyText"/>
        <w:spacing w:before="1"/>
        <w:rPr>
          <w:sz w:val="19"/>
        </w:rPr>
      </w:pPr>
    </w:p>
    <w:p>
      <w:pPr>
        <w:pStyle w:val="BodyText"/>
        <w:spacing w:line="417" w:lineRule="auto" w:before="71"/>
        <w:ind w:left="2635" w:right="1312"/>
      </w:pPr>
      <w:r>
        <w:rPr/>
        <w:t>法律、法规的变更，突发停电或其他突发事件、证券交易场所暂停或停止交易；</w:t>
      </w:r>
    </w:p>
    <w:p>
      <w:pPr>
        <w:pStyle w:val="BodyText"/>
        <w:spacing w:line="417" w:lineRule="auto"/>
        <w:ind w:left="2635" w:right="1308" w:hanging="1978"/>
        <w:jc w:val="both"/>
      </w:pPr>
      <w:r>
        <w:rPr>
          <w:spacing w:val="-5"/>
        </w:rPr>
        <w:t>指定媒介： 指中国证监会指定的用以进行信息披露的全国性报刊及指定互联网网站</w:t>
      </w:r>
      <w:r>
        <w:rPr/>
        <w:t>（</w:t>
      </w:r>
      <w:r>
        <w:rPr>
          <w:spacing w:val="-2"/>
        </w:rPr>
        <w:t>包括基金管理人网站、基金托管人网站、中国证监会基金电子披露网站</w:t>
      </w:r>
      <w:r>
        <w:rPr>
          <w:spacing w:val="-13"/>
        </w:rPr>
        <w:t>） </w:t>
      </w:r>
      <w:r>
        <w:rPr>
          <w:spacing w:val="-1"/>
        </w:rPr>
        <w:t>等媒介；</w:t>
      </w:r>
    </w:p>
    <w:p>
      <w:pPr>
        <w:pStyle w:val="BodyText"/>
        <w:spacing w:line="269" w:lineRule="exact"/>
        <w:ind w:left="658"/>
        <w:jc w:val="both"/>
      </w:pPr>
      <w:r>
        <w:rPr/>
        <w:t>《流动性风险管理规定》：指中国证监会 </w:t>
      </w:r>
      <w:r>
        <w:rPr>
          <w:rFonts w:ascii="Times New Roman" w:eastAsia="Times New Roman"/>
        </w:rPr>
        <w:t>2017 </w:t>
      </w:r>
      <w:r>
        <w:rPr/>
        <w:t>年 </w:t>
      </w:r>
      <w:r>
        <w:rPr>
          <w:rFonts w:ascii="Times New Roman" w:eastAsia="Times New Roman"/>
        </w:rPr>
        <w:t>8 </w:t>
      </w:r>
      <w:r>
        <w:rPr/>
        <w:t>月 </w:t>
      </w:r>
      <w:r>
        <w:rPr>
          <w:rFonts w:ascii="Times New Roman" w:eastAsia="Times New Roman"/>
        </w:rPr>
        <w:t>31 </w:t>
      </w:r>
      <w:r>
        <w:rPr/>
        <w:t>日颁布、同年 </w:t>
      </w:r>
      <w:r>
        <w:rPr>
          <w:rFonts w:ascii="Times New Roman" w:eastAsia="Times New Roman"/>
        </w:rPr>
        <w:t>10 </w:t>
      </w:r>
      <w:r>
        <w:rPr/>
        <w:t>月 </w:t>
      </w:r>
      <w:r>
        <w:rPr>
          <w:rFonts w:ascii="Times New Roman" w:eastAsia="Times New Roman"/>
        </w:rPr>
        <w:t>1 </w:t>
      </w:r>
      <w:r>
        <w:rPr/>
        <w:t>日实施的《公</w:t>
      </w:r>
    </w:p>
    <w:p>
      <w:pPr>
        <w:pStyle w:val="BodyText"/>
        <w:spacing w:before="6"/>
        <w:rPr>
          <w:sz w:val="15"/>
        </w:rPr>
      </w:pPr>
    </w:p>
    <w:p>
      <w:pPr>
        <w:pStyle w:val="BodyText"/>
        <w:spacing w:line="417" w:lineRule="auto" w:before="1"/>
        <w:ind w:left="3351" w:right="1248"/>
      </w:pPr>
      <w:r>
        <w:rPr/>
        <w:t>开募集开放式证券投资基金流动性风险管理规定》及颁布机关对其不时做出的修订</w:t>
      </w:r>
    </w:p>
    <w:p>
      <w:pPr>
        <w:pStyle w:val="BodyText"/>
        <w:spacing w:line="417" w:lineRule="auto"/>
        <w:ind w:left="2782" w:right="1309" w:hanging="2125"/>
        <w:jc w:val="both"/>
      </w:pPr>
      <w:r>
        <w:rPr>
          <w:spacing w:val="-11"/>
        </w:rPr>
        <w:t>流动性受限资产：指由于法律法规、监管、合同或操作障碍等原因无法以合理价格予以变现</w:t>
      </w:r>
      <w:r>
        <w:rPr>
          <w:spacing w:val="-10"/>
        </w:rPr>
        <w:t>的资产，包括但不限于到期日在 </w:t>
      </w:r>
      <w:r>
        <w:rPr>
          <w:rFonts w:ascii="Times New Roman" w:eastAsia="Times New Roman"/>
        </w:rPr>
        <w:t>10 </w:t>
      </w:r>
      <w:r>
        <w:rPr>
          <w:spacing w:val="-3"/>
        </w:rPr>
        <w:t>个交易日以上的逆回购与银行定</w:t>
      </w:r>
      <w:r>
        <w:rPr>
          <w:spacing w:val="-4"/>
        </w:rPr>
        <w:t>期存款</w:t>
      </w:r>
      <w:r>
        <w:rPr>
          <w:spacing w:val="-3"/>
        </w:rPr>
        <w:t>（含协议约定有条件提前支取的银行存款</w:t>
      </w:r>
      <w:r>
        <w:rPr>
          <w:spacing w:val="-108"/>
        </w:rPr>
        <w:t>）</w:t>
      </w:r>
      <w:r>
        <w:rPr>
          <w:spacing w:val="-3"/>
        </w:rPr>
        <w:t>、停牌股票、流通受限的新股及非公开发行股票、资产支持证券、因发行人债务违约无法进行转让或交易的债券等</w:t>
      </w:r>
    </w:p>
    <w:p>
      <w:pPr>
        <w:pStyle w:val="BodyText"/>
        <w:spacing w:line="417" w:lineRule="auto"/>
        <w:ind w:left="2501" w:right="1309" w:hanging="1844"/>
        <w:jc w:val="both"/>
      </w:pPr>
      <w:r>
        <w:rPr>
          <w:spacing w:val="-10"/>
        </w:rPr>
        <w:t>摆动定价机制：指当开放式基金遭遇大额申购赎回时，通过调整基金份额净值的方式，将基</w:t>
      </w:r>
      <w:r>
        <w:rPr>
          <w:spacing w:val="-7"/>
        </w:rPr>
        <w:t>金调整投资组合的市场冲击成本分配给实际申购、赎回的投资者，从而减少对存量基金份额持有人利益的不利影响，确保投资者的合法权益不</w:t>
      </w:r>
      <w:r>
        <w:rPr>
          <w:spacing w:val="-5"/>
        </w:rPr>
        <w:t>受损害并得到公平对待</w:t>
      </w:r>
    </w:p>
    <w:p>
      <w:pPr>
        <w:spacing w:after="0" w:line="417" w:lineRule="auto"/>
        <w:jc w:val="both"/>
        <w:sectPr>
          <w:pgSz w:w="11910" w:h="16840"/>
          <w:pgMar w:header="852" w:footer="992" w:top="1220" w:bottom="1180" w:left="1140" w:right="480"/>
        </w:sectPr>
      </w:pPr>
    </w:p>
    <w:p>
      <w:pPr>
        <w:pStyle w:val="BodyText"/>
        <w:spacing w:before="11"/>
        <w:rPr>
          <w:sz w:val="17"/>
        </w:rPr>
      </w:pPr>
    </w:p>
    <w:p>
      <w:pPr>
        <w:pStyle w:val="Heading1"/>
        <w:spacing w:before="66"/>
        <w:ind w:left="1902" w:right="2558"/>
        <w:jc w:val="center"/>
      </w:pPr>
      <w:bookmarkStart w:name="_bookmark2" w:id="3"/>
      <w:bookmarkEnd w:id="3"/>
      <w:r>
        <w:rPr>
          <w:b w:val="0"/>
        </w:rPr>
      </w:r>
      <w:r>
        <w:rPr/>
        <w:t>三、基金管理人</w:t>
      </w:r>
    </w:p>
    <w:p>
      <w:pPr>
        <w:pStyle w:val="BodyText"/>
        <w:rPr>
          <w:b/>
          <w:sz w:val="20"/>
        </w:rPr>
      </w:pPr>
    </w:p>
    <w:p>
      <w:pPr>
        <w:pStyle w:val="BodyText"/>
        <w:spacing w:before="1"/>
        <w:rPr>
          <w:b/>
          <w:sz w:val="25"/>
        </w:rPr>
      </w:pPr>
    </w:p>
    <w:p>
      <w:pPr>
        <w:spacing w:before="72"/>
        <w:ind w:left="658" w:right="0" w:firstLine="0"/>
        <w:jc w:val="left"/>
        <w:rPr>
          <w:b/>
          <w:sz w:val="21"/>
        </w:rPr>
      </w:pPr>
      <w:r>
        <w:rPr>
          <w:b/>
          <w:sz w:val="21"/>
        </w:rPr>
        <w:t>（一）基金管理人概况</w:t>
      </w:r>
    </w:p>
    <w:p>
      <w:pPr>
        <w:pStyle w:val="BodyText"/>
        <w:spacing w:before="6"/>
        <w:rPr>
          <w:b/>
          <w:sz w:val="15"/>
        </w:rPr>
      </w:pPr>
    </w:p>
    <w:p>
      <w:pPr>
        <w:pStyle w:val="BodyText"/>
        <w:spacing w:before="1"/>
        <w:ind w:left="1078"/>
      </w:pPr>
      <w:r>
        <w:rPr/>
        <w:t>名称：景顺长城基金管理有限公司</w:t>
      </w:r>
    </w:p>
    <w:p>
      <w:pPr>
        <w:pStyle w:val="BodyText"/>
        <w:spacing w:before="6"/>
        <w:rPr>
          <w:sz w:val="15"/>
        </w:rPr>
      </w:pPr>
    </w:p>
    <w:p>
      <w:pPr>
        <w:pStyle w:val="BodyText"/>
        <w:ind w:left="1078"/>
      </w:pPr>
      <w:r>
        <w:rPr/>
        <w:t>住所：深圳市福田区中心四路 1 号嘉里建设广场第 1 座 21 层</w:t>
      </w:r>
    </w:p>
    <w:p>
      <w:pPr>
        <w:pStyle w:val="BodyText"/>
        <w:spacing w:before="7"/>
        <w:rPr>
          <w:sz w:val="15"/>
        </w:rPr>
      </w:pPr>
    </w:p>
    <w:p>
      <w:pPr>
        <w:pStyle w:val="BodyText"/>
        <w:spacing w:line="417" w:lineRule="auto"/>
        <w:ind w:left="1078" w:right="6525"/>
      </w:pPr>
      <w:r>
        <w:rPr>
          <w:spacing w:val="-1"/>
        </w:rPr>
        <w:t>设立日期：</w:t>
      </w:r>
      <w:r>
        <w:rPr/>
        <w:t>2003</w:t>
      </w:r>
      <w:r>
        <w:rPr>
          <w:spacing w:val="-36"/>
        </w:rPr>
        <w:t> 年 </w:t>
      </w:r>
      <w:r>
        <w:rPr/>
        <w:t>6</w:t>
      </w:r>
      <w:r>
        <w:rPr>
          <w:spacing w:val="-35"/>
        </w:rPr>
        <w:t> 月 </w:t>
      </w:r>
      <w:r>
        <w:rPr/>
        <w:t>12</w:t>
      </w:r>
      <w:r>
        <w:rPr>
          <w:spacing w:val="-33"/>
        </w:rPr>
        <w:t> 日</w:t>
      </w:r>
      <w:r>
        <w:rPr>
          <w:spacing w:val="-3"/>
        </w:rPr>
        <w:t>法定代表人：李进</w:t>
      </w:r>
    </w:p>
    <w:p>
      <w:pPr>
        <w:pStyle w:val="BodyText"/>
        <w:ind w:left="1078"/>
      </w:pPr>
      <w:r>
        <w:rPr/>
        <w:t>注册资本：1.3 亿元人民币</w:t>
      </w:r>
    </w:p>
    <w:p>
      <w:pPr>
        <w:pStyle w:val="BodyText"/>
        <w:spacing w:before="7"/>
        <w:rPr>
          <w:sz w:val="15"/>
        </w:rPr>
      </w:pPr>
    </w:p>
    <w:p>
      <w:pPr>
        <w:pStyle w:val="BodyText"/>
        <w:ind w:left="1078"/>
      </w:pPr>
      <w:r>
        <w:rPr/>
        <w:t>批准设立文号：证监基金字［2003］76 号</w:t>
      </w:r>
    </w:p>
    <w:p>
      <w:pPr>
        <w:pStyle w:val="BodyText"/>
        <w:spacing w:before="7"/>
        <w:rPr>
          <w:sz w:val="15"/>
        </w:rPr>
      </w:pPr>
    </w:p>
    <w:p>
      <w:pPr>
        <w:pStyle w:val="BodyText"/>
        <w:spacing w:line="417" w:lineRule="auto"/>
        <w:ind w:left="1078" w:right="3215"/>
      </w:pPr>
      <w:r>
        <w:rPr>
          <w:spacing w:val="-6"/>
        </w:rPr>
        <w:t>办公地址：深圳市福田区中心四路 </w:t>
      </w:r>
      <w:r>
        <w:rPr/>
        <w:t>1</w:t>
      </w:r>
      <w:r>
        <w:rPr>
          <w:spacing w:val="-13"/>
        </w:rPr>
        <w:t> 号嘉里建设广场第 </w:t>
      </w:r>
      <w:r>
        <w:rPr/>
        <w:t>1</w:t>
      </w:r>
      <w:r>
        <w:rPr>
          <w:spacing w:val="-33"/>
        </w:rPr>
        <w:t> 座 </w:t>
      </w:r>
      <w:r>
        <w:rPr/>
        <w:t>21</w:t>
      </w:r>
      <w:r>
        <w:rPr>
          <w:spacing w:val="-25"/>
        </w:rPr>
        <w:t> 层电话：0755-82370388</w:t>
      </w:r>
    </w:p>
    <w:p>
      <w:pPr>
        <w:pStyle w:val="BodyText"/>
        <w:spacing w:line="417" w:lineRule="auto"/>
        <w:ind w:left="1078" w:right="6474"/>
      </w:pPr>
      <w:r>
        <w:rPr>
          <w:spacing w:val="-2"/>
        </w:rPr>
        <w:t>客户服务电话：</w:t>
      </w:r>
      <w:r>
        <w:rPr/>
        <w:t>400</w:t>
      </w:r>
      <w:r>
        <w:rPr>
          <w:spacing w:val="3"/>
        </w:rPr>
        <w:t> </w:t>
      </w:r>
      <w:r>
        <w:rPr/>
        <w:t>8888</w:t>
      </w:r>
      <w:r>
        <w:rPr>
          <w:spacing w:val="1"/>
        </w:rPr>
        <w:t> </w:t>
      </w:r>
      <w:r>
        <w:rPr>
          <w:spacing w:val="-5"/>
        </w:rPr>
        <w:t>606 </w:t>
      </w:r>
      <w:r>
        <w:rPr/>
        <w:t>传真：0755-22381339</w:t>
      </w:r>
    </w:p>
    <w:p>
      <w:pPr>
        <w:pStyle w:val="BodyText"/>
        <w:spacing w:line="269" w:lineRule="exact"/>
        <w:ind w:left="1078"/>
      </w:pPr>
      <w:r>
        <w:rPr/>
        <w:t>联系人：杨皞阳</w:t>
      </w:r>
    </w:p>
    <w:p>
      <w:pPr>
        <w:pStyle w:val="BodyText"/>
        <w:spacing w:before="6"/>
        <w:rPr>
          <w:sz w:val="15"/>
        </w:rPr>
      </w:pPr>
    </w:p>
    <w:p>
      <w:pPr>
        <w:pStyle w:val="BodyText"/>
        <w:spacing w:before="1"/>
        <w:ind w:left="1078"/>
      </w:pPr>
      <w:r>
        <w:rPr/>
        <w:t>股东名称及出资比例：</w:t>
      </w:r>
    </w:p>
    <w:p>
      <w:pPr>
        <w:pStyle w:val="BodyText"/>
        <w:spacing w:before="9"/>
        <w:rPr>
          <w:sz w:val="7"/>
        </w:rPr>
      </w:pPr>
    </w:p>
    <w:tbl>
      <w:tblPr>
        <w:tblW w:w="0" w:type="auto"/>
        <w:jc w:val="left"/>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4155"/>
        <w:gridCol w:w="1678"/>
      </w:tblGrid>
      <w:tr>
        <w:trPr>
          <w:trHeight w:val="467" w:hRule="atLeast"/>
        </w:trPr>
        <w:tc>
          <w:tcPr>
            <w:tcW w:w="914" w:type="dxa"/>
          </w:tcPr>
          <w:p>
            <w:pPr>
              <w:pStyle w:val="TableParagraph"/>
              <w:spacing w:before="99"/>
              <w:ind w:right="232"/>
              <w:jc w:val="right"/>
              <w:rPr>
                <w:sz w:val="21"/>
              </w:rPr>
            </w:pPr>
            <w:r>
              <w:rPr>
                <w:sz w:val="21"/>
              </w:rPr>
              <w:t>序号</w:t>
            </w:r>
          </w:p>
        </w:tc>
        <w:tc>
          <w:tcPr>
            <w:tcW w:w="4155" w:type="dxa"/>
          </w:tcPr>
          <w:p>
            <w:pPr>
              <w:pStyle w:val="TableParagraph"/>
              <w:spacing w:before="99"/>
              <w:ind w:left="1638" w:right="1627"/>
              <w:jc w:val="center"/>
              <w:rPr>
                <w:sz w:val="21"/>
              </w:rPr>
            </w:pPr>
            <w:r>
              <w:rPr>
                <w:sz w:val="21"/>
              </w:rPr>
              <w:t>股东名称</w:t>
            </w:r>
          </w:p>
        </w:tc>
        <w:tc>
          <w:tcPr>
            <w:tcW w:w="1678" w:type="dxa"/>
          </w:tcPr>
          <w:p>
            <w:pPr>
              <w:pStyle w:val="TableParagraph"/>
              <w:spacing w:before="99"/>
              <w:ind w:right="405"/>
              <w:jc w:val="right"/>
              <w:rPr>
                <w:sz w:val="21"/>
              </w:rPr>
            </w:pPr>
            <w:r>
              <w:rPr>
                <w:sz w:val="21"/>
              </w:rPr>
              <w:t>出资比例</w:t>
            </w:r>
          </w:p>
        </w:tc>
      </w:tr>
      <w:tr>
        <w:trPr>
          <w:trHeight w:val="467" w:hRule="atLeast"/>
        </w:trPr>
        <w:tc>
          <w:tcPr>
            <w:tcW w:w="914" w:type="dxa"/>
          </w:tcPr>
          <w:p>
            <w:pPr>
              <w:pStyle w:val="TableParagraph"/>
              <w:spacing w:before="99"/>
              <w:ind w:left="7"/>
              <w:jc w:val="center"/>
              <w:rPr>
                <w:sz w:val="21"/>
              </w:rPr>
            </w:pPr>
            <w:r>
              <w:rPr>
                <w:w w:val="100"/>
                <w:sz w:val="21"/>
              </w:rPr>
              <w:t>1</w:t>
            </w:r>
          </w:p>
        </w:tc>
        <w:tc>
          <w:tcPr>
            <w:tcW w:w="4155" w:type="dxa"/>
          </w:tcPr>
          <w:p>
            <w:pPr>
              <w:pStyle w:val="TableParagraph"/>
              <w:spacing w:before="99"/>
              <w:ind w:left="1236"/>
              <w:rPr>
                <w:sz w:val="21"/>
              </w:rPr>
            </w:pPr>
            <w:r>
              <w:rPr>
                <w:sz w:val="21"/>
              </w:rPr>
              <w:t>长城证券股份有限公司</w:t>
            </w:r>
          </w:p>
        </w:tc>
        <w:tc>
          <w:tcPr>
            <w:tcW w:w="1678" w:type="dxa"/>
          </w:tcPr>
          <w:p>
            <w:pPr>
              <w:pStyle w:val="TableParagraph"/>
              <w:spacing w:before="99"/>
              <w:ind w:right="458"/>
              <w:jc w:val="right"/>
              <w:rPr>
                <w:sz w:val="21"/>
              </w:rPr>
            </w:pPr>
            <w:r>
              <w:rPr>
                <w:sz w:val="21"/>
              </w:rPr>
              <w:t>49%</w:t>
            </w:r>
          </w:p>
        </w:tc>
      </w:tr>
      <w:tr>
        <w:trPr>
          <w:trHeight w:val="467" w:hRule="atLeast"/>
        </w:trPr>
        <w:tc>
          <w:tcPr>
            <w:tcW w:w="914" w:type="dxa"/>
          </w:tcPr>
          <w:p>
            <w:pPr>
              <w:pStyle w:val="TableParagraph"/>
              <w:spacing w:before="99"/>
              <w:ind w:right="182"/>
              <w:jc w:val="right"/>
              <w:rPr>
                <w:sz w:val="21"/>
              </w:rPr>
            </w:pPr>
            <w:r>
              <w:rPr>
                <w:w w:val="100"/>
                <w:sz w:val="21"/>
              </w:rPr>
              <w:t>2</w:t>
            </w:r>
          </w:p>
        </w:tc>
        <w:tc>
          <w:tcPr>
            <w:tcW w:w="4155" w:type="dxa"/>
          </w:tcPr>
          <w:p>
            <w:pPr>
              <w:pStyle w:val="TableParagraph"/>
              <w:spacing w:before="99"/>
              <w:ind w:left="1236"/>
              <w:rPr>
                <w:sz w:val="21"/>
              </w:rPr>
            </w:pPr>
            <w:r>
              <w:rPr>
                <w:sz w:val="21"/>
              </w:rPr>
              <w:t>景顺资产管理有限公司</w:t>
            </w:r>
          </w:p>
        </w:tc>
        <w:tc>
          <w:tcPr>
            <w:tcW w:w="1678" w:type="dxa"/>
          </w:tcPr>
          <w:p>
            <w:pPr>
              <w:pStyle w:val="TableParagraph"/>
              <w:spacing w:before="99"/>
              <w:ind w:right="458"/>
              <w:jc w:val="right"/>
              <w:rPr>
                <w:sz w:val="21"/>
              </w:rPr>
            </w:pPr>
            <w:r>
              <w:rPr>
                <w:sz w:val="21"/>
              </w:rPr>
              <w:t>49%</w:t>
            </w:r>
          </w:p>
        </w:tc>
      </w:tr>
      <w:tr>
        <w:trPr>
          <w:trHeight w:val="469" w:hRule="atLeast"/>
        </w:trPr>
        <w:tc>
          <w:tcPr>
            <w:tcW w:w="914" w:type="dxa"/>
          </w:tcPr>
          <w:p>
            <w:pPr>
              <w:pStyle w:val="TableParagraph"/>
              <w:spacing w:before="102"/>
              <w:ind w:right="182"/>
              <w:jc w:val="right"/>
              <w:rPr>
                <w:sz w:val="21"/>
              </w:rPr>
            </w:pPr>
            <w:r>
              <w:rPr>
                <w:w w:val="100"/>
                <w:sz w:val="21"/>
              </w:rPr>
              <w:t>3</w:t>
            </w:r>
          </w:p>
        </w:tc>
        <w:tc>
          <w:tcPr>
            <w:tcW w:w="4155" w:type="dxa"/>
          </w:tcPr>
          <w:p>
            <w:pPr>
              <w:pStyle w:val="TableParagraph"/>
              <w:spacing w:before="102"/>
              <w:ind w:left="1025"/>
              <w:rPr>
                <w:sz w:val="21"/>
              </w:rPr>
            </w:pPr>
            <w:r>
              <w:rPr>
                <w:sz w:val="21"/>
              </w:rPr>
              <w:t>开滦（集团）有限责任公司</w:t>
            </w:r>
          </w:p>
        </w:tc>
        <w:tc>
          <w:tcPr>
            <w:tcW w:w="1678" w:type="dxa"/>
          </w:tcPr>
          <w:p>
            <w:pPr>
              <w:pStyle w:val="TableParagraph"/>
              <w:spacing w:before="102"/>
              <w:ind w:right="512"/>
              <w:jc w:val="right"/>
              <w:rPr>
                <w:sz w:val="21"/>
              </w:rPr>
            </w:pPr>
            <w:r>
              <w:rPr>
                <w:sz w:val="21"/>
              </w:rPr>
              <w:t>1%</w:t>
            </w:r>
          </w:p>
        </w:tc>
      </w:tr>
      <w:tr>
        <w:trPr>
          <w:trHeight w:val="467" w:hRule="atLeast"/>
        </w:trPr>
        <w:tc>
          <w:tcPr>
            <w:tcW w:w="914" w:type="dxa"/>
          </w:tcPr>
          <w:p>
            <w:pPr>
              <w:pStyle w:val="TableParagraph"/>
              <w:spacing w:before="99"/>
              <w:ind w:right="182"/>
              <w:jc w:val="right"/>
              <w:rPr>
                <w:sz w:val="21"/>
              </w:rPr>
            </w:pPr>
            <w:r>
              <w:rPr>
                <w:w w:val="100"/>
                <w:sz w:val="21"/>
              </w:rPr>
              <w:t>4</w:t>
            </w:r>
          </w:p>
        </w:tc>
        <w:tc>
          <w:tcPr>
            <w:tcW w:w="4155" w:type="dxa"/>
          </w:tcPr>
          <w:p>
            <w:pPr>
              <w:pStyle w:val="TableParagraph"/>
              <w:spacing w:before="99"/>
              <w:ind w:left="1236"/>
              <w:rPr>
                <w:sz w:val="21"/>
              </w:rPr>
            </w:pPr>
            <w:r>
              <w:rPr>
                <w:sz w:val="21"/>
              </w:rPr>
              <w:t>大连实德集团有限公司</w:t>
            </w:r>
          </w:p>
        </w:tc>
        <w:tc>
          <w:tcPr>
            <w:tcW w:w="1678" w:type="dxa"/>
          </w:tcPr>
          <w:p>
            <w:pPr>
              <w:pStyle w:val="TableParagraph"/>
              <w:spacing w:before="99"/>
              <w:ind w:right="512"/>
              <w:jc w:val="right"/>
              <w:rPr>
                <w:sz w:val="21"/>
              </w:rPr>
            </w:pPr>
            <w:r>
              <w:rPr>
                <w:sz w:val="21"/>
              </w:rPr>
              <w:t>1%</w:t>
            </w:r>
          </w:p>
        </w:tc>
      </w:tr>
      <w:tr>
        <w:trPr>
          <w:trHeight w:val="467" w:hRule="atLeast"/>
        </w:trPr>
        <w:tc>
          <w:tcPr>
            <w:tcW w:w="5069" w:type="dxa"/>
            <w:gridSpan w:val="2"/>
          </w:tcPr>
          <w:p>
            <w:pPr>
              <w:pStyle w:val="TableParagraph"/>
              <w:spacing w:before="99"/>
              <w:ind w:left="2516" w:right="2083"/>
              <w:jc w:val="center"/>
              <w:rPr>
                <w:sz w:val="21"/>
              </w:rPr>
            </w:pPr>
            <w:r>
              <w:rPr>
                <w:sz w:val="21"/>
              </w:rPr>
              <w:t>合计</w:t>
            </w:r>
          </w:p>
        </w:tc>
        <w:tc>
          <w:tcPr>
            <w:tcW w:w="1678" w:type="dxa"/>
          </w:tcPr>
          <w:p>
            <w:pPr>
              <w:pStyle w:val="TableParagraph"/>
              <w:spacing w:before="99"/>
              <w:ind w:right="405"/>
              <w:jc w:val="right"/>
              <w:rPr>
                <w:sz w:val="21"/>
              </w:rPr>
            </w:pPr>
            <w:r>
              <w:rPr>
                <w:sz w:val="21"/>
              </w:rPr>
              <w:t>100%</w:t>
            </w:r>
          </w:p>
        </w:tc>
      </w:tr>
    </w:tbl>
    <w:p>
      <w:pPr>
        <w:pStyle w:val="BodyText"/>
        <w:rPr>
          <w:sz w:val="20"/>
        </w:rPr>
      </w:pPr>
    </w:p>
    <w:p>
      <w:pPr>
        <w:pStyle w:val="BodyText"/>
        <w:spacing w:before="5"/>
        <w:rPr>
          <w:sz w:val="24"/>
        </w:rPr>
      </w:pPr>
    </w:p>
    <w:p>
      <w:pPr>
        <w:spacing w:before="0"/>
        <w:ind w:left="658" w:right="0" w:firstLine="0"/>
        <w:jc w:val="left"/>
        <w:rPr>
          <w:b/>
          <w:sz w:val="21"/>
        </w:rPr>
      </w:pPr>
      <w:r>
        <w:rPr>
          <w:b/>
          <w:sz w:val="21"/>
        </w:rPr>
        <w:t>（二）主要人员情况</w:t>
      </w:r>
    </w:p>
    <w:p>
      <w:pPr>
        <w:pStyle w:val="BodyText"/>
        <w:spacing w:before="6"/>
        <w:rPr>
          <w:b/>
          <w:sz w:val="15"/>
        </w:rPr>
      </w:pPr>
    </w:p>
    <w:p>
      <w:pPr>
        <w:pStyle w:val="BodyText"/>
        <w:ind w:left="1078"/>
      </w:pPr>
      <w:r>
        <w:rPr/>
        <w:t>1、基金管理人董事会成员</w:t>
      </w:r>
    </w:p>
    <w:p>
      <w:pPr>
        <w:pStyle w:val="BodyText"/>
        <w:spacing w:before="7"/>
        <w:rPr>
          <w:sz w:val="15"/>
        </w:rPr>
      </w:pPr>
    </w:p>
    <w:p>
      <w:pPr>
        <w:pStyle w:val="BodyText"/>
        <w:spacing w:line="417" w:lineRule="auto"/>
        <w:ind w:left="658" w:right="1203" w:firstLine="419"/>
      </w:pPr>
      <w:r>
        <w:rPr>
          <w:spacing w:val="-3"/>
        </w:rPr>
        <w:t>李进先生，董事长，经济学硕士。</w:t>
      </w:r>
      <w:r>
        <w:rPr/>
        <w:t>1989</w:t>
      </w:r>
      <w:r>
        <w:rPr>
          <w:spacing w:val="3"/>
        </w:rPr>
        <w:t> 年至 </w:t>
      </w:r>
      <w:r>
        <w:rPr/>
        <w:t>1994</w:t>
      </w:r>
      <w:r>
        <w:rPr>
          <w:spacing w:val="-3"/>
        </w:rPr>
        <w:t> 年于中国科技财务公司工作</w:t>
      </w:r>
      <w:r>
        <w:rPr/>
        <w:t>；1994 </w:t>
      </w:r>
      <w:r>
        <w:rPr>
          <w:spacing w:val="-12"/>
        </w:rPr>
        <w:t>年至 </w:t>
      </w:r>
      <w:r>
        <w:rPr/>
        <w:t>2000</w:t>
      </w:r>
      <w:r>
        <w:rPr>
          <w:spacing w:val="-8"/>
        </w:rPr>
        <w:t> 年先后担任中国华能财务公司上海营业部副主任、综合计划部副经理、计划部副</w:t>
      </w:r>
      <w:r>
        <w:rPr>
          <w:spacing w:val="-5"/>
        </w:rPr>
        <w:t>经理、综合计划部经理</w:t>
      </w:r>
      <w:r>
        <w:rPr/>
        <w:t>；2000</w:t>
      </w:r>
      <w:r>
        <w:rPr>
          <w:spacing w:val="-11"/>
        </w:rPr>
        <w:t> 年至 </w:t>
      </w:r>
      <w:r>
        <w:rPr/>
        <w:t>2005</w:t>
      </w:r>
      <w:r>
        <w:rPr>
          <w:spacing w:val="-6"/>
        </w:rPr>
        <w:t> 年先后担任中国华能财务有限责任公司副总经理、党组成员、总经理；</w:t>
      </w:r>
      <w:r>
        <w:rPr>
          <w:spacing w:val="-3"/>
        </w:rPr>
        <w:t>2005</w:t>
      </w:r>
      <w:r>
        <w:rPr>
          <w:spacing w:val="-24"/>
        </w:rPr>
        <w:t> 年至 </w:t>
      </w:r>
      <w:r>
        <w:rPr/>
        <w:t>2006</w:t>
      </w:r>
      <w:r>
        <w:rPr>
          <w:spacing w:val="-9"/>
        </w:rPr>
        <w:t> 年先后担任永诚财产保险股份有限公司总经理、党委委员；2006</w:t>
      </w:r>
      <w:r>
        <w:rPr>
          <w:spacing w:val="-11"/>
        </w:rPr>
        <w:t> 年至 </w:t>
      </w:r>
      <w:r>
        <w:rPr/>
        <w:t>2016</w:t>
      </w:r>
      <w:r>
        <w:rPr>
          <w:spacing w:val="-5"/>
        </w:rPr>
        <w:t> 年先后担任华能资本服务有限公司副总经理、党组成员、总法律顾问、</w:t>
      </w:r>
    </w:p>
    <w:p>
      <w:pPr>
        <w:spacing w:after="0" w:line="417" w:lineRule="auto"/>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203"/>
      </w:pPr>
      <w:r>
        <w:rPr>
          <w:spacing w:val="-3"/>
          <w:w w:val="100"/>
        </w:rPr>
        <w:t>纪检组组长、工会主席、副总经理（主持经营工作</w:t>
      </w:r>
      <w:r>
        <w:rPr>
          <w:spacing w:val="-108"/>
          <w:w w:val="100"/>
        </w:rPr>
        <w:t>）</w:t>
      </w:r>
      <w:r>
        <w:rPr>
          <w:w w:val="100"/>
        </w:rPr>
        <w:t>，20</w:t>
      </w:r>
      <w:r>
        <w:rPr>
          <w:spacing w:val="-3"/>
          <w:w w:val="100"/>
        </w:rPr>
        <w:t>1</w:t>
      </w:r>
      <w:r>
        <w:rPr>
          <w:w w:val="100"/>
        </w:rPr>
        <w:t>1</w:t>
      </w:r>
      <w:r>
        <w:rPr/>
        <w:t> </w:t>
      </w:r>
      <w:r>
        <w:rPr>
          <w:spacing w:val="-2"/>
          <w:w w:val="100"/>
        </w:rPr>
        <w:t>年至</w:t>
      </w:r>
      <w:r>
        <w:rPr>
          <w:spacing w:val="-2"/>
        </w:rPr>
        <w:t> </w:t>
      </w:r>
      <w:r>
        <w:rPr>
          <w:w w:val="100"/>
        </w:rPr>
        <w:t>20</w:t>
      </w:r>
      <w:r>
        <w:rPr>
          <w:spacing w:val="-3"/>
          <w:w w:val="100"/>
        </w:rPr>
        <w:t>1</w:t>
      </w:r>
      <w:r>
        <w:rPr>
          <w:w w:val="100"/>
        </w:rPr>
        <w:t>6</w:t>
      </w:r>
      <w:r>
        <w:rPr/>
        <w:t> </w:t>
      </w:r>
      <w:r>
        <w:rPr>
          <w:spacing w:val="-3"/>
          <w:w w:val="100"/>
        </w:rPr>
        <w:t>年兼任华能贵诚信托</w:t>
      </w:r>
      <w:r>
        <w:rPr>
          <w:spacing w:val="-3"/>
        </w:rPr>
        <w:t>有限公司董事长；</w:t>
      </w:r>
      <w:r>
        <w:rPr/>
        <w:t>2016</w:t>
      </w:r>
      <w:r>
        <w:rPr>
          <w:spacing w:val="-11"/>
        </w:rPr>
        <w:t> 年至 </w:t>
      </w:r>
      <w:r>
        <w:rPr/>
        <w:t>2020</w:t>
      </w:r>
      <w:r>
        <w:rPr>
          <w:spacing w:val="-5"/>
        </w:rPr>
        <w:t> 年先后担任华能资本服务有限公司总经理、党组副书记、</w:t>
      </w:r>
      <w:r>
        <w:rPr>
          <w:spacing w:val="-10"/>
        </w:rPr>
        <w:t>党委副书记。现任华能资本服务有限公司党委书记、副董事长，景顺长城基金管理有限公司</w:t>
      </w:r>
      <w:r>
        <w:rPr>
          <w:spacing w:val="-6"/>
        </w:rPr>
        <w:t>董事长。</w:t>
      </w:r>
    </w:p>
    <w:p>
      <w:pPr>
        <w:pStyle w:val="BodyText"/>
        <w:spacing w:line="417" w:lineRule="auto"/>
        <w:ind w:left="658" w:right="1309" w:firstLine="419"/>
        <w:jc w:val="both"/>
      </w:pPr>
      <w:r>
        <w:rPr>
          <w:spacing w:val="-21"/>
        </w:rPr>
        <w:t>康乐先生，董事、总经理，经济学硕士。曾任中国人寿资产管理有限公司研究部研究员、</w:t>
      </w:r>
      <w:r>
        <w:rPr>
          <w:spacing w:val="-13"/>
        </w:rPr>
        <w:t>组合管理部投资经理、国际业务部投资经理，景顺投资管理有限公司市场销售部经理、北京</w:t>
      </w:r>
      <w:r>
        <w:rPr>
          <w:spacing w:val="-6"/>
        </w:rPr>
        <w:t>代表处首席代表，中国国际金融有限公司销售交易部副总经理。</w:t>
      </w:r>
      <w:r>
        <w:rPr/>
        <w:t>2011</w:t>
      </w:r>
      <w:r>
        <w:rPr>
          <w:spacing w:val="-12"/>
        </w:rPr>
        <w:t> 年 </w:t>
      </w:r>
      <w:r>
        <w:rPr/>
        <w:t>7</w:t>
      </w:r>
      <w:r>
        <w:rPr>
          <w:spacing w:val="-5"/>
        </w:rPr>
        <w:t> 月加入本公司， </w:t>
      </w:r>
      <w:r>
        <w:rPr>
          <w:spacing w:val="-4"/>
        </w:rPr>
        <w:t>现任公司董事兼总经理。</w:t>
      </w:r>
    </w:p>
    <w:p>
      <w:pPr>
        <w:pStyle w:val="BodyText"/>
        <w:spacing w:line="417" w:lineRule="auto"/>
        <w:ind w:left="658" w:right="1311" w:firstLine="419"/>
        <w:jc w:val="both"/>
      </w:pPr>
      <w:r>
        <w:rPr>
          <w:spacing w:val="-10"/>
        </w:rPr>
        <w:t>罗德城先生，董事，工商管理硕士。曾任大通银行信用分析师、花旗银行投资管理部副</w:t>
      </w:r>
      <w:r>
        <w:rPr>
          <w:spacing w:val="-8"/>
        </w:rPr>
        <w:t>总裁、</w:t>
      </w:r>
      <w:r>
        <w:rPr/>
        <w:t>Capital House</w:t>
      </w:r>
      <w:r>
        <w:rPr>
          <w:spacing w:val="-8"/>
        </w:rPr>
        <w:t> 亚洲分公司的董事总经理。</w:t>
      </w:r>
      <w:r>
        <w:rPr/>
        <w:t>1992</w:t>
      </w:r>
      <w:r>
        <w:rPr>
          <w:spacing w:val="-30"/>
        </w:rPr>
        <w:t> 至 </w:t>
      </w:r>
      <w:r>
        <w:rPr/>
        <w:t>1996</w:t>
      </w:r>
      <w:r>
        <w:rPr>
          <w:spacing w:val="-8"/>
        </w:rPr>
        <w:t> 年间出任香港投资基金公会</w:t>
      </w:r>
      <w:r>
        <w:rPr>
          <w:spacing w:val="-10"/>
        </w:rPr>
        <w:t>管理委员会成员，并于 </w:t>
      </w:r>
      <w:r>
        <w:rPr/>
        <w:t>1996</w:t>
      </w:r>
      <w:r>
        <w:rPr>
          <w:spacing w:val="-33"/>
        </w:rPr>
        <w:t> 至 </w:t>
      </w:r>
      <w:r>
        <w:rPr/>
        <w:t>1997</w:t>
      </w:r>
      <w:r>
        <w:rPr>
          <w:spacing w:val="-10"/>
        </w:rPr>
        <w:t> 年间担任公会主席。</w:t>
      </w:r>
      <w:r>
        <w:rPr/>
        <w:t>1997</w:t>
      </w:r>
      <w:r>
        <w:rPr>
          <w:spacing w:val="-34"/>
        </w:rPr>
        <w:t> 至 </w:t>
      </w:r>
      <w:r>
        <w:rPr/>
        <w:t>2000</w:t>
      </w:r>
      <w:r>
        <w:rPr>
          <w:spacing w:val="-9"/>
        </w:rPr>
        <w:t> 年间，担任香港联交</w:t>
      </w:r>
    </w:p>
    <w:p>
      <w:pPr>
        <w:pStyle w:val="BodyText"/>
        <w:spacing w:line="417" w:lineRule="auto"/>
        <w:ind w:left="658" w:right="1311"/>
        <w:jc w:val="both"/>
      </w:pPr>
      <w:r>
        <w:rPr>
          <w:spacing w:val="-12"/>
        </w:rPr>
        <w:t>所委员会成员，并在 </w:t>
      </w:r>
      <w:r>
        <w:rPr/>
        <w:t>1997</w:t>
      </w:r>
      <w:r>
        <w:rPr>
          <w:spacing w:val="-30"/>
        </w:rPr>
        <w:t> 至 </w:t>
      </w:r>
      <w:r>
        <w:rPr/>
        <w:t>2001</w:t>
      </w:r>
      <w:r>
        <w:rPr>
          <w:spacing w:val="-11"/>
        </w:rPr>
        <w:t> 年间担任香港证监会顾问委员会成员。现任景顺集团亚太</w:t>
      </w:r>
      <w:r>
        <w:rPr>
          <w:spacing w:val="-6"/>
        </w:rPr>
        <w:t>区首席执行官。</w:t>
      </w:r>
    </w:p>
    <w:p>
      <w:pPr>
        <w:pStyle w:val="BodyText"/>
        <w:spacing w:line="417" w:lineRule="auto"/>
        <w:ind w:left="658" w:right="1309" w:firstLine="419"/>
        <w:jc w:val="both"/>
      </w:pPr>
      <w:r>
        <w:rPr>
          <w:spacing w:val="-12"/>
        </w:rPr>
        <w:t>李翔先生，董事，高级管理人员工商管理硕士。曾任长城证券股份有限公司人事部副总</w:t>
      </w:r>
      <w:r>
        <w:rPr>
          <w:spacing w:val="-11"/>
        </w:rPr>
        <w:t>经理、人事监察部总经理、营业部总经理、公司营销总监、营销管理部总经理、副总裁兼党</w:t>
      </w:r>
      <w:r>
        <w:rPr>
          <w:spacing w:val="-6"/>
        </w:rPr>
        <w:t>委委员，现任长城证券股份有限公司总裁兼党委副书记。</w:t>
      </w:r>
    </w:p>
    <w:p>
      <w:pPr>
        <w:pStyle w:val="BodyText"/>
        <w:spacing w:line="417" w:lineRule="auto"/>
        <w:ind w:left="658" w:right="1309" w:firstLine="419"/>
        <w:jc w:val="both"/>
      </w:pPr>
      <w:r>
        <w:rPr>
          <w:spacing w:val="-3"/>
          <w:w w:val="100"/>
        </w:rPr>
        <w:t>伍同明先生，独立董事，文学学士。香港会计师公会会员</w:t>
      </w:r>
      <w:r>
        <w:rPr>
          <w:w w:val="100"/>
        </w:rPr>
        <w:t>（</w:t>
      </w:r>
      <w:r>
        <w:rPr>
          <w:spacing w:val="-3"/>
          <w:w w:val="100"/>
        </w:rPr>
        <w:t>H</w:t>
      </w:r>
      <w:r>
        <w:rPr>
          <w:w w:val="100"/>
        </w:rPr>
        <w:t>KICP</w:t>
      </w:r>
      <w:r>
        <w:rPr>
          <w:spacing w:val="-1"/>
          <w:w w:val="100"/>
        </w:rPr>
        <w:t>A</w:t>
      </w:r>
      <w:r>
        <w:rPr>
          <w:spacing w:val="-108"/>
          <w:w w:val="100"/>
        </w:rPr>
        <w:t>）</w:t>
      </w:r>
      <w:r>
        <w:rPr>
          <w:spacing w:val="-2"/>
          <w:w w:val="100"/>
        </w:rPr>
        <w:t>、英国特许公认会计师</w:t>
      </w:r>
      <w:r>
        <w:rPr>
          <w:spacing w:val="-1"/>
          <w:w w:val="100"/>
        </w:rPr>
        <w:t>（</w:t>
      </w:r>
      <w:r>
        <w:rPr>
          <w:w w:val="100"/>
        </w:rPr>
        <w:t>A</w:t>
      </w:r>
      <w:r>
        <w:rPr>
          <w:spacing w:val="-3"/>
          <w:w w:val="100"/>
        </w:rPr>
        <w:t>C</w:t>
      </w:r>
      <w:r>
        <w:rPr>
          <w:w w:val="100"/>
        </w:rPr>
        <w:t>C</w:t>
      </w:r>
      <w:r>
        <w:rPr>
          <w:spacing w:val="-1"/>
          <w:w w:val="100"/>
        </w:rPr>
        <w:t>A</w:t>
      </w:r>
      <w:r>
        <w:rPr>
          <w:spacing w:val="-106"/>
          <w:w w:val="100"/>
        </w:rPr>
        <w:t>）</w:t>
      </w:r>
      <w:r>
        <w:rPr>
          <w:spacing w:val="-3"/>
          <w:w w:val="100"/>
        </w:rPr>
        <w:t>、香港执业会计师</w:t>
      </w:r>
      <w:r>
        <w:rPr>
          <w:w w:val="100"/>
        </w:rPr>
        <w:t>（CP</w:t>
      </w:r>
      <w:r>
        <w:rPr>
          <w:spacing w:val="-3"/>
          <w:w w:val="100"/>
        </w:rPr>
        <w:t>A</w:t>
      </w:r>
      <w:r>
        <w:rPr>
          <w:spacing w:val="-106"/>
          <w:w w:val="100"/>
        </w:rPr>
        <w:t>）</w:t>
      </w:r>
      <w:r>
        <w:rPr>
          <w:spacing w:val="-3"/>
          <w:w w:val="100"/>
        </w:rPr>
        <w:t>、加拿大公认管理会计师</w:t>
      </w:r>
      <w:r>
        <w:rPr>
          <w:w w:val="100"/>
        </w:rPr>
        <w:t>（CMA</w:t>
      </w:r>
      <w:r>
        <w:rPr>
          <w:spacing w:val="-108"/>
          <w:w w:val="100"/>
        </w:rPr>
        <w:t>）</w:t>
      </w:r>
      <w:r>
        <w:rPr>
          <w:spacing w:val="-2"/>
          <w:w w:val="100"/>
        </w:rPr>
        <w:t>。拥有超过二十年以</w:t>
      </w:r>
      <w:r>
        <w:rPr>
          <w:spacing w:val="-6"/>
        </w:rPr>
        <w:t>上的会计、审核、管治税务的专业经验及知识，</w:t>
      </w:r>
      <w:r>
        <w:rPr/>
        <w:t>1972-1977</w:t>
      </w:r>
      <w:r>
        <w:rPr>
          <w:spacing w:val="-8"/>
        </w:rPr>
        <w:t> 受训于国际知名会计师楼“毕马</w:t>
      </w:r>
      <w:r>
        <w:rPr>
          <w:spacing w:val="-5"/>
        </w:rPr>
        <w:t>威会计师行”[</w:t>
      </w:r>
      <w:r>
        <w:rPr/>
        <w:t>KPMG</w:t>
      </w:r>
      <w:r>
        <w:rPr>
          <w:spacing w:val="-3"/>
        </w:rPr>
        <w:t>]。现为“伍同明会计师行”所有者。</w:t>
      </w:r>
    </w:p>
    <w:p>
      <w:pPr>
        <w:pStyle w:val="BodyText"/>
        <w:spacing w:line="417" w:lineRule="auto"/>
        <w:ind w:left="658" w:right="1308" w:firstLine="419"/>
        <w:jc w:val="both"/>
      </w:pPr>
      <w:r>
        <w:rPr>
          <w:spacing w:val="-10"/>
        </w:rPr>
        <w:t>靳庆军先生，独立董事，法学硕士。曾任中信律师事务所涉外专职律师，在香港马士打</w:t>
      </w:r>
      <w:r>
        <w:rPr>
          <w:spacing w:val="-13"/>
        </w:rPr>
        <w:t>律师行、英国律师行 </w:t>
      </w:r>
      <w:r>
        <w:rPr/>
        <w:t>C1yde＆Co.</w:t>
      </w:r>
      <w:r>
        <w:rPr>
          <w:spacing w:val="-2"/>
        </w:rPr>
        <w:t> 从事律师工作，</w:t>
      </w:r>
      <w:r>
        <w:rPr>
          <w:spacing w:val="-8"/>
        </w:rPr>
        <w:t>1993</w:t>
      </w:r>
      <w:r>
        <w:rPr>
          <w:spacing w:val="-10"/>
        </w:rPr>
        <w:t> 年发起设立信达律师事务所，担任执</w:t>
      </w:r>
      <w:r>
        <w:rPr>
          <w:spacing w:val="-5"/>
        </w:rPr>
        <w:t>行合伙人。现任金杜律师事务所合伙人。</w:t>
      </w:r>
    </w:p>
    <w:p>
      <w:pPr>
        <w:pStyle w:val="BodyText"/>
        <w:spacing w:line="417" w:lineRule="auto"/>
        <w:ind w:left="658" w:right="1308" w:firstLine="419"/>
        <w:jc w:val="both"/>
      </w:pPr>
      <w:r>
        <w:rPr>
          <w:spacing w:val="-20"/>
        </w:rPr>
        <w:t>闵路浩先生，独立董事，经济学硕士。曾任中国人民银行金融管理公司科员、主任科员； </w:t>
      </w:r>
      <w:r>
        <w:rPr>
          <w:spacing w:val="-12"/>
        </w:rPr>
        <w:t>中国人民银行非银行金融机构监管司副处长、处长；中国银行业监督管理委员会非银行金融机构监管部处长、副巡视员、巡视员；中国小额贷款公司协会会长；重庆富民银行行长。现</w:t>
      </w:r>
      <w:r>
        <w:rPr>
          <w:spacing w:val="-6"/>
        </w:rPr>
        <w:t>任北京中泰创汇股权投资基金管理有限公司总裁。</w:t>
      </w:r>
    </w:p>
    <w:p>
      <w:pPr>
        <w:pStyle w:val="BodyText"/>
        <w:spacing w:line="268" w:lineRule="exact"/>
        <w:ind w:left="1078"/>
      </w:pPr>
      <w:r>
        <w:rPr/>
        <w:t>2、基金管理人监事会成员</w:t>
      </w:r>
    </w:p>
    <w:p>
      <w:pPr>
        <w:pStyle w:val="BodyText"/>
        <w:spacing w:before="5"/>
        <w:rPr>
          <w:sz w:val="15"/>
        </w:rPr>
      </w:pPr>
    </w:p>
    <w:p>
      <w:pPr>
        <w:pStyle w:val="BodyText"/>
        <w:ind w:left="1078"/>
      </w:pPr>
      <w:r>
        <w:rPr/>
        <w:t>阮惠仙女士，监事，会计学硕士。现任长城证券股份有限公司财务部总经理。</w:t>
      </w:r>
    </w:p>
    <w:p>
      <w:pPr>
        <w:pStyle w:val="BodyText"/>
        <w:spacing w:before="7"/>
        <w:rPr>
          <w:sz w:val="15"/>
        </w:rPr>
      </w:pPr>
    </w:p>
    <w:p>
      <w:pPr>
        <w:pStyle w:val="BodyText"/>
        <w:ind w:left="1078"/>
      </w:pPr>
      <w:r>
        <w:rPr/>
        <w:t>郭慧娜女士，监事，管理理学硕士。曾任伦敦安永会计师事务所核数师，历任景顺投资</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13"/>
      </w:pPr>
      <w:r>
        <w:rPr>
          <w:spacing w:val="-8"/>
        </w:rPr>
        <w:t>管理有限公司项目主管、业务发展部副经理、企业发展部经理、亚太区监察总监、亚太区首</w:t>
      </w:r>
      <w:r>
        <w:rPr>
          <w:spacing w:val="-5"/>
        </w:rPr>
        <w:t>席行政官。现任景顺投资管理有限公司亚太区首席营运总监。</w:t>
      </w:r>
    </w:p>
    <w:p>
      <w:pPr>
        <w:pStyle w:val="BodyText"/>
        <w:spacing w:line="417" w:lineRule="auto"/>
        <w:ind w:left="658" w:right="1314" w:firstLine="419"/>
      </w:pPr>
      <w:r>
        <w:rPr>
          <w:spacing w:val="-9"/>
        </w:rPr>
        <w:t>邵媛媛女士，监事，管理学硕士。曾任职于深圳市天健</w:t>
      </w:r>
      <w:r>
        <w:rPr/>
        <w:t>（</w:t>
      </w:r>
      <w:r>
        <w:rPr>
          <w:spacing w:val="-2"/>
        </w:rPr>
        <w:t>信德</w:t>
      </w:r>
      <w:r>
        <w:rPr>
          <w:spacing w:val="-17"/>
        </w:rPr>
        <w:t>）</w:t>
      </w:r>
      <w:r>
        <w:rPr>
          <w:spacing w:val="-5"/>
        </w:rPr>
        <w:t>会计师事务所、福建兴</w:t>
      </w:r>
      <w:r>
        <w:rPr>
          <w:spacing w:val="-4"/>
        </w:rPr>
        <w:t>业银行深圳分行计财部。现任景顺长城基金管理有限公司基金事务部总监。</w:t>
      </w:r>
    </w:p>
    <w:p>
      <w:pPr>
        <w:pStyle w:val="BodyText"/>
        <w:spacing w:line="417" w:lineRule="auto"/>
        <w:ind w:left="658" w:right="1311" w:firstLine="419"/>
      </w:pPr>
      <w:r>
        <w:rPr>
          <w:spacing w:val="-11"/>
        </w:rPr>
        <w:t>杨波先生，监事，工商管理硕士。曾任职于长城证券经纪业务管理部。现任景顺长城基</w:t>
      </w:r>
      <w:r>
        <w:rPr>
          <w:spacing w:val="-6"/>
        </w:rPr>
        <w:t>金管理有限公司交易管理部总监。</w:t>
      </w:r>
    </w:p>
    <w:p>
      <w:pPr>
        <w:pStyle w:val="BodyText"/>
        <w:spacing w:line="269" w:lineRule="exact"/>
        <w:ind w:left="1078"/>
      </w:pPr>
      <w:r>
        <w:rPr/>
        <w:t>3、高级管理人员</w:t>
      </w:r>
    </w:p>
    <w:p>
      <w:pPr>
        <w:pStyle w:val="BodyText"/>
        <w:spacing w:before="7"/>
        <w:rPr>
          <w:sz w:val="15"/>
        </w:rPr>
      </w:pPr>
    </w:p>
    <w:p>
      <w:pPr>
        <w:pStyle w:val="BodyText"/>
        <w:spacing w:line="417" w:lineRule="auto"/>
        <w:ind w:left="1078" w:right="6261"/>
      </w:pPr>
      <w:r>
        <w:rPr/>
        <w:t>李进先生，董事长，简历同上。康乐先生，总经理，简历同上。</w:t>
      </w:r>
    </w:p>
    <w:p>
      <w:pPr>
        <w:pStyle w:val="BodyText"/>
        <w:spacing w:line="417" w:lineRule="auto"/>
        <w:ind w:left="658" w:right="1308" w:firstLine="419"/>
        <w:jc w:val="both"/>
      </w:pPr>
      <w:r>
        <w:rPr>
          <w:w w:val="100"/>
        </w:rPr>
        <w:t>CHEN</w:t>
      </w:r>
      <w:r>
        <w:rPr/>
        <w:t> </w:t>
      </w:r>
      <w:r>
        <w:rPr>
          <w:spacing w:val="-3"/>
          <w:w w:val="100"/>
        </w:rPr>
        <w:t>W</w:t>
      </w:r>
      <w:r>
        <w:rPr>
          <w:w w:val="100"/>
        </w:rPr>
        <w:t>ENY</w:t>
      </w:r>
      <w:r>
        <w:rPr>
          <w:spacing w:val="-1"/>
          <w:w w:val="100"/>
        </w:rPr>
        <w:t>U</w:t>
      </w:r>
      <w:r>
        <w:rPr>
          <w:spacing w:val="-3"/>
          <w:w w:val="100"/>
        </w:rPr>
        <w:t>（</w:t>
      </w:r>
      <w:r>
        <w:rPr>
          <w:spacing w:val="-1"/>
          <w:w w:val="100"/>
        </w:rPr>
        <w:t>陈文宇先生</w:t>
      </w:r>
      <w:r>
        <w:rPr>
          <w:spacing w:val="-108"/>
          <w:w w:val="100"/>
        </w:rPr>
        <w:t>）</w:t>
      </w:r>
      <w:r>
        <w:rPr>
          <w:spacing w:val="-3"/>
          <w:w w:val="100"/>
        </w:rPr>
        <w:t>，副总经理，工商管理硕士。曾担任中国海口电视台每日新</w:t>
      </w:r>
      <w:r>
        <w:rPr>
          <w:spacing w:val="-6"/>
        </w:rPr>
        <w:t>闻记者及每周金融新闻节目制作人，安盛罗森堡投资管理公司</w:t>
      </w:r>
      <w:r>
        <w:rPr>
          <w:spacing w:val="-3"/>
        </w:rPr>
        <w:t>（美国加州</w:t>
      </w:r>
      <w:r>
        <w:rPr>
          <w:spacing w:val="-32"/>
        </w:rPr>
        <w:t>）</w:t>
      </w:r>
      <w:r>
        <w:rPr>
          <w:spacing w:val="-2"/>
        </w:rPr>
        <w:t>美洲区副首席投</w:t>
      </w:r>
      <w:r>
        <w:rPr>
          <w:spacing w:val="-11"/>
        </w:rPr>
        <w:t>资官、以及研究、投资组合管理和策略等其他多个职位，安盛投资管理亚洲有限公司</w:t>
      </w:r>
      <w:r>
        <w:rPr/>
        <w:t>（</w:t>
      </w:r>
      <w:r>
        <w:rPr>
          <w:spacing w:val="-2"/>
        </w:rPr>
        <w:t>新加坡）</w:t>
      </w:r>
      <w:r>
        <w:rPr>
          <w:spacing w:val="-3"/>
        </w:rPr>
        <w:t>泛亚地区首席投资官，主要负责投资组合管理、研究、交易等相关业务。</w:t>
      </w:r>
      <w:r>
        <w:rPr/>
        <w:t>2018</w:t>
      </w:r>
      <w:r>
        <w:rPr>
          <w:spacing w:val="-12"/>
        </w:rPr>
        <w:t> 年 </w:t>
      </w:r>
      <w:r>
        <w:rPr/>
        <w:t>9</w:t>
      </w:r>
      <w:r>
        <w:rPr>
          <w:spacing w:val="-9"/>
        </w:rPr>
        <w:t> 月</w:t>
      </w:r>
      <w:r>
        <w:rPr>
          <w:spacing w:val="-5"/>
        </w:rPr>
        <w:t>加入本公司，现任公司副总经理。</w:t>
      </w:r>
    </w:p>
    <w:p>
      <w:pPr>
        <w:pStyle w:val="BodyText"/>
        <w:spacing w:line="417" w:lineRule="auto"/>
        <w:ind w:left="658" w:right="1308" w:firstLine="419"/>
        <w:jc w:val="both"/>
      </w:pPr>
      <w:r>
        <w:rPr>
          <w:spacing w:val="-10"/>
        </w:rPr>
        <w:t>毛从容女士，副总经理，经济学硕士。曾任职于交通银行深圳市分行国际业务部，担任</w:t>
      </w:r>
      <w:r>
        <w:rPr>
          <w:spacing w:val="-5"/>
        </w:rPr>
        <w:t>长城证券金融研究所高级分析师、债券小组组长。</w:t>
      </w:r>
      <w:r>
        <w:rPr/>
        <w:t>2003</w:t>
      </w:r>
      <w:r>
        <w:rPr>
          <w:spacing w:val="-12"/>
        </w:rPr>
        <w:t> 年 </w:t>
      </w:r>
      <w:r>
        <w:rPr/>
        <w:t>3</w:t>
      </w:r>
      <w:r>
        <w:rPr>
          <w:spacing w:val="-5"/>
        </w:rPr>
        <w:t> 月加入本公司，现任公司副总经理。</w:t>
      </w:r>
    </w:p>
    <w:p>
      <w:pPr>
        <w:pStyle w:val="BodyText"/>
        <w:spacing w:line="417" w:lineRule="auto"/>
        <w:ind w:left="658" w:right="1311" w:firstLine="419"/>
        <w:jc w:val="both"/>
      </w:pPr>
      <w:r>
        <w:rPr>
          <w:spacing w:val="-11"/>
        </w:rPr>
        <w:t>黎海威先生，副总经理，经济学硕士。曾担任美国穆迪 </w:t>
      </w:r>
      <w:r>
        <w:rPr/>
        <w:t>KMV</w:t>
      </w:r>
      <w:r>
        <w:rPr>
          <w:spacing w:val="-9"/>
        </w:rPr>
        <w:t> 公司研究员，美国贝莱德集</w:t>
      </w:r>
      <w:r>
        <w:rPr>
          <w:spacing w:val="-22"/>
        </w:rPr>
        <w:t>团</w:t>
      </w:r>
      <w:r>
        <w:rPr>
          <w:spacing w:val="-3"/>
        </w:rPr>
        <w:t>（原巴克莱国际投资管理有限公司</w:t>
      </w:r>
      <w:r>
        <w:rPr>
          <w:spacing w:val="-25"/>
        </w:rPr>
        <w:t>）</w:t>
      </w:r>
      <w:r>
        <w:rPr>
          <w:spacing w:val="-8"/>
        </w:rPr>
        <w:t>基金经理、主动股票部副总裁，香港海通国际资产管</w:t>
      </w:r>
      <w:r>
        <w:rPr>
          <w:spacing w:val="-5"/>
        </w:rPr>
        <w:t>理有限公司(海通国际投资管理有限公司)量化总监。</w:t>
      </w:r>
      <w:r>
        <w:rPr/>
        <w:t>2012</w:t>
      </w:r>
      <w:r>
        <w:rPr>
          <w:spacing w:val="-12"/>
        </w:rPr>
        <w:t> 年 </w:t>
      </w:r>
      <w:r>
        <w:rPr/>
        <w:t>8</w:t>
      </w:r>
      <w:r>
        <w:rPr>
          <w:spacing w:val="-5"/>
        </w:rPr>
        <w:t> 月加入本公司，现任公司副</w:t>
      </w:r>
      <w:r>
        <w:rPr>
          <w:spacing w:val="-4"/>
        </w:rPr>
        <w:t>总经理。</w:t>
      </w:r>
    </w:p>
    <w:p>
      <w:pPr>
        <w:pStyle w:val="BodyText"/>
        <w:spacing w:line="417" w:lineRule="auto"/>
        <w:ind w:left="658" w:right="1310" w:firstLine="419"/>
        <w:jc w:val="right"/>
      </w:pPr>
      <w:r>
        <w:rPr>
          <w:spacing w:val="-20"/>
        </w:rPr>
        <w:t>赵代中先生，副总经理，理学硕士。曾担任深圳发展银行北京分行金融同业部投资经理、</w:t>
      </w:r>
      <w:r>
        <w:rPr>
          <w:spacing w:val="-12"/>
        </w:rPr>
        <w:t>宁夏嘉川集团项目部项目负责人、全国社会保障基金理事会境外投资部全球股票处处长、浙</w:t>
      </w:r>
      <w:r>
        <w:rPr>
          <w:spacing w:val="-10"/>
        </w:rPr>
        <w:t>江大钧资产管理有限公司合伙人兼副总经理。</w:t>
      </w:r>
      <w:r>
        <w:rPr/>
        <w:t>2016</w:t>
      </w:r>
      <w:r>
        <w:rPr>
          <w:spacing w:val="-27"/>
        </w:rPr>
        <w:t> 年 </w:t>
      </w:r>
      <w:r>
        <w:rPr/>
        <w:t>3</w:t>
      </w:r>
      <w:r>
        <w:rPr>
          <w:spacing w:val="-12"/>
        </w:rPr>
        <w:t> 月加入本公司，现任公司副总经理。李黎女士，副总经理，经济学硕士。曾任职于广发证券深圳业务总部机构客户中心、景</w:t>
      </w:r>
    </w:p>
    <w:p>
      <w:pPr>
        <w:pStyle w:val="BodyText"/>
        <w:spacing w:line="417" w:lineRule="auto"/>
        <w:ind w:left="658" w:right="1308"/>
        <w:jc w:val="both"/>
      </w:pPr>
      <w:r>
        <w:rPr>
          <w:spacing w:val="-7"/>
        </w:rPr>
        <w:t>顺长城基金管理有限公司市场部，之后加入国投瑞银基金市场服务部担任副总监职务。</w:t>
      </w:r>
      <w:r>
        <w:rPr/>
        <w:t>2009 </w:t>
      </w:r>
      <w:r>
        <w:rPr>
          <w:spacing w:val="-27"/>
        </w:rPr>
        <w:t>年 </w:t>
      </w:r>
      <w:r>
        <w:rPr/>
        <w:t>6</w:t>
      </w:r>
      <w:r>
        <w:rPr>
          <w:spacing w:val="-9"/>
        </w:rPr>
        <w:t> 月再次加入本公司，现任公司副总经理。</w:t>
      </w:r>
    </w:p>
    <w:p>
      <w:pPr>
        <w:pStyle w:val="BodyText"/>
        <w:spacing w:line="417" w:lineRule="auto"/>
        <w:ind w:left="658" w:right="1310" w:firstLine="419"/>
        <w:jc w:val="both"/>
      </w:pPr>
      <w:r>
        <w:rPr>
          <w:spacing w:val="-20"/>
        </w:rPr>
        <w:t>吴建军先生，副总经理，经济学硕士。曾担任海南汇通国际信托投资公司证券部副经理， </w:t>
      </w:r>
      <w:r>
        <w:rPr>
          <w:spacing w:val="-8"/>
        </w:rPr>
        <w:t>长城证券股份有限公司机构管理部总经理、公司总裁助理。</w:t>
      </w:r>
      <w:r>
        <w:rPr/>
        <w:t>2003</w:t>
      </w:r>
      <w:r>
        <w:rPr>
          <w:spacing w:val="-12"/>
        </w:rPr>
        <w:t> 年 </w:t>
      </w:r>
      <w:r>
        <w:rPr/>
        <w:t>3</w:t>
      </w:r>
      <w:r>
        <w:rPr>
          <w:spacing w:val="-5"/>
        </w:rPr>
        <w:t> 月加入本公司，现任</w:t>
      </w:r>
      <w:r>
        <w:rPr>
          <w:spacing w:val="-4"/>
        </w:rPr>
        <w:t>公司副总经理。</w:t>
      </w:r>
    </w:p>
    <w:p>
      <w:pPr>
        <w:spacing w:after="0" w:line="417" w:lineRule="auto"/>
        <w:jc w:val="both"/>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9" w:firstLine="419"/>
        <w:jc w:val="both"/>
      </w:pPr>
      <w:r>
        <w:rPr>
          <w:spacing w:val="-10"/>
        </w:rPr>
        <w:t>刘焕喜先生，副总经理，投资与金融系博士。曾担任武汉大学教师工作处副科长、武汉</w:t>
      </w:r>
      <w:r>
        <w:rPr>
          <w:spacing w:val="-13"/>
        </w:rPr>
        <w:t>大学成人教育学院讲师，《证券时报》社编辑记者，长城证券研发中心研究员、总裁办副主</w:t>
      </w:r>
      <w:r>
        <w:rPr>
          <w:spacing w:val="-6"/>
        </w:rPr>
        <w:t>任、行政部副总经理。</w:t>
      </w:r>
      <w:r>
        <w:rPr/>
        <w:t>2003</w:t>
      </w:r>
      <w:r>
        <w:rPr>
          <w:spacing w:val="-36"/>
        </w:rPr>
        <w:t> 年 </w:t>
      </w:r>
      <w:r>
        <w:rPr/>
        <w:t>3</w:t>
      </w:r>
      <w:r>
        <w:rPr>
          <w:spacing w:val="-9"/>
        </w:rPr>
        <w:t> 月加入本公司，现任公司副总经理。</w:t>
      </w:r>
    </w:p>
    <w:p>
      <w:pPr>
        <w:pStyle w:val="BodyText"/>
        <w:spacing w:line="417" w:lineRule="auto"/>
        <w:ind w:left="658" w:right="1204" w:firstLine="419"/>
      </w:pPr>
      <w:r>
        <w:rPr/>
        <w:t>杨皞阳先生，督察长，法学硕士。曾担任黑龙江省大庆市红岗区人民法院助理审判员， 南方基金管理有限公司监察稽核部监察稽核经理、监察稽核高级经理、总监助理。2008 年10 月加入本公司，现任公司督察长。</w:t>
      </w:r>
    </w:p>
    <w:p>
      <w:pPr>
        <w:pStyle w:val="BodyText"/>
        <w:spacing w:line="417" w:lineRule="auto"/>
        <w:ind w:left="1092" w:right="1308"/>
        <w:jc w:val="both"/>
      </w:pPr>
      <w:r>
        <w:rPr>
          <w:spacing w:val="-12"/>
        </w:rPr>
        <w:t>张明先生，首席信息官，工商管理硕士。曾先后担任平安证券股份有限公司信息技术部</w:t>
      </w:r>
      <w:r>
        <w:rPr>
          <w:spacing w:val="-6"/>
        </w:rPr>
        <w:t>架构与开发支持组经理、信息技术中心技术开发部执行总经理等职务。</w:t>
      </w:r>
      <w:r>
        <w:rPr>
          <w:rFonts w:ascii="Times New Roman" w:eastAsia="Times New Roman"/>
        </w:rPr>
        <w:t>2020 </w:t>
      </w:r>
      <w:r>
        <w:rPr>
          <w:spacing w:val="-12"/>
        </w:rPr>
        <w:t>年 </w:t>
      </w:r>
      <w:r>
        <w:rPr>
          <w:rFonts w:ascii="Times New Roman" w:eastAsia="Times New Roman"/>
        </w:rPr>
        <w:t>3 </w:t>
      </w:r>
      <w:r>
        <w:rPr/>
        <w:t>月加</w:t>
      </w:r>
      <w:r>
        <w:rPr>
          <w:spacing w:val="-3"/>
        </w:rPr>
        <w:t>入本公司，现任公司首席信息官。4、本系列基金现任基金经理简历</w:t>
      </w:r>
    </w:p>
    <w:p>
      <w:pPr>
        <w:pStyle w:val="BodyText"/>
        <w:spacing w:line="417" w:lineRule="auto"/>
        <w:ind w:left="658" w:right="1309" w:firstLine="419"/>
        <w:jc w:val="both"/>
      </w:pPr>
      <w:r>
        <w:rPr>
          <w:spacing w:val="-9"/>
        </w:rPr>
        <w:t>本公司采用团队投资方式，即通过整个投资部门全体人员的共同努力，争取良好投资业</w:t>
      </w:r>
      <w:r>
        <w:rPr>
          <w:spacing w:val="-11"/>
        </w:rPr>
        <w:t>绩。本系列基金下设三个基金，由基金经理小组负责本系列基金的投资管理，现任基金经理如下：</w:t>
      </w:r>
    </w:p>
    <w:p>
      <w:pPr>
        <w:pStyle w:val="ListParagraph"/>
        <w:numPr>
          <w:ilvl w:val="0"/>
          <w:numId w:val="1"/>
        </w:numPr>
        <w:tabs>
          <w:tab w:pos="1607" w:val="left" w:leader="none"/>
        </w:tabs>
        <w:spacing w:line="269" w:lineRule="exact" w:before="0" w:after="0"/>
        <w:ind w:left="1607" w:right="0" w:hanging="529"/>
        <w:jc w:val="left"/>
        <w:rPr>
          <w:sz w:val="21"/>
        </w:rPr>
      </w:pPr>
      <w:r>
        <w:rPr>
          <w:spacing w:val="-3"/>
          <w:sz w:val="21"/>
        </w:rPr>
        <w:t>景顺长城货币市场证券投资基金</w:t>
      </w:r>
    </w:p>
    <w:p>
      <w:pPr>
        <w:pStyle w:val="BodyText"/>
        <w:spacing w:before="6"/>
        <w:rPr>
          <w:sz w:val="15"/>
        </w:rPr>
      </w:pPr>
    </w:p>
    <w:p>
      <w:pPr>
        <w:pStyle w:val="BodyText"/>
        <w:spacing w:line="417" w:lineRule="auto"/>
        <w:ind w:left="658" w:right="1308" w:firstLine="419"/>
      </w:pPr>
      <w:r>
        <w:rPr>
          <w:spacing w:val="-9"/>
        </w:rPr>
        <w:t>陈威霖女士，管理学硕士。曾担任平安利顺货币经纪公司债券市场部债券经纪人。</w:t>
      </w:r>
      <w:r>
        <w:rPr/>
        <w:t>2013 </w:t>
      </w:r>
      <w:r>
        <w:rPr>
          <w:spacing w:val="-22"/>
        </w:rPr>
        <w:t>年 </w:t>
      </w:r>
      <w:r>
        <w:rPr/>
        <w:t>6</w:t>
      </w:r>
      <w:r>
        <w:rPr>
          <w:spacing w:val="-10"/>
        </w:rPr>
        <w:t> 月加入本公司，历任交易管理部交易员、固定收益部信用研究员，自 </w:t>
      </w:r>
      <w:r>
        <w:rPr/>
        <w:t>2016</w:t>
      </w:r>
      <w:r>
        <w:rPr>
          <w:spacing w:val="-30"/>
        </w:rPr>
        <w:t> 年 </w:t>
      </w:r>
      <w:r>
        <w:rPr/>
        <w:t>4</w:t>
      </w:r>
      <w:r>
        <w:rPr>
          <w:spacing w:val="-13"/>
        </w:rPr>
        <w:t> 月起担</w:t>
      </w:r>
    </w:p>
    <w:p>
      <w:pPr>
        <w:pStyle w:val="BodyText"/>
        <w:ind w:left="658"/>
      </w:pPr>
      <w:r>
        <w:rPr/>
        <w:t>任固定收益部基金经理。具有 8 年证券、基金行业从业经验。</w:t>
      </w:r>
    </w:p>
    <w:p>
      <w:pPr>
        <w:pStyle w:val="BodyText"/>
        <w:spacing w:before="7"/>
        <w:rPr>
          <w:sz w:val="15"/>
        </w:rPr>
      </w:pPr>
    </w:p>
    <w:p>
      <w:pPr>
        <w:pStyle w:val="BodyText"/>
        <w:spacing w:line="417" w:lineRule="auto"/>
        <w:ind w:left="658" w:right="1309" w:firstLine="419"/>
        <w:jc w:val="both"/>
      </w:pPr>
      <w:r>
        <w:rPr>
          <w:spacing w:val="-8"/>
        </w:rPr>
        <w:t>米良先生，经济学硕士。曾担任汇丰银行</w:t>
      </w:r>
      <w:r>
        <w:rPr>
          <w:spacing w:val="-3"/>
        </w:rPr>
        <w:t>（</w:t>
      </w:r>
      <w:r>
        <w:rPr>
          <w:spacing w:val="-2"/>
        </w:rPr>
        <w:t>中国</w:t>
      </w:r>
      <w:r>
        <w:rPr>
          <w:spacing w:val="-20"/>
        </w:rPr>
        <w:t>）</w:t>
      </w:r>
      <w:r>
        <w:rPr>
          <w:spacing w:val="-5"/>
        </w:rPr>
        <w:t>有限公司零售银行部管理培训生、零</w:t>
      </w:r>
      <w:r>
        <w:rPr>
          <w:spacing w:val="-10"/>
        </w:rPr>
        <w:t>售银行部高级客户经理，汇丰银行深圳分行贸易融资部产品经理，招商银行资产负债部资产</w:t>
      </w:r>
      <w:r>
        <w:rPr>
          <w:spacing w:val="-6"/>
        </w:rPr>
        <w:t>管理岗，</w:t>
      </w:r>
      <w:r>
        <w:rPr/>
        <w:t>2018</w:t>
      </w:r>
      <w:r>
        <w:rPr>
          <w:spacing w:val="-28"/>
        </w:rPr>
        <w:t> 年 </w:t>
      </w:r>
      <w:r>
        <w:rPr/>
        <w:t>9</w:t>
      </w:r>
      <w:r>
        <w:rPr>
          <w:spacing w:val="-12"/>
        </w:rPr>
        <w:t> 月加入我公司，自 </w:t>
      </w:r>
      <w:r>
        <w:rPr/>
        <w:t>2018</w:t>
      </w:r>
      <w:r>
        <w:rPr>
          <w:spacing w:val="-29"/>
        </w:rPr>
        <w:t> 年 </w:t>
      </w:r>
      <w:r>
        <w:rPr/>
        <w:t>11</w:t>
      </w:r>
      <w:r>
        <w:rPr>
          <w:spacing w:val="-10"/>
        </w:rPr>
        <w:t> 月起担任固定收益部基金经理。具有 </w:t>
      </w:r>
      <w:r>
        <w:rPr/>
        <w:t>5</w:t>
      </w:r>
      <w:r>
        <w:rPr>
          <w:spacing w:val="-22"/>
        </w:rPr>
        <w:t> 年</w:t>
      </w:r>
      <w:r>
        <w:rPr>
          <w:spacing w:val="-8"/>
        </w:rPr>
        <w:t>证券、基金行业从业经验。</w:t>
      </w:r>
    </w:p>
    <w:p>
      <w:pPr>
        <w:pStyle w:val="ListParagraph"/>
        <w:numPr>
          <w:ilvl w:val="0"/>
          <w:numId w:val="1"/>
        </w:numPr>
        <w:tabs>
          <w:tab w:pos="1607" w:val="left" w:leader="none"/>
        </w:tabs>
        <w:spacing w:line="268" w:lineRule="exact" w:before="0" w:after="0"/>
        <w:ind w:left="1607" w:right="0" w:hanging="529"/>
        <w:jc w:val="left"/>
        <w:rPr>
          <w:sz w:val="21"/>
        </w:rPr>
      </w:pPr>
      <w:r>
        <w:rPr>
          <w:spacing w:val="-3"/>
          <w:sz w:val="21"/>
        </w:rPr>
        <w:t>景顺长城动力平衡证券投资基金</w:t>
      </w:r>
    </w:p>
    <w:p>
      <w:pPr>
        <w:pStyle w:val="BodyText"/>
        <w:spacing w:before="7"/>
        <w:rPr>
          <w:sz w:val="15"/>
        </w:rPr>
      </w:pPr>
    </w:p>
    <w:p>
      <w:pPr>
        <w:pStyle w:val="BodyText"/>
        <w:spacing w:line="417" w:lineRule="auto"/>
        <w:ind w:left="658" w:right="1311" w:firstLine="419"/>
      </w:pPr>
      <w:r>
        <w:rPr>
          <w:spacing w:val="-9"/>
        </w:rPr>
        <w:t>刘苏先生，理学硕士。曾担任深圳国际信托投资有限公司</w:t>
      </w:r>
      <w:r>
        <w:rPr>
          <w:spacing w:val="-3"/>
        </w:rPr>
        <w:t>（现华润深国投信托</w:t>
      </w:r>
      <w:r>
        <w:rPr>
          <w:spacing w:val="-25"/>
        </w:rPr>
        <w:t>）</w:t>
      </w:r>
      <w:r>
        <w:rPr>
          <w:spacing w:val="-2"/>
        </w:rPr>
        <w:t>信托经</w:t>
      </w:r>
      <w:r>
        <w:rPr>
          <w:spacing w:val="-14"/>
        </w:rPr>
        <w:t>理，鹏华基金高级研究员、基金经理助理、基金经理职务。</w:t>
      </w:r>
      <w:r>
        <w:rPr/>
        <w:t>2015</w:t>
      </w:r>
      <w:r>
        <w:rPr>
          <w:spacing w:val="-30"/>
        </w:rPr>
        <w:t> 年 </w:t>
      </w:r>
      <w:r>
        <w:rPr/>
        <w:t>5</w:t>
      </w:r>
      <w:r>
        <w:rPr>
          <w:spacing w:val="-15"/>
        </w:rPr>
        <w:t> 月加入本公司，自 </w:t>
      </w:r>
      <w:r>
        <w:rPr/>
        <w:t>2015</w:t>
      </w:r>
    </w:p>
    <w:p>
      <w:pPr>
        <w:pStyle w:val="BodyText"/>
        <w:spacing w:line="417" w:lineRule="auto"/>
        <w:ind w:left="658" w:right="1311"/>
      </w:pPr>
      <w:r>
        <w:rPr>
          <w:spacing w:val="-9"/>
        </w:rPr>
        <w:t>年 </w:t>
      </w:r>
      <w:r>
        <w:rPr/>
        <w:t>9</w:t>
      </w:r>
      <w:r>
        <w:rPr>
          <w:spacing w:val="-6"/>
        </w:rPr>
        <w:t> 月起担任股票投资部基金经理，现任股票投资部研究副总监兼基金经理职务。具有 </w:t>
      </w:r>
      <w:r>
        <w:rPr>
          <w:spacing w:val="-3"/>
        </w:rPr>
        <w:t>14 年证券、基金行业从业经验。</w:t>
      </w:r>
    </w:p>
    <w:p>
      <w:pPr>
        <w:pStyle w:val="ListParagraph"/>
        <w:numPr>
          <w:ilvl w:val="0"/>
          <w:numId w:val="1"/>
        </w:numPr>
        <w:tabs>
          <w:tab w:pos="1607" w:val="left" w:leader="none"/>
        </w:tabs>
        <w:spacing w:line="269" w:lineRule="exact" w:before="0" w:after="0"/>
        <w:ind w:left="1607" w:right="0" w:hanging="529"/>
        <w:jc w:val="left"/>
        <w:rPr>
          <w:sz w:val="21"/>
        </w:rPr>
      </w:pPr>
      <w:r>
        <w:rPr>
          <w:spacing w:val="-3"/>
          <w:sz w:val="21"/>
        </w:rPr>
        <w:t>景顺长城优选混合型证券投资基金</w:t>
      </w:r>
    </w:p>
    <w:p>
      <w:pPr>
        <w:pStyle w:val="BodyText"/>
        <w:spacing w:before="6"/>
        <w:rPr>
          <w:sz w:val="15"/>
        </w:rPr>
      </w:pPr>
    </w:p>
    <w:p>
      <w:pPr>
        <w:pStyle w:val="BodyText"/>
        <w:spacing w:line="417" w:lineRule="auto" w:before="1"/>
        <w:ind w:left="658" w:right="1308" w:firstLine="419"/>
      </w:pPr>
      <w:r>
        <w:rPr>
          <w:spacing w:val="-10"/>
        </w:rPr>
        <w:t>杨锐文先生，工学硕士、理学硕士。曾担任上海常春藤衍生投资公司高级分析师。</w:t>
      </w:r>
      <w:r>
        <w:rPr/>
        <w:t>2010 </w:t>
      </w:r>
      <w:r>
        <w:rPr>
          <w:spacing w:val="-22"/>
        </w:rPr>
        <w:t>年 </w:t>
      </w:r>
      <w:r>
        <w:rPr/>
        <w:t>11</w:t>
      </w:r>
      <w:r>
        <w:rPr>
          <w:spacing w:val="-10"/>
        </w:rPr>
        <w:t> 月加入本公司，担任研究部研究员，自 </w:t>
      </w:r>
      <w:r>
        <w:rPr/>
        <w:t>2014</w:t>
      </w:r>
      <w:r>
        <w:rPr>
          <w:spacing w:val="-30"/>
        </w:rPr>
        <w:t> 年 </w:t>
      </w:r>
      <w:r>
        <w:rPr/>
        <w:t>10</w:t>
      </w:r>
      <w:r>
        <w:rPr>
          <w:spacing w:val="-8"/>
        </w:rPr>
        <w:t> 月起担任股票投资部基金经理，现</w:t>
      </w:r>
    </w:p>
    <w:p>
      <w:pPr>
        <w:pStyle w:val="BodyText"/>
        <w:spacing w:line="417" w:lineRule="auto"/>
        <w:ind w:left="1078" w:right="2689" w:hanging="420"/>
      </w:pPr>
      <w:r>
        <w:rPr>
          <w:spacing w:val="-5"/>
        </w:rPr>
        <w:t>任股票投资部投资副总监兼基金经理。具有 </w:t>
      </w:r>
      <w:r>
        <w:rPr/>
        <w:t>9</w:t>
      </w:r>
      <w:r>
        <w:rPr>
          <w:spacing w:val="-8"/>
        </w:rPr>
        <w:t> 年证券、基金行业从业经验。5</w:t>
      </w:r>
      <w:r>
        <w:rPr>
          <w:spacing w:val="-4"/>
        </w:rPr>
        <w:t>、本系列基金现任基金经理曾管理的基金名称及管理时间</w:t>
      </w:r>
    </w:p>
    <w:p>
      <w:pPr>
        <w:spacing w:after="0" w:line="417" w:lineRule="auto"/>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100" w:firstLine="419"/>
      </w:pPr>
      <w:r>
        <w:rPr>
          <w:spacing w:val="-6"/>
        </w:rPr>
        <w:t>本基金现任基金经理刘苏先生曾于 </w:t>
      </w:r>
      <w:r>
        <w:rPr/>
        <w:t>2011</w:t>
      </w:r>
      <w:r>
        <w:rPr>
          <w:spacing w:val="-33"/>
        </w:rPr>
        <w:t> 年 </w:t>
      </w:r>
      <w:r>
        <w:rPr/>
        <w:t>12</w:t>
      </w:r>
      <w:r>
        <w:rPr>
          <w:spacing w:val="-26"/>
        </w:rPr>
        <w:t> 月至 </w:t>
      </w:r>
      <w:r>
        <w:rPr/>
        <w:t>2015</w:t>
      </w:r>
      <w:r>
        <w:rPr>
          <w:spacing w:val="-33"/>
        </w:rPr>
        <w:t> 年 </w:t>
      </w:r>
      <w:r>
        <w:rPr/>
        <w:t>5</w:t>
      </w:r>
      <w:r>
        <w:rPr>
          <w:spacing w:val="-8"/>
        </w:rPr>
        <w:t> 月管理鹏华基金管理有限</w:t>
      </w:r>
      <w:r>
        <w:rPr>
          <w:w w:val="100"/>
        </w:rPr>
        <w:t>公</w:t>
      </w:r>
      <w:r>
        <w:rPr>
          <w:spacing w:val="-9"/>
          <w:w w:val="100"/>
        </w:rPr>
        <w:t>司鹏华精选成长股票型证券投资基金</w:t>
      </w:r>
      <w:r>
        <w:rPr>
          <w:w w:val="100"/>
        </w:rPr>
        <w:t>（</w:t>
      </w:r>
      <w:r>
        <w:rPr>
          <w:spacing w:val="-3"/>
          <w:w w:val="100"/>
        </w:rPr>
        <w:t>现更名为</w:t>
      </w:r>
      <w:r>
        <w:rPr>
          <w:spacing w:val="-22"/>
          <w:w w:val="100"/>
        </w:rPr>
        <w:t>：“鹏华精选成长混合型型证券投资基金”</w:t>
      </w:r>
      <w:r>
        <w:rPr>
          <w:spacing w:val="-108"/>
          <w:w w:val="100"/>
        </w:rPr>
        <w:t>）</w:t>
      </w:r>
      <w:r>
        <w:rPr>
          <w:w w:val="100"/>
        </w:rPr>
        <w:t>； </w:t>
      </w:r>
      <w:r>
        <w:rPr/>
        <w:t>2013</w:t>
      </w:r>
      <w:r>
        <w:rPr>
          <w:spacing w:val="-25"/>
        </w:rPr>
        <w:t> 年 </w:t>
      </w:r>
      <w:r>
        <w:rPr/>
        <w:t>10</w:t>
      </w:r>
      <w:r>
        <w:rPr>
          <w:spacing w:val="-19"/>
        </w:rPr>
        <w:t> 月至 </w:t>
      </w:r>
      <w:r>
        <w:rPr/>
        <w:t>2015</w:t>
      </w:r>
      <w:r>
        <w:rPr>
          <w:spacing w:val="-25"/>
        </w:rPr>
        <w:t> 年 </w:t>
      </w:r>
      <w:r>
        <w:rPr/>
        <w:t>5</w:t>
      </w:r>
      <w:r>
        <w:rPr>
          <w:spacing w:val="-7"/>
        </w:rPr>
        <w:t> 月管理鹏华基金管理有限公司鹏华消费领先灵活配置混合型证券</w:t>
      </w:r>
      <w:r>
        <w:rPr>
          <w:spacing w:val="-5"/>
        </w:rPr>
        <w:t>投资基金</w:t>
      </w:r>
      <w:r>
        <w:rPr>
          <w:spacing w:val="-3"/>
        </w:rPr>
        <w:t>（原基金名称为“鹏华普惠基金</w:t>
      </w:r>
      <w:r>
        <w:rPr>
          <w:spacing w:val="-106"/>
        </w:rPr>
        <w:t>”）</w:t>
      </w:r>
      <w:r>
        <w:rPr/>
        <w:t>。</w:t>
      </w:r>
    </w:p>
    <w:p>
      <w:pPr>
        <w:pStyle w:val="BodyText"/>
        <w:spacing w:line="268" w:lineRule="exact"/>
        <w:ind w:left="1078"/>
      </w:pPr>
      <w:r>
        <w:rPr>
          <w:spacing w:val="-6"/>
        </w:rPr>
        <w:t>本基金现任基金经理杨锐文先生曾于 </w:t>
      </w:r>
      <w:r>
        <w:rPr/>
        <w:t>2014</w:t>
      </w:r>
      <w:r>
        <w:rPr>
          <w:spacing w:val="-32"/>
        </w:rPr>
        <w:t> 年 </w:t>
      </w:r>
      <w:r>
        <w:rPr/>
        <w:t>10</w:t>
      </w:r>
      <w:r>
        <w:rPr>
          <w:spacing w:val="-25"/>
        </w:rPr>
        <w:t> 月至 </w:t>
      </w:r>
      <w:r>
        <w:rPr/>
        <w:t>2016</w:t>
      </w:r>
      <w:r>
        <w:rPr>
          <w:spacing w:val="-31"/>
        </w:rPr>
        <w:t> 年 </w:t>
      </w:r>
      <w:r>
        <w:rPr/>
        <w:t>1</w:t>
      </w:r>
      <w:r>
        <w:rPr>
          <w:spacing w:val="-8"/>
        </w:rPr>
        <w:t> 月管理景顺长城成长之</w:t>
      </w:r>
    </w:p>
    <w:p>
      <w:pPr>
        <w:pStyle w:val="BodyText"/>
        <w:spacing w:before="7"/>
        <w:rPr>
          <w:sz w:val="15"/>
        </w:rPr>
      </w:pPr>
    </w:p>
    <w:p>
      <w:pPr>
        <w:pStyle w:val="BodyText"/>
        <w:ind w:left="658"/>
      </w:pPr>
      <w:r>
        <w:rPr>
          <w:spacing w:val="-4"/>
        </w:rPr>
        <w:t>星股票型证券投资基金；</w:t>
      </w:r>
      <w:r>
        <w:rPr>
          <w:spacing w:val="-8"/>
        </w:rPr>
        <w:t>2016</w:t>
      </w:r>
      <w:r>
        <w:rPr>
          <w:spacing w:val="-33"/>
        </w:rPr>
        <w:t> 年 </w:t>
      </w:r>
      <w:r>
        <w:rPr/>
        <w:t>11</w:t>
      </w:r>
      <w:r>
        <w:rPr>
          <w:spacing w:val="-25"/>
        </w:rPr>
        <w:t> 月至 </w:t>
      </w:r>
      <w:r>
        <w:rPr/>
        <w:t>2017</w:t>
      </w:r>
      <w:r>
        <w:rPr>
          <w:spacing w:val="-33"/>
        </w:rPr>
        <w:t> 年 </w:t>
      </w:r>
      <w:r>
        <w:rPr/>
        <w:t>12</w:t>
      </w:r>
      <w:r>
        <w:rPr>
          <w:spacing w:val="-9"/>
        </w:rPr>
        <w:t> 月管理景顺长城中国回报灵活配置混合</w:t>
      </w:r>
    </w:p>
    <w:p>
      <w:pPr>
        <w:pStyle w:val="BodyText"/>
        <w:spacing w:before="7"/>
        <w:rPr>
          <w:sz w:val="15"/>
        </w:rPr>
      </w:pPr>
    </w:p>
    <w:p>
      <w:pPr>
        <w:pStyle w:val="BodyText"/>
        <w:spacing w:line="417" w:lineRule="auto"/>
        <w:ind w:left="658" w:right="1309"/>
      </w:pPr>
      <w:r>
        <w:rPr>
          <w:spacing w:val="-16"/>
          <w:w w:val="100"/>
        </w:rPr>
        <w:t>型证券投资基金；</w:t>
      </w:r>
      <w:r>
        <w:rPr>
          <w:w w:val="100"/>
        </w:rPr>
        <w:t>20</w:t>
      </w:r>
      <w:r>
        <w:rPr>
          <w:spacing w:val="-3"/>
          <w:w w:val="100"/>
        </w:rPr>
        <w:t>1</w:t>
      </w:r>
      <w:r>
        <w:rPr>
          <w:w w:val="100"/>
        </w:rPr>
        <w:t>7</w:t>
      </w:r>
      <w:r>
        <w:rPr>
          <w:spacing w:val="-59"/>
        </w:rPr>
        <w:t> </w:t>
      </w:r>
      <w:r>
        <w:rPr>
          <w:w w:val="100"/>
        </w:rPr>
        <w:t>年</w:t>
      </w:r>
      <w:r>
        <w:rPr>
          <w:spacing w:val="-57"/>
        </w:rPr>
        <w:t> </w:t>
      </w:r>
      <w:r>
        <w:rPr>
          <w:w w:val="100"/>
        </w:rPr>
        <w:t>3</w:t>
      </w:r>
      <w:r>
        <w:rPr>
          <w:spacing w:val="-60"/>
        </w:rPr>
        <w:t> </w:t>
      </w:r>
      <w:r>
        <w:rPr>
          <w:w w:val="100"/>
        </w:rPr>
        <w:t>月至</w:t>
      </w:r>
      <w:r>
        <w:rPr>
          <w:spacing w:val="-57"/>
        </w:rPr>
        <w:t> </w:t>
      </w:r>
      <w:r>
        <w:rPr>
          <w:spacing w:val="-3"/>
          <w:w w:val="100"/>
        </w:rPr>
        <w:t>2</w:t>
      </w:r>
      <w:r>
        <w:rPr>
          <w:w w:val="100"/>
        </w:rPr>
        <w:t>019</w:t>
      </w:r>
      <w:r>
        <w:rPr>
          <w:spacing w:val="-60"/>
        </w:rPr>
        <w:t> </w:t>
      </w:r>
      <w:r>
        <w:rPr>
          <w:w w:val="100"/>
        </w:rPr>
        <w:t>年</w:t>
      </w:r>
      <w:r>
        <w:rPr>
          <w:spacing w:val="-57"/>
        </w:rPr>
        <w:t> </w:t>
      </w:r>
      <w:r>
        <w:rPr>
          <w:spacing w:val="-3"/>
          <w:w w:val="100"/>
        </w:rPr>
        <w:t>1</w:t>
      </w:r>
      <w:r>
        <w:rPr>
          <w:w w:val="100"/>
        </w:rPr>
        <w:t>1</w:t>
      </w:r>
      <w:r>
        <w:rPr>
          <w:spacing w:val="-57"/>
        </w:rPr>
        <w:t> </w:t>
      </w:r>
      <w:r>
        <w:rPr>
          <w:spacing w:val="-3"/>
          <w:w w:val="100"/>
        </w:rPr>
        <w:t>月管理景顺长城景颐丰利债券型证券投资基金。 </w:t>
      </w:r>
      <w:r>
        <w:rPr>
          <w:spacing w:val="-3"/>
        </w:rPr>
        <w:t>6、本系列基金现任基金经理兼任其他基金基金经理的情况</w:t>
      </w:r>
    </w:p>
    <w:p>
      <w:pPr>
        <w:pStyle w:val="BodyText"/>
        <w:spacing w:line="417" w:lineRule="auto"/>
        <w:ind w:left="658" w:right="1309" w:firstLine="419"/>
      </w:pPr>
      <w:r>
        <w:rPr>
          <w:spacing w:val="-7"/>
        </w:rPr>
        <w:t>本基金现任基金经理陈威霖女士兼任景顺长城景益货币市场基金、景顺长城景丰货币市</w:t>
      </w:r>
      <w:r>
        <w:rPr>
          <w:spacing w:val="-5"/>
        </w:rPr>
        <w:t>场基金和景顺长城景泰稳利定期开放债券型证券投资基金基金经理。</w:t>
      </w:r>
    </w:p>
    <w:p>
      <w:pPr>
        <w:pStyle w:val="BodyText"/>
        <w:spacing w:line="417" w:lineRule="auto"/>
        <w:ind w:left="658" w:right="1313" w:firstLine="419"/>
      </w:pPr>
      <w:r>
        <w:rPr/>
        <w:t>本基金现任基金经理米良先生兼任景顺长城景益货币市场基金和景顺长城景丰货币市场基金基金经理。</w:t>
      </w:r>
    </w:p>
    <w:p>
      <w:pPr>
        <w:pStyle w:val="BodyText"/>
        <w:spacing w:line="417" w:lineRule="auto"/>
        <w:ind w:left="658" w:right="1308" w:firstLine="419"/>
      </w:pPr>
      <w:r>
        <w:rPr>
          <w:spacing w:val="-5"/>
          <w:w w:val="100"/>
        </w:rPr>
        <w:t>本基金现任基金经理杨锐文先生兼任景顺长城资源垄断混合型证券投资基金</w:t>
      </w:r>
      <w:r>
        <w:rPr>
          <w:w w:val="100"/>
        </w:rPr>
        <w:t>（L</w:t>
      </w:r>
      <w:r>
        <w:rPr>
          <w:spacing w:val="-3"/>
          <w:w w:val="100"/>
        </w:rPr>
        <w:t>O</w:t>
      </w:r>
      <w:r>
        <w:rPr>
          <w:spacing w:val="-1"/>
          <w:w w:val="100"/>
        </w:rPr>
        <w:t>F</w:t>
      </w:r>
      <w:r>
        <w:rPr>
          <w:spacing w:val="-108"/>
          <w:w w:val="100"/>
        </w:rPr>
        <w:t>）</w:t>
      </w:r>
      <w:r>
        <w:rPr>
          <w:spacing w:val="-23"/>
          <w:w w:val="100"/>
        </w:rPr>
        <w:t>、景</w:t>
      </w:r>
      <w:r>
        <w:rPr>
          <w:spacing w:val="-8"/>
        </w:rPr>
        <w:t>顺长城环保优势股票型证券投资基金和景顺长城创新成长混合型证券投资基金基金经理。</w:t>
      </w:r>
    </w:p>
    <w:p>
      <w:pPr>
        <w:pStyle w:val="BodyText"/>
        <w:ind w:left="1078"/>
      </w:pPr>
      <w:r>
        <w:rPr/>
        <w:t>7、本系列基金历任基金经理姓名及管理时间</w:t>
      </w:r>
    </w:p>
    <w:p>
      <w:pPr>
        <w:pStyle w:val="BodyText"/>
        <w:spacing w:before="9"/>
        <w:rPr>
          <w:sz w:val="7"/>
        </w:rPr>
      </w:pPr>
    </w:p>
    <w:tbl>
      <w:tblPr>
        <w:tblW w:w="0" w:type="auto"/>
        <w:jc w:val="left"/>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7230"/>
      </w:tblGrid>
      <w:tr>
        <w:trPr>
          <w:trHeight w:val="467" w:hRule="atLeast"/>
        </w:trPr>
        <w:tc>
          <w:tcPr>
            <w:tcW w:w="1560" w:type="dxa"/>
          </w:tcPr>
          <w:p>
            <w:pPr>
              <w:pStyle w:val="TableParagraph"/>
              <w:spacing w:before="99"/>
              <w:ind w:left="129" w:right="120"/>
              <w:jc w:val="center"/>
              <w:rPr>
                <w:sz w:val="21"/>
              </w:rPr>
            </w:pPr>
            <w:r>
              <w:rPr>
                <w:sz w:val="21"/>
              </w:rPr>
              <w:t>基金经理姓名</w:t>
            </w:r>
          </w:p>
        </w:tc>
        <w:tc>
          <w:tcPr>
            <w:tcW w:w="7230" w:type="dxa"/>
          </w:tcPr>
          <w:p>
            <w:pPr>
              <w:pStyle w:val="TableParagraph"/>
              <w:spacing w:before="99"/>
              <w:ind w:left="111" w:right="99"/>
              <w:jc w:val="center"/>
              <w:rPr>
                <w:sz w:val="21"/>
              </w:rPr>
            </w:pPr>
            <w:r>
              <w:rPr>
                <w:sz w:val="21"/>
              </w:rPr>
              <w:t>管理时间</w:t>
            </w:r>
          </w:p>
        </w:tc>
      </w:tr>
      <w:tr>
        <w:trPr>
          <w:trHeight w:val="935" w:hRule="atLeast"/>
        </w:trPr>
        <w:tc>
          <w:tcPr>
            <w:tcW w:w="1560" w:type="dxa"/>
          </w:tcPr>
          <w:p>
            <w:pPr>
              <w:pStyle w:val="TableParagraph"/>
              <w:spacing w:before="99"/>
              <w:ind w:left="129" w:right="118"/>
              <w:jc w:val="center"/>
              <w:rPr>
                <w:sz w:val="21"/>
              </w:rPr>
            </w:pPr>
            <w:r>
              <w:rPr>
                <w:sz w:val="21"/>
              </w:rPr>
              <w:t>陈利宏先生</w:t>
            </w:r>
          </w:p>
        </w:tc>
        <w:tc>
          <w:tcPr>
            <w:tcW w:w="7230" w:type="dxa"/>
          </w:tcPr>
          <w:p>
            <w:pPr>
              <w:pStyle w:val="TableParagraph"/>
              <w:spacing w:before="99"/>
              <w:ind w:left="146"/>
              <w:rPr>
                <w:sz w:val="21"/>
              </w:rPr>
            </w:pPr>
            <w:r>
              <w:rPr>
                <w:sz w:val="21"/>
              </w:rPr>
              <w:t>2003</w:t>
            </w:r>
            <w:r>
              <w:rPr>
                <w:spacing w:val="-34"/>
                <w:sz w:val="21"/>
              </w:rPr>
              <w:t> 年 </w:t>
            </w:r>
            <w:r>
              <w:rPr>
                <w:sz w:val="21"/>
              </w:rPr>
              <w:t>10</w:t>
            </w:r>
            <w:r>
              <w:rPr>
                <w:spacing w:val="-34"/>
                <w:sz w:val="21"/>
              </w:rPr>
              <w:t> 月 </w:t>
            </w:r>
            <w:r>
              <w:rPr>
                <w:sz w:val="21"/>
              </w:rPr>
              <w:t>24</w:t>
            </w:r>
            <w:r>
              <w:rPr>
                <w:spacing w:val="-17"/>
                <w:sz w:val="21"/>
              </w:rPr>
              <w:t> 日-</w:t>
            </w:r>
            <w:r>
              <w:rPr>
                <w:sz w:val="21"/>
              </w:rPr>
              <w:t>2004</w:t>
            </w:r>
            <w:r>
              <w:rPr>
                <w:spacing w:val="-34"/>
                <w:sz w:val="21"/>
              </w:rPr>
              <w:t> 年 </w:t>
            </w:r>
            <w:r>
              <w:rPr>
                <w:sz w:val="21"/>
              </w:rPr>
              <w:t>11</w:t>
            </w:r>
            <w:r>
              <w:rPr>
                <w:spacing w:val="-34"/>
                <w:sz w:val="21"/>
              </w:rPr>
              <w:t> 月 </w:t>
            </w:r>
            <w:r>
              <w:rPr>
                <w:sz w:val="21"/>
              </w:rPr>
              <w:t>17</w:t>
            </w:r>
            <w:r>
              <w:rPr>
                <w:spacing w:val="-26"/>
                <w:sz w:val="21"/>
              </w:rPr>
              <w:t> 日</w:t>
            </w:r>
            <w:r>
              <w:rPr>
                <w:spacing w:val="-3"/>
                <w:sz w:val="21"/>
              </w:rPr>
              <w:t>（管理景顺长城优选混合型证券投资</w:t>
            </w:r>
          </w:p>
          <w:p>
            <w:pPr>
              <w:pStyle w:val="TableParagraph"/>
              <w:spacing w:before="7"/>
              <w:rPr>
                <w:sz w:val="15"/>
              </w:rPr>
            </w:pPr>
          </w:p>
          <w:p>
            <w:pPr>
              <w:pStyle w:val="TableParagraph"/>
              <w:ind w:left="146"/>
              <w:rPr>
                <w:sz w:val="21"/>
              </w:rPr>
            </w:pPr>
            <w:r>
              <w:rPr>
                <w:spacing w:val="-3"/>
                <w:sz w:val="21"/>
              </w:rPr>
              <w:t>基金、景顺长城动力平衡证券投资基金和景顺长城货币市场证券投资基金</w:t>
            </w:r>
            <w:r>
              <w:rPr>
                <w:sz w:val="21"/>
              </w:rPr>
              <w:t>）</w:t>
            </w:r>
          </w:p>
        </w:tc>
      </w:tr>
      <w:tr>
        <w:trPr>
          <w:trHeight w:val="935" w:hRule="atLeast"/>
        </w:trPr>
        <w:tc>
          <w:tcPr>
            <w:tcW w:w="1560" w:type="dxa"/>
          </w:tcPr>
          <w:p>
            <w:pPr>
              <w:pStyle w:val="TableParagraph"/>
              <w:spacing w:before="99"/>
              <w:ind w:left="129" w:right="118"/>
              <w:jc w:val="center"/>
              <w:rPr>
                <w:sz w:val="21"/>
              </w:rPr>
            </w:pPr>
            <w:r>
              <w:rPr>
                <w:sz w:val="21"/>
              </w:rPr>
              <w:t>曾昭雄先生</w:t>
            </w:r>
          </w:p>
        </w:tc>
        <w:tc>
          <w:tcPr>
            <w:tcW w:w="7230" w:type="dxa"/>
          </w:tcPr>
          <w:p>
            <w:pPr>
              <w:pStyle w:val="TableParagraph"/>
              <w:spacing w:before="99"/>
              <w:ind w:left="113" w:right="99"/>
              <w:jc w:val="center"/>
              <w:rPr>
                <w:sz w:val="21"/>
              </w:rPr>
            </w:pPr>
            <w:r>
              <w:rPr>
                <w:sz w:val="21"/>
              </w:rPr>
              <w:t>2004</w:t>
            </w:r>
            <w:r>
              <w:rPr>
                <w:spacing w:val="-34"/>
                <w:sz w:val="21"/>
              </w:rPr>
              <w:t> 年 </w:t>
            </w:r>
            <w:r>
              <w:rPr>
                <w:sz w:val="21"/>
              </w:rPr>
              <w:t>11</w:t>
            </w:r>
            <w:r>
              <w:rPr>
                <w:spacing w:val="-35"/>
                <w:sz w:val="21"/>
              </w:rPr>
              <w:t> 月 </w:t>
            </w:r>
            <w:r>
              <w:rPr>
                <w:sz w:val="21"/>
              </w:rPr>
              <w:t>18</w:t>
            </w:r>
            <w:r>
              <w:rPr>
                <w:spacing w:val="-17"/>
                <w:sz w:val="21"/>
              </w:rPr>
              <w:t> 日-</w:t>
            </w:r>
            <w:r>
              <w:rPr>
                <w:sz w:val="21"/>
              </w:rPr>
              <w:t>2005</w:t>
            </w:r>
            <w:r>
              <w:rPr>
                <w:spacing w:val="-35"/>
                <w:sz w:val="21"/>
              </w:rPr>
              <w:t> 年 </w:t>
            </w:r>
            <w:r>
              <w:rPr>
                <w:sz w:val="21"/>
              </w:rPr>
              <w:t>5</w:t>
            </w:r>
            <w:r>
              <w:rPr>
                <w:spacing w:val="-35"/>
                <w:sz w:val="21"/>
              </w:rPr>
              <w:t> 月 </w:t>
            </w:r>
            <w:r>
              <w:rPr>
                <w:sz w:val="21"/>
              </w:rPr>
              <w:t>31</w:t>
            </w:r>
            <w:r>
              <w:rPr>
                <w:spacing w:val="-37"/>
                <w:sz w:val="21"/>
              </w:rPr>
              <w:t> 日</w:t>
            </w:r>
            <w:r>
              <w:rPr>
                <w:spacing w:val="-3"/>
                <w:sz w:val="21"/>
              </w:rPr>
              <w:t>（管理景顺长城优选混合型证券投资基</w:t>
            </w:r>
          </w:p>
          <w:p>
            <w:pPr>
              <w:pStyle w:val="TableParagraph"/>
              <w:spacing w:before="7"/>
              <w:rPr>
                <w:sz w:val="15"/>
              </w:rPr>
            </w:pPr>
          </w:p>
          <w:p>
            <w:pPr>
              <w:pStyle w:val="TableParagraph"/>
              <w:ind w:left="108" w:right="99"/>
              <w:jc w:val="center"/>
              <w:rPr>
                <w:sz w:val="21"/>
              </w:rPr>
            </w:pPr>
            <w:r>
              <w:rPr>
                <w:sz w:val="21"/>
              </w:rPr>
              <w:t>金、景顺长城动力平衡证券投资基金和景顺长城货币市场证券投资基金）</w:t>
            </w:r>
          </w:p>
        </w:tc>
      </w:tr>
      <w:tr>
        <w:trPr>
          <w:trHeight w:val="938" w:hRule="atLeast"/>
        </w:trPr>
        <w:tc>
          <w:tcPr>
            <w:tcW w:w="1560" w:type="dxa"/>
          </w:tcPr>
          <w:p>
            <w:pPr>
              <w:pStyle w:val="TableParagraph"/>
              <w:spacing w:before="102"/>
              <w:ind w:left="129" w:right="118"/>
              <w:jc w:val="center"/>
              <w:rPr>
                <w:sz w:val="21"/>
              </w:rPr>
            </w:pPr>
            <w:r>
              <w:rPr>
                <w:sz w:val="21"/>
              </w:rPr>
              <w:t>杨兵兵女士</w:t>
            </w:r>
          </w:p>
        </w:tc>
        <w:tc>
          <w:tcPr>
            <w:tcW w:w="7230" w:type="dxa"/>
          </w:tcPr>
          <w:p>
            <w:pPr>
              <w:pStyle w:val="TableParagraph"/>
              <w:spacing w:before="102"/>
              <w:ind w:left="113" w:right="99"/>
              <w:jc w:val="center"/>
              <w:rPr>
                <w:sz w:val="21"/>
              </w:rPr>
            </w:pPr>
            <w:r>
              <w:rPr>
                <w:sz w:val="21"/>
              </w:rPr>
              <w:t>2003</w:t>
            </w:r>
            <w:r>
              <w:rPr>
                <w:spacing w:val="-34"/>
                <w:sz w:val="21"/>
              </w:rPr>
              <w:t> 年 </w:t>
            </w:r>
            <w:r>
              <w:rPr>
                <w:sz w:val="21"/>
              </w:rPr>
              <w:t>10</w:t>
            </w:r>
            <w:r>
              <w:rPr>
                <w:spacing w:val="-35"/>
                <w:sz w:val="21"/>
              </w:rPr>
              <w:t> 月 </w:t>
            </w:r>
            <w:r>
              <w:rPr>
                <w:sz w:val="21"/>
              </w:rPr>
              <w:t>24</w:t>
            </w:r>
            <w:r>
              <w:rPr>
                <w:spacing w:val="-17"/>
                <w:sz w:val="21"/>
              </w:rPr>
              <w:t> 日-</w:t>
            </w:r>
            <w:r>
              <w:rPr>
                <w:sz w:val="21"/>
              </w:rPr>
              <w:t>2007</w:t>
            </w:r>
            <w:r>
              <w:rPr>
                <w:spacing w:val="-35"/>
                <w:sz w:val="21"/>
              </w:rPr>
              <w:t> 年 </w:t>
            </w:r>
            <w:r>
              <w:rPr>
                <w:sz w:val="21"/>
              </w:rPr>
              <w:t>9</w:t>
            </w:r>
            <w:r>
              <w:rPr>
                <w:spacing w:val="-35"/>
                <w:sz w:val="21"/>
              </w:rPr>
              <w:t> 月 </w:t>
            </w:r>
            <w:r>
              <w:rPr>
                <w:sz w:val="21"/>
              </w:rPr>
              <w:t>14</w:t>
            </w:r>
            <w:r>
              <w:rPr>
                <w:spacing w:val="-37"/>
                <w:sz w:val="21"/>
              </w:rPr>
              <w:t> 日</w:t>
            </w:r>
            <w:r>
              <w:rPr>
                <w:spacing w:val="-3"/>
                <w:sz w:val="21"/>
              </w:rPr>
              <w:t>（管理景顺长城优选混合型证券投资基</w:t>
            </w:r>
          </w:p>
          <w:p>
            <w:pPr>
              <w:pStyle w:val="TableParagraph"/>
              <w:spacing w:before="7"/>
              <w:rPr>
                <w:sz w:val="15"/>
              </w:rPr>
            </w:pPr>
          </w:p>
          <w:p>
            <w:pPr>
              <w:pStyle w:val="TableParagraph"/>
              <w:ind w:left="108" w:right="99"/>
              <w:jc w:val="center"/>
              <w:rPr>
                <w:sz w:val="21"/>
              </w:rPr>
            </w:pPr>
            <w:r>
              <w:rPr>
                <w:sz w:val="21"/>
              </w:rPr>
              <w:t>金、景顺长城动力平衡证券投资基金和景顺长城货币市场证券投资基金）</w:t>
            </w:r>
          </w:p>
        </w:tc>
      </w:tr>
      <w:tr>
        <w:trPr>
          <w:trHeight w:val="935" w:hRule="atLeast"/>
        </w:trPr>
        <w:tc>
          <w:tcPr>
            <w:tcW w:w="1560" w:type="dxa"/>
          </w:tcPr>
          <w:p>
            <w:pPr>
              <w:pStyle w:val="TableParagraph"/>
              <w:spacing w:before="99"/>
              <w:ind w:left="129" w:right="118"/>
              <w:jc w:val="center"/>
              <w:rPr>
                <w:sz w:val="21"/>
              </w:rPr>
            </w:pPr>
            <w:r>
              <w:rPr>
                <w:sz w:val="21"/>
              </w:rPr>
              <w:t>涂强先生</w:t>
            </w:r>
          </w:p>
        </w:tc>
        <w:tc>
          <w:tcPr>
            <w:tcW w:w="7230" w:type="dxa"/>
          </w:tcPr>
          <w:p>
            <w:pPr>
              <w:pStyle w:val="TableParagraph"/>
              <w:spacing w:before="99"/>
              <w:ind w:left="108" w:right="99"/>
              <w:jc w:val="center"/>
              <w:rPr>
                <w:sz w:val="21"/>
              </w:rPr>
            </w:pPr>
            <w:r>
              <w:rPr>
                <w:sz w:val="21"/>
              </w:rPr>
              <w:t>2006</w:t>
            </w:r>
            <w:r>
              <w:rPr>
                <w:spacing w:val="-35"/>
                <w:sz w:val="21"/>
              </w:rPr>
              <w:t> 年 </w:t>
            </w:r>
            <w:r>
              <w:rPr>
                <w:sz w:val="21"/>
              </w:rPr>
              <w:t>11</w:t>
            </w:r>
            <w:r>
              <w:rPr>
                <w:spacing w:val="-35"/>
                <w:sz w:val="21"/>
              </w:rPr>
              <w:t> 月 </w:t>
            </w:r>
            <w:r>
              <w:rPr>
                <w:sz w:val="21"/>
              </w:rPr>
              <w:t>22</w:t>
            </w:r>
            <w:r>
              <w:rPr>
                <w:spacing w:val="-18"/>
                <w:sz w:val="21"/>
              </w:rPr>
              <w:t> 日-</w:t>
            </w:r>
            <w:r>
              <w:rPr>
                <w:sz w:val="21"/>
              </w:rPr>
              <w:t>2009</w:t>
            </w:r>
            <w:r>
              <w:rPr>
                <w:spacing w:val="-35"/>
                <w:sz w:val="21"/>
              </w:rPr>
              <w:t> 年 </w:t>
            </w:r>
            <w:r>
              <w:rPr>
                <w:sz w:val="21"/>
              </w:rPr>
              <w:t>8</w:t>
            </w:r>
            <w:r>
              <w:rPr>
                <w:spacing w:val="-34"/>
                <w:sz w:val="21"/>
              </w:rPr>
              <w:t> 月 </w:t>
            </w:r>
            <w:r>
              <w:rPr>
                <w:sz w:val="21"/>
              </w:rPr>
              <w:t>6</w:t>
            </w:r>
            <w:r>
              <w:rPr>
                <w:spacing w:val="-27"/>
                <w:sz w:val="21"/>
              </w:rPr>
              <w:t> 日</w:t>
            </w:r>
            <w:r>
              <w:rPr>
                <w:sz w:val="21"/>
              </w:rPr>
              <w:t>（</w:t>
            </w:r>
            <w:r>
              <w:rPr>
                <w:spacing w:val="-3"/>
                <w:sz w:val="21"/>
              </w:rPr>
              <w:t>管理景顺长城优选混合型证券投资基</w:t>
            </w:r>
          </w:p>
          <w:p>
            <w:pPr>
              <w:pStyle w:val="TableParagraph"/>
              <w:spacing w:before="7"/>
              <w:rPr>
                <w:sz w:val="15"/>
              </w:rPr>
            </w:pPr>
          </w:p>
          <w:p>
            <w:pPr>
              <w:pStyle w:val="TableParagraph"/>
              <w:ind w:left="108" w:right="99"/>
              <w:jc w:val="center"/>
              <w:rPr>
                <w:sz w:val="21"/>
              </w:rPr>
            </w:pPr>
            <w:r>
              <w:rPr>
                <w:sz w:val="21"/>
              </w:rPr>
              <w:t>金、景顺长城动力平衡证券投资基金和景顺长城货币市场证券投资基金）</w:t>
            </w:r>
          </w:p>
        </w:tc>
      </w:tr>
      <w:tr>
        <w:trPr>
          <w:trHeight w:val="935" w:hRule="atLeast"/>
        </w:trPr>
        <w:tc>
          <w:tcPr>
            <w:tcW w:w="1560" w:type="dxa"/>
          </w:tcPr>
          <w:p>
            <w:pPr>
              <w:pStyle w:val="TableParagraph"/>
              <w:spacing w:before="99"/>
              <w:ind w:left="129" w:right="118"/>
              <w:jc w:val="center"/>
              <w:rPr>
                <w:sz w:val="21"/>
              </w:rPr>
            </w:pPr>
            <w:r>
              <w:rPr>
                <w:sz w:val="21"/>
              </w:rPr>
              <w:t>邓春鸣先生</w:t>
            </w:r>
          </w:p>
        </w:tc>
        <w:tc>
          <w:tcPr>
            <w:tcW w:w="7230" w:type="dxa"/>
          </w:tcPr>
          <w:p>
            <w:pPr>
              <w:pStyle w:val="TableParagraph"/>
              <w:spacing w:before="99"/>
              <w:ind w:left="107" w:right="-15"/>
              <w:rPr>
                <w:sz w:val="21"/>
              </w:rPr>
            </w:pPr>
            <w:r>
              <w:rPr>
                <w:sz w:val="21"/>
              </w:rPr>
              <w:t>2007</w:t>
            </w:r>
            <w:r>
              <w:rPr>
                <w:spacing w:val="-36"/>
                <w:sz w:val="21"/>
              </w:rPr>
              <w:t> 年 </w:t>
            </w:r>
            <w:r>
              <w:rPr>
                <w:sz w:val="21"/>
              </w:rPr>
              <w:t>9</w:t>
            </w:r>
            <w:r>
              <w:rPr>
                <w:spacing w:val="-36"/>
                <w:sz w:val="21"/>
              </w:rPr>
              <w:t> 月 </w:t>
            </w:r>
            <w:r>
              <w:rPr>
                <w:sz w:val="21"/>
              </w:rPr>
              <w:t>15</w:t>
            </w:r>
            <w:r>
              <w:rPr>
                <w:spacing w:val="-27"/>
                <w:sz w:val="21"/>
              </w:rPr>
              <w:t> 日</w:t>
            </w:r>
            <w:r>
              <w:rPr>
                <w:sz w:val="21"/>
              </w:rPr>
              <w:t>-2009</w:t>
            </w:r>
            <w:r>
              <w:rPr>
                <w:spacing w:val="-35"/>
                <w:sz w:val="21"/>
              </w:rPr>
              <w:t> 年 </w:t>
            </w:r>
            <w:r>
              <w:rPr>
                <w:sz w:val="21"/>
              </w:rPr>
              <w:t>8</w:t>
            </w:r>
            <w:r>
              <w:rPr>
                <w:spacing w:val="-35"/>
                <w:sz w:val="21"/>
              </w:rPr>
              <w:t> 月 </w:t>
            </w:r>
            <w:r>
              <w:rPr>
                <w:sz w:val="21"/>
              </w:rPr>
              <w:t>6</w:t>
            </w:r>
            <w:r>
              <w:rPr>
                <w:spacing w:val="-80"/>
                <w:sz w:val="21"/>
              </w:rPr>
              <w:t> 日</w:t>
            </w:r>
            <w:r>
              <w:rPr>
                <w:sz w:val="21"/>
              </w:rPr>
              <w:t>（</w:t>
            </w:r>
            <w:r>
              <w:rPr>
                <w:spacing w:val="-3"/>
                <w:sz w:val="21"/>
              </w:rPr>
              <w:t>管理景顺长城优选混合型证券投资基金、</w:t>
            </w:r>
          </w:p>
          <w:p>
            <w:pPr>
              <w:pStyle w:val="TableParagraph"/>
              <w:spacing w:before="7"/>
              <w:rPr>
                <w:sz w:val="15"/>
              </w:rPr>
            </w:pPr>
          </w:p>
          <w:p>
            <w:pPr>
              <w:pStyle w:val="TableParagraph"/>
              <w:ind w:left="463"/>
              <w:rPr>
                <w:sz w:val="21"/>
              </w:rPr>
            </w:pPr>
            <w:r>
              <w:rPr>
                <w:sz w:val="21"/>
              </w:rPr>
              <w:t>景顺长城动力平衡证券投资基金和景顺长城货币市场证券投资基金）</w:t>
            </w:r>
          </w:p>
        </w:tc>
      </w:tr>
      <w:tr>
        <w:trPr>
          <w:trHeight w:val="467" w:hRule="atLeast"/>
        </w:trPr>
        <w:tc>
          <w:tcPr>
            <w:tcW w:w="1560" w:type="dxa"/>
          </w:tcPr>
          <w:p>
            <w:pPr>
              <w:pStyle w:val="TableParagraph"/>
              <w:spacing w:before="99"/>
              <w:ind w:left="129" w:right="118"/>
              <w:jc w:val="center"/>
              <w:rPr>
                <w:sz w:val="21"/>
              </w:rPr>
            </w:pPr>
            <w:r>
              <w:rPr>
                <w:sz w:val="21"/>
              </w:rPr>
              <w:t>张继荣先生</w:t>
            </w:r>
          </w:p>
        </w:tc>
        <w:tc>
          <w:tcPr>
            <w:tcW w:w="7230" w:type="dxa"/>
          </w:tcPr>
          <w:p>
            <w:pPr>
              <w:pStyle w:val="TableParagraph"/>
              <w:spacing w:before="99"/>
              <w:ind w:left="107" w:right="-15"/>
              <w:rPr>
                <w:sz w:val="21"/>
              </w:rPr>
            </w:pPr>
            <w:r>
              <w:rPr>
                <w:sz w:val="21"/>
              </w:rPr>
              <w:t>2009</w:t>
            </w:r>
            <w:r>
              <w:rPr>
                <w:spacing w:val="-36"/>
                <w:sz w:val="21"/>
              </w:rPr>
              <w:t> 年 </w:t>
            </w:r>
            <w:r>
              <w:rPr>
                <w:sz w:val="21"/>
              </w:rPr>
              <w:t>8</w:t>
            </w:r>
            <w:r>
              <w:rPr>
                <w:spacing w:val="-36"/>
                <w:sz w:val="21"/>
              </w:rPr>
              <w:t> 月 </w:t>
            </w:r>
            <w:r>
              <w:rPr>
                <w:sz w:val="21"/>
              </w:rPr>
              <w:t>7</w:t>
            </w:r>
            <w:r>
              <w:rPr>
                <w:spacing w:val="-18"/>
                <w:sz w:val="21"/>
              </w:rPr>
              <w:t> 日-</w:t>
            </w:r>
            <w:r>
              <w:rPr>
                <w:sz w:val="21"/>
              </w:rPr>
              <w:t>2012</w:t>
            </w:r>
            <w:r>
              <w:rPr>
                <w:spacing w:val="-36"/>
                <w:sz w:val="21"/>
              </w:rPr>
              <w:t> 年 </w:t>
            </w:r>
            <w:r>
              <w:rPr>
                <w:sz w:val="21"/>
              </w:rPr>
              <w:t>1</w:t>
            </w:r>
            <w:r>
              <w:rPr>
                <w:spacing w:val="-35"/>
                <w:sz w:val="21"/>
              </w:rPr>
              <w:t> 月 </w:t>
            </w:r>
            <w:r>
              <w:rPr>
                <w:sz w:val="21"/>
              </w:rPr>
              <w:t>16</w:t>
            </w:r>
            <w:r>
              <w:rPr>
                <w:spacing w:val="-80"/>
                <w:sz w:val="21"/>
              </w:rPr>
              <w:t> 日</w:t>
            </w:r>
            <w:r>
              <w:rPr>
                <w:spacing w:val="-3"/>
                <w:sz w:val="21"/>
              </w:rPr>
              <w:t>（管理景顺长城优选混合型证券投资基金</w:t>
            </w:r>
            <w:r>
              <w:rPr>
                <w:sz w:val="21"/>
              </w:rPr>
              <w:t>）</w:t>
            </w:r>
          </w:p>
        </w:tc>
      </w:tr>
      <w:tr>
        <w:trPr>
          <w:trHeight w:val="467" w:hRule="atLeast"/>
        </w:trPr>
        <w:tc>
          <w:tcPr>
            <w:tcW w:w="1560" w:type="dxa"/>
          </w:tcPr>
          <w:p>
            <w:pPr>
              <w:pStyle w:val="TableParagraph"/>
              <w:spacing w:before="99"/>
              <w:ind w:left="129" w:right="118"/>
              <w:jc w:val="center"/>
              <w:rPr>
                <w:sz w:val="21"/>
              </w:rPr>
            </w:pPr>
            <w:r>
              <w:rPr>
                <w:sz w:val="21"/>
              </w:rPr>
              <w:t>丛林先生</w:t>
            </w:r>
          </w:p>
        </w:tc>
        <w:tc>
          <w:tcPr>
            <w:tcW w:w="7230" w:type="dxa"/>
          </w:tcPr>
          <w:p>
            <w:pPr>
              <w:pStyle w:val="TableParagraph"/>
              <w:spacing w:before="99"/>
              <w:ind w:left="107"/>
              <w:rPr>
                <w:sz w:val="21"/>
              </w:rPr>
            </w:pPr>
            <w:r>
              <w:rPr>
                <w:sz w:val="21"/>
              </w:rPr>
              <w:t>2012</w:t>
            </w:r>
            <w:r>
              <w:rPr>
                <w:spacing w:val="-34"/>
                <w:sz w:val="21"/>
              </w:rPr>
              <w:t> 年 </w:t>
            </w:r>
            <w:r>
              <w:rPr>
                <w:sz w:val="21"/>
              </w:rPr>
              <w:t>3</w:t>
            </w:r>
            <w:r>
              <w:rPr>
                <w:spacing w:val="-34"/>
                <w:sz w:val="21"/>
              </w:rPr>
              <w:t> 月 </w:t>
            </w:r>
            <w:r>
              <w:rPr>
                <w:sz w:val="21"/>
              </w:rPr>
              <w:t>20</w:t>
            </w:r>
            <w:r>
              <w:rPr>
                <w:spacing w:val="-18"/>
                <w:sz w:val="21"/>
              </w:rPr>
              <w:t> 日-</w:t>
            </w:r>
            <w:r>
              <w:rPr>
                <w:sz w:val="21"/>
              </w:rPr>
              <w:t>2013</w:t>
            </w:r>
            <w:r>
              <w:rPr>
                <w:spacing w:val="-34"/>
                <w:sz w:val="21"/>
              </w:rPr>
              <w:t> 年 </w:t>
            </w:r>
            <w:r>
              <w:rPr>
                <w:sz w:val="21"/>
              </w:rPr>
              <w:t>10</w:t>
            </w:r>
            <w:r>
              <w:rPr>
                <w:spacing w:val="-34"/>
                <w:sz w:val="21"/>
              </w:rPr>
              <w:t> 月 </w:t>
            </w:r>
            <w:r>
              <w:rPr>
                <w:sz w:val="21"/>
              </w:rPr>
              <w:t>30</w:t>
            </w:r>
            <w:r>
              <w:rPr>
                <w:spacing w:val="-26"/>
                <w:sz w:val="21"/>
              </w:rPr>
              <w:t> 日</w:t>
            </w:r>
            <w:r>
              <w:rPr>
                <w:spacing w:val="-3"/>
                <w:sz w:val="21"/>
              </w:rPr>
              <w:t>（景顺长城优选混合型证券投资基金</w:t>
            </w:r>
            <w:r>
              <w:rPr>
                <w:sz w:val="21"/>
              </w:rPr>
              <w:t>）</w:t>
            </w:r>
          </w:p>
        </w:tc>
      </w:tr>
      <w:tr>
        <w:trPr>
          <w:trHeight w:val="470" w:hRule="atLeast"/>
        </w:trPr>
        <w:tc>
          <w:tcPr>
            <w:tcW w:w="1560" w:type="dxa"/>
          </w:tcPr>
          <w:p>
            <w:pPr>
              <w:pStyle w:val="TableParagraph"/>
              <w:spacing w:before="100"/>
              <w:ind w:left="129" w:right="118"/>
              <w:jc w:val="center"/>
              <w:rPr>
                <w:sz w:val="21"/>
              </w:rPr>
            </w:pPr>
            <w:r>
              <w:rPr>
                <w:sz w:val="21"/>
              </w:rPr>
              <w:t>毛从容女士</w:t>
            </w:r>
          </w:p>
        </w:tc>
        <w:tc>
          <w:tcPr>
            <w:tcW w:w="7230" w:type="dxa"/>
          </w:tcPr>
          <w:p>
            <w:pPr>
              <w:pStyle w:val="TableParagraph"/>
              <w:spacing w:before="100"/>
              <w:ind w:left="107"/>
              <w:rPr>
                <w:sz w:val="21"/>
              </w:rPr>
            </w:pPr>
            <w:r>
              <w:rPr>
                <w:sz w:val="21"/>
              </w:rPr>
              <w:t>2005</w:t>
            </w:r>
            <w:r>
              <w:rPr>
                <w:spacing w:val="-34"/>
                <w:sz w:val="21"/>
              </w:rPr>
              <w:t> 年 </w:t>
            </w:r>
            <w:r>
              <w:rPr>
                <w:sz w:val="21"/>
              </w:rPr>
              <w:t>6</w:t>
            </w:r>
            <w:r>
              <w:rPr>
                <w:spacing w:val="-35"/>
                <w:sz w:val="21"/>
              </w:rPr>
              <w:t> 月 </w:t>
            </w:r>
            <w:r>
              <w:rPr>
                <w:sz w:val="21"/>
              </w:rPr>
              <w:t>1</w:t>
            </w:r>
            <w:r>
              <w:rPr>
                <w:spacing w:val="-26"/>
                <w:sz w:val="21"/>
              </w:rPr>
              <w:t> 日</w:t>
            </w:r>
            <w:r>
              <w:rPr>
                <w:sz w:val="21"/>
              </w:rPr>
              <w:t>-2014</w:t>
            </w:r>
            <w:r>
              <w:rPr>
                <w:spacing w:val="-36"/>
                <w:sz w:val="21"/>
              </w:rPr>
              <w:t> 年 </w:t>
            </w:r>
            <w:r>
              <w:rPr>
                <w:sz w:val="21"/>
              </w:rPr>
              <w:t>1</w:t>
            </w:r>
            <w:r>
              <w:rPr>
                <w:spacing w:val="-34"/>
                <w:sz w:val="21"/>
              </w:rPr>
              <w:t> 月 </w:t>
            </w:r>
            <w:r>
              <w:rPr>
                <w:sz w:val="21"/>
              </w:rPr>
              <w:t>15</w:t>
            </w:r>
            <w:r>
              <w:rPr>
                <w:spacing w:val="-26"/>
                <w:sz w:val="21"/>
              </w:rPr>
              <w:t> 日</w:t>
            </w:r>
            <w:r>
              <w:rPr>
                <w:sz w:val="21"/>
              </w:rPr>
              <w:t>（</w:t>
            </w:r>
            <w:r>
              <w:rPr>
                <w:spacing w:val="-3"/>
                <w:sz w:val="21"/>
              </w:rPr>
              <w:t>管理景顺长城动力平衡证券投资基金</w:t>
            </w:r>
            <w:r>
              <w:rPr>
                <w:sz w:val="21"/>
              </w:rPr>
              <w:t>）</w:t>
            </w:r>
          </w:p>
        </w:tc>
      </w:tr>
    </w:tbl>
    <w:p>
      <w:pPr>
        <w:spacing w:after="0"/>
        <w:rPr>
          <w:sz w:val="21"/>
        </w:rPr>
        <w:sectPr>
          <w:pgSz w:w="11910" w:h="16840"/>
          <w:pgMar w:header="852" w:footer="992" w:top="1220" w:bottom="1180" w:left="1140" w:right="480"/>
        </w:sectPr>
      </w:pPr>
    </w:p>
    <w:p>
      <w:pPr>
        <w:pStyle w:val="BodyText"/>
        <w:spacing w:before="11"/>
        <w:rPr>
          <w:sz w:val="16"/>
        </w:rPr>
      </w:pPr>
    </w:p>
    <w:tbl>
      <w:tblPr>
        <w:tblW w:w="0" w:type="auto"/>
        <w:jc w:val="left"/>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7230"/>
      </w:tblGrid>
      <w:tr>
        <w:trPr>
          <w:trHeight w:val="468" w:hRule="atLeast"/>
        </w:trPr>
        <w:tc>
          <w:tcPr>
            <w:tcW w:w="1560" w:type="dxa"/>
          </w:tcPr>
          <w:p>
            <w:pPr>
              <w:pStyle w:val="TableParagraph"/>
              <w:spacing w:before="99"/>
              <w:ind w:left="129" w:right="118"/>
              <w:jc w:val="center"/>
              <w:rPr>
                <w:sz w:val="21"/>
              </w:rPr>
            </w:pPr>
            <w:r>
              <w:rPr>
                <w:sz w:val="21"/>
              </w:rPr>
              <w:t>陈嘉平先生</w:t>
            </w:r>
          </w:p>
        </w:tc>
        <w:tc>
          <w:tcPr>
            <w:tcW w:w="7230" w:type="dxa"/>
          </w:tcPr>
          <w:p>
            <w:pPr>
              <w:pStyle w:val="TableParagraph"/>
              <w:spacing w:before="99"/>
              <w:ind w:left="107" w:right="-15"/>
              <w:rPr>
                <w:sz w:val="21"/>
              </w:rPr>
            </w:pPr>
            <w:r>
              <w:rPr>
                <w:sz w:val="21"/>
              </w:rPr>
              <w:t>2012</w:t>
            </w:r>
            <w:r>
              <w:rPr>
                <w:spacing w:val="-36"/>
                <w:sz w:val="21"/>
              </w:rPr>
              <w:t> 年 </w:t>
            </w:r>
            <w:r>
              <w:rPr>
                <w:sz w:val="21"/>
              </w:rPr>
              <w:t>1</w:t>
            </w:r>
            <w:r>
              <w:rPr>
                <w:spacing w:val="-36"/>
                <w:sz w:val="21"/>
              </w:rPr>
              <w:t> 月 </w:t>
            </w:r>
            <w:r>
              <w:rPr>
                <w:sz w:val="21"/>
              </w:rPr>
              <w:t>17</w:t>
            </w:r>
            <w:r>
              <w:rPr>
                <w:spacing w:val="-27"/>
                <w:sz w:val="21"/>
              </w:rPr>
              <w:t> 日</w:t>
            </w:r>
            <w:r>
              <w:rPr>
                <w:sz w:val="21"/>
              </w:rPr>
              <w:t>-2015</w:t>
            </w:r>
            <w:r>
              <w:rPr>
                <w:spacing w:val="-36"/>
                <w:sz w:val="21"/>
              </w:rPr>
              <w:t> 年 </w:t>
            </w:r>
            <w:r>
              <w:rPr>
                <w:sz w:val="21"/>
              </w:rPr>
              <w:t>4</w:t>
            </w:r>
            <w:r>
              <w:rPr>
                <w:spacing w:val="-35"/>
                <w:sz w:val="21"/>
              </w:rPr>
              <w:t> 月 </w:t>
            </w:r>
            <w:r>
              <w:rPr>
                <w:sz w:val="21"/>
              </w:rPr>
              <w:t>3</w:t>
            </w:r>
            <w:r>
              <w:rPr>
                <w:spacing w:val="-80"/>
                <w:sz w:val="21"/>
              </w:rPr>
              <w:t> 日</w:t>
            </w:r>
            <w:r>
              <w:rPr>
                <w:sz w:val="21"/>
              </w:rPr>
              <w:t>（</w:t>
            </w:r>
            <w:r>
              <w:rPr>
                <w:spacing w:val="-3"/>
                <w:sz w:val="21"/>
              </w:rPr>
              <w:t>管理景顺长城优选混合型证券投资基金</w:t>
            </w:r>
            <w:r>
              <w:rPr>
                <w:sz w:val="21"/>
              </w:rPr>
              <w:t>）</w:t>
            </w:r>
          </w:p>
        </w:tc>
      </w:tr>
      <w:tr>
        <w:trPr>
          <w:trHeight w:val="467" w:hRule="atLeast"/>
        </w:trPr>
        <w:tc>
          <w:tcPr>
            <w:tcW w:w="1560" w:type="dxa"/>
          </w:tcPr>
          <w:p>
            <w:pPr>
              <w:pStyle w:val="TableParagraph"/>
              <w:spacing w:before="99"/>
              <w:ind w:left="129" w:right="118"/>
              <w:jc w:val="center"/>
              <w:rPr>
                <w:sz w:val="21"/>
              </w:rPr>
            </w:pPr>
            <w:r>
              <w:rPr>
                <w:sz w:val="21"/>
              </w:rPr>
              <w:t>张继荣先生</w:t>
            </w:r>
          </w:p>
        </w:tc>
        <w:tc>
          <w:tcPr>
            <w:tcW w:w="7230" w:type="dxa"/>
          </w:tcPr>
          <w:p>
            <w:pPr>
              <w:pStyle w:val="TableParagraph"/>
              <w:spacing w:before="99"/>
              <w:ind w:left="107"/>
              <w:rPr>
                <w:sz w:val="21"/>
              </w:rPr>
            </w:pPr>
            <w:r>
              <w:rPr>
                <w:sz w:val="21"/>
              </w:rPr>
              <w:t>2014</w:t>
            </w:r>
            <w:r>
              <w:rPr>
                <w:spacing w:val="-34"/>
                <w:sz w:val="21"/>
              </w:rPr>
              <w:t> 年 </w:t>
            </w:r>
            <w:r>
              <w:rPr>
                <w:sz w:val="21"/>
              </w:rPr>
              <w:t>1</w:t>
            </w:r>
            <w:r>
              <w:rPr>
                <w:spacing w:val="-34"/>
                <w:sz w:val="21"/>
              </w:rPr>
              <w:t> 月 </w:t>
            </w:r>
            <w:r>
              <w:rPr>
                <w:sz w:val="21"/>
              </w:rPr>
              <w:t>16</w:t>
            </w:r>
            <w:r>
              <w:rPr>
                <w:spacing w:val="-18"/>
                <w:sz w:val="21"/>
              </w:rPr>
              <w:t> 日-</w:t>
            </w:r>
            <w:r>
              <w:rPr>
                <w:sz w:val="21"/>
              </w:rPr>
              <w:t>2015</w:t>
            </w:r>
            <w:r>
              <w:rPr>
                <w:spacing w:val="-34"/>
                <w:sz w:val="21"/>
              </w:rPr>
              <w:t> 年 </w:t>
            </w:r>
            <w:r>
              <w:rPr>
                <w:sz w:val="21"/>
              </w:rPr>
              <w:t>7</w:t>
            </w:r>
            <w:r>
              <w:rPr>
                <w:spacing w:val="-34"/>
                <w:sz w:val="21"/>
              </w:rPr>
              <w:t> 月 </w:t>
            </w:r>
            <w:r>
              <w:rPr>
                <w:sz w:val="21"/>
              </w:rPr>
              <w:t>9</w:t>
            </w:r>
            <w:r>
              <w:rPr>
                <w:spacing w:val="-27"/>
                <w:sz w:val="21"/>
              </w:rPr>
              <w:t> 日</w:t>
            </w:r>
            <w:r>
              <w:rPr>
                <w:sz w:val="21"/>
              </w:rPr>
              <w:t>（</w:t>
            </w:r>
            <w:r>
              <w:rPr>
                <w:spacing w:val="-3"/>
                <w:sz w:val="21"/>
              </w:rPr>
              <w:t>管理景顺长城动力平衡证券投资基金</w:t>
            </w:r>
            <w:r>
              <w:rPr>
                <w:sz w:val="21"/>
              </w:rPr>
              <w:t>）</w:t>
            </w:r>
          </w:p>
        </w:tc>
      </w:tr>
      <w:tr>
        <w:trPr>
          <w:trHeight w:val="467" w:hRule="atLeast"/>
        </w:trPr>
        <w:tc>
          <w:tcPr>
            <w:tcW w:w="1560" w:type="dxa"/>
          </w:tcPr>
          <w:p>
            <w:pPr>
              <w:pStyle w:val="TableParagraph"/>
              <w:spacing w:before="99"/>
              <w:ind w:left="129" w:right="118"/>
              <w:jc w:val="center"/>
              <w:rPr>
                <w:sz w:val="21"/>
              </w:rPr>
            </w:pPr>
            <w:r>
              <w:rPr>
                <w:sz w:val="21"/>
              </w:rPr>
              <w:t>毛从容女士</w:t>
            </w:r>
          </w:p>
        </w:tc>
        <w:tc>
          <w:tcPr>
            <w:tcW w:w="7230" w:type="dxa"/>
          </w:tcPr>
          <w:p>
            <w:pPr>
              <w:pStyle w:val="TableParagraph"/>
              <w:spacing w:before="99"/>
              <w:ind w:left="107"/>
              <w:rPr>
                <w:sz w:val="21"/>
              </w:rPr>
            </w:pPr>
            <w:r>
              <w:rPr>
                <w:sz w:val="21"/>
              </w:rPr>
              <w:t>2005</w:t>
            </w:r>
            <w:r>
              <w:rPr>
                <w:spacing w:val="-34"/>
                <w:sz w:val="21"/>
              </w:rPr>
              <w:t> 年 </w:t>
            </w:r>
            <w:r>
              <w:rPr>
                <w:sz w:val="21"/>
              </w:rPr>
              <w:t>6</w:t>
            </w:r>
            <w:r>
              <w:rPr>
                <w:spacing w:val="-35"/>
                <w:sz w:val="21"/>
              </w:rPr>
              <w:t> 月 </w:t>
            </w:r>
            <w:r>
              <w:rPr>
                <w:sz w:val="21"/>
              </w:rPr>
              <w:t>1</w:t>
            </w:r>
            <w:r>
              <w:rPr>
                <w:spacing w:val="-26"/>
                <w:sz w:val="21"/>
              </w:rPr>
              <w:t> 日</w:t>
            </w:r>
            <w:r>
              <w:rPr>
                <w:sz w:val="21"/>
              </w:rPr>
              <w:t>-2016</w:t>
            </w:r>
            <w:r>
              <w:rPr>
                <w:spacing w:val="-36"/>
                <w:sz w:val="21"/>
              </w:rPr>
              <w:t> 年 </w:t>
            </w:r>
            <w:r>
              <w:rPr>
                <w:sz w:val="21"/>
              </w:rPr>
              <w:t>4</w:t>
            </w:r>
            <w:r>
              <w:rPr>
                <w:spacing w:val="-34"/>
                <w:sz w:val="21"/>
              </w:rPr>
              <w:t> 月 </w:t>
            </w:r>
            <w:r>
              <w:rPr>
                <w:sz w:val="21"/>
              </w:rPr>
              <w:t>25</w:t>
            </w:r>
            <w:r>
              <w:rPr>
                <w:spacing w:val="-26"/>
                <w:sz w:val="21"/>
              </w:rPr>
              <w:t> 日</w:t>
            </w:r>
            <w:r>
              <w:rPr>
                <w:sz w:val="21"/>
              </w:rPr>
              <w:t>（</w:t>
            </w:r>
            <w:r>
              <w:rPr>
                <w:spacing w:val="-3"/>
                <w:sz w:val="21"/>
              </w:rPr>
              <w:t>管理景顺长城货币市场证券投资基金</w:t>
            </w:r>
            <w:r>
              <w:rPr>
                <w:sz w:val="21"/>
              </w:rPr>
              <w:t>）</w:t>
            </w:r>
          </w:p>
        </w:tc>
      </w:tr>
      <w:tr>
        <w:trPr>
          <w:trHeight w:val="470" w:hRule="atLeast"/>
        </w:trPr>
        <w:tc>
          <w:tcPr>
            <w:tcW w:w="1560" w:type="dxa"/>
          </w:tcPr>
          <w:p>
            <w:pPr>
              <w:pStyle w:val="TableParagraph"/>
              <w:spacing w:before="102"/>
              <w:ind w:left="129" w:right="118"/>
              <w:jc w:val="center"/>
              <w:rPr>
                <w:sz w:val="21"/>
              </w:rPr>
            </w:pPr>
            <w:r>
              <w:rPr>
                <w:sz w:val="21"/>
              </w:rPr>
              <w:t>刘彦春先生</w:t>
            </w:r>
          </w:p>
        </w:tc>
        <w:tc>
          <w:tcPr>
            <w:tcW w:w="7230" w:type="dxa"/>
          </w:tcPr>
          <w:p>
            <w:pPr>
              <w:pStyle w:val="TableParagraph"/>
              <w:spacing w:before="102"/>
              <w:ind w:left="107" w:right="-15"/>
              <w:rPr>
                <w:sz w:val="21"/>
              </w:rPr>
            </w:pPr>
            <w:r>
              <w:rPr>
                <w:sz w:val="21"/>
              </w:rPr>
              <w:t>2015</w:t>
            </w:r>
            <w:r>
              <w:rPr>
                <w:spacing w:val="-34"/>
                <w:sz w:val="21"/>
              </w:rPr>
              <w:t> 年 </w:t>
            </w:r>
            <w:r>
              <w:rPr>
                <w:sz w:val="21"/>
              </w:rPr>
              <w:t>7</w:t>
            </w:r>
            <w:r>
              <w:rPr>
                <w:spacing w:val="-34"/>
                <w:sz w:val="21"/>
              </w:rPr>
              <w:t> 月 </w:t>
            </w:r>
            <w:r>
              <w:rPr>
                <w:sz w:val="21"/>
              </w:rPr>
              <w:t>10</w:t>
            </w:r>
            <w:r>
              <w:rPr>
                <w:spacing w:val="-18"/>
                <w:sz w:val="21"/>
              </w:rPr>
              <w:t> 日-</w:t>
            </w:r>
            <w:r>
              <w:rPr>
                <w:sz w:val="21"/>
              </w:rPr>
              <w:t>2016</w:t>
            </w:r>
            <w:r>
              <w:rPr>
                <w:spacing w:val="-34"/>
                <w:sz w:val="21"/>
              </w:rPr>
              <w:t> 年 </w:t>
            </w:r>
            <w:r>
              <w:rPr>
                <w:sz w:val="21"/>
              </w:rPr>
              <w:t>11</w:t>
            </w:r>
            <w:r>
              <w:rPr>
                <w:spacing w:val="-34"/>
                <w:sz w:val="21"/>
              </w:rPr>
              <w:t> 月 </w:t>
            </w:r>
            <w:r>
              <w:rPr>
                <w:sz w:val="21"/>
              </w:rPr>
              <w:t>8</w:t>
            </w:r>
            <w:r>
              <w:rPr>
                <w:spacing w:val="-37"/>
                <w:sz w:val="21"/>
              </w:rPr>
              <w:t> 日</w:t>
            </w:r>
            <w:r>
              <w:rPr>
                <w:spacing w:val="-3"/>
                <w:sz w:val="21"/>
              </w:rPr>
              <w:t>（管理景顺长城动力平衡证券投资基金</w:t>
            </w:r>
            <w:r>
              <w:rPr>
                <w:sz w:val="21"/>
              </w:rPr>
              <w:t>）</w:t>
            </w:r>
          </w:p>
        </w:tc>
      </w:tr>
      <w:tr>
        <w:trPr>
          <w:trHeight w:val="467" w:hRule="atLeast"/>
        </w:trPr>
        <w:tc>
          <w:tcPr>
            <w:tcW w:w="1560" w:type="dxa"/>
          </w:tcPr>
          <w:p>
            <w:pPr>
              <w:pStyle w:val="TableParagraph"/>
              <w:spacing w:before="99"/>
              <w:ind w:left="129" w:right="118"/>
              <w:jc w:val="center"/>
              <w:rPr>
                <w:sz w:val="21"/>
              </w:rPr>
            </w:pPr>
            <w:r>
              <w:rPr>
                <w:sz w:val="21"/>
              </w:rPr>
              <w:t>陈威霖女士</w:t>
            </w:r>
          </w:p>
        </w:tc>
        <w:tc>
          <w:tcPr>
            <w:tcW w:w="7230" w:type="dxa"/>
          </w:tcPr>
          <w:p>
            <w:pPr>
              <w:pStyle w:val="TableParagraph"/>
              <w:spacing w:before="99"/>
              <w:ind w:left="857"/>
              <w:rPr>
                <w:sz w:val="21"/>
              </w:rPr>
            </w:pPr>
            <w:r>
              <w:rPr>
                <w:sz w:val="21"/>
              </w:rPr>
              <w:t>2016 年 4 月 20 日-至今（管理景顺长城货币市场证券投资基金）</w:t>
            </w:r>
          </w:p>
        </w:tc>
      </w:tr>
      <w:tr>
        <w:trPr>
          <w:trHeight w:val="467" w:hRule="atLeast"/>
        </w:trPr>
        <w:tc>
          <w:tcPr>
            <w:tcW w:w="1560" w:type="dxa"/>
          </w:tcPr>
          <w:p>
            <w:pPr>
              <w:pStyle w:val="TableParagraph"/>
              <w:spacing w:before="99"/>
              <w:ind w:left="129" w:right="118"/>
              <w:jc w:val="center"/>
              <w:rPr>
                <w:sz w:val="21"/>
              </w:rPr>
            </w:pPr>
            <w:r>
              <w:rPr>
                <w:sz w:val="21"/>
              </w:rPr>
              <w:t>杨锐文先生</w:t>
            </w:r>
          </w:p>
        </w:tc>
        <w:tc>
          <w:tcPr>
            <w:tcW w:w="7230" w:type="dxa"/>
          </w:tcPr>
          <w:p>
            <w:pPr>
              <w:pStyle w:val="TableParagraph"/>
              <w:spacing w:before="99"/>
              <w:ind w:left="489"/>
              <w:rPr>
                <w:sz w:val="21"/>
              </w:rPr>
            </w:pPr>
            <w:r>
              <w:rPr>
                <w:sz w:val="21"/>
              </w:rPr>
              <w:t>2014 年 10 月 25 日-至今（管理景顺长城优选混合型证券投资基金）</w:t>
            </w:r>
          </w:p>
        </w:tc>
      </w:tr>
      <w:tr>
        <w:trPr>
          <w:trHeight w:val="467" w:hRule="atLeast"/>
        </w:trPr>
        <w:tc>
          <w:tcPr>
            <w:tcW w:w="1560" w:type="dxa"/>
          </w:tcPr>
          <w:p>
            <w:pPr>
              <w:pStyle w:val="TableParagraph"/>
              <w:spacing w:before="99"/>
              <w:ind w:left="129" w:right="118"/>
              <w:jc w:val="center"/>
              <w:rPr>
                <w:sz w:val="21"/>
              </w:rPr>
            </w:pPr>
            <w:r>
              <w:rPr>
                <w:sz w:val="21"/>
              </w:rPr>
              <w:t>刘苏先生</w:t>
            </w:r>
          </w:p>
        </w:tc>
        <w:tc>
          <w:tcPr>
            <w:tcW w:w="7230" w:type="dxa"/>
          </w:tcPr>
          <w:p>
            <w:pPr>
              <w:pStyle w:val="TableParagraph"/>
              <w:spacing w:before="99"/>
              <w:ind w:left="648"/>
              <w:rPr>
                <w:sz w:val="21"/>
              </w:rPr>
            </w:pPr>
            <w:r>
              <w:rPr>
                <w:sz w:val="21"/>
              </w:rPr>
              <w:t>2015 年 9 月 29 日-至今（管理景顺长城动力平衡证券投资基金）</w:t>
            </w:r>
          </w:p>
        </w:tc>
      </w:tr>
      <w:tr>
        <w:trPr>
          <w:trHeight w:val="468" w:hRule="atLeast"/>
        </w:trPr>
        <w:tc>
          <w:tcPr>
            <w:tcW w:w="1560" w:type="dxa"/>
          </w:tcPr>
          <w:p>
            <w:pPr>
              <w:pStyle w:val="TableParagraph"/>
              <w:spacing w:before="100"/>
              <w:ind w:left="129" w:right="118"/>
              <w:jc w:val="center"/>
              <w:rPr>
                <w:sz w:val="21"/>
              </w:rPr>
            </w:pPr>
            <w:r>
              <w:rPr>
                <w:sz w:val="21"/>
              </w:rPr>
              <w:t>米良先生</w:t>
            </w:r>
          </w:p>
        </w:tc>
        <w:tc>
          <w:tcPr>
            <w:tcW w:w="7230" w:type="dxa"/>
          </w:tcPr>
          <w:p>
            <w:pPr>
              <w:pStyle w:val="TableParagraph"/>
              <w:spacing w:before="100"/>
              <w:ind w:left="648"/>
              <w:rPr>
                <w:sz w:val="21"/>
              </w:rPr>
            </w:pPr>
            <w:r>
              <w:rPr>
                <w:sz w:val="21"/>
              </w:rPr>
              <w:t>2018 年 11 月 3 日-至今（管理景顺长城货币市场证券投资基金）</w:t>
            </w:r>
          </w:p>
        </w:tc>
      </w:tr>
    </w:tbl>
    <w:p>
      <w:pPr>
        <w:pStyle w:val="BodyText"/>
        <w:spacing w:before="99"/>
        <w:ind w:left="1078"/>
      </w:pPr>
      <w:r>
        <w:rPr/>
        <w:t>8、投资决策委员会委员名单</w:t>
      </w:r>
    </w:p>
    <w:p>
      <w:pPr>
        <w:pStyle w:val="BodyText"/>
        <w:spacing w:before="7"/>
        <w:rPr>
          <w:sz w:val="15"/>
        </w:rPr>
      </w:pPr>
    </w:p>
    <w:p>
      <w:pPr>
        <w:pStyle w:val="BodyText"/>
        <w:spacing w:line="417" w:lineRule="auto"/>
        <w:ind w:left="658" w:right="1310" w:firstLine="419"/>
      </w:pPr>
      <w:r>
        <w:rPr>
          <w:spacing w:val="-16"/>
        </w:rPr>
        <w:t>本公司的投资决策委员会由公司总经理、分管投资的副总经理、各投资总监、研究总监、</w:t>
      </w:r>
      <w:r>
        <w:rPr>
          <w:spacing w:val="-7"/>
        </w:rPr>
        <w:t>基金经理代表等组成。</w:t>
      </w:r>
    </w:p>
    <w:p>
      <w:pPr>
        <w:pStyle w:val="BodyText"/>
        <w:spacing w:line="417" w:lineRule="auto"/>
        <w:ind w:left="1078" w:right="5000"/>
      </w:pPr>
      <w:r>
        <w:rPr/>
        <w:t>公司的投资决策委员会成员姓名及职务如下： 康乐先生，总经理；</w:t>
      </w:r>
    </w:p>
    <w:p>
      <w:pPr>
        <w:pStyle w:val="BodyText"/>
        <w:spacing w:line="417" w:lineRule="auto"/>
        <w:ind w:left="1078" w:right="5841"/>
      </w:pPr>
      <w:r>
        <w:rPr/>
        <w:t>CHEN WENYU（陈文宇），副总经理； 毛从容女士，副总经理；</w:t>
      </w:r>
    </w:p>
    <w:p>
      <w:pPr>
        <w:pStyle w:val="BodyText"/>
        <w:spacing w:line="417" w:lineRule="auto"/>
        <w:ind w:left="1078" w:right="4160"/>
      </w:pPr>
      <w:r>
        <w:rPr/>
        <w:t>黎海威先生，副总经理兼量化及指数投资部投资总监； 余广先生，总经理助理兼股票投资部投资总监；</w:t>
      </w:r>
    </w:p>
    <w:p>
      <w:pPr>
        <w:pStyle w:val="BodyText"/>
        <w:spacing w:line="417" w:lineRule="auto"/>
        <w:ind w:left="1078" w:right="5421"/>
      </w:pPr>
      <w:r>
        <w:rPr/>
        <w:t>刘彦春先生，总经理助理兼研究部总监； 彭成军先生，固定收益部投资总监。</w:t>
      </w:r>
    </w:p>
    <w:p>
      <w:pPr>
        <w:pStyle w:val="BodyText"/>
        <w:spacing w:line="417" w:lineRule="auto"/>
        <w:ind w:left="1078" w:right="4372"/>
      </w:pPr>
      <w:r>
        <w:rPr/>
        <w:t>李怡文女士，固定收益部稳定收益业务投资负责人； 崔俊杰先生，ETF 投资部投资总监。</w:t>
      </w:r>
    </w:p>
    <w:p>
      <w:pPr>
        <w:pStyle w:val="BodyText"/>
        <w:ind w:left="1078"/>
      </w:pPr>
      <w:r>
        <w:rPr>
          <w:rFonts w:ascii="Times New Roman" w:eastAsia="Times New Roman"/>
        </w:rPr>
        <w:t>9</w:t>
      </w:r>
      <w:r>
        <w:rPr/>
        <w:t>、上述人员之间不存在近亲属关系。</w:t>
      </w:r>
    </w:p>
    <w:p>
      <w:pPr>
        <w:pStyle w:val="BodyText"/>
        <w:rPr>
          <w:sz w:val="22"/>
        </w:rPr>
      </w:pPr>
    </w:p>
    <w:p>
      <w:pPr>
        <w:pStyle w:val="BodyText"/>
        <w:rPr>
          <w:sz w:val="30"/>
        </w:rPr>
      </w:pPr>
    </w:p>
    <w:p>
      <w:pPr>
        <w:spacing w:before="0"/>
        <w:ind w:left="658" w:right="0" w:firstLine="0"/>
        <w:jc w:val="left"/>
        <w:rPr>
          <w:b/>
          <w:sz w:val="21"/>
        </w:rPr>
      </w:pPr>
      <w:r>
        <w:rPr>
          <w:b/>
          <w:sz w:val="21"/>
        </w:rPr>
        <w:t>（三）基金管理人的权利和义务</w:t>
      </w:r>
    </w:p>
    <w:p>
      <w:pPr>
        <w:pStyle w:val="BodyText"/>
        <w:spacing w:before="6"/>
        <w:rPr>
          <w:b/>
          <w:sz w:val="15"/>
        </w:rPr>
      </w:pPr>
    </w:p>
    <w:p>
      <w:pPr>
        <w:pStyle w:val="BodyText"/>
        <w:ind w:left="658"/>
      </w:pPr>
      <w:r>
        <w:rPr>
          <w:rFonts w:ascii="Times New Roman" w:eastAsia="Times New Roman"/>
        </w:rPr>
        <w:t>1</w:t>
      </w:r>
      <w:r>
        <w:rPr/>
        <w:t>、基金管理人的权利</w:t>
      </w:r>
    </w:p>
    <w:p>
      <w:pPr>
        <w:pStyle w:val="BodyText"/>
        <w:spacing w:before="7"/>
        <w:rPr>
          <w:sz w:val="15"/>
        </w:rPr>
      </w:pPr>
    </w:p>
    <w:p>
      <w:pPr>
        <w:pStyle w:val="ListParagraph"/>
        <w:numPr>
          <w:ilvl w:val="0"/>
          <w:numId w:val="2"/>
        </w:numPr>
        <w:tabs>
          <w:tab w:pos="1187" w:val="left" w:leader="none"/>
        </w:tabs>
        <w:spacing w:line="240" w:lineRule="auto" w:before="0" w:after="0"/>
        <w:ind w:left="1187" w:right="0" w:hanging="529"/>
        <w:jc w:val="left"/>
        <w:rPr>
          <w:sz w:val="21"/>
        </w:rPr>
      </w:pPr>
      <w:r>
        <w:rPr>
          <w:spacing w:val="-3"/>
          <w:sz w:val="21"/>
        </w:rPr>
        <w:t>依法募集基金，办理基金备案手续；</w:t>
      </w:r>
    </w:p>
    <w:p>
      <w:pPr>
        <w:pStyle w:val="BodyText"/>
        <w:spacing w:before="7"/>
        <w:rPr>
          <w:sz w:val="15"/>
        </w:rPr>
      </w:pPr>
    </w:p>
    <w:p>
      <w:pPr>
        <w:pStyle w:val="ListParagraph"/>
        <w:numPr>
          <w:ilvl w:val="0"/>
          <w:numId w:val="2"/>
        </w:numPr>
        <w:tabs>
          <w:tab w:pos="1187" w:val="left" w:leader="none"/>
        </w:tabs>
        <w:spacing w:line="240" w:lineRule="auto" w:before="0" w:after="0"/>
        <w:ind w:left="1187" w:right="0" w:hanging="529"/>
        <w:jc w:val="left"/>
        <w:rPr>
          <w:sz w:val="21"/>
        </w:rPr>
      </w:pPr>
      <w:r>
        <w:rPr>
          <w:spacing w:val="-3"/>
          <w:sz w:val="21"/>
        </w:rPr>
        <w:t>自本基金合同生效之日起，依法并依照基金合同的规定独立运用基金财产；</w:t>
      </w:r>
    </w:p>
    <w:p>
      <w:pPr>
        <w:pStyle w:val="BodyText"/>
        <w:spacing w:before="7"/>
        <w:rPr>
          <w:sz w:val="15"/>
        </w:rPr>
      </w:pPr>
    </w:p>
    <w:p>
      <w:pPr>
        <w:pStyle w:val="ListParagraph"/>
        <w:numPr>
          <w:ilvl w:val="0"/>
          <w:numId w:val="2"/>
        </w:numPr>
        <w:tabs>
          <w:tab w:pos="1187" w:val="left" w:leader="none"/>
        </w:tabs>
        <w:spacing w:line="240" w:lineRule="auto" w:before="0" w:after="0"/>
        <w:ind w:left="1187" w:right="0" w:hanging="529"/>
        <w:jc w:val="left"/>
        <w:rPr>
          <w:sz w:val="21"/>
        </w:rPr>
      </w:pPr>
      <w:r>
        <w:rPr>
          <w:spacing w:val="-3"/>
          <w:sz w:val="21"/>
        </w:rPr>
        <w:t>依据有关法律规定及本基金合同决定基金收益分配方案；</w:t>
      </w:r>
    </w:p>
    <w:p>
      <w:pPr>
        <w:pStyle w:val="BodyText"/>
        <w:spacing w:before="7"/>
        <w:rPr>
          <w:sz w:val="15"/>
        </w:rPr>
      </w:pPr>
    </w:p>
    <w:p>
      <w:pPr>
        <w:pStyle w:val="ListParagraph"/>
        <w:numPr>
          <w:ilvl w:val="0"/>
          <w:numId w:val="2"/>
        </w:numPr>
        <w:tabs>
          <w:tab w:pos="1187" w:val="left" w:leader="none"/>
        </w:tabs>
        <w:spacing w:line="240" w:lineRule="auto" w:before="0" w:after="0"/>
        <w:ind w:left="1187" w:right="0" w:hanging="529"/>
        <w:jc w:val="left"/>
        <w:rPr>
          <w:sz w:val="21"/>
        </w:rPr>
      </w:pPr>
      <w:r>
        <w:rPr>
          <w:spacing w:val="-3"/>
          <w:sz w:val="21"/>
        </w:rPr>
        <w:t>根据基金合同的规定，获取基金管理费及其他约定和法定的收入；</w:t>
      </w:r>
    </w:p>
    <w:p>
      <w:pPr>
        <w:spacing w:after="0" w:line="240" w:lineRule="auto"/>
        <w:jc w:val="left"/>
        <w:rPr>
          <w:sz w:val="21"/>
        </w:rPr>
        <w:sectPr>
          <w:pgSz w:w="11910" w:h="16840"/>
          <w:pgMar w:header="852" w:footer="992" w:top="1220" w:bottom="1180" w:left="1140" w:right="480"/>
        </w:sectPr>
      </w:pPr>
    </w:p>
    <w:p>
      <w:pPr>
        <w:pStyle w:val="BodyText"/>
        <w:spacing w:before="7"/>
        <w:rPr>
          <w:sz w:val="18"/>
        </w:rPr>
      </w:pPr>
    </w:p>
    <w:p>
      <w:pPr>
        <w:pStyle w:val="ListParagraph"/>
        <w:numPr>
          <w:ilvl w:val="0"/>
          <w:numId w:val="2"/>
        </w:numPr>
        <w:tabs>
          <w:tab w:pos="1187" w:val="left" w:leader="none"/>
        </w:tabs>
        <w:spacing w:line="417" w:lineRule="auto" w:before="78" w:after="0"/>
        <w:ind w:left="658" w:right="1309" w:firstLine="0"/>
        <w:jc w:val="left"/>
        <w:rPr>
          <w:sz w:val="21"/>
        </w:rPr>
      </w:pPr>
      <w:r>
        <w:rPr>
          <w:spacing w:val="-3"/>
          <w:sz w:val="21"/>
        </w:rPr>
        <w:t>在符合有关法律法规的前提下，并经中国证监会批准后，制订和调整开放式基金业务规则，决定本系列基金的相关费率结构和收费方式；</w:t>
      </w:r>
    </w:p>
    <w:p>
      <w:pPr>
        <w:pStyle w:val="ListParagraph"/>
        <w:numPr>
          <w:ilvl w:val="0"/>
          <w:numId w:val="2"/>
        </w:numPr>
        <w:tabs>
          <w:tab w:pos="1187" w:val="left" w:leader="none"/>
        </w:tabs>
        <w:spacing w:line="269" w:lineRule="exact" w:before="0" w:after="0"/>
        <w:ind w:left="1187" w:right="0" w:hanging="529"/>
        <w:jc w:val="left"/>
        <w:rPr>
          <w:sz w:val="21"/>
        </w:rPr>
      </w:pPr>
      <w:r>
        <w:rPr>
          <w:spacing w:val="-3"/>
          <w:sz w:val="21"/>
        </w:rPr>
        <w:t>销售基金份额，获取认</w:t>
      </w:r>
      <w:r>
        <w:rPr>
          <w:sz w:val="21"/>
        </w:rPr>
        <w:t>（</w:t>
      </w:r>
      <w:r>
        <w:rPr>
          <w:spacing w:val="-3"/>
          <w:sz w:val="21"/>
        </w:rPr>
        <w:t>申</w:t>
      </w:r>
      <w:r>
        <w:rPr>
          <w:sz w:val="21"/>
        </w:rPr>
        <w:t>）</w:t>
      </w:r>
      <w:r>
        <w:rPr>
          <w:spacing w:val="-2"/>
          <w:sz w:val="21"/>
        </w:rPr>
        <w:t>购费；</w:t>
      </w:r>
    </w:p>
    <w:p>
      <w:pPr>
        <w:pStyle w:val="BodyText"/>
        <w:spacing w:before="7"/>
        <w:rPr>
          <w:sz w:val="15"/>
        </w:rPr>
      </w:pPr>
    </w:p>
    <w:p>
      <w:pPr>
        <w:pStyle w:val="ListParagraph"/>
        <w:numPr>
          <w:ilvl w:val="0"/>
          <w:numId w:val="2"/>
        </w:numPr>
        <w:tabs>
          <w:tab w:pos="1187" w:val="left" w:leader="none"/>
        </w:tabs>
        <w:spacing w:line="240" w:lineRule="auto" w:before="0" w:after="0"/>
        <w:ind w:left="1187" w:right="0" w:hanging="529"/>
        <w:jc w:val="left"/>
        <w:rPr>
          <w:sz w:val="21"/>
        </w:rPr>
      </w:pPr>
      <w:r>
        <w:rPr>
          <w:spacing w:val="-3"/>
          <w:sz w:val="21"/>
        </w:rPr>
        <w:t>选择和更换代销机构，并对其销售代理行为进行必要的监督；</w:t>
      </w:r>
    </w:p>
    <w:p>
      <w:pPr>
        <w:pStyle w:val="BodyText"/>
        <w:spacing w:before="6"/>
        <w:rPr>
          <w:sz w:val="15"/>
        </w:rPr>
      </w:pPr>
    </w:p>
    <w:p>
      <w:pPr>
        <w:pStyle w:val="ListParagraph"/>
        <w:numPr>
          <w:ilvl w:val="0"/>
          <w:numId w:val="2"/>
        </w:numPr>
        <w:tabs>
          <w:tab w:pos="1187" w:val="left" w:leader="none"/>
        </w:tabs>
        <w:spacing w:line="240" w:lineRule="auto" w:before="1" w:after="0"/>
        <w:ind w:left="1187" w:right="0" w:hanging="529"/>
        <w:jc w:val="left"/>
        <w:rPr>
          <w:sz w:val="21"/>
        </w:rPr>
      </w:pPr>
      <w:r>
        <w:rPr>
          <w:spacing w:val="-3"/>
          <w:sz w:val="21"/>
        </w:rPr>
        <w:t>依照有关法律法规，代表基金行使因运营基金财产而产生的股权、债权及其他权利；</w:t>
      </w:r>
    </w:p>
    <w:p>
      <w:pPr>
        <w:pStyle w:val="BodyText"/>
        <w:spacing w:before="6"/>
        <w:rPr>
          <w:sz w:val="15"/>
        </w:rPr>
      </w:pPr>
    </w:p>
    <w:p>
      <w:pPr>
        <w:pStyle w:val="ListParagraph"/>
        <w:numPr>
          <w:ilvl w:val="0"/>
          <w:numId w:val="2"/>
        </w:numPr>
        <w:tabs>
          <w:tab w:pos="1187" w:val="left" w:leader="none"/>
        </w:tabs>
        <w:spacing w:line="417" w:lineRule="auto" w:before="0" w:after="0"/>
        <w:ind w:left="658" w:right="1309" w:firstLine="0"/>
        <w:jc w:val="left"/>
        <w:rPr>
          <w:sz w:val="21"/>
        </w:rPr>
      </w:pPr>
      <w:r>
        <w:rPr>
          <w:spacing w:val="-3"/>
          <w:sz w:val="21"/>
        </w:rPr>
        <w:t>担任注册登记人或选择和更换注册登记代理机构，并对其注册登记代理行为进行必要的监督；</w:t>
      </w:r>
    </w:p>
    <w:p>
      <w:pPr>
        <w:pStyle w:val="ListParagraph"/>
        <w:numPr>
          <w:ilvl w:val="0"/>
          <w:numId w:val="2"/>
        </w:numPr>
        <w:tabs>
          <w:tab w:pos="1291" w:val="left" w:leader="none"/>
        </w:tabs>
        <w:spacing w:line="417" w:lineRule="auto" w:before="1" w:after="0"/>
        <w:ind w:left="658" w:right="1311" w:firstLine="0"/>
        <w:jc w:val="left"/>
        <w:rPr>
          <w:sz w:val="21"/>
        </w:rPr>
      </w:pPr>
      <w:r>
        <w:rPr>
          <w:spacing w:val="-6"/>
          <w:sz w:val="21"/>
        </w:rPr>
        <w:t>基金合同规定的情形出现时，决定暂停或拒绝受理基金份额的申购、暂停受理基金 </w:t>
      </w:r>
      <w:r>
        <w:rPr>
          <w:spacing w:val="-5"/>
          <w:sz w:val="21"/>
        </w:rPr>
        <w:t>份额的赎回申请或延缓支付赎回款项；</w:t>
      </w:r>
    </w:p>
    <w:p>
      <w:pPr>
        <w:pStyle w:val="ListParagraph"/>
        <w:numPr>
          <w:ilvl w:val="0"/>
          <w:numId w:val="2"/>
        </w:numPr>
        <w:tabs>
          <w:tab w:pos="1283" w:val="left" w:leader="none"/>
        </w:tabs>
        <w:spacing w:line="417" w:lineRule="auto" w:before="0" w:after="0"/>
        <w:ind w:left="658" w:right="1309" w:firstLine="0"/>
        <w:jc w:val="left"/>
        <w:rPr>
          <w:sz w:val="21"/>
        </w:rPr>
      </w:pPr>
      <w:r>
        <w:rPr>
          <w:spacing w:val="-8"/>
          <w:sz w:val="21"/>
        </w:rPr>
        <w:t>监督基金托管人，如认为基金托管人违反基金合同或有关法律法规的规定，呈报中 </w:t>
      </w:r>
      <w:r>
        <w:rPr>
          <w:spacing w:val="-3"/>
          <w:sz w:val="21"/>
        </w:rPr>
        <w:t>国证监会和其他监管部门，并采取必要措施保护基金投资者的利益；</w:t>
      </w:r>
    </w:p>
    <w:p>
      <w:pPr>
        <w:pStyle w:val="ListParagraph"/>
        <w:numPr>
          <w:ilvl w:val="0"/>
          <w:numId w:val="2"/>
        </w:numPr>
        <w:tabs>
          <w:tab w:pos="1293" w:val="left" w:leader="none"/>
        </w:tabs>
        <w:spacing w:line="269" w:lineRule="exact" w:before="0" w:after="0"/>
        <w:ind w:left="1292" w:right="0" w:hanging="635"/>
        <w:jc w:val="left"/>
        <w:rPr>
          <w:sz w:val="21"/>
        </w:rPr>
      </w:pPr>
      <w:r>
        <w:rPr>
          <w:spacing w:val="-3"/>
          <w:sz w:val="21"/>
        </w:rPr>
        <w:t>以自身名义，代表基金份额持有人利益行使诉讼权利或者实施其他法律行为；</w:t>
      </w:r>
    </w:p>
    <w:p>
      <w:pPr>
        <w:pStyle w:val="BodyText"/>
        <w:spacing w:before="6"/>
        <w:rPr>
          <w:sz w:val="15"/>
        </w:rPr>
      </w:pPr>
    </w:p>
    <w:p>
      <w:pPr>
        <w:pStyle w:val="ListParagraph"/>
        <w:numPr>
          <w:ilvl w:val="0"/>
          <w:numId w:val="2"/>
        </w:numPr>
        <w:tabs>
          <w:tab w:pos="1293" w:val="left" w:leader="none"/>
        </w:tabs>
        <w:spacing w:line="240" w:lineRule="auto" w:before="0" w:after="0"/>
        <w:ind w:left="1292" w:right="0" w:hanging="635"/>
        <w:jc w:val="left"/>
        <w:rPr>
          <w:sz w:val="21"/>
        </w:rPr>
      </w:pPr>
      <w:r>
        <w:rPr>
          <w:spacing w:val="-3"/>
          <w:sz w:val="21"/>
        </w:rPr>
        <w:t>召集基金份额持有人大会；</w:t>
      </w:r>
    </w:p>
    <w:p>
      <w:pPr>
        <w:pStyle w:val="BodyText"/>
        <w:spacing w:before="7"/>
        <w:rPr>
          <w:sz w:val="15"/>
        </w:rPr>
      </w:pPr>
    </w:p>
    <w:p>
      <w:pPr>
        <w:pStyle w:val="ListParagraph"/>
        <w:numPr>
          <w:ilvl w:val="0"/>
          <w:numId w:val="2"/>
        </w:numPr>
        <w:tabs>
          <w:tab w:pos="1293" w:val="left" w:leader="none"/>
        </w:tabs>
        <w:spacing w:line="240" w:lineRule="auto" w:before="0" w:after="0"/>
        <w:ind w:left="1292" w:right="0" w:hanging="635"/>
        <w:jc w:val="left"/>
        <w:rPr>
          <w:sz w:val="21"/>
        </w:rPr>
      </w:pPr>
      <w:r>
        <w:rPr>
          <w:spacing w:val="-3"/>
          <w:sz w:val="21"/>
        </w:rPr>
        <w:t>在更换基金托管人时，提名新任基金托管人；</w:t>
      </w:r>
    </w:p>
    <w:p>
      <w:pPr>
        <w:pStyle w:val="BodyText"/>
        <w:spacing w:before="7"/>
        <w:rPr>
          <w:sz w:val="15"/>
        </w:rPr>
      </w:pPr>
    </w:p>
    <w:p>
      <w:pPr>
        <w:pStyle w:val="ListParagraph"/>
        <w:numPr>
          <w:ilvl w:val="0"/>
          <w:numId w:val="2"/>
        </w:numPr>
        <w:tabs>
          <w:tab w:pos="1293" w:val="left" w:leader="none"/>
        </w:tabs>
        <w:spacing w:line="240" w:lineRule="auto" w:before="0" w:after="0"/>
        <w:ind w:left="1292" w:right="0" w:hanging="635"/>
        <w:jc w:val="left"/>
        <w:rPr>
          <w:sz w:val="21"/>
        </w:rPr>
      </w:pPr>
      <w:r>
        <w:rPr>
          <w:spacing w:val="-3"/>
          <w:sz w:val="21"/>
        </w:rPr>
        <w:t>法律法规及基金合同规定的其他权利。</w:t>
      </w:r>
    </w:p>
    <w:p>
      <w:pPr>
        <w:pStyle w:val="BodyText"/>
        <w:rPr>
          <w:sz w:val="22"/>
        </w:rPr>
      </w:pPr>
    </w:p>
    <w:p>
      <w:pPr>
        <w:pStyle w:val="BodyText"/>
        <w:rPr>
          <w:sz w:val="30"/>
        </w:rPr>
      </w:pPr>
    </w:p>
    <w:p>
      <w:pPr>
        <w:pStyle w:val="BodyText"/>
        <w:spacing w:before="1"/>
        <w:ind w:left="658"/>
      </w:pPr>
      <w:r>
        <w:rPr>
          <w:rFonts w:ascii="Times New Roman" w:eastAsia="Times New Roman"/>
        </w:rPr>
        <w:t>2</w:t>
      </w:r>
      <w:r>
        <w:rPr/>
        <w:t>、基金管理人的义务</w:t>
      </w:r>
    </w:p>
    <w:p>
      <w:pPr>
        <w:pStyle w:val="BodyText"/>
        <w:spacing w:before="6"/>
        <w:rPr>
          <w:sz w:val="15"/>
        </w:rPr>
      </w:pPr>
    </w:p>
    <w:p>
      <w:pPr>
        <w:pStyle w:val="ListParagraph"/>
        <w:numPr>
          <w:ilvl w:val="0"/>
          <w:numId w:val="3"/>
        </w:numPr>
        <w:tabs>
          <w:tab w:pos="1187" w:val="left" w:leader="none"/>
        </w:tabs>
        <w:spacing w:line="240" w:lineRule="auto" w:before="0" w:after="0"/>
        <w:ind w:left="1187" w:right="0" w:hanging="529"/>
        <w:jc w:val="left"/>
        <w:rPr>
          <w:sz w:val="21"/>
        </w:rPr>
      </w:pPr>
      <w:r>
        <w:rPr>
          <w:spacing w:val="-3"/>
          <w:sz w:val="21"/>
        </w:rPr>
        <w:t>遵守基金合同；</w:t>
      </w:r>
    </w:p>
    <w:p>
      <w:pPr>
        <w:pStyle w:val="BodyText"/>
        <w:spacing w:before="7"/>
        <w:rPr>
          <w:sz w:val="15"/>
        </w:rPr>
      </w:pPr>
    </w:p>
    <w:p>
      <w:pPr>
        <w:pStyle w:val="ListParagraph"/>
        <w:numPr>
          <w:ilvl w:val="0"/>
          <w:numId w:val="3"/>
        </w:numPr>
        <w:tabs>
          <w:tab w:pos="1187" w:val="left" w:leader="none"/>
        </w:tabs>
        <w:spacing w:line="240" w:lineRule="auto" w:before="0" w:after="0"/>
        <w:ind w:left="1187" w:right="0" w:hanging="529"/>
        <w:jc w:val="left"/>
        <w:rPr>
          <w:sz w:val="21"/>
        </w:rPr>
      </w:pPr>
      <w:r>
        <w:rPr>
          <w:spacing w:val="-3"/>
          <w:sz w:val="21"/>
        </w:rPr>
        <w:t>自基金合同生效之日起，以诚实信用、勤勉尽责的原则管理和运用基金财产；</w:t>
      </w:r>
    </w:p>
    <w:p>
      <w:pPr>
        <w:pStyle w:val="BodyText"/>
        <w:spacing w:before="7"/>
        <w:rPr>
          <w:sz w:val="15"/>
        </w:rPr>
      </w:pPr>
    </w:p>
    <w:p>
      <w:pPr>
        <w:pStyle w:val="ListParagraph"/>
        <w:numPr>
          <w:ilvl w:val="0"/>
          <w:numId w:val="3"/>
        </w:numPr>
        <w:tabs>
          <w:tab w:pos="1187" w:val="left" w:leader="none"/>
        </w:tabs>
        <w:spacing w:line="417" w:lineRule="auto" w:before="0" w:after="0"/>
        <w:ind w:left="658" w:right="1309" w:firstLine="0"/>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
        </w:numPr>
        <w:tabs>
          <w:tab w:pos="1187" w:val="left" w:leader="none"/>
        </w:tabs>
        <w:spacing w:line="417" w:lineRule="auto" w:before="0" w:after="0"/>
        <w:ind w:left="658" w:right="1309" w:firstLine="0"/>
        <w:jc w:val="left"/>
        <w:rPr>
          <w:sz w:val="21"/>
        </w:rPr>
      </w:pPr>
      <w:r>
        <w:rPr>
          <w:spacing w:val="-3"/>
          <w:sz w:val="21"/>
        </w:rPr>
        <w:t>设置相应的部门并配备足够的专业人员办理基金份额的认购、申购、赎回及其他业务或委托其他机构代理这些业务；</w:t>
      </w:r>
    </w:p>
    <w:p>
      <w:pPr>
        <w:pStyle w:val="ListParagraph"/>
        <w:numPr>
          <w:ilvl w:val="0"/>
          <w:numId w:val="3"/>
        </w:numPr>
        <w:tabs>
          <w:tab w:pos="1187" w:val="left" w:leader="none"/>
        </w:tabs>
        <w:spacing w:line="417" w:lineRule="auto" w:before="0" w:after="0"/>
        <w:ind w:left="658" w:right="1309" w:firstLine="0"/>
        <w:jc w:val="left"/>
        <w:rPr>
          <w:sz w:val="21"/>
        </w:rPr>
      </w:pPr>
      <w:r>
        <w:rPr>
          <w:spacing w:val="-3"/>
          <w:sz w:val="21"/>
        </w:rPr>
        <w:t>设置相应的部门并配备足够的专业人员办理基金的注册登记工作或委托其他机构代理该项业务；</w:t>
      </w:r>
    </w:p>
    <w:p>
      <w:pPr>
        <w:pStyle w:val="ListParagraph"/>
        <w:numPr>
          <w:ilvl w:val="0"/>
          <w:numId w:val="3"/>
        </w:numPr>
        <w:tabs>
          <w:tab w:pos="1187" w:val="left" w:leader="none"/>
        </w:tabs>
        <w:spacing w:line="417" w:lineRule="auto" w:before="0" w:after="0"/>
        <w:ind w:left="658" w:right="1309" w:firstLine="0"/>
        <w:jc w:val="left"/>
        <w:rPr>
          <w:sz w:val="21"/>
        </w:rPr>
      </w:pPr>
      <w:r>
        <w:rPr>
          <w:spacing w:val="-3"/>
          <w:sz w:val="21"/>
        </w:rPr>
        <w:t>建立健全内部风险控制、监察与稽核、财务管理及人事管理等制度，保证所管理的基</w:t>
      </w:r>
      <w:r>
        <w:rPr>
          <w:spacing w:val="-17"/>
          <w:sz w:val="21"/>
        </w:rPr>
        <w:t>金财产和管理人的财产相互独立，对所管理的不同基金分别管理，分别记账，进行证券投资；</w:t>
      </w:r>
    </w:p>
    <w:p>
      <w:pPr>
        <w:pStyle w:val="ListParagraph"/>
        <w:numPr>
          <w:ilvl w:val="0"/>
          <w:numId w:val="3"/>
        </w:numPr>
        <w:tabs>
          <w:tab w:pos="1187" w:val="left" w:leader="none"/>
        </w:tabs>
        <w:spacing w:line="417" w:lineRule="auto" w:before="0" w:after="0"/>
        <w:ind w:left="658" w:right="1308" w:firstLine="0"/>
        <w:jc w:val="both"/>
        <w:rPr>
          <w:sz w:val="21"/>
        </w:rPr>
      </w:pPr>
      <w:r>
        <w:rPr>
          <w:spacing w:val="-16"/>
          <w:sz w:val="21"/>
        </w:rPr>
        <w:t>除依据《基金法》、基金合同及其他有关规定外，不得以基金财产为自己及任何第三 </w:t>
      </w:r>
      <w:r>
        <w:rPr>
          <w:spacing w:val="-19"/>
          <w:sz w:val="21"/>
        </w:rPr>
        <w:t>人谋取利益，不得委托第三人运作基金财产，除依据《基金法》、基金合同及其他有关规定外</w:t>
      </w:r>
      <w:r>
        <w:rPr>
          <w:spacing w:val="-3"/>
          <w:sz w:val="21"/>
        </w:rPr>
        <w:t>，不得为自己及任何第三人谋取利益，不得委托第三人运作基金财产；</w:t>
      </w:r>
    </w:p>
    <w:p>
      <w:pPr>
        <w:spacing w:after="0" w:line="417" w:lineRule="auto"/>
        <w:jc w:val="both"/>
        <w:rPr>
          <w:sz w:val="21"/>
        </w:rPr>
        <w:sectPr>
          <w:pgSz w:w="11910" w:h="16840"/>
          <w:pgMar w:header="852" w:footer="992" w:top="1220" w:bottom="1180" w:left="1140" w:right="480"/>
        </w:sectPr>
      </w:pPr>
    </w:p>
    <w:p>
      <w:pPr>
        <w:pStyle w:val="BodyText"/>
        <w:spacing w:before="7"/>
        <w:rPr>
          <w:sz w:val="18"/>
        </w:rPr>
      </w:pPr>
    </w:p>
    <w:p>
      <w:pPr>
        <w:pStyle w:val="ListParagraph"/>
        <w:numPr>
          <w:ilvl w:val="0"/>
          <w:numId w:val="3"/>
        </w:numPr>
        <w:tabs>
          <w:tab w:pos="1187" w:val="left" w:leader="none"/>
        </w:tabs>
        <w:spacing w:line="240" w:lineRule="auto" w:before="78" w:after="0"/>
        <w:ind w:left="1187" w:right="0" w:hanging="529"/>
        <w:jc w:val="left"/>
        <w:rPr>
          <w:sz w:val="21"/>
        </w:rPr>
      </w:pPr>
      <w:r>
        <w:rPr>
          <w:spacing w:val="-3"/>
          <w:sz w:val="21"/>
        </w:rPr>
        <w:t>依法接受基金托管人的监督；</w:t>
      </w:r>
    </w:p>
    <w:p>
      <w:pPr>
        <w:pStyle w:val="BodyText"/>
        <w:spacing w:before="7"/>
        <w:rPr>
          <w:sz w:val="15"/>
        </w:rPr>
      </w:pPr>
    </w:p>
    <w:p>
      <w:pPr>
        <w:pStyle w:val="ListParagraph"/>
        <w:numPr>
          <w:ilvl w:val="0"/>
          <w:numId w:val="3"/>
        </w:numPr>
        <w:tabs>
          <w:tab w:pos="1187" w:val="left" w:leader="none"/>
        </w:tabs>
        <w:spacing w:line="240" w:lineRule="auto" w:before="0" w:after="0"/>
        <w:ind w:left="1187" w:right="0" w:hanging="529"/>
        <w:jc w:val="left"/>
        <w:rPr>
          <w:sz w:val="21"/>
        </w:rPr>
      </w:pPr>
      <w:r>
        <w:rPr>
          <w:spacing w:val="-3"/>
          <w:sz w:val="21"/>
        </w:rPr>
        <w:t>按规定计算并公告基金净值信息，确定基金份额申购、赎回的价格；</w:t>
      </w:r>
    </w:p>
    <w:p>
      <w:pPr>
        <w:pStyle w:val="BodyText"/>
        <w:spacing w:before="6"/>
        <w:rPr>
          <w:sz w:val="15"/>
        </w:rPr>
      </w:pPr>
    </w:p>
    <w:p>
      <w:pPr>
        <w:pStyle w:val="ListParagraph"/>
        <w:numPr>
          <w:ilvl w:val="0"/>
          <w:numId w:val="3"/>
        </w:numPr>
        <w:tabs>
          <w:tab w:pos="1291" w:val="left" w:leader="none"/>
        </w:tabs>
        <w:spacing w:line="417" w:lineRule="auto" w:before="1" w:after="0"/>
        <w:ind w:left="658" w:right="1310" w:firstLine="0"/>
        <w:jc w:val="left"/>
        <w:rPr>
          <w:sz w:val="21"/>
        </w:rPr>
      </w:pPr>
      <w:r>
        <w:rPr>
          <w:spacing w:val="-7"/>
          <w:sz w:val="21"/>
        </w:rPr>
        <w:t>采取适当合理的措施使计算开放式基金份额认购、申购、赎回和注销价格的方法符 </w:t>
      </w:r>
      <w:r>
        <w:rPr>
          <w:spacing w:val="-5"/>
          <w:sz w:val="21"/>
        </w:rPr>
        <w:t>合基金合同等法律文件的规定；</w:t>
      </w:r>
    </w:p>
    <w:p>
      <w:pPr>
        <w:pStyle w:val="ListParagraph"/>
        <w:numPr>
          <w:ilvl w:val="0"/>
          <w:numId w:val="3"/>
        </w:numPr>
        <w:tabs>
          <w:tab w:pos="1286" w:val="left" w:leader="none"/>
        </w:tabs>
        <w:spacing w:line="417" w:lineRule="auto" w:before="0" w:after="0"/>
        <w:ind w:left="658" w:right="1309" w:firstLine="0"/>
        <w:jc w:val="left"/>
        <w:rPr>
          <w:sz w:val="21"/>
        </w:rPr>
      </w:pPr>
      <w:r>
        <w:rPr>
          <w:spacing w:val="-26"/>
          <w:sz w:val="21"/>
        </w:rPr>
        <w:t>严格按照《基金法》、《运作办法》、《销售办法》、和本基金合同及其他有关规定，受</w:t>
      </w:r>
      <w:r>
        <w:rPr>
          <w:spacing w:val="-9"/>
          <w:sz w:val="21"/>
        </w:rPr>
        <w:t>理并办理申购、赎回申请，及时、足额支付赎回款项；</w:t>
      </w:r>
    </w:p>
    <w:p>
      <w:pPr>
        <w:pStyle w:val="ListParagraph"/>
        <w:numPr>
          <w:ilvl w:val="0"/>
          <w:numId w:val="3"/>
        </w:numPr>
        <w:tabs>
          <w:tab w:pos="1291" w:val="left" w:leader="none"/>
        </w:tabs>
        <w:spacing w:line="417" w:lineRule="auto" w:before="0" w:after="0"/>
        <w:ind w:left="658" w:right="1309" w:firstLine="0"/>
        <w:jc w:val="left"/>
        <w:rPr>
          <w:sz w:val="21"/>
        </w:rPr>
      </w:pPr>
      <w:r>
        <w:rPr>
          <w:spacing w:val="-26"/>
          <w:sz w:val="21"/>
        </w:rPr>
        <w:t>严格按照《基金法》、《信息披露办法》、《运作办法》和本基金合同及其他有关规定履</w:t>
      </w:r>
      <w:r>
        <w:rPr>
          <w:spacing w:val="-9"/>
          <w:sz w:val="21"/>
        </w:rPr>
        <w:t>行信息披露及报告义务；</w:t>
      </w:r>
    </w:p>
    <w:p>
      <w:pPr>
        <w:pStyle w:val="ListParagraph"/>
        <w:numPr>
          <w:ilvl w:val="0"/>
          <w:numId w:val="3"/>
        </w:numPr>
        <w:tabs>
          <w:tab w:pos="1293" w:val="left" w:leader="none"/>
        </w:tabs>
        <w:spacing w:line="417" w:lineRule="auto" w:before="0" w:after="0"/>
        <w:ind w:left="658" w:right="1309" w:firstLine="0"/>
        <w:jc w:val="left"/>
        <w:rPr>
          <w:sz w:val="21"/>
        </w:rPr>
      </w:pPr>
      <w:r>
        <w:rPr>
          <w:spacing w:val="-7"/>
          <w:sz w:val="21"/>
        </w:rPr>
        <w:t>保守基金商业秘密，不得泄露基金投资计划、投资意向等。除《基金法》、基金合同</w:t>
      </w:r>
      <w:r>
        <w:rPr>
          <w:spacing w:val="-5"/>
          <w:sz w:val="21"/>
        </w:rPr>
        <w:t>及其他有关规定另有规定外，在基金信息公开披露前应予保密，不得向他人泄露；</w:t>
      </w:r>
    </w:p>
    <w:p>
      <w:pPr>
        <w:pStyle w:val="ListParagraph"/>
        <w:numPr>
          <w:ilvl w:val="0"/>
          <w:numId w:val="3"/>
        </w:numPr>
        <w:tabs>
          <w:tab w:pos="1293" w:val="left" w:leader="none"/>
        </w:tabs>
        <w:spacing w:line="269" w:lineRule="exact" w:before="0" w:after="0"/>
        <w:ind w:left="1292" w:right="0" w:hanging="635"/>
        <w:jc w:val="left"/>
        <w:rPr>
          <w:sz w:val="21"/>
        </w:rPr>
      </w:pPr>
      <w:r>
        <w:rPr>
          <w:spacing w:val="-3"/>
          <w:sz w:val="21"/>
        </w:rPr>
        <w:t>按基金合同的约定确定基金收益分配方案，及时向基金份额持有人分配收益；</w:t>
      </w:r>
    </w:p>
    <w:p>
      <w:pPr>
        <w:pStyle w:val="BodyText"/>
        <w:spacing w:before="6"/>
        <w:rPr>
          <w:sz w:val="15"/>
        </w:rPr>
      </w:pPr>
    </w:p>
    <w:p>
      <w:pPr>
        <w:pStyle w:val="ListParagraph"/>
        <w:numPr>
          <w:ilvl w:val="0"/>
          <w:numId w:val="3"/>
        </w:numPr>
        <w:tabs>
          <w:tab w:pos="1293" w:val="left" w:leader="none"/>
        </w:tabs>
        <w:spacing w:line="240" w:lineRule="auto" w:before="0" w:after="0"/>
        <w:ind w:left="1292" w:right="0" w:hanging="635"/>
        <w:jc w:val="left"/>
        <w:rPr>
          <w:sz w:val="21"/>
        </w:rPr>
      </w:pPr>
      <w:r>
        <w:rPr>
          <w:spacing w:val="-3"/>
          <w:sz w:val="21"/>
        </w:rPr>
        <w:t>不谋求对上市公司的控股和直接管理；</w:t>
      </w:r>
    </w:p>
    <w:p>
      <w:pPr>
        <w:pStyle w:val="BodyText"/>
        <w:spacing w:before="6"/>
        <w:rPr>
          <w:sz w:val="15"/>
        </w:rPr>
      </w:pPr>
    </w:p>
    <w:p>
      <w:pPr>
        <w:pStyle w:val="ListParagraph"/>
        <w:numPr>
          <w:ilvl w:val="0"/>
          <w:numId w:val="3"/>
        </w:numPr>
        <w:tabs>
          <w:tab w:pos="1293" w:val="left" w:leader="none"/>
        </w:tabs>
        <w:spacing w:line="417" w:lineRule="auto" w:before="1" w:after="0"/>
        <w:ind w:left="658" w:right="1309" w:firstLine="0"/>
        <w:jc w:val="left"/>
        <w:rPr>
          <w:sz w:val="21"/>
        </w:rPr>
      </w:pPr>
      <w:r>
        <w:rPr>
          <w:spacing w:val="-12"/>
          <w:sz w:val="21"/>
        </w:rPr>
        <w:t>依据《基金法》、基金合同及其他有关规定召集基金份额持有人大会或配合基金托管</w:t>
      </w:r>
      <w:r>
        <w:rPr>
          <w:spacing w:val="-6"/>
          <w:sz w:val="21"/>
        </w:rPr>
        <w:t>人、基金份额持有人依法召集基金份额持有人大会；</w:t>
      </w:r>
    </w:p>
    <w:p>
      <w:pPr>
        <w:pStyle w:val="ListParagraph"/>
        <w:numPr>
          <w:ilvl w:val="0"/>
          <w:numId w:val="3"/>
        </w:numPr>
        <w:tabs>
          <w:tab w:pos="1293" w:val="left" w:leader="none"/>
        </w:tabs>
        <w:spacing w:line="240" w:lineRule="auto" w:before="0" w:after="0"/>
        <w:ind w:left="1292" w:right="0" w:hanging="635"/>
        <w:jc w:val="left"/>
        <w:rPr>
          <w:sz w:val="21"/>
        </w:rPr>
      </w:pPr>
      <w:r>
        <w:rPr>
          <w:spacing w:val="-5"/>
          <w:sz w:val="21"/>
        </w:rPr>
        <w:t>编制季度、中期报告和年度基金报告保存基金的会计账册、报表、记录 </w:t>
      </w:r>
      <w:r>
        <w:rPr>
          <w:rFonts w:ascii="Times New Roman" w:eastAsia="Times New Roman"/>
          <w:sz w:val="21"/>
        </w:rPr>
        <w:t>15</w:t>
      </w:r>
      <w:r>
        <w:rPr>
          <w:rFonts w:ascii="Times New Roman" w:eastAsia="Times New Roman"/>
          <w:spacing w:val="-1"/>
          <w:sz w:val="21"/>
        </w:rPr>
        <w:t> </w:t>
      </w:r>
      <w:r>
        <w:rPr>
          <w:spacing w:val="-2"/>
          <w:sz w:val="21"/>
        </w:rPr>
        <w:t>年以上；</w:t>
      </w:r>
    </w:p>
    <w:p>
      <w:pPr>
        <w:pStyle w:val="BodyText"/>
        <w:spacing w:before="6"/>
        <w:rPr>
          <w:sz w:val="15"/>
        </w:rPr>
      </w:pPr>
    </w:p>
    <w:p>
      <w:pPr>
        <w:pStyle w:val="ListParagraph"/>
        <w:numPr>
          <w:ilvl w:val="0"/>
          <w:numId w:val="3"/>
        </w:numPr>
        <w:tabs>
          <w:tab w:pos="1291" w:val="left" w:leader="none"/>
        </w:tabs>
        <w:spacing w:line="417" w:lineRule="auto" w:before="0" w:after="0"/>
        <w:ind w:left="658" w:right="1309" w:firstLine="0"/>
        <w:jc w:val="both"/>
        <w:rPr>
          <w:sz w:val="21"/>
        </w:rPr>
      </w:pPr>
      <w:r>
        <w:rPr>
          <w:spacing w:val="-5"/>
          <w:sz w:val="21"/>
        </w:rPr>
        <w:t>确保向基金投资者提供的各项文件或资料在规定时间发出；并且保证投资者能够按 </w:t>
      </w:r>
      <w:r>
        <w:rPr>
          <w:spacing w:val="-7"/>
          <w:sz w:val="21"/>
        </w:rPr>
        <w:t>照基金合同或招募说明书公告的时间和方式查阅与基金有关的公开资料，并得到有关资料的</w:t>
      </w:r>
      <w:r>
        <w:rPr>
          <w:sz w:val="21"/>
        </w:rPr>
        <w:t>复印件；</w:t>
      </w:r>
    </w:p>
    <w:p>
      <w:pPr>
        <w:pStyle w:val="ListParagraph"/>
        <w:numPr>
          <w:ilvl w:val="0"/>
          <w:numId w:val="3"/>
        </w:numPr>
        <w:tabs>
          <w:tab w:pos="1293" w:val="left" w:leader="none"/>
        </w:tabs>
        <w:spacing w:line="269" w:lineRule="exact" w:before="0" w:after="0"/>
        <w:ind w:left="1292" w:right="0" w:hanging="635"/>
        <w:jc w:val="left"/>
        <w:rPr>
          <w:sz w:val="21"/>
        </w:rPr>
      </w:pPr>
      <w:r>
        <w:rPr>
          <w:spacing w:val="-3"/>
          <w:sz w:val="21"/>
        </w:rPr>
        <w:t>组织并参加基金财产清算小组，参与基金财产的保管、清理、估价、变现和分配；</w:t>
      </w:r>
    </w:p>
    <w:p>
      <w:pPr>
        <w:pStyle w:val="BodyText"/>
        <w:spacing w:before="7"/>
        <w:rPr>
          <w:sz w:val="15"/>
        </w:rPr>
      </w:pPr>
    </w:p>
    <w:p>
      <w:pPr>
        <w:pStyle w:val="ListParagraph"/>
        <w:numPr>
          <w:ilvl w:val="0"/>
          <w:numId w:val="3"/>
        </w:numPr>
        <w:tabs>
          <w:tab w:pos="1291" w:val="left" w:leader="none"/>
        </w:tabs>
        <w:spacing w:line="417" w:lineRule="auto" w:before="0" w:after="0"/>
        <w:ind w:left="658" w:right="1311" w:firstLine="0"/>
        <w:jc w:val="left"/>
        <w:rPr>
          <w:sz w:val="21"/>
        </w:rPr>
      </w:pPr>
      <w:r>
        <w:rPr>
          <w:spacing w:val="-10"/>
          <w:sz w:val="21"/>
        </w:rPr>
        <w:t>面临解散、依法被撤销、破产或者由接管人接管其资产时，及时报告中国证监会并 </w:t>
      </w:r>
      <w:r>
        <w:rPr>
          <w:spacing w:val="-7"/>
          <w:sz w:val="21"/>
        </w:rPr>
        <w:t>通知基金托管人；</w:t>
      </w:r>
    </w:p>
    <w:p>
      <w:pPr>
        <w:pStyle w:val="ListParagraph"/>
        <w:numPr>
          <w:ilvl w:val="0"/>
          <w:numId w:val="3"/>
        </w:numPr>
        <w:tabs>
          <w:tab w:pos="1291" w:val="left" w:leader="none"/>
        </w:tabs>
        <w:spacing w:line="417" w:lineRule="auto" w:before="0" w:after="0"/>
        <w:ind w:left="658" w:right="1308" w:firstLine="0"/>
        <w:jc w:val="both"/>
        <w:rPr>
          <w:sz w:val="21"/>
        </w:rPr>
      </w:pPr>
      <w:r>
        <w:rPr>
          <w:spacing w:val="-5"/>
          <w:sz w:val="21"/>
        </w:rPr>
        <w:t>因违反基金合同导致基金财产损失或损害基金份额持有人合法权益，应当承担赔偿 </w:t>
      </w:r>
      <w:r>
        <w:rPr>
          <w:spacing w:val="-13"/>
          <w:sz w:val="21"/>
        </w:rPr>
        <w:t>责任，其赔偿责任不因其退任而免除因违反基金合同导致基金财产的损失或损害基金份额持</w:t>
      </w:r>
      <w:r>
        <w:rPr>
          <w:spacing w:val="-3"/>
          <w:sz w:val="21"/>
        </w:rPr>
        <w:t>有人合法权益，应当承担赔偿责任，其赔偿责任不因其退任而免除；</w:t>
      </w:r>
    </w:p>
    <w:p>
      <w:pPr>
        <w:pStyle w:val="ListParagraph"/>
        <w:numPr>
          <w:ilvl w:val="0"/>
          <w:numId w:val="3"/>
        </w:numPr>
        <w:tabs>
          <w:tab w:pos="1293" w:val="left" w:leader="none"/>
        </w:tabs>
        <w:spacing w:line="269" w:lineRule="exact" w:before="0" w:after="0"/>
        <w:ind w:left="1292" w:right="0" w:hanging="635"/>
        <w:jc w:val="left"/>
        <w:rPr>
          <w:sz w:val="21"/>
        </w:rPr>
      </w:pPr>
      <w:r>
        <w:rPr>
          <w:spacing w:val="-3"/>
          <w:sz w:val="21"/>
        </w:rPr>
        <w:t>因过错导致基金资产的损失，应承担赔偿责任，其赔偿责任不因其退任而免除；</w:t>
      </w:r>
    </w:p>
    <w:p>
      <w:pPr>
        <w:pStyle w:val="BodyText"/>
        <w:spacing w:before="7"/>
        <w:rPr>
          <w:sz w:val="15"/>
        </w:rPr>
      </w:pPr>
    </w:p>
    <w:p>
      <w:pPr>
        <w:pStyle w:val="ListParagraph"/>
        <w:numPr>
          <w:ilvl w:val="0"/>
          <w:numId w:val="3"/>
        </w:numPr>
        <w:tabs>
          <w:tab w:pos="1291" w:val="left" w:leader="none"/>
        </w:tabs>
        <w:spacing w:line="417" w:lineRule="auto" w:before="0" w:after="0"/>
        <w:ind w:left="658" w:right="1311" w:firstLine="0"/>
        <w:jc w:val="left"/>
        <w:rPr>
          <w:sz w:val="21"/>
        </w:rPr>
      </w:pPr>
      <w:r>
        <w:rPr>
          <w:spacing w:val="-6"/>
          <w:sz w:val="21"/>
        </w:rPr>
        <w:t>因估值错误导致基金份额持有人的损失，应承担赔偿责任，其赔偿责任不因其退任 而免除；</w:t>
      </w:r>
    </w:p>
    <w:p>
      <w:pPr>
        <w:pStyle w:val="ListParagraph"/>
        <w:numPr>
          <w:ilvl w:val="0"/>
          <w:numId w:val="3"/>
        </w:numPr>
        <w:tabs>
          <w:tab w:pos="1291" w:val="left" w:leader="none"/>
        </w:tabs>
        <w:spacing w:line="417" w:lineRule="auto" w:before="0" w:after="0"/>
        <w:ind w:left="658" w:right="1309" w:firstLine="0"/>
        <w:jc w:val="left"/>
        <w:rPr>
          <w:sz w:val="21"/>
        </w:rPr>
      </w:pPr>
      <w:r>
        <w:rPr>
          <w:spacing w:val="-6"/>
          <w:sz w:val="21"/>
        </w:rPr>
        <w:t>基金托管人违反基金合同造成基金财产损失时，应为基金份额持有人利益向基金托 </w:t>
      </w:r>
      <w:r>
        <w:rPr>
          <w:spacing w:val="-5"/>
          <w:sz w:val="21"/>
        </w:rPr>
        <w:t>管人追偿；</w:t>
      </w:r>
    </w:p>
    <w:p>
      <w:pPr>
        <w:pStyle w:val="ListParagraph"/>
        <w:numPr>
          <w:ilvl w:val="0"/>
          <w:numId w:val="3"/>
        </w:numPr>
        <w:tabs>
          <w:tab w:pos="1293" w:val="left" w:leader="none"/>
        </w:tabs>
        <w:spacing w:line="240" w:lineRule="auto" w:before="0" w:after="0"/>
        <w:ind w:left="1292" w:right="0" w:hanging="635"/>
        <w:jc w:val="left"/>
        <w:rPr>
          <w:sz w:val="21"/>
        </w:rPr>
      </w:pPr>
      <w:r>
        <w:rPr>
          <w:spacing w:val="-3"/>
          <w:sz w:val="21"/>
        </w:rPr>
        <w:t>基金托管人因过错造成基金财产损失时，应代表基金向基金托管人追偿；</w:t>
      </w:r>
    </w:p>
    <w:p>
      <w:pPr>
        <w:spacing w:after="0" w:line="240" w:lineRule="auto"/>
        <w:jc w:val="left"/>
        <w:rPr>
          <w:sz w:val="21"/>
        </w:rPr>
        <w:sectPr>
          <w:pgSz w:w="11910" w:h="16840"/>
          <w:pgMar w:header="852" w:footer="992" w:top="1220" w:bottom="1180" w:left="1140" w:right="480"/>
        </w:sectPr>
      </w:pPr>
    </w:p>
    <w:p>
      <w:pPr>
        <w:pStyle w:val="BodyText"/>
        <w:spacing w:before="7"/>
        <w:rPr>
          <w:sz w:val="18"/>
        </w:rPr>
      </w:pPr>
    </w:p>
    <w:p>
      <w:pPr>
        <w:pStyle w:val="ListParagraph"/>
        <w:numPr>
          <w:ilvl w:val="0"/>
          <w:numId w:val="3"/>
        </w:numPr>
        <w:tabs>
          <w:tab w:pos="1293" w:val="left" w:leader="none"/>
        </w:tabs>
        <w:spacing w:line="240" w:lineRule="auto" w:before="78" w:after="0"/>
        <w:ind w:left="1292" w:right="0" w:hanging="635"/>
        <w:jc w:val="left"/>
        <w:rPr>
          <w:sz w:val="21"/>
        </w:rPr>
      </w:pPr>
      <w:r>
        <w:rPr>
          <w:spacing w:val="-3"/>
          <w:sz w:val="21"/>
        </w:rPr>
        <w:t>为基金聘请会计师和律师；</w:t>
      </w:r>
    </w:p>
    <w:p>
      <w:pPr>
        <w:pStyle w:val="BodyText"/>
        <w:spacing w:before="7"/>
        <w:rPr>
          <w:sz w:val="15"/>
        </w:rPr>
      </w:pPr>
    </w:p>
    <w:p>
      <w:pPr>
        <w:pStyle w:val="ListParagraph"/>
        <w:numPr>
          <w:ilvl w:val="0"/>
          <w:numId w:val="3"/>
        </w:numPr>
        <w:tabs>
          <w:tab w:pos="1293" w:val="left" w:leader="none"/>
        </w:tabs>
        <w:spacing w:line="240" w:lineRule="auto" w:before="0" w:after="0"/>
        <w:ind w:left="1292" w:right="0" w:hanging="635"/>
        <w:jc w:val="left"/>
        <w:rPr>
          <w:sz w:val="21"/>
        </w:rPr>
      </w:pPr>
      <w:r>
        <w:rPr>
          <w:spacing w:val="-3"/>
          <w:sz w:val="21"/>
        </w:rPr>
        <w:t>不不从事任何有损基金及其他基金当事人利益的活动；</w:t>
      </w:r>
    </w:p>
    <w:p>
      <w:pPr>
        <w:pStyle w:val="BodyText"/>
        <w:spacing w:before="6"/>
        <w:rPr>
          <w:sz w:val="15"/>
        </w:rPr>
      </w:pPr>
    </w:p>
    <w:p>
      <w:pPr>
        <w:pStyle w:val="ListParagraph"/>
        <w:numPr>
          <w:ilvl w:val="0"/>
          <w:numId w:val="3"/>
        </w:numPr>
        <w:tabs>
          <w:tab w:pos="1293" w:val="left" w:leader="none"/>
        </w:tabs>
        <w:spacing w:line="240" w:lineRule="auto" w:before="1" w:after="0"/>
        <w:ind w:left="1292" w:right="0" w:hanging="635"/>
        <w:jc w:val="left"/>
        <w:rPr>
          <w:sz w:val="21"/>
        </w:rPr>
      </w:pPr>
      <w:r>
        <w:rPr>
          <w:spacing w:val="-3"/>
          <w:sz w:val="21"/>
        </w:rPr>
        <w:t>法律法规及基金合同规定的其他义务。</w:t>
      </w:r>
    </w:p>
    <w:p>
      <w:pPr>
        <w:pStyle w:val="BodyText"/>
        <w:rPr>
          <w:sz w:val="22"/>
        </w:rPr>
      </w:pPr>
    </w:p>
    <w:p>
      <w:pPr>
        <w:pStyle w:val="BodyText"/>
        <w:rPr>
          <w:sz w:val="30"/>
        </w:rPr>
      </w:pPr>
    </w:p>
    <w:p>
      <w:pPr>
        <w:spacing w:before="0"/>
        <w:ind w:left="658" w:right="0" w:firstLine="0"/>
        <w:jc w:val="left"/>
        <w:rPr>
          <w:b/>
          <w:sz w:val="21"/>
        </w:rPr>
      </w:pPr>
      <w:r>
        <w:rPr>
          <w:b/>
          <w:sz w:val="21"/>
        </w:rPr>
        <w:t>（四）基金管理人承诺</w:t>
      </w:r>
    </w:p>
    <w:p>
      <w:pPr>
        <w:pStyle w:val="BodyText"/>
        <w:spacing w:before="7"/>
        <w:rPr>
          <w:b/>
          <w:sz w:val="15"/>
        </w:rPr>
      </w:pPr>
    </w:p>
    <w:p>
      <w:pPr>
        <w:pStyle w:val="BodyText"/>
        <w:spacing w:line="417" w:lineRule="auto"/>
        <w:ind w:left="658" w:right="1309"/>
      </w:pPr>
      <w:r>
        <w:rPr>
          <w:rFonts w:ascii="Times New Roman" w:eastAsia="Times New Roman"/>
        </w:rPr>
        <w:t>1</w:t>
      </w:r>
      <w:r>
        <w:rPr/>
        <w:t>、基金管理人承诺不从事违反《中华人民共和国证券法》的行为，并承诺建立健全的内部控制制度，采取有效措施，防止违反《中华人民共和国证券法》行为的发生；</w:t>
      </w:r>
    </w:p>
    <w:p>
      <w:pPr>
        <w:pStyle w:val="BodyText"/>
        <w:spacing w:line="417" w:lineRule="auto"/>
        <w:ind w:left="658" w:right="1309"/>
      </w:pPr>
      <w:r>
        <w:rPr>
          <w:rFonts w:ascii="Times New Roman" w:eastAsia="Times New Roman"/>
        </w:rPr>
        <w:t>2</w:t>
      </w:r>
      <w:r>
        <w:rPr>
          <w:spacing w:val="-22"/>
        </w:rPr>
        <w:t>、基金管理人承诺不从事以下违反《基金法》、《运作办法》、《销售办法》的行为，并承诺</w:t>
      </w:r>
      <w:r>
        <w:rPr>
          <w:spacing w:val="-8"/>
        </w:rPr>
        <w:t>建立健全的内部风险控制制度，采取有效措施，防止下列行为的发生：</w:t>
      </w:r>
    </w:p>
    <w:p>
      <w:pPr>
        <w:pStyle w:val="ListParagraph"/>
        <w:numPr>
          <w:ilvl w:val="0"/>
          <w:numId w:val="4"/>
        </w:numPr>
        <w:tabs>
          <w:tab w:pos="1187" w:val="left" w:leader="none"/>
        </w:tabs>
        <w:spacing w:line="269" w:lineRule="exact" w:before="0" w:after="0"/>
        <w:ind w:left="1187" w:right="0" w:hanging="529"/>
        <w:jc w:val="left"/>
        <w:rPr>
          <w:sz w:val="21"/>
        </w:rPr>
      </w:pPr>
      <w:r>
        <w:rPr>
          <w:spacing w:val="-3"/>
          <w:sz w:val="21"/>
        </w:rPr>
        <w:t>将其固有财产或者他人财产混同于基金财产从事证券投资；</w:t>
      </w:r>
    </w:p>
    <w:p>
      <w:pPr>
        <w:pStyle w:val="BodyText"/>
        <w:spacing w:before="7"/>
        <w:rPr>
          <w:sz w:val="15"/>
        </w:rPr>
      </w:pPr>
    </w:p>
    <w:p>
      <w:pPr>
        <w:pStyle w:val="ListParagraph"/>
        <w:numPr>
          <w:ilvl w:val="0"/>
          <w:numId w:val="4"/>
        </w:numPr>
        <w:tabs>
          <w:tab w:pos="1187" w:val="left" w:leader="none"/>
        </w:tabs>
        <w:spacing w:line="240" w:lineRule="auto" w:before="0" w:after="0"/>
        <w:ind w:left="1187" w:right="0" w:hanging="529"/>
        <w:jc w:val="left"/>
        <w:rPr>
          <w:sz w:val="21"/>
        </w:rPr>
      </w:pPr>
      <w:r>
        <w:rPr>
          <w:spacing w:val="-3"/>
          <w:sz w:val="21"/>
        </w:rPr>
        <w:t>不公平地对待其管理的不同基金财产；</w:t>
      </w:r>
    </w:p>
    <w:p>
      <w:pPr>
        <w:pStyle w:val="BodyText"/>
        <w:spacing w:before="7"/>
        <w:rPr>
          <w:sz w:val="15"/>
        </w:rPr>
      </w:pPr>
    </w:p>
    <w:p>
      <w:pPr>
        <w:pStyle w:val="ListParagraph"/>
        <w:numPr>
          <w:ilvl w:val="0"/>
          <w:numId w:val="4"/>
        </w:numPr>
        <w:tabs>
          <w:tab w:pos="1187" w:val="left" w:leader="none"/>
        </w:tabs>
        <w:spacing w:line="240" w:lineRule="auto" w:before="0" w:after="0"/>
        <w:ind w:left="1187" w:right="0" w:hanging="529"/>
        <w:jc w:val="left"/>
        <w:rPr>
          <w:sz w:val="21"/>
        </w:rPr>
      </w:pPr>
      <w:r>
        <w:rPr>
          <w:spacing w:val="-3"/>
          <w:sz w:val="21"/>
        </w:rPr>
        <w:t>利用基金财产为基金份额持有人以外的第三人牟取利益；</w:t>
      </w:r>
    </w:p>
    <w:p>
      <w:pPr>
        <w:pStyle w:val="BodyText"/>
        <w:spacing w:before="6"/>
        <w:rPr>
          <w:sz w:val="15"/>
        </w:rPr>
      </w:pPr>
    </w:p>
    <w:p>
      <w:pPr>
        <w:pStyle w:val="ListParagraph"/>
        <w:numPr>
          <w:ilvl w:val="0"/>
          <w:numId w:val="4"/>
        </w:numPr>
        <w:tabs>
          <w:tab w:pos="1187" w:val="left" w:leader="none"/>
        </w:tabs>
        <w:spacing w:line="240" w:lineRule="auto" w:before="1" w:after="0"/>
        <w:ind w:left="1187" w:right="0" w:hanging="529"/>
        <w:jc w:val="left"/>
        <w:rPr>
          <w:sz w:val="21"/>
        </w:rPr>
      </w:pPr>
      <w:r>
        <w:rPr>
          <w:spacing w:val="-3"/>
          <w:sz w:val="21"/>
        </w:rPr>
        <w:t>向基金份额持有人违规承诺收益或者承担损失；</w:t>
      </w:r>
    </w:p>
    <w:p>
      <w:pPr>
        <w:pStyle w:val="BodyText"/>
        <w:spacing w:before="6"/>
        <w:rPr>
          <w:sz w:val="15"/>
        </w:rPr>
      </w:pPr>
    </w:p>
    <w:p>
      <w:pPr>
        <w:pStyle w:val="ListParagraph"/>
        <w:numPr>
          <w:ilvl w:val="0"/>
          <w:numId w:val="4"/>
        </w:numPr>
        <w:tabs>
          <w:tab w:pos="1187" w:val="left" w:leader="none"/>
        </w:tabs>
        <w:spacing w:line="240" w:lineRule="auto" w:before="0" w:after="0"/>
        <w:ind w:left="1187" w:right="0" w:hanging="529"/>
        <w:jc w:val="left"/>
        <w:rPr>
          <w:sz w:val="21"/>
        </w:rPr>
      </w:pPr>
      <w:r>
        <w:rPr>
          <w:spacing w:val="-3"/>
          <w:sz w:val="21"/>
        </w:rPr>
        <w:t>将基金用于下列投资或者活动：</w:t>
      </w:r>
    </w:p>
    <w:p>
      <w:pPr>
        <w:pStyle w:val="BodyText"/>
        <w:spacing w:before="7"/>
        <w:rPr>
          <w:sz w:val="15"/>
        </w:rPr>
      </w:pPr>
    </w:p>
    <w:p>
      <w:pPr>
        <w:pStyle w:val="ListParagraph"/>
        <w:numPr>
          <w:ilvl w:val="1"/>
          <w:numId w:val="4"/>
        </w:numPr>
        <w:tabs>
          <w:tab w:pos="1277" w:val="left" w:leader="none"/>
        </w:tabs>
        <w:spacing w:line="240" w:lineRule="auto" w:before="0" w:after="0"/>
        <w:ind w:left="1276" w:right="0" w:hanging="199"/>
        <w:jc w:val="left"/>
        <w:rPr>
          <w:sz w:val="21"/>
        </w:rPr>
      </w:pPr>
      <w:r>
        <w:rPr>
          <w:spacing w:val="-1"/>
          <w:sz w:val="21"/>
        </w:rPr>
        <w:t>承销证券；</w:t>
      </w:r>
    </w:p>
    <w:p>
      <w:pPr>
        <w:pStyle w:val="BodyText"/>
        <w:spacing w:before="7"/>
        <w:rPr>
          <w:sz w:val="15"/>
        </w:rPr>
      </w:pPr>
    </w:p>
    <w:p>
      <w:pPr>
        <w:pStyle w:val="ListParagraph"/>
        <w:numPr>
          <w:ilvl w:val="1"/>
          <w:numId w:val="4"/>
        </w:numPr>
        <w:tabs>
          <w:tab w:pos="1335" w:val="left" w:leader="none"/>
        </w:tabs>
        <w:spacing w:line="417" w:lineRule="auto" w:before="0" w:after="0"/>
        <w:ind w:left="1078" w:right="6369" w:firstLine="0"/>
        <w:jc w:val="left"/>
        <w:rPr>
          <w:sz w:val="21"/>
        </w:rPr>
      </w:pPr>
      <w:r>
        <w:rPr>
          <w:spacing w:val="-3"/>
          <w:sz w:val="21"/>
        </w:rPr>
        <w:t>向他人贷款或者提供担保； </w:t>
      </w:r>
      <w:r>
        <w:rPr>
          <w:rFonts w:ascii="Times New Roman" w:eastAsia="Times New Roman"/>
          <w:spacing w:val="-3"/>
          <w:sz w:val="21"/>
        </w:rPr>
        <w:t>(iii)</w:t>
      </w:r>
      <w:r>
        <w:rPr>
          <w:spacing w:val="-4"/>
          <w:sz w:val="21"/>
        </w:rPr>
        <w:t>从事承担无限责任的投资；</w:t>
      </w:r>
    </w:p>
    <w:p>
      <w:pPr>
        <w:pStyle w:val="ListParagraph"/>
        <w:numPr>
          <w:ilvl w:val="0"/>
          <w:numId w:val="5"/>
        </w:numPr>
        <w:tabs>
          <w:tab w:pos="1380" w:val="left" w:leader="none"/>
        </w:tabs>
        <w:spacing w:line="269" w:lineRule="exact" w:before="0" w:after="0"/>
        <w:ind w:left="1379" w:right="0" w:hanging="302"/>
        <w:jc w:val="left"/>
        <w:rPr>
          <w:sz w:val="21"/>
        </w:rPr>
      </w:pPr>
      <w:r>
        <w:rPr>
          <w:spacing w:val="-3"/>
          <w:sz w:val="21"/>
        </w:rPr>
        <w:t>买卖其他基金份额，但是国务院另有规定的除外；</w:t>
      </w:r>
    </w:p>
    <w:p>
      <w:pPr>
        <w:pStyle w:val="BodyText"/>
        <w:spacing w:before="7"/>
        <w:rPr>
          <w:sz w:val="15"/>
        </w:rPr>
      </w:pPr>
    </w:p>
    <w:p>
      <w:pPr>
        <w:pStyle w:val="ListParagraph"/>
        <w:numPr>
          <w:ilvl w:val="0"/>
          <w:numId w:val="5"/>
        </w:numPr>
        <w:tabs>
          <w:tab w:pos="1323" w:val="left" w:leader="none"/>
        </w:tabs>
        <w:spacing w:line="417" w:lineRule="auto" w:before="0" w:after="0"/>
        <w:ind w:left="658" w:right="1316" w:firstLine="419"/>
        <w:jc w:val="left"/>
        <w:rPr>
          <w:sz w:val="21"/>
        </w:rPr>
      </w:pPr>
      <w:r>
        <w:rPr>
          <w:spacing w:val="-1"/>
          <w:sz w:val="21"/>
        </w:rPr>
        <w:t>向其基金管理人、基金托管人出资或者买卖其基金管理人、基金托管人发行的股票或者债券；</w:t>
      </w:r>
    </w:p>
    <w:p>
      <w:pPr>
        <w:pStyle w:val="ListParagraph"/>
        <w:numPr>
          <w:ilvl w:val="0"/>
          <w:numId w:val="5"/>
        </w:numPr>
        <w:tabs>
          <w:tab w:pos="1383" w:val="left" w:leader="none"/>
        </w:tabs>
        <w:spacing w:line="417" w:lineRule="auto" w:before="0" w:after="0"/>
        <w:ind w:left="658" w:right="1312" w:firstLine="419"/>
        <w:jc w:val="left"/>
        <w:rPr>
          <w:sz w:val="21"/>
        </w:rPr>
      </w:pPr>
      <w:r>
        <w:rPr>
          <w:spacing w:val="-4"/>
          <w:sz w:val="21"/>
        </w:rPr>
        <w:t>买卖与其基金管理人、基金托管人有控股关系的股东或者与其基金管理人、基金托</w:t>
      </w:r>
      <w:r>
        <w:rPr>
          <w:spacing w:val="-3"/>
          <w:sz w:val="21"/>
        </w:rPr>
        <w:t>管人有其他重大利害关系的公司发行的证券或者承销期内承销的证券；</w:t>
      </w:r>
    </w:p>
    <w:p>
      <w:pPr>
        <w:pStyle w:val="ListParagraph"/>
        <w:numPr>
          <w:ilvl w:val="0"/>
          <w:numId w:val="5"/>
        </w:numPr>
        <w:tabs>
          <w:tab w:pos="1440" w:val="left" w:leader="none"/>
        </w:tabs>
        <w:spacing w:line="240" w:lineRule="auto" w:before="0" w:after="0"/>
        <w:ind w:left="1439" w:right="0" w:hanging="362"/>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5"/>
        </w:numPr>
        <w:tabs>
          <w:tab w:pos="1498" w:val="left" w:leader="none"/>
        </w:tabs>
        <w:spacing w:line="417" w:lineRule="auto" w:before="1" w:after="0"/>
        <w:ind w:left="1078" w:right="1209" w:firstLine="0"/>
        <w:jc w:val="left"/>
        <w:rPr>
          <w:sz w:val="21"/>
        </w:rPr>
      </w:pPr>
      <w:r>
        <w:rPr>
          <w:spacing w:val="-3"/>
          <w:sz w:val="21"/>
        </w:rPr>
        <w:t>依照法律、行政法规有关规定，由国务院证券监督管理机构规定禁止的其他活动。</w:t>
      </w:r>
      <w:r>
        <w:rPr>
          <w:rFonts w:ascii="Times New Roman" w:eastAsia="Times New Roman"/>
          <w:spacing w:val="-3"/>
          <w:sz w:val="21"/>
        </w:rPr>
        <w:t>(ix)</w:t>
      </w:r>
      <w:r>
        <w:rPr>
          <w:spacing w:val="-3"/>
          <w:sz w:val="21"/>
        </w:rPr>
        <w:t>证券法规规定禁止从事的其他行为。</w:t>
      </w:r>
    </w:p>
    <w:p>
      <w:pPr>
        <w:pStyle w:val="BodyText"/>
        <w:spacing w:line="417" w:lineRule="auto"/>
        <w:ind w:left="658" w:right="1309"/>
      </w:pPr>
      <w:r>
        <w:rPr>
          <w:rFonts w:ascii="Times New Roman" w:eastAsia="Times New Roman"/>
        </w:rPr>
        <w:t>3</w:t>
      </w:r>
      <w:r>
        <w:rPr/>
        <w:t>、基金管理人承诺加强人员管理，强化职业操守，督促和约束员工遵守国家有关法律、法规及行业规范，诚实信用、勤勉尽责，不从事以下活动：</w:t>
      </w:r>
    </w:p>
    <w:p>
      <w:pPr>
        <w:pStyle w:val="ListParagraph"/>
        <w:numPr>
          <w:ilvl w:val="0"/>
          <w:numId w:val="6"/>
        </w:numPr>
        <w:tabs>
          <w:tab w:pos="1187" w:val="left" w:leader="none"/>
        </w:tabs>
        <w:spacing w:line="269" w:lineRule="exact" w:before="0" w:after="0"/>
        <w:ind w:left="1187" w:right="0" w:hanging="529"/>
        <w:jc w:val="left"/>
        <w:rPr>
          <w:sz w:val="21"/>
        </w:rPr>
      </w:pPr>
      <w:r>
        <w:rPr>
          <w:spacing w:val="-3"/>
          <w:sz w:val="21"/>
        </w:rPr>
        <w:t>越权或违规经营；</w:t>
      </w:r>
    </w:p>
    <w:p>
      <w:pPr>
        <w:pStyle w:val="BodyText"/>
        <w:spacing w:before="6"/>
        <w:rPr>
          <w:sz w:val="15"/>
        </w:rPr>
      </w:pPr>
    </w:p>
    <w:p>
      <w:pPr>
        <w:pStyle w:val="ListParagraph"/>
        <w:numPr>
          <w:ilvl w:val="0"/>
          <w:numId w:val="6"/>
        </w:numPr>
        <w:tabs>
          <w:tab w:pos="1187" w:val="left" w:leader="none"/>
        </w:tabs>
        <w:spacing w:line="240" w:lineRule="auto" w:before="0" w:after="0"/>
        <w:ind w:left="1187" w:right="0" w:hanging="529"/>
        <w:jc w:val="left"/>
        <w:rPr>
          <w:sz w:val="21"/>
        </w:rPr>
      </w:pPr>
      <w:r>
        <w:rPr>
          <w:spacing w:val="-3"/>
          <w:sz w:val="21"/>
        </w:rPr>
        <w:t>违反基金合同或托管协议；</w:t>
      </w:r>
    </w:p>
    <w:p>
      <w:pPr>
        <w:pStyle w:val="BodyText"/>
        <w:spacing w:before="7"/>
        <w:rPr>
          <w:sz w:val="15"/>
        </w:rPr>
      </w:pPr>
    </w:p>
    <w:p>
      <w:pPr>
        <w:pStyle w:val="ListParagraph"/>
        <w:numPr>
          <w:ilvl w:val="0"/>
          <w:numId w:val="6"/>
        </w:numPr>
        <w:tabs>
          <w:tab w:pos="1187" w:val="left" w:leader="none"/>
        </w:tabs>
        <w:spacing w:line="240" w:lineRule="auto" w:before="0" w:after="0"/>
        <w:ind w:left="1187" w:right="0" w:hanging="529"/>
        <w:jc w:val="left"/>
        <w:rPr>
          <w:sz w:val="21"/>
        </w:rPr>
      </w:pPr>
      <w:r>
        <w:rPr>
          <w:spacing w:val="-3"/>
          <w:sz w:val="21"/>
        </w:rPr>
        <w:t>故意损害基金份额持有人或其他基金相关机构的合法权益；</w:t>
      </w:r>
    </w:p>
    <w:p>
      <w:pPr>
        <w:spacing w:after="0" w:line="240" w:lineRule="auto"/>
        <w:jc w:val="left"/>
        <w:rPr>
          <w:sz w:val="21"/>
        </w:rPr>
        <w:sectPr>
          <w:pgSz w:w="11910" w:h="16840"/>
          <w:pgMar w:header="852" w:footer="992" w:top="1220" w:bottom="1180" w:left="1140" w:right="480"/>
        </w:sectPr>
      </w:pPr>
    </w:p>
    <w:p>
      <w:pPr>
        <w:pStyle w:val="BodyText"/>
        <w:spacing w:before="7"/>
        <w:rPr>
          <w:sz w:val="18"/>
        </w:rPr>
      </w:pPr>
    </w:p>
    <w:p>
      <w:pPr>
        <w:pStyle w:val="ListParagraph"/>
        <w:numPr>
          <w:ilvl w:val="0"/>
          <w:numId w:val="6"/>
        </w:numPr>
        <w:tabs>
          <w:tab w:pos="1187" w:val="left" w:leader="none"/>
        </w:tabs>
        <w:spacing w:line="240" w:lineRule="auto" w:before="78" w:after="0"/>
        <w:ind w:left="1187" w:right="0" w:hanging="529"/>
        <w:jc w:val="left"/>
        <w:rPr>
          <w:sz w:val="21"/>
        </w:rPr>
      </w:pPr>
      <w:r>
        <w:rPr>
          <w:spacing w:val="-3"/>
          <w:sz w:val="21"/>
        </w:rPr>
        <w:t>在向中国证监会报送的资料中弄虚作假；</w:t>
      </w:r>
    </w:p>
    <w:p>
      <w:pPr>
        <w:pStyle w:val="BodyText"/>
        <w:spacing w:before="7"/>
        <w:rPr>
          <w:sz w:val="15"/>
        </w:rPr>
      </w:pPr>
    </w:p>
    <w:p>
      <w:pPr>
        <w:pStyle w:val="ListParagraph"/>
        <w:numPr>
          <w:ilvl w:val="0"/>
          <w:numId w:val="6"/>
        </w:numPr>
        <w:tabs>
          <w:tab w:pos="1187" w:val="left" w:leader="none"/>
        </w:tabs>
        <w:spacing w:line="240" w:lineRule="auto" w:before="0" w:after="0"/>
        <w:ind w:left="1187" w:right="0" w:hanging="529"/>
        <w:jc w:val="left"/>
        <w:rPr>
          <w:sz w:val="21"/>
        </w:rPr>
      </w:pPr>
      <w:r>
        <w:rPr>
          <w:spacing w:val="-3"/>
          <w:sz w:val="21"/>
        </w:rPr>
        <w:t>拒绝、干扰、阻挠或严重影响中国证监会依法监管；</w:t>
      </w:r>
    </w:p>
    <w:p>
      <w:pPr>
        <w:pStyle w:val="BodyText"/>
        <w:spacing w:before="6"/>
        <w:rPr>
          <w:sz w:val="15"/>
        </w:rPr>
      </w:pPr>
    </w:p>
    <w:p>
      <w:pPr>
        <w:pStyle w:val="ListParagraph"/>
        <w:numPr>
          <w:ilvl w:val="0"/>
          <w:numId w:val="6"/>
        </w:numPr>
        <w:tabs>
          <w:tab w:pos="1187" w:val="left" w:leader="none"/>
        </w:tabs>
        <w:spacing w:line="240" w:lineRule="auto" w:before="1" w:after="0"/>
        <w:ind w:left="1187" w:right="0" w:hanging="529"/>
        <w:jc w:val="left"/>
        <w:rPr>
          <w:sz w:val="21"/>
        </w:rPr>
      </w:pPr>
      <w:r>
        <w:rPr>
          <w:spacing w:val="-3"/>
          <w:sz w:val="21"/>
        </w:rPr>
        <w:t>玩忽职守、滥用职权；</w:t>
      </w:r>
    </w:p>
    <w:p>
      <w:pPr>
        <w:pStyle w:val="BodyText"/>
        <w:spacing w:before="6"/>
        <w:rPr>
          <w:sz w:val="15"/>
        </w:rPr>
      </w:pPr>
    </w:p>
    <w:p>
      <w:pPr>
        <w:pStyle w:val="ListParagraph"/>
        <w:numPr>
          <w:ilvl w:val="0"/>
          <w:numId w:val="6"/>
        </w:numPr>
        <w:tabs>
          <w:tab w:pos="1187" w:val="left" w:leader="none"/>
        </w:tabs>
        <w:spacing w:line="417" w:lineRule="auto" w:before="0" w:after="0"/>
        <w:ind w:left="658" w:right="1309" w:firstLine="0"/>
        <w:jc w:val="left"/>
        <w:rPr>
          <w:sz w:val="21"/>
        </w:rPr>
      </w:pPr>
      <w:r>
        <w:rPr>
          <w:spacing w:val="-3"/>
          <w:sz w:val="21"/>
        </w:rPr>
        <w:t>泄露在任职期间知悉的有关证券、基金的商业秘密、尚未依法公开的基金投资内容、基金投资计划等信息；</w:t>
      </w:r>
    </w:p>
    <w:p>
      <w:pPr>
        <w:pStyle w:val="ListParagraph"/>
        <w:numPr>
          <w:ilvl w:val="0"/>
          <w:numId w:val="6"/>
        </w:numPr>
        <w:tabs>
          <w:tab w:pos="1187" w:val="left" w:leader="none"/>
        </w:tabs>
        <w:spacing w:line="269" w:lineRule="exact" w:before="0" w:after="0"/>
        <w:ind w:left="1187" w:right="0" w:hanging="529"/>
        <w:jc w:val="left"/>
        <w:rPr>
          <w:sz w:val="21"/>
        </w:rPr>
      </w:pPr>
      <w:r>
        <w:rPr>
          <w:spacing w:val="-3"/>
          <w:sz w:val="21"/>
        </w:rPr>
        <w:t>除按本公司制度进行基金运作投资外，直接或间接进行其他股票投资；</w:t>
      </w:r>
    </w:p>
    <w:p>
      <w:pPr>
        <w:pStyle w:val="BodyText"/>
        <w:spacing w:before="7"/>
        <w:rPr>
          <w:sz w:val="15"/>
        </w:rPr>
      </w:pPr>
    </w:p>
    <w:p>
      <w:pPr>
        <w:pStyle w:val="ListParagraph"/>
        <w:numPr>
          <w:ilvl w:val="0"/>
          <w:numId w:val="6"/>
        </w:numPr>
        <w:tabs>
          <w:tab w:pos="1187" w:val="left" w:leader="none"/>
        </w:tabs>
        <w:spacing w:line="240" w:lineRule="auto" w:before="0" w:after="0"/>
        <w:ind w:left="1187" w:right="0" w:hanging="529"/>
        <w:jc w:val="left"/>
        <w:rPr>
          <w:sz w:val="21"/>
        </w:rPr>
      </w:pPr>
      <w:r>
        <w:rPr>
          <w:spacing w:val="-3"/>
          <w:sz w:val="21"/>
        </w:rPr>
        <w:t>协助、接受委托或以其他任何形式为其他组织或个人进行证券交易；</w:t>
      </w:r>
    </w:p>
    <w:p>
      <w:pPr>
        <w:pStyle w:val="BodyText"/>
        <w:spacing w:before="7"/>
        <w:rPr>
          <w:sz w:val="15"/>
        </w:rPr>
      </w:pPr>
    </w:p>
    <w:p>
      <w:pPr>
        <w:pStyle w:val="ListParagraph"/>
        <w:numPr>
          <w:ilvl w:val="0"/>
          <w:numId w:val="6"/>
        </w:numPr>
        <w:tabs>
          <w:tab w:pos="1293" w:val="left" w:leader="none"/>
        </w:tabs>
        <w:spacing w:line="240" w:lineRule="auto" w:before="0" w:after="0"/>
        <w:ind w:left="1292" w:right="0" w:hanging="635"/>
        <w:jc w:val="left"/>
        <w:rPr>
          <w:sz w:val="21"/>
        </w:rPr>
      </w:pPr>
      <w:r>
        <w:rPr>
          <w:spacing w:val="-3"/>
          <w:sz w:val="21"/>
        </w:rPr>
        <w:t>违反证券交易场所业务规则，利用对敲、倒仓等手段操纵市场价格，扰乱市场秩序；</w:t>
      </w:r>
    </w:p>
    <w:p>
      <w:pPr>
        <w:pStyle w:val="BodyText"/>
        <w:spacing w:before="7"/>
        <w:rPr>
          <w:sz w:val="15"/>
        </w:rPr>
      </w:pPr>
    </w:p>
    <w:p>
      <w:pPr>
        <w:pStyle w:val="ListParagraph"/>
        <w:numPr>
          <w:ilvl w:val="0"/>
          <w:numId w:val="6"/>
        </w:numPr>
        <w:tabs>
          <w:tab w:pos="1283" w:val="left" w:leader="none"/>
        </w:tabs>
        <w:spacing w:line="240" w:lineRule="auto" w:before="0" w:after="0"/>
        <w:ind w:left="1283" w:right="0" w:hanging="625"/>
        <w:jc w:val="left"/>
        <w:rPr>
          <w:sz w:val="21"/>
        </w:rPr>
      </w:pPr>
      <w:r>
        <w:rPr>
          <w:spacing w:val="-3"/>
          <w:sz w:val="21"/>
        </w:rPr>
        <w:t>贬损同行，以提高自己；</w:t>
      </w:r>
    </w:p>
    <w:p>
      <w:pPr>
        <w:pStyle w:val="BodyText"/>
        <w:spacing w:before="7"/>
        <w:rPr>
          <w:sz w:val="15"/>
        </w:rPr>
      </w:pPr>
    </w:p>
    <w:p>
      <w:pPr>
        <w:pStyle w:val="ListParagraph"/>
        <w:numPr>
          <w:ilvl w:val="0"/>
          <w:numId w:val="6"/>
        </w:numPr>
        <w:tabs>
          <w:tab w:pos="1293" w:val="left" w:leader="none"/>
        </w:tabs>
        <w:spacing w:line="240" w:lineRule="auto" w:before="0" w:after="0"/>
        <w:ind w:left="1292" w:right="0" w:hanging="635"/>
        <w:jc w:val="left"/>
        <w:rPr>
          <w:sz w:val="21"/>
        </w:rPr>
      </w:pPr>
      <w:r>
        <w:rPr>
          <w:spacing w:val="-3"/>
          <w:sz w:val="21"/>
        </w:rPr>
        <w:t>在公开信息披露和广告中故意含有虚假、误导、欺诈成分；</w:t>
      </w:r>
    </w:p>
    <w:p>
      <w:pPr>
        <w:pStyle w:val="BodyText"/>
        <w:spacing w:before="6"/>
        <w:rPr>
          <w:sz w:val="15"/>
        </w:rPr>
      </w:pPr>
    </w:p>
    <w:p>
      <w:pPr>
        <w:pStyle w:val="ListParagraph"/>
        <w:numPr>
          <w:ilvl w:val="0"/>
          <w:numId w:val="6"/>
        </w:numPr>
        <w:tabs>
          <w:tab w:pos="1293" w:val="left" w:leader="none"/>
        </w:tabs>
        <w:spacing w:line="240" w:lineRule="auto" w:before="1" w:after="0"/>
        <w:ind w:left="1292" w:right="0" w:hanging="635"/>
        <w:jc w:val="left"/>
        <w:rPr>
          <w:sz w:val="21"/>
        </w:rPr>
      </w:pPr>
      <w:r>
        <w:rPr>
          <w:spacing w:val="-3"/>
          <w:sz w:val="21"/>
        </w:rPr>
        <w:t>以不正当手段谋求业务发展；</w:t>
      </w:r>
    </w:p>
    <w:p>
      <w:pPr>
        <w:pStyle w:val="BodyText"/>
        <w:spacing w:before="6"/>
        <w:rPr>
          <w:sz w:val="15"/>
        </w:rPr>
      </w:pPr>
    </w:p>
    <w:p>
      <w:pPr>
        <w:pStyle w:val="ListParagraph"/>
        <w:numPr>
          <w:ilvl w:val="0"/>
          <w:numId w:val="6"/>
        </w:numPr>
        <w:tabs>
          <w:tab w:pos="1293" w:val="left" w:leader="none"/>
        </w:tabs>
        <w:spacing w:line="240" w:lineRule="auto" w:before="0" w:after="0"/>
        <w:ind w:left="1292" w:right="0" w:hanging="635"/>
        <w:jc w:val="left"/>
        <w:rPr>
          <w:sz w:val="21"/>
        </w:rPr>
      </w:pPr>
      <w:r>
        <w:rPr>
          <w:spacing w:val="-3"/>
          <w:sz w:val="21"/>
        </w:rPr>
        <w:t>有悖社会公德，损害证券投资基金人员形象；</w:t>
      </w:r>
    </w:p>
    <w:p>
      <w:pPr>
        <w:pStyle w:val="BodyText"/>
        <w:spacing w:before="7"/>
        <w:rPr>
          <w:sz w:val="15"/>
        </w:rPr>
      </w:pPr>
    </w:p>
    <w:p>
      <w:pPr>
        <w:pStyle w:val="ListParagraph"/>
        <w:numPr>
          <w:ilvl w:val="0"/>
          <w:numId w:val="6"/>
        </w:numPr>
        <w:tabs>
          <w:tab w:pos="1293" w:val="left" w:leader="none"/>
        </w:tabs>
        <w:spacing w:line="240" w:lineRule="auto" w:before="0" w:after="0"/>
        <w:ind w:left="1292" w:right="0" w:hanging="635"/>
        <w:jc w:val="left"/>
        <w:rPr>
          <w:sz w:val="21"/>
        </w:rPr>
      </w:pPr>
      <w:r>
        <w:rPr>
          <w:spacing w:val="-3"/>
          <w:sz w:val="21"/>
        </w:rPr>
        <w:t>其他法律、行政法规禁止的行为。</w:t>
      </w:r>
    </w:p>
    <w:p>
      <w:pPr>
        <w:pStyle w:val="BodyText"/>
        <w:spacing w:before="7"/>
        <w:rPr>
          <w:sz w:val="15"/>
        </w:rPr>
      </w:pPr>
    </w:p>
    <w:p>
      <w:pPr>
        <w:pStyle w:val="BodyText"/>
        <w:ind w:left="658"/>
      </w:pPr>
      <w:r>
        <w:rPr>
          <w:rFonts w:ascii="Times New Roman" w:eastAsia="Times New Roman"/>
        </w:rPr>
        <w:t>4</w:t>
      </w:r>
      <w:r>
        <w:rPr/>
        <w:t>、基金经理承诺：</w:t>
      </w:r>
    </w:p>
    <w:p>
      <w:pPr>
        <w:pStyle w:val="BodyText"/>
        <w:spacing w:before="7"/>
        <w:rPr>
          <w:sz w:val="15"/>
        </w:rPr>
      </w:pPr>
    </w:p>
    <w:p>
      <w:pPr>
        <w:pStyle w:val="ListParagraph"/>
        <w:numPr>
          <w:ilvl w:val="0"/>
          <w:numId w:val="7"/>
        </w:numPr>
        <w:tabs>
          <w:tab w:pos="1187" w:val="left" w:leader="none"/>
        </w:tabs>
        <w:spacing w:line="417" w:lineRule="auto" w:before="0" w:after="0"/>
        <w:ind w:left="658" w:right="1309" w:firstLine="0"/>
        <w:jc w:val="left"/>
        <w:rPr>
          <w:sz w:val="21"/>
        </w:rPr>
      </w:pPr>
      <w:r>
        <w:rPr>
          <w:spacing w:val="-3"/>
          <w:sz w:val="21"/>
        </w:rPr>
        <w:t>依照有关法律、法规和基金合同的规定，本着谨慎的原则为基金份额持有人谋取最大利益；</w:t>
      </w:r>
    </w:p>
    <w:p>
      <w:pPr>
        <w:pStyle w:val="ListParagraph"/>
        <w:numPr>
          <w:ilvl w:val="0"/>
          <w:numId w:val="7"/>
        </w:numPr>
        <w:tabs>
          <w:tab w:pos="1187" w:val="left" w:leader="none"/>
        </w:tabs>
        <w:spacing w:line="269" w:lineRule="exact" w:before="0" w:after="0"/>
        <w:ind w:left="1187" w:right="0" w:hanging="529"/>
        <w:jc w:val="left"/>
        <w:rPr>
          <w:sz w:val="21"/>
        </w:rPr>
      </w:pPr>
      <w:r>
        <w:rPr>
          <w:spacing w:val="-3"/>
          <w:sz w:val="21"/>
        </w:rPr>
        <w:t>不利用职务之便为自己、受雇人或任何第三者谋取利益；</w:t>
      </w:r>
    </w:p>
    <w:p>
      <w:pPr>
        <w:pStyle w:val="BodyText"/>
        <w:spacing w:before="7"/>
        <w:rPr>
          <w:sz w:val="15"/>
        </w:rPr>
      </w:pPr>
    </w:p>
    <w:p>
      <w:pPr>
        <w:pStyle w:val="ListParagraph"/>
        <w:numPr>
          <w:ilvl w:val="0"/>
          <w:numId w:val="7"/>
        </w:numPr>
        <w:tabs>
          <w:tab w:pos="1187" w:val="left" w:leader="none"/>
        </w:tabs>
        <w:spacing w:line="417" w:lineRule="auto" w:before="0" w:after="0"/>
        <w:ind w:left="658" w:right="1309" w:firstLine="0"/>
        <w:jc w:val="left"/>
        <w:rPr>
          <w:sz w:val="21"/>
        </w:rPr>
      </w:pPr>
      <w:r>
        <w:rPr>
          <w:spacing w:val="-11"/>
          <w:sz w:val="21"/>
        </w:rPr>
        <w:t>不泄露在任职期间知悉的有关证券、基金的商业秘密，尚未依法公开的基金投资内容</w:t>
      </w:r>
      <w:r>
        <w:rPr>
          <w:spacing w:val="-7"/>
          <w:sz w:val="21"/>
        </w:rPr>
        <w:t>、基金投资计划等信息；</w:t>
      </w:r>
    </w:p>
    <w:p>
      <w:pPr>
        <w:pStyle w:val="ListParagraph"/>
        <w:numPr>
          <w:ilvl w:val="0"/>
          <w:numId w:val="7"/>
        </w:numPr>
        <w:tabs>
          <w:tab w:pos="1187" w:val="left" w:leader="none"/>
        </w:tabs>
        <w:spacing w:line="269" w:lineRule="exact" w:before="0" w:after="0"/>
        <w:ind w:left="1187" w:right="0" w:hanging="529"/>
        <w:jc w:val="left"/>
        <w:rPr>
          <w:sz w:val="21"/>
        </w:rPr>
      </w:pPr>
      <w:r>
        <w:rPr>
          <w:spacing w:val="-3"/>
          <w:sz w:val="21"/>
        </w:rPr>
        <w:t>不以任何形式为其他组织或个人进行证券交易。</w:t>
      </w:r>
    </w:p>
    <w:p>
      <w:pPr>
        <w:pStyle w:val="BodyText"/>
        <w:rPr>
          <w:sz w:val="22"/>
        </w:rPr>
      </w:pPr>
    </w:p>
    <w:p>
      <w:pPr>
        <w:pStyle w:val="BodyText"/>
        <w:spacing w:before="1"/>
        <w:rPr>
          <w:sz w:val="30"/>
        </w:rPr>
      </w:pPr>
    </w:p>
    <w:p>
      <w:pPr>
        <w:spacing w:before="0"/>
        <w:ind w:left="658" w:right="0" w:firstLine="0"/>
        <w:jc w:val="left"/>
        <w:rPr>
          <w:b/>
          <w:sz w:val="21"/>
        </w:rPr>
      </w:pPr>
      <w:r>
        <w:rPr>
          <w:b/>
          <w:sz w:val="21"/>
        </w:rPr>
        <w:t>（五）基金管理人的风险管理和内部控制体系</w:t>
      </w:r>
    </w:p>
    <w:p>
      <w:pPr>
        <w:pStyle w:val="BodyText"/>
        <w:spacing w:before="7"/>
        <w:rPr>
          <w:b/>
          <w:sz w:val="15"/>
        </w:rPr>
      </w:pPr>
    </w:p>
    <w:p>
      <w:pPr>
        <w:pStyle w:val="BodyText"/>
        <w:ind w:left="658"/>
      </w:pPr>
      <w:r>
        <w:rPr>
          <w:rFonts w:ascii="Times New Roman" w:eastAsia="Times New Roman"/>
        </w:rPr>
        <w:t>1</w:t>
      </w:r>
      <w:r>
        <w:rPr/>
        <w:t>、风险管理理念与目标</w:t>
      </w:r>
    </w:p>
    <w:p>
      <w:pPr>
        <w:pStyle w:val="BodyText"/>
        <w:spacing w:before="6"/>
        <w:rPr>
          <w:sz w:val="15"/>
        </w:rPr>
      </w:pPr>
    </w:p>
    <w:p>
      <w:pPr>
        <w:pStyle w:val="ListParagraph"/>
        <w:numPr>
          <w:ilvl w:val="0"/>
          <w:numId w:val="8"/>
        </w:numPr>
        <w:tabs>
          <w:tab w:pos="1187" w:val="left" w:leader="none"/>
        </w:tabs>
        <w:spacing w:line="240" w:lineRule="auto" w:before="1" w:after="0"/>
        <w:ind w:left="1187" w:right="0" w:hanging="529"/>
        <w:jc w:val="left"/>
        <w:rPr>
          <w:sz w:val="21"/>
        </w:rPr>
      </w:pPr>
      <w:r>
        <w:rPr>
          <w:spacing w:val="-3"/>
          <w:sz w:val="21"/>
        </w:rPr>
        <w:t>确保合法合规经营；</w:t>
      </w:r>
    </w:p>
    <w:p>
      <w:pPr>
        <w:pStyle w:val="BodyText"/>
        <w:spacing w:before="6"/>
        <w:rPr>
          <w:sz w:val="15"/>
        </w:rPr>
      </w:pPr>
    </w:p>
    <w:p>
      <w:pPr>
        <w:pStyle w:val="ListParagraph"/>
        <w:numPr>
          <w:ilvl w:val="0"/>
          <w:numId w:val="8"/>
        </w:numPr>
        <w:tabs>
          <w:tab w:pos="1187" w:val="left" w:leader="none"/>
        </w:tabs>
        <w:spacing w:line="240" w:lineRule="auto" w:before="0" w:after="0"/>
        <w:ind w:left="1187" w:right="0" w:hanging="529"/>
        <w:jc w:val="left"/>
        <w:rPr>
          <w:sz w:val="21"/>
        </w:rPr>
      </w:pPr>
      <w:r>
        <w:rPr>
          <w:spacing w:val="-3"/>
          <w:sz w:val="21"/>
        </w:rPr>
        <w:t>防范和化解风险；</w:t>
      </w:r>
    </w:p>
    <w:p>
      <w:pPr>
        <w:pStyle w:val="BodyText"/>
        <w:spacing w:before="7"/>
        <w:rPr>
          <w:sz w:val="15"/>
        </w:rPr>
      </w:pPr>
    </w:p>
    <w:p>
      <w:pPr>
        <w:pStyle w:val="ListParagraph"/>
        <w:numPr>
          <w:ilvl w:val="0"/>
          <w:numId w:val="8"/>
        </w:numPr>
        <w:tabs>
          <w:tab w:pos="1187" w:val="left" w:leader="none"/>
        </w:tabs>
        <w:spacing w:line="240" w:lineRule="auto" w:before="0" w:after="0"/>
        <w:ind w:left="1187" w:right="0" w:hanging="529"/>
        <w:jc w:val="left"/>
        <w:rPr>
          <w:sz w:val="21"/>
        </w:rPr>
      </w:pPr>
      <w:r>
        <w:rPr>
          <w:spacing w:val="-3"/>
          <w:sz w:val="21"/>
        </w:rPr>
        <w:t>提高经营效率；</w:t>
      </w:r>
    </w:p>
    <w:p>
      <w:pPr>
        <w:pStyle w:val="BodyText"/>
        <w:spacing w:before="7"/>
        <w:rPr>
          <w:sz w:val="15"/>
        </w:rPr>
      </w:pPr>
    </w:p>
    <w:p>
      <w:pPr>
        <w:pStyle w:val="ListParagraph"/>
        <w:numPr>
          <w:ilvl w:val="0"/>
          <w:numId w:val="8"/>
        </w:numPr>
        <w:tabs>
          <w:tab w:pos="1187" w:val="left" w:leader="none"/>
        </w:tabs>
        <w:spacing w:line="240" w:lineRule="auto" w:before="0" w:after="0"/>
        <w:ind w:left="1187" w:right="0" w:hanging="529"/>
        <w:jc w:val="left"/>
        <w:rPr>
          <w:sz w:val="21"/>
        </w:rPr>
      </w:pPr>
      <w:r>
        <w:rPr>
          <w:spacing w:val="-3"/>
          <w:sz w:val="21"/>
        </w:rPr>
        <w:t>保护投资者和股东的合法权益。</w:t>
      </w:r>
    </w:p>
    <w:p>
      <w:pPr>
        <w:pStyle w:val="BodyText"/>
        <w:rPr>
          <w:sz w:val="22"/>
        </w:rPr>
      </w:pPr>
    </w:p>
    <w:p>
      <w:pPr>
        <w:pStyle w:val="BodyText"/>
        <w:spacing w:before="1"/>
        <w:rPr>
          <w:sz w:val="30"/>
        </w:rPr>
      </w:pPr>
    </w:p>
    <w:p>
      <w:pPr>
        <w:pStyle w:val="BodyText"/>
        <w:ind w:left="658"/>
      </w:pPr>
      <w:r>
        <w:rPr>
          <w:rFonts w:ascii="Times New Roman" w:eastAsia="Times New Roman"/>
        </w:rPr>
        <w:t>2</w:t>
      </w:r>
      <w:r>
        <w:rPr/>
        <w:t>、风险管理措施</w:t>
      </w:r>
    </w:p>
    <w:p>
      <w:pPr>
        <w:pStyle w:val="BodyText"/>
        <w:spacing w:before="7"/>
        <w:rPr>
          <w:sz w:val="15"/>
        </w:rPr>
      </w:pPr>
    </w:p>
    <w:p>
      <w:pPr>
        <w:pStyle w:val="ListParagraph"/>
        <w:numPr>
          <w:ilvl w:val="0"/>
          <w:numId w:val="9"/>
        </w:numPr>
        <w:tabs>
          <w:tab w:pos="1187" w:val="left" w:leader="none"/>
        </w:tabs>
        <w:spacing w:line="240" w:lineRule="auto" w:before="0" w:after="0"/>
        <w:ind w:left="1187" w:right="0" w:hanging="529"/>
        <w:jc w:val="left"/>
        <w:rPr>
          <w:sz w:val="21"/>
        </w:rPr>
      </w:pPr>
      <w:r>
        <w:rPr>
          <w:spacing w:val="-3"/>
          <w:sz w:val="21"/>
        </w:rPr>
        <w:t>建立健全公司组织架构；</w:t>
      </w:r>
    </w:p>
    <w:p>
      <w:pPr>
        <w:spacing w:after="0" w:line="240" w:lineRule="auto"/>
        <w:jc w:val="left"/>
        <w:rPr>
          <w:sz w:val="21"/>
        </w:rPr>
        <w:sectPr>
          <w:pgSz w:w="11910" w:h="16840"/>
          <w:pgMar w:header="852" w:footer="992" w:top="1220" w:bottom="1180" w:left="1140" w:right="480"/>
        </w:sectPr>
      </w:pPr>
    </w:p>
    <w:p>
      <w:pPr>
        <w:pStyle w:val="BodyText"/>
        <w:spacing w:before="7"/>
        <w:rPr>
          <w:sz w:val="18"/>
        </w:rPr>
      </w:pPr>
    </w:p>
    <w:p>
      <w:pPr>
        <w:pStyle w:val="ListParagraph"/>
        <w:numPr>
          <w:ilvl w:val="0"/>
          <w:numId w:val="9"/>
        </w:numPr>
        <w:tabs>
          <w:tab w:pos="1187" w:val="left" w:leader="none"/>
        </w:tabs>
        <w:spacing w:line="240" w:lineRule="auto" w:before="78" w:after="0"/>
        <w:ind w:left="1187" w:right="0" w:hanging="529"/>
        <w:jc w:val="left"/>
        <w:rPr>
          <w:sz w:val="21"/>
        </w:rPr>
      </w:pPr>
      <w:r>
        <w:rPr>
          <w:spacing w:val="-3"/>
          <w:sz w:val="21"/>
        </w:rPr>
        <w:t>树立监察稽核功能的权威性和独立性；</w:t>
      </w:r>
    </w:p>
    <w:p>
      <w:pPr>
        <w:pStyle w:val="BodyText"/>
        <w:spacing w:before="7"/>
        <w:rPr>
          <w:sz w:val="15"/>
        </w:rPr>
      </w:pPr>
    </w:p>
    <w:p>
      <w:pPr>
        <w:pStyle w:val="ListParagraph"/>
        <w:numPr>
          <w:ilvl w:val="0"/>
          <w:numId w:val="9"/>
        </w:numPr>
        <w:tabs>
          <w:tab w:pos="1187" w:val="left" w:leader="none"/>
        </w:tabs>
        <w:spacing w:line="240" w:lineRule="auto" w:before="0" w:after="0"/>
        <w:ind w:left="1187" w:right="0" w:hanging="529"/>
        <w:jc w:val="left"/>
        <w:rPr>
          <w:sz w:val="21"/>
        </w:rPr>
      </w:pPr>
      <w:r>
        <w:rPr>
          <w:spacing w:val="-3"/>
          <w:sz w:val="21"/>
        </w:rPr>
        <w:t>加强内控培训，培养全体员工的风险管理意识和监察文化；</w:t>
      </w:r>
    </w:p>
    <w:p>
      <w:pPr>
        <w:pStyle w:val="BodyText"/>
        <w:spacing w:before="6"/>
        <w:rPr>
          <w:sz w:val="15"/>
        </w:rPr>
      </w:pPr>
    </w:p>
    <w:p>
      <w:pPr>
        <w:pStyle w:val="ListParagraph"/>
        <w:numPr>
          <w:ilvl w:val="0"/>
          <w:numId w:val="9"/>
        </w:numPr>
        <w:tabs>
          <w:tab w:pos="1187" w:val="left" w:leader="none"/>
        </w:tabs>
        <w:spacing w:line="240" w:lineRule="auto" w:before="1" w:after="0"/>
        <w:ind w:left="1187" w:right="0" w:hanging="529"/>
        <w:jc w:val="left"/>
        <w:rPr>
          <w:sz w:val="21"/>
        </w:rPr>
      </w:pPr>
      <w:r>
        <w:rPr>
          <w:spacing w:val="-3"/>
          <w:sz w:val="21"/>
        </w:rPr>
        <w:t>制定员工行为规范和纪律程序；</w:t>
      </w:r>
    </w:p>
    <w:p>
      <w:pPr>
        <w:pStyle w:val="BodyText"/>
        <w:spacing w:before="6"/>
        <w:rPr>
          <w:sz w:val="15"/>
        </w:rPr>
      </w:pPr>
    </w:p>
    <w:p>
      <w:pPr>
        <w:pStyle w:val="ListParagraph"/>
        <w:numPr>
          <w:ilvl w:val="0"/>
          <w:numId w:val="9"/>
        </w:numPr>
        <w:tabs>
          <w:tab w:pos="1187" w:val="left" w:leader="none"/>
        </w:tabs>
        <w:spacing w:line="240" w:lineRule="auto" w:before="0" w:after="0"/>
        <w:ind w:left="1187" w:right="0" w:hanging="529"/>
        <w:jc w:val="left"/>
        <w:rPr>
          <w:sz w:val="21"/>
        </w:rPr>
      </w:pPr>
      <w:r>
        <w:rPr>
          <w:spacing w:val="-3"/>
          <w:sz w:val="21"/>
        </w:rPr>
        <w:t>建立岗位分离制度；</w:t>
      </w:r>
    </w:p>
    <w:p>
      <w:pPr>
        <w:pStyle w:val="BodyText"/>
        <w:spacing w:before="7"/>
        <w:rPr>
          <w:sz w:val="15"/>
        </w:rPr>
      </w:pPr>
    </w:p>
    <w:p>
      <w:pPr>
        <w:pStyle w:val="ListParagraph"/>
        <w:numPr>
          <w:ilvl w:val="0"/>
          <w:numId w:val="9"/>
        </w:numPr>
        <w:tabs>
          <w:tab w:pos="1187" w:val="left" w:leader="none"/>
        </w:tabs>
        <w:spacing w:line="240" w:lineRule="auto" w:before="0" w:after="0"/>
        <w:ind w:left="1187" w:right="0" w:hanging="529"/>
        <w:jc w:val="left"/>
        <w:rPr>
          <w:sz w:val="21"/>
        </w:rPr>
      </w:pPr>
      <w:r>
        <w:rPr>
          <w:spacing w:val="-3"/>
          <w:sz w:val="21"/>
        </w:rPr>
        <w:t>建立危机处理和灾难恢复计划。</w:t>
      </w:r>
    </w:p>
    <w:p>
      <w:pPr>
        <w:pStyle w:val="BodyText"/>
        <w:rPr>
          <w:sz w:val="22"/>
        </w:rPr>
      </w:pPr>
    </w:p>
    <w:p>
      <w:pPr>
        <w:pStyle w:val="BodyText"/>
        <w:spacing w:before="1"/>
        <w:rPr>
          <w:sz w:val="30"/>
        </w:rPr>
      </w:pPr>
    </w:p>
    <w:p>
      <w:pPr>
        <w:pStyle w:val="BodyText"/>
        <w:ind w:left="658"/>
      </w:pPr>
      <w:r>
        <w:rPr>
          <w:rFonts w:ascii="Times New Roman" w:eastAsia="Times New Roman"/>
        </w:rPr>
        <w:t>3</w:t>
      </w:r>
      <w:r>
        <w:rPr/>
        <w:t>、风险管理和内部控制的原则</w:t>
      </w:r>
    </w:p>
    <w:p>
      <w:pPr>
        <w:pStyle w:val="BodyText"/>
        <w:spacing w:before="7"/>
        <w:rPr>
          <w:sz w:val="15"/>
        </w:rPr>
      </w:pPr>
    </w:p>
    <w:p>
      <w:pPr>
        <w:pStyle w:val="ListParagraph"/>
        <w:numPr>
          <w:ilvl w:val="0"/>
          <w:numId w:val="10"/>
        </w:numPr>
        <w:tabs>
          <w:tab w:pos="1187" w:val="left" w:leader="none"/>
        </w:tabs>
        <w:spacing w:line="417" w:lineRule="auto" w:before="0" w:after="0"/>
        <w:ind w:left="658" w:right="1309" w:firstLine="0"/>
        <w:jc w:val="left"/>
        <w:rPr>
          <w:sz w:val="21"/>
        </w:rPr>
      </w:pPr>
      <w:r>
        <w:rPr>
          <w:spacing w:val="-3"/>
          <w:sz w:val="21"/>
        </w:rPr>
        <w:t>全面性原则：公司风险管理必须覆盖公司的所有部门和岗位，渗透各项业务过程和业务环节；</w:t>
      </w:r>
    </w:p>
    <w:p>
      <w:pPr>
        <w:pStyle w:val="ListParagraph"/>
        <w:numPr>
          <w:ilvl w:val="0"/>
          <w:numId w:val="10"/>
        </w:numPr>
        <w:tabs>
          <w:tab w:pos="1187" w:val="left" w:leader="none"/>
        </w:tabs>
        <w:spacing w:line="417" w:lineRule="auto" w:before="0" w:after="0"/>
        <w:ind w:left="658" w:right="1309" w:firstLine="0"/>
        <w:jc w:val="left"/>
        <w:rPr>
          <w:sz w:val="21"/>
        </w:rPr>
      </w:pPr>
      <w:r>
        <w:rPr>
          <w:spacing w:val="-3"/>
          <w:sz w:val="21"/>
        </w:rPr>
        <w:t>独立性原则：公司各机构、部门和岗位职责应当保持相对独立，公司基金财产、自有资产、其他资产的运作应当分离；</w:t>
      </w:r>
    </w:p>
    <w:p>
      <w:pPr>
        <w:pStyle w:val="ListParagraph"/>
        <w:numPr>
          <w:ilvl w:val="0"/>
          <w:numId w:val="10"/>
        </w:numPr>
        <w:tabs>
          <w:tab w:pos="1187" w:val="left" w:leader="none"/>
        </w:tabs>
        <w:spacing w:line="417" w:lineRule="auto" w:before="0" w:after="0"/>
        <w:ind w:left="658" w:right="1309" w:firstLine="0"/>
        <w:jc w:val="left"/>
        <w:rPr>
          <w:sz w:val="21"/>
        </w:rPr>
      </w:pPr>
      <w:r>
        <w:rPr>
          <w:spacing w:val="-3"/>
          <w:sz w:val="21"/>
        </w:rPr>
        <w:t>相互制约原则：公司及各部门在内部组织结构的设计上要形成一种相互制约机制，建立不同岗位之间的制衡体系；</w:t>
      </w:r>
    </w:p>
    <w:p>
      <w:pPr>
        <w:pStyle w:val="ListParagraph"/>
        <w:numPr>
          <w:ilvl w:val="0"/>
          <w:numId w:val="10"/>
        </w:numPr>
        <w:tabs>
          <w:tab w:pos="1187" w:val="left" w:leader="none"/>
        </w:tabs>
        <w:spacing w:line="417" w:lineRule="auto" w:before="0" w:after="0"/>
        <w:ind w:left="658" w:right="1309" w:firstLine="0"/>
        <w:jc w:val="left"/>
        <w:rPr>
          <w:sz w:val="21"/>
        </w:rPr>
      </w:pPr>
      <w:r>
        <w:rPr>
          <w:spacing w:val="-3"/>
          <w:sz w:val="21"/>
        </w:rPr>
        <w:t>定性和定量相结合原则：建立完备的风险管理指标体系，使风险管理更具客观性和操作性；</w:t>
      </w:r>
    </w:p>
    <w:p>
      <w:pPr>
        <w:pStyle w:val="ListParagraph"/>
        <w:numPr>
          <w:ilvl w:val="0"/>
          <w:numId w:val="10"/>
        </w:numPr>
        <w:tabs>
          <w:tab w:pos="1187" w:val="left" w:leader="none"/>
        </w:tabs>
        <w:spacing w:line="240" w:lineRule="auto" w:before="0" w:after="0"/>
        <w:ind w:left="1187" w:right="0" w:hanging="529"/>
        <w:jc w:val="left"/>
        <w:rPr>
          <w:sz w:val="21"/>
        </w:rPr>
      </w:pPr>
      <w:r>
        <w:rPr>
          <w:spacing w:val="-3"/>
          <w:sz w:val="21"/>
        </w:rPr>
        <w:t>防火墙原则：基金财产、公司自有资产、其他资产的运作应当严格分开并独立核算。</w:t>
      </w:r>
    </w:p>
    <w:p>
      <w:pPr>
        <w:pStyle w:val="BodyText"/>
        <w:rPr>
          <w:sz w:val="22"/>
        </w:rPr>
      </w:pPr>
    </w:p>
    <w:p>
      <w:pPr>
        <w:pStyle w:val="BodyText"/>
        <w:rPr>
          <w:sz w:val="30"/>
        </w:rPr>
      </w:pPr>
    </w:p>
    <w:p>
      <w:pPr>
        <w:pStyle w:val="BodyText"/>
        <w:ind w:left="658"/>
      </w:pPr>
      <w:r>
        <w:rPr>
          <w:rFonts w:ascii="Times New Roman" w:eastAsia="Times New Roman"/>
        </w:rPr>
        <w:t>4</w:t>
      </w:r>
      <w:r>
        <w:rPr/>
        <w:t>、内部控制体系</w:t>
      </w:r>
    </w:p>
    <w:p>
      <w:pPr>
        <w:pStyle w:val="BodyText"/>
        <w:spacing w:before="6"/>
        <w:rPr>
          <w:sz w:val="15"/>
        </w:rPr>
      </w:pPr>
    </w:p>
    <w:p>
      <w:pPr>
        <w:pStyle w:val="BodyText"/>
        <w:spacing w:before="1"/>
        <w:ind w:left="658"/>
      </w:pPr>
      <w:r>
        <w:rPr>
          <w:rFonts w:ascii="Times New Roman" w:eastAsia="Times New Roman"/>
        </w:rPr>
        <w:t>I</w:t>
      </w:r>
      <w:r>
        <w:rPr/>
        <w:t>、内部控制的组织架构</w:t>
      </w:r>
    </w:p>
    <w:p>
      <w:pPr>
        <w:pStyle w:val="BodyText"/>
        <w:spacing w:before="6"/>
        <w:rPr>
          <w:sz w:val="15"/>
        </w:rPr>
      </w:pPr>
    </w:p>
    <w:p>
      <w:pPr>
        <w:pStyle w:val="ListParagraph"/>
        <w:numPr>
          <w:ilvl w:val="0"/>
          <w:numId w:val="11"/>
        </w:numPr>
        <w:tabs>
          <w:tab w:pos="1187" w:val="left" w:leader="none"/>
        </w:tabs>
        <w:spacing w:line="417" w:lineRule="auto" w:before="0" w:after="0"/>
        <w:ind w:left="658" w:right="1308" w:firstLine="0"/>
        <w:jc w:val="both"/>
        <w:rPr>
          <w:sz w:val="21"/>
        </w:rPr>
      </w:pPr>
      <w:r>
        <w:rPr>
          <w:spacing w:val="-10"/>
          <w:sz w:val="21"/>
        </w:rPr>
        <w:t>董事会审计与风险控制委员会：负责对公司经营管理和基金投资业务进行合规性控制</w:t>
      </w:r>
      <w:r>
        <w:rPr>
          <w:spacing w:val="-8"/>
          <w:sz w:val="21"/>
        </w:rPr>
        <w:t>，并对公司内部稽核审计工作进行审核监督。该委员会主要职责是：审议并批准公司内控制</w:t>
      </w:r>
      <w:r>
        <w:rPr>
          <w:spacing w:val="-10"/>
          <w:sz w:val="21"/>
        </w:rPr>
        <w:t>度和政策并检查其实施情况；监督公司内部审计制度的实施；向董事会提名外部审计机构； </w:t>
      </w:r>
      <w:r>
        <w:rPr>
          <w:spacing w:val="-8"/>
          <w:sz w:val="21"/>
        </w:rPr>
        <w:t>负责内部审计和外部审计之间的协调；审议公司的关联交易；对公司的风险及管理状况及风</w:t>
      </w:r>
      <w:r>
        <w:rPr>
          <w:spacing w:val="-10"/>
          <w:sz w:val="21"/>
        </w:rPr>
        <w:t>险管理能力及水平进行评价，提出完善风险管理和内部制度的意见、制定公司日常经营、拟</w:t>
      </w:r>
      <w:r>
        <w:rPr>
          <w:spacing w:val="-7"/>
          <w:sz w:val="21"/>
        </w:rPr>
        <w:t>募集基金及运用基金资产进行投资的风险控制指标和监督制度，并不定期地对风险控制情况</w:t>
      </w:r>
      <w:r>
        <w:rPr>
          <w:spacing w:val="-11"/>
          <w:sz w:val="21"/>
        </w:rPr>
        <w:t>进行检查和监督，形成风险评估报告和建议，在例行董事会会议上提出公司上半个年度风险</w:t>
      </w:r>
      <w:r>
        <w:rPr>
          <w:spacing w:val="-13"/>
          <w:sz w:val="21"/>
        </w:rPr>
        <w:t>控制工作总结报告；监督和指导经理层所设立的风险管理委员会的工作及董事会赋予的其他</w:t>
      </w:r>
      <w:r>
        <w:rPr>
          <w:sz w:val="21"/>
        </w:rPr>
        <w:t>职责。</w:t>
      </w:r>
    </w:p>
    <w:p>
      <w:pPr>
        <w:pStyle w:val="ListParagraph"/>
        <w:numPr>
          <w:ilvl w:val="0"/>
          <w:numId w:val="11"/>
        </w:numPr>
        <w:tabs>
          <w:tab w:pos="1187" w:val="left" w:leader="none"/>
        </w:tabs>
        <w:spacing w:line="417" w:lineRule="auto" w:before="0" w:after="0"/>
        <w:ind w:left="658" w:right="1308" w:firstLine="0"/>
        <w:jc w:val="left"/>
        <w:rPr>
          <w:sz w:val="21"/>
        </w:rPr>
      </w:pPr>
      <w:r>
        <w:rPr>
          <w:spacing w:val="-3"/>
          <w:sz w:val="21"/>
        </w:rPr>
        <w:t>风险管理委员会：是公司日常经营中整体风险控制的决策机构，该委员会是对公司各</w:t>
      </w:r>
      <w:r>
        <w:rPr>
          <w:spacing w:val="-20"/>
          <w:sz w:val="21"/>
        </w:rPr>
        <w:t>种风险的识别、防范和控制的非常设机构，负责公司整体运作风险的评估和控制，由总经理、</w:t>
      </w:r>
    </w:p>
    <w:p>
      <w:pPr>
        <w:spacing w:after="0" w:line="417" w:lineRule="auto"/>
        <w:jc w:val="left"/>
        <w:rPr>
          <w:sz w:val="21"/>
        </w:rPr>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203"/>
      </w:pPr>
      <w:r>
        <w:rPr>
          <w:spacing w:val="-10"/>
        </w:rPr>
        <w:t>副总经理、督察长、以及其他相关部门负责人或相关人员组成，其主要职责是：评估公司各</w:t>
      </w:r>
      <w:r>
        <w:rPr>
          <w:spacing w:val="-11"/>
        </w:rPr>
        <w:t>机构、部门制度本身隐含的风险，以及这些制度在执行过程中显现的问题，并负责审定风险</w:t>
      </w:r>
      <w:r>
        <w:rPr>
          <w:spacing w:val="-6"/>
        </w:rPr>
        <w:t>控制政策和策略；审议基金财产风险状况分析报告，基于风险与回报对业务策略提出质疑， </w:t>
      </w:r>
      <w:r>
        <w:rPr>
          <w:spacing w:val="-10"/>
        </w:rPr>
        <w:t>需要时指导业务方向；审定公司的业务授权方案；负责协调处理突发性重大事件；负责界定</w:t>
      </w:r>
      <w:r>
        <w:rPr>
          <w:spacing w:val="-11"/>
        </w:rPr>
        <w:t>业务风险损失责任人的责任；审议公司各项风险与内控状况的评价报告；需要风险管理委员</w:t>
      </w:r>
      <w:r>
        <w:rPr>
          <w:spacing w:val="-6"/>
        </w:rPr>
        <w:t>会审议、决策的其他重大风险管理事项。</w:t>
      </w:r>
    </w:p>
    <w:p>
      <w:pPr>
        <w:pStyle w:val="ListParagraph"/>
        <w:numPr>
          <w:ilvl w:val="0"/>
          <w:numId w:val="11"/>
        </w:numPr>
        <w:tabs>
          <w:tab w:pos="1187" w:val="left" w:leader="none"/>
        </w:tabs>
        <w:spacing w:line="417" w:lineRule="auto" w:before="0" w:after="0"/>
        <w:ind w:left="658" w:right="1203" w:firstLine="0"/>
        <w:jc w:val="left"/>
        <w:rPr>
          <w:sz w:val="21"/>
        </w:rPr>
      </w:pPr>
      <w:r>
        <w:rPr>
          <w:spacing w:val="-3"/>
          <w:sz w:val="21"/>
        </w:rPr>
        <w:t>投资决策委员会：是公司投资领域的最高决策机构，以定期或不定期会议的形式讨论</w:t>
      </w:r>
      <w:r>
        <w:rPr>
          <w:spacing w:val="-8"/>
          <w:sz w:val="21"/>
        </w:rPr>
        <w:t>和决定公司投资的重大问题。投资决策委员会由公司总经理、分管投资的副总经理、各投资</w:t>
      </w:r>
      <w:r>
        <w:rPr>
          <w:spacing w:val="-12"/>
          <w:sz w:val="21"/>
        </w:rPr>
        <w:t>总监、研究总监、基金经理代表等组成，其主要职责包括：依照基金合同、资产管理合同的</w:t>
      </w:r>
      <w:r>
        <w:rPr>
          <w:spacing w:val="-11"/>
          <w:sz w:val="21"/>
        </w:rPr>
        <w:t>规定，确立各基金、特定客户资产管理的投资方针及投资方向；审定基金资产、特定客户资</w:t>
      </w:r>
      <w:r>
        <w:rPr>
          <w:spacing w:val="-21"/>
          <w:sz w:val="21"/>
        </w:rPr>
        <w:t>产管理的配置方案，包括基金资产、特定客户资产管理在股票、债券、现金之间的配置比例； </w:t>
      </w:r>
      <w:r>
        <w:rPr>
          <w:spacing w:val="-9"/>
          <w:sz w:val="21"/>
        </w:rPr>
        <w:t>制定基金、特定客户资产管理投资授权方案；对超出投资负责人权限的投资项目做出决定； </w:t>
      </w:r>
      <w:r>
        <w:rPr>
          <w:spacing w:val="-12"/>
          <w:sz w:val="21"/>
        </w:rPr>
        <w:t>考核包括基金经理、投资经理在内的投资团队的工作绩效；需要投资决策委员会决定的其它</w:t>
      </w:r>
      <w:r>
        <w:rPr>
          <w:spacing w:val="-6"/>
          <w:sz w:val="21"/>
        </w:rPr>
        <w:t>重大投资事项。</w:t>
      </w:r>
    </w:p>
    <w:p>
      <w:pPr>
        <w:pStyle w:val="ListParagraph"/>
        <w:numPr>
          <w:ilvl w:val="0"/>
          <w:numId w:val="11"/>
        </w:numPr>
        <w:tabs>
          <w:tab w:pos="1187" w:val="left" w:leader="none"/>
        </w:tabs>
        <w:spacing w:line="417" w:lineRule="auto" w:before="0" w:after="0"/>
        <w:ind w:left="658" w:right="1309" w:firstLine="0"/>
        <w:jc w:val="both"/>
        <w:rPr>
          <w:sz w:val="21"/>
        </w:rPr>
      </w:pPr>
      <w:r>
        <w:rPr>
          <w:spacing w:val="-3"/>
          <w:sz w:val="21"/>
        </w:rPr>
        <w:t>督察长：督察长制度是基金管理人特有的制度。督察长负责组织指导公司的监察稽核</w:t>
      </w:r>
      <w:r>
        <w:rPr>
          <w:spacing w:val="-11"/>
          <w:sz w:val="21"/>
        </w:rPr>
        <w:t>工作；可列席公司任何会议，调阅公司任何档案材料，对基金运作、内部管理、制度执行及</w:t>
      </w:r>
      <w:r>
        <w:rPr>
          <w:spacing w:val="-6"/>
          <w:sz w:val="21"/>
        </w:rPr>
        <w:t>遵规守法情况进行内部监察、稽核；每月独立出具稽核报告，报送中国证监会和董事长。</w:t>
      </w:r>
    </w:p>
    <w:p>
      <w:pPr>
        <w:pStyle w:val="ListParagraph"/>
        <w:numPr>
          <w:ilvl w:val="0"/>
          <w:numId w:val="11"/>
        </w:numPr>
        <w:tabs>
          <w:tab w:pos="1187" w:val="left" w:leader="none"/>
        </w:tabs>
        <w:spacing w:line="417" w:lineRule="auto" w:before="0" w:after="0"/>
        <w:ind w:left="658" w:right="1308" w:firstLine="0"/>
        <w:jc w:val="both"/>
        <w:rPr>
          <w:sz w:val="21"/>
        </w:rPr>
      </w:pPr>
      <w:r>
        <w:rPr>
          <w:spacing w:val="-3"/>
          <w:sz w:val="21"/>
        </w:rPr>
        <w:t>法律、监察稽核部：公司设立法律、监察稽核部，开展公司的监察稽核工作，并保证</w:t>
      </w:r>
      <w:r>
        <w:rPr>
          <w:spacing w:val="-9"/>
          <w:sz w:val="21"/>
        </w:rPr>
        <w:t>其工作的独立性和权威性，充分发挥其职能作用。法律、监察稽核部有权对公司各类规章制</w:t>
      </w:r>
      <w:r>
        <w:rPr>
          <w:spacing w:val="-10"/>
          <w:sz w:val="21"/>
        </w:rPr>
        <w:t>度及内部风险控制制度的完备性、合理性、有效性进行检查并提出相应意见和建议，并将意</w:t>
      </w:r>
      <w:r>
        <w:rPr>
          <w:spacing w:val="-9"/>
          <w:sz w:val="21"/>
        </w:rPr>
        <w:t>见和建议上报公司总经理、督察长和风险管理委员会进行讨论。法律、监察稽核部协助对全</w:t>
      </w:r>
      <w:r>
        <w:rPr>
          <w:spacing w:val="-11"/>
          <w:sz w:val="21"/>
        </w:rPr>
        <w:t>公司员工进行相关法律、法规、规章制度培训，回答公司各部门提出的法律咨询，并对公司</w:t>
      </w:r>
      <w:r>
        <w:rPr>
          <w:spacing w:val="-13"/>
          <w:sz w:val="21"/>
        </w:rPr>
        <w:t>出现的法律纠纷提出解决方案，同时组织各部门对公司管理上存在的风险隐患或出现的风险问题进行讨论、研究，提出解决方案，提交风险管理委员会、投资决策委员会或总经理办公</w:t>
      </w:r>
      <w:r>
        <w:rPr>
          <w:spacing w:val="-6"/>
          <w:sz w:val="21"/>
        </w:rPr>
        <w:t>会等进行审核、讨论，并监督整改。</w:t>
      </w:r>
    </w:p>
    <w:p>
      <w:pPr>
        <w:pStyle w:val="BodyText"/>
        <w:spacing w:line="268" w:lineRule="exact"/>
        <w:ind w:left="658"/>
      </w:pPr>
      <w:r>
        <w:rPr>
          <w:rFonts w:ascii="Times New Roman" w:eastAsia="Times New Roman"/>
        </w:rPr>
        <w:t>II</w:t>
      </w:r>
      <w:r>
        <w:rPr/>
        <w:t>、内部控制的原则</w:t>
      </w:r>
    </w:p>
    <w:p>
      <w:pPr>
        <w:pStyle w:val="BodyText"/>
        <w:spacing w:before="197"/>
        <w:ind w:left="1078"/>
        <w:rPr>
          <w:rFonts w:ascii="Times New Roman" w:eastAsia="Times New Roman"/>
        </w:rPr>
      </w:pPr>
      <w:r>
        <w:rPr/>
        <w:t>公司的内部控制遵循以下原则</w:t>
      </w:r>
      <w:r>
        <w:rPr>
          <w:rFonts w:ascii="Times New Roman" w:eastAsia="Times New Roman"/>
        </w:rPr>
        <w:t>:</w:t>
      </w:r>
    </w:p>
    <w:p>
      <w:pPr>
        <w:pStyle w:val="BodyText"/>
        <w:spacing w:before="4"/>
        <w:rPr>
          <w:rFonts w:ascii="Times New Roman"/>
          <w:sz w:val="17"/>
        </w:rPr>
      </w:pPr>
    </w:p>
    <w:p>
      <w:pPr>
        <w:pStyle w:val="ListParagraph"/>
        <w:numPr>
          <w:ilvl w:val="0"/>
          <w:numId w:val="12"/>
        </w:numPr>
        <w:tabs>
          <w:tab w:pos="1187" w:val="left" w:leader="none"/>
        </w:tabs>
        <w:spacing w:line="417" w:lineRule="auto" w:before="0" w:after="0"/>
        <w:ind w:left="658" w:right="1309" w:firstLine="0"/>
        <w:jc w:val="left"/>
        <w:rPr>
          <w:sz w:val="21"/>
        </w:rPr>
      </w:pPr>
      <w:r>
        <w:rPr>
          <w:spacing w:val="-3"/>
          <w:sz w:val="21"/>
        </w:rPr>
        <w:t>健全性原则：内部控制应当包括公司的各项业务、各个部门或机构和各级人员，并涵盖到决策、执行、监督、反馈等各个环节；</w:t>
      </w:r>
    </w:p>
    <w:p>
      <w:pPr>
        <w:pStyle w:val="ListParagraph"/>
        <w:numPr>
          <w:ilvl w:val="0"/>
          <w:numId w:val="12"/>
        </w:numPr>
        <w:tabs>
          <w:tab w:pos="1187" w:val="left" w:leader="none"/>
        </w:tabs>
        <w:spacing w:line="240" w:lineRule="auto" w:before="0" w:after="0"/>
        <w:ind w:left="1187" w:right="0" w:hanging="529"/>
        <w:jc w:val="left"/>
        <w:rPr>
          <w:sz w:val="21"/>
        </w:rPr>
      </w:pPr>
      <w:r>
        <w:rPr>
          <w:spacing w:val="-3"/>
          <w:sz w:val="21"/>
        </w:rPr>
        <w:t>有效性原则：通过科学的内控手段和方法，建立合理的内控程序，维护内控制度的有</w:t>
      </w:r>
    </w:p>
    <w:p>
      <w:pPr>
        <w:spacing w:after="0" w:line="240" w:lineRule="auto"/>
        <w:jc w:val="left"/>
        <w:rPr>
          <w:sz w:val="21"/>
        </w:rPr>
        <w:sectPr>
          <w:pgSz w:w="11910" w:h="16840"/>
          <w:pgMar w:header="852" w:footer="992" w:top="1220" w:bottom="1180" w:left="1140" w:right="480"/>
        </w:sectPr>
      </w:pPr>
    </w:p>
    <w:p>
      <w:pPr>
        <w:pStyle w:val="BodyText"/>
        <w:spacing w:before="1"/>
        <w:rPr>
          <w:sz w:val="19"/>
        </w:rPr>
      </w:pPr>
    </w:p>
    <w:p>
      <w:pPr>
        <w:pStyle w:val="BodyText"/>
        <w:spacing w:before="71"/>
        <w:ind w:left="658"/>
      </w:pPr>
      <w:r>
        <w:rPr/>
        <w:t>效执行；</w:t>
      </w:r>
    </w:p>
    <w:p>
      <w:pPr>
        <w:pStyle w:val="BodyText"/>
        <w:spacing w:before="7"/>
        <w:rPr>
          <w:sz w:val="15"/>
        </w:rPr>
      </w:pPr>
    </w:p>
    <w:p>
      <w:pPr>
        <w:pStyle w:val="ListParagraph"/>
        <w:numPr>
          <w:ilvl w:val="0"/>
          <w:numId w:val="12"/>
        </w:numPr>
        <w:tabs>
          <w:tab w:pos="1187" w:val="left" w:leader="none"/>
        </w:tabs>
        <w:spacing w:line="417" w:lineRule="auto" w:before="0" w:after="0"/>
        <w:ind w:left="658" w:right="1309" w:firstLine="0"/>
        <w:jc w:val="left"/>
        <w:rPr>
          <w:sz w:val="21"/>
        </w:rPr>
      </w:pPr>
      <w:r>
        <w:rPr>
          <w:spacing w:val="-3"/>
          <w:sz w:val="21"/>
        </w:rPr>
        <w:t>独立性原则：公司设立独立的法律、监察稽核部，法律、监察稽核部保持高度的独立性和权威性，负责对公司各部门风险控制工作进行稽核和检查；</w:t>
      </w:r>
    </w:p>
    <w:p>
      <w:pPr>
        <w:pStyle w:val="ListParagraph"/>
        <w:numPr>
          <w:ilvl w:val="0"/>
          <w:numId w:val="12"/>
        </w:numPr>
        <w:tabs>
          <w:tab w:pos="1187" w:val="left" w:leader="none"/>
        </w:tabs>
        <w:spacing w:line="269" w:lineRule="exact" w:before="0" w:after="0"/>
        <w:ind w:left="1187" w:right="0" w:hanging="529"/>
        <w:jc w:val="left"/>
        <w:rPr>
          <w:sz w:val="21"/>
        </w:rPr>
      </w:pPr>
      <w:r>
        <w:rPr>
          <w:spacing w:val="-3"/>
          <w:sz w:val="21"/>
        </w:rPr>
        <w:t>相互制约原则：公司内部部门和岗位的设置应当权责分明、相互制衡；</w:t>
      </w:r>
    </w:p>
    <w:p>
      <w:pPr>
        <w:pStyle w:val="BodyText"/>
        <w:spacing w:before="7"/>
        <w:rPr>
          <w:sz w:val="15"/>
        </w:rPr>
      </w:pPr>
    </w:p>
    <w:p>
      <w:pPr>
        <w:pStyle w:val="ListParagraph"/>
        <w:numPr>
          <w:ilvl w:val="0"/>
          <w:numId w:val="12"/>
        </w:numPr>
        <w:tabs>
          <w:tab w:pos="1187" w:val="left" w:leader="none"/>
        </w:tabs>
        <w:spacing w:line="417" w:lineRule="auto" w:before="0" w:after="0"/>
        <w:ind w:left="658" w:right="1309" w:firstLine="0"/>
        <w:jc w:val="left"/>
        <w:rPr>
          <w:sz w:val="21"/>
        </w:rPr>
      </w:pPr>
      <w:r>
        <w:rPr>
          <w:spacing w:val="-3"/>
          <w:sz w:val="21"/>
        </w:rPr>
        <w:t>成本效益原则：公司运用科学化的经营管理方法降低运作成本，提高经济效益，以合理的控制成本达到最佳的内部控制效果。</w:t>
      </w:r>
    </w:p>
    <w:p>
      <w:pPr>
        <w:pStyle w:val="BodyText"/>
        <w:spacing w:line="269" w:lineRule="exact"/>
        <w:ind w:left="1078"/>
      </w:pPr>
      <w:r>
        <w:rPr/>
        <w:t>公司制订内部控制制度遵循以下原则：</w:t>
      </w:r>
    </w:p>
    <w:p>
      <w:pPr>
        <w:pStyle w:val="BodyText"/>
        <w:spacing w:before="7"/>
        <w:rPr>
          <w:sz w:val="15"/>
        </w:rPr>
      </w:pPr>
    </w:p>
    <w:p>
      <w:pPr>
        <w:pStyle w:val="ListParagraph"/>
        <w:numPr>
          <w:ilvl w:val="0"/>
          <w:numId w:val="13"/>
        </w:numPr>
        <w:tabs>
          <w:tab w:pos="1187" w:val="left" w:leader="none"/>
        </w:tabs>
        <w:spacing w:line="240" w:lineRule="auto" w:before="0" w:after="0"/>
        <w:ind w:left="1187" w:right="0" w:hanging="529"/>
        <w:jc w:val="left"/>
        <w:rPr>
          <w:sz w:val="21"/>
        </w:rPr>
      </w:pPr>
      <w:r>
        <w:rPr>
          <w:spacing w:val="-3"/>
          <w:sz w:val="21"/>
        </w:rPr>
        <w:t>合法合规性原则：公司内控制度应当符合国家法律、法规、规章和各项规定；</w:t>
      </w:r>
    </w:p>
    <w:p>
      <w:pPr>
        <w:pStyle w:val="BodyText"/>
        <w:spacing w:before="7"/>
        <w:rPr>
          <w:sz w:val="15"/>
        </w:rPr>
      </w:pPr>
    </w:p>
    <w:p>
      <w:pPr>
        <w:pStyle w:val="ListParagraph"/>
        <w:numPr>
          <w:ilvl w:val="0"/>
          <w:numId w:val="13"/>
        </w:numPr>
        <w:tabs>
          <w:tab w:pos="1187" w:val="left" w:leader="none"/>
        </w:tabs>
        <w:spacing w:line="240" w:lineRule="auto" w:before="0" w:after="0"/>
        <w:ind w:left="1187" w:right="0" w:hanging="529"/>
        <w:jc w:val="left"/>
        <w:rPr>
          <w:sz w:val="21"/>
        </w:rPr>
      </w:pPr>
      <w:r>
        <w:rPr>
          <w:spacing w:val="-13"/>
          <w:sz w:val="21"/>
        </w:rPr>
        <w:t>全面性原则：内部控制制度涵盖公司管理的各个环节，不得留有制度上的空白或漏洞；</w:t>
      </w:r>
    </w:p>
    <w:p>
      <w:pPr>
        <w:pStyle w:val="BodyText"/>
        <w:spacing w:before="6"/>
        <w:rPr>
          <w:sz w:val="15"/>
        </w:rPr>
      </w:pPr>
    </w:p>
    <w:p>
      <w:pPr>
        <w:pStyle w:val="ListParagraph"/>
        <w:numPr>
          <w:ilvl w:val="0"/>
          <w:numId w:val="13"/>
        </w:numPr>
        <w:tabs>
          <w:tab w:pos="1187" w:val="left" w:leader="none"/>
        </w:tabs>
        <w:spacing w:line="240" w:lineRule="auto" w:before="1" w:after="0"/>
        <w:ind w:left="1187" w:right="0" w:hanging="529"/>
        <w:jc w:val="left"/>
        <w:rPr>
          <w:sz w:val="21"/>
        </w:rPr>
      </w:pPr>
      <w:r>
        <w:rPr>
          <w:spacing w:val="-3"/>
          <w:sz w:val="21"/>
        </w:rPr>
        <w:t>审慎性原则：制定内部控制制度应当以审慎经营、防范和化解风险为出发点；</w:t>
      </w:r>
    </w:p>
    <w:p>
      <w:pPr>
        <w:pStyle w:val="BodyText"/>
        <w:spacing w:before="6"/>
        <w:rPr>
          <w:sz w:val="15"/>
        </w:rPr>
      </w:pPr>
    </w:p>
    <w:p>
      <w:pPr>
        <w:pStyle w:val="ListParagraph"/>
        <w:numPr>
          <w:ilvl w:val="0"/>
          <w:numId w:val="13"/>
        </w:numPr>
        <w:tabs>
          <w:tab w:pos="1187" w:val="left" w:leader="none"/>
        </w:tabs>
        <w:spacing w:line="417" w:lineRule="auto" w:before="0" w:after="0"/>
        <w:ind w:left="658" w:right="1309" w:firstLine="0"/>
        <w:jc w:val="left"/>
        <w:rPr>
          <w:sz w:val="21"/>
        </w:rPr>
      </w:pPr>
      <w:r>
        <w:rPr>
          <w:spacing w:val="-3"/>
          <w:sz w:val="21"/>
        </w:rPr>
        <w:t>适时性原则：内部控制制度的制定应当随着有关法律法规的调整和公司经营战略、经营方针、经营理念等内外部环境的变化进行及时的修改或完善。</w:t>
      </w:r>
    </w:p>
    <w:p>
      <w:pPr>
        <w:pStyle w:val="BodyText"/>
        <w:spacing w:line="269" w:lineRule="exact"/>
        <w:ind w:left="658"/>
      </w:pPr>
      <w:r>
        <w:rPr>
          <w:rFonts w:ascii="Times New Roman" w:eastAsia="Times New Roman"/>
        </w:rPr>
        <w:t>III</w:t>
      </w:r>
      <w:r>
        <w:rPr/>
        <w:t>、内部风险控制措施</w:t>
      </w:r>
    </w:p>
    <w:p>
      <w:pPr>
        <w:pStyle w:val="BodyText"/>
        <w:spacing w:before="7"/>
        <w:rPr>
          <w:sz w:val="15"/>
        </w:rPr>
      </w:pPr>
    </w:p>
    <w:p>
      <w:pPr>
        <w:pStyle w:val="BodyText"/>
        <w:spacing w:line="417" w:lineRule="auto"/>
        <w:ind w:left="658" w:right="1311" w:firstLine="419"/>
        <w:jc w:val="both"/>
      </w:pPr>
      <w:r>
        <w:rPr>
          <w:spacing w:val="-10"/>
        </w:rPr>
        <w:t>建立科学合理、控制严密、运行高效的内部控制体系和完善的内部控制制度。公司成立</w:t>
      </w:r>
      <w:r>
        <w:rPr>
          <w:spacing w:val="-11"/>
        </w:rPr>
        <w:t>以来，根据中国证监会的要求，借鉴外方股东的经验，建立了科学合理的层次分明的内控组织架构、控制程序和控制措施以及控制职责在内的运行高效、严密的内部控制体系。通过不</w:t>
      </w:r>
      <w:r>
        <w:rPr>
          <w:spacing w:val="-6"/>
        </w:rPr>
        <w:t>断地对内部控制制度进行修改，公司已初步形成了较为完善的内部控制制度。</w:t>
      </w:r>
    </w:p>
    <w:p>
      <w:pPr>
        <w:pStyle w:val="BodyText"/>
        <w:spacing w:line="417" w:lineRule="auto"/>
        <w:ind w:left="658" w:right="1311" w:firstLine="419"/>
        <w:jc w:val="both"/>
      </w:pPr>
      <w:r>
        <w:rPr>
          <w:spacing w:val="-7"/>
        </w:rPr>
        <w:t>建立健全了管理制度和业务规章：公司建立了包括风险管理制度、投资管理制度、基金</w:t>
      </w:r>
      <w:r>
        <w:rPr>
          <w:spacing w:val="-12"/>
        </w:rPr>
        <w:t>会计制度、信息披露制度、监察稽核制度、信息技术管理制度、公司财务制度等基本管理制度以及包括岗位设置、岗位职责、操作流程手册在内的业务流程、规章等，从基本管理制度</w:t>
      </w:r>
      <w:r>
        <w:rPr>
          <w:spacing w:val="-6"/>
        </w:rPr>
        <w:t>和业务流程上进行风险控制。</w:t>
      </w:r>
    </w:p>
    <w:p>
      <w:pPr>
        <w:pStyle w:val="BodyText"/>
        <w:spacing w:line="417" w:lineRule="auto"/>
        <w:ind w:left="658" w:right="1311" w:firstLine="419"/>
        <w:jc w:val="both"/>
      </w:pPr>
      <w:r>
        <w:rPr>
          <w:spacing w:val="-10"/>
        </w:rPr>
        <w:t>建立了岗位分离、相互制衡的内控机制：公司在岗位设置上采取了严格的分离制度，实</w:t>
      </w:r>
      <w:r>
        <w:rPr>
          <w:spacing w:val="-11"/>
        </w:rPr>
        <w:t>现了基金投资与交易，交易与清算，公司会计与基金会计等业务岗位的分离制度，形成了不</w:t>
      </w:r>
      <w:r>
        <w:rPr>
          <w:spacing w:val="-6"/>
        </w:rPr>
        <w:t>同岗位之间的相互制衡机制，从岗位设置上减少和防范操作及操守风险。</w:t>
      </w:r>
    </w:p>
    <w:p>
      <w:pPr>
        <w:pStyle w:val="BodyText"/>
        <w:spacing w:line="417" w:lineRule="auto"/>
        <w:ind w:left="658" w:right="1311" w:firstLine="419"/>
      </w:pPr>
      <w:r>
        <w:rPr>
          <w:spacing w:val="-12"/>
        </w:rPr>
        <w:t>建立健全了岗位责任制：公司通过建立健全了岗位责任制使每位员工都能明确自己的岗</w:t>
      </w:r>
      <w:r>
        <w:rPr>
          <w:spacing w:val="-3"/>
        </w:rPr>
        <w:t>位职责和风险管理责任。</w:t>
      </w:r>
    </w:p>
    <w:p>
      <w:pPr>
        <w:pStyle w:val="BodyText"/>
        <w:spacing w:line="417" w:lineRule="auto"/>
        <w:ind w:left="658" w:right="1309" w:firstLine="419"/>
        <w:jc w:val="both"/>
      </w:pPr>
      <w:r>
        <w:rPr>
          <w:spacing w:val="-9"/>
        </w:rPr>
        <w:t>构建风险管理系统：公司通过建立风险评估、预警、报告和控制以及监督程序，并经过</w:t>
      </w:r>
      <w:r>
        <w:rPr>
          <w:spacing w:val="-11"/>
        </w:rPr>
        <w:t>适当的控制流程，定期或实时对风险进行评估、预警、监督，从而确认、评估和预警与公司</w:t>
      </w:r>
      <w:r>
        <w:rPr>
          <w:spacing w:val="-19"/>
        </w:rPr>
        <w:t>管理及基金运作有关的风险，通过顺畅的报告渠道，对风险问题进行层层监督、管理、控制， </w:t>
      </w:r>
      <w:r>
        <w:rPr>
          <w:spacing w:val="-11"/>
        </w:rPr>
        <w:t>使部门和管理层及时把握风险状况并快速做出风险控制决策。建立自动化监督控制系统：公</w:t>
      </w:r>
    </w:p>
    <w:p>
      <w:pPr>
        <w:spacing w:after="0" w:line="417" w:lineRule="auto"/>
        <w:jc w:val="both"/>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9"/>
      </w:pPr>
      <w:r>
        <w:rPr>
          <w:spacing w:val="-7"/>
        </w:rPr>
        <w:t>司启用了电子化投资、交易系统，对投资比例进行限制，在“股票黑名单”、交叉交易以及</w:t>
      </w:r>
      <w:r>
        <w:rPr>
          <w:spacing w:val="-5"/>
        </w:rPr>
        <w:t>防范操守风险等方面进行电子化自动控制，将有效地防止合规性运作风险和操守风险。</w:t>
      </w:r>
    </w:p>
    <w:p>
      <w:pPr>
        <w:pStyle w:val="BodyText"/>
        <w:spacing w:line="417" w:lineRule="auto"/>
        <w:ind w:left="658" w:right="1309" w:firstLine="419"/>
        <w:jc w:val="both"/>
      </w:pPr>
      <w:r>
        <w:rPr>
          <w:spacing w:val="-9"/>
        </w:rPr>
        <w:t>使用数量化的风险管理手段：采用数量化、技术化的风险控制手段，建立数量化的风险</w:t>
      </w:r>
      <w:r>
        <w:rPr>
          <w:spacing w:val="-11"/>
        </w:rPr>
        <w:t>管理模型，用以提示指数趋势、行业及个股的风险，以便公司及时采取有效的措施，对风险</w:t>
      </w:r>
      <w:r>
        <w:rPr>
          <w:spacing w:val="-6"/>
        </w:rPr>
        <w:t>进行分散、规避和控制，尽可能减少损失。</w:t>
      </w:r>
    </w:p>
    <w:p>
      <w:pPr>
        <w:pStyle w:val="BodyText"/>
        <w:spacing w:line="417" w:lineRule="auto"/>
        <w:ind w:left="658" w:right="1311" w:firstLine="419"/>
      </w:pPr>
      <w:r>
        <w:rPr>
          <w:spacing w:val="-10"/>
        </w:rPr>
        <w:t>提供足够的培训：制定了完整的培训计划，为所有员工提供足够和适当的培训，使员工</w:t>
      </w:r>
      <w:r>
        <w:rPr>
          <w:spacing w:val="-5"/>
        </w:rPr>
        <w:t>具有较高的职业水准，从培养职业化专业理财队伍角度控制职业化问题带来的风险。</w:t>
      </w:r>
    </w:p>
    <w:p>
      <w:pPr>
        <w:pStyle w:val="BodyText"/>
        <w:rPr>
          <w:sz w:val="20"/>
        </w:rPr>
      </w:pPr>
    </w:p>
    <w:p>
      <w:pPr>
        <w:pStyle w:val="BodyText"/>
        <w:spacing w:before="6"/>
        <w:rPr>
          <w:sz w:val="16"/>
        </w:rPr>
      </w:pPr>
    </w:p>
    <w:p>
      <w:pPr>
        <w:pStyle w:val="BodyText"/>
        <w:ind w:left="658"/>
      </w:pPr>
      <w:r>
        <w:rPr>
          <w:rFonts w:ascii="Times New Roman" w:eastAsia="Times New Roman"/>
        </w:rPr>
        <w:t>5</w:t>
      </w:r>
      <w:r>
        <w:rPr/>
        <w:t>、基金管理人关于内部合规控制声明书</w:t>
      </w:r>
    </w:p>
    <w:p>
      <w:pPr>
        <w:pStyle w:val="BodyText"/>
        <w:spacing w:before="7"/>
        <w:rPr>
          <w:sz w:val="15"/>
        </w:rPr>
      </w:pPr>
    </w:p>
    <w:p>
      <w:pPr>
        <w:pStyle w:val="BodyText"/>
        <w:ind w:left="1078"/>
      </w:pPr>
      <w:r>
        <w:rPr/>
        <w:t>本公司承诺以上关于内部控制的披露真实、准确；</w:t>
      </w:r>
    </w:p>
    <w:p>
      <w:pPr>
        <w:pStyle w:val="BodyText"/>
        <w:spacing w:before="7"/>
        <w:rPr>
          <w:sz w:val="15"/>
        </w:rPr>
      </w:pPr>
    </w:p>
    <w:p>
      <w:pPr>
        <w:pStyle w:val="BodyText"/>
        <w:ind w:left="1078"/>
      </w:pPr>
      <w:r>
        <w:rPr/>
        <w:t>本公司承诺根据市场变化和公司发展不断完善内部控制体系和内部控制制度。</w:t>
      </w:r>
    </w:p>
    <w:p>
      <w:pPr>
        <w:pStyle w:val="BodyText"/>
        <w:rPr>
          <w:sz w:val="20"/>
        </w:rPr>
      </w:pPr>
    </w:p>
    <w:p>
      <w:pPr>
        <w:pStyle w:val="BodyText"/>
        <w:rPr>
          <w:sz w:val="20"/>
        </w:rPr>
      </w:pPr>
    </w:p>
    <w:p>
      <w:pPr>
        <w:pStyle w:val="BodyText"/>
        <w:rPr>
          <w:sz w:val="20"/>
        </w:rPr>
      </w:pPr>
    </w:p>
    <w:p>
      <w:pPr>
        <w:pStyle w:val="BodyText"/>
        <w:spacing w:before="10"/>
        <w:rPr>
          <w:sz w:val="14"/>
        </w:rPr>
      </w:pPr>
    </w:p>
    <w:p>
      <w:pPr>
        <w:pStyle w:val="Heading1"/>
        <w:ind w:left="1902" w:right="2558"/>
        <w:jc w:val="center"/>
      </w:pPr>
      <w:bookmarkStart w:name="_bookmark3" w:id="4"/>
      <w:bookmarkEnd w:id="4"/>
      <w:r>
        <w:rPr>
          <w:b w:val="0"/>
        </w:rPr>
      </w:r>
      <w:r>
        <w:rPr/>
        <w:t>四、基金托管人</w:t>
      </w:r>
    </w:p>
    <w:p>
      <w:pPr>
        <w:pStyle w:val="BodyText"/>
        <w:rPr>
          <w:b/>
          <w:sz w:val="24"/>
        </w:rPr>
      </w:pPr>
    </w:p>
    <w:p>
      <w:pPr>
        <w:pStyle w:val="BodyText"/>
        <w:spacing w:before="9"/>
        <w:rPr>
          <w:b/>
          <w:sz w:val="26"/>
        </w:rPr>
      </w:pPr>
    </w:p>
    <w:p>
      <w:pPr>
        <w:spacing w:before="0"/>
        <w:ind w:left="1080" w:right="0" w:firstLine="0"/>
        <w:jc w:val="left"/>
        <w:rPr>
          <w:b/>
          <w:sz w:val="21"/>
        </w:rPr>
      </w:pPr>
      <w:bookmarkStart w:name="_bookmark4" w:id="5"/>
      <w:bookmarkEnd w:id="5"/>
      <w:r>
        <w:rPr/>
      </w:r>
      <w:r>
        <w:rPr>
          <w:b/>
          <w:sz w:val="21"/>
        </w:rPr>
        <w:t>（一）基本情况</w:t>
      </w:r>
    </w:p>
    <w:p>
      <w:pPr>
        <w:pStyle w:val="BodyText"/>
        <w:spacing w:before="7"/>
        <w:rPr>
          <w:b/>
          <w:sz w:val="15"/>
        </w:rPr>
      </w:pPr>
    </w:p>
    <w:p>
      <w:pPr>
        <w:pStyle w:val="BodyText"/>
        <w:spacing w:line="417" w:lineRule="auto"/>
        <w:ind w:left="1078" w:right="4371"/>
      </w:pPr>
      <w:r>
        <w:rPr/>
        <w:t>名称：中国银行股份有限公司（简称“中国银行”） 住所及办公地址：北京市西城区复兴门内大街 1 号</w:t>
      </w:r>
    </w:p>
    <w:p>
      <w:pPr>
        <w:pStyle w:val="BodyText"/>
        <w:spacing w:line="269" w:lineRule="exact"/>
        <w:ind w:left="1078"/>
      </w:pPr>
      <w:r>
        <w:rPr/>
        <w:t>首次注册登记日期：1983 年 10 月 31 日</w:t>
      </w:r>
    </w:p>
    <w:p>
      <w:pPr>
        <w:pStyle w:val="BodyText"/>
        <w:spacing w:before="6"/>
        <w:rPr>
          <w:sz w:val="15"/>
        </w:rPr>
      </w:pPr>
    </w:p>
    <w:p>
      <w:pPr>
        <w:pStyle w:val="BodyText"/>
        <w:spacing w:line="417" w:lineRule="auto" w:before="1"/>
        <w:ind w:left="1078" w:right="2269"/>
      </w:pPr>
      <w:r>
        <w:rPr/>
        <w:t>注册资本：人民币贰仟玖佰肆拾叁亿捌仟柒佰柒拾玖万壹仟贰佰肆拾壹元整法定代表人：刘连舸</w:t>
      </w:r>
    </w:p>
    <w:p>
      <w:pPr>
        <w:pStyle w:val="BodyText"/>
        <w:spacing w:line="417" w:lineRule="auto"/>
        <w:ind w:left="1078" w:right="3637"/>
      </w:pPr>
      <w:r>
        <w:rPr/>
        <w:t>基金托管业务批准文号：中国证监会证监基字【1998】24 号托管部门信息披露联系人：许俊</w:t>
      </w:r>
    </w:p>
    <w:p>
      <w:pPr>
        <w:pStyle w:val="BodyText"/>
        <w:spacing w:line="417" w:lineRule="auto"/>
        <w:ind w:left="1078" w:right="6791"/>
      </w:pPr>
      <w:r>
        <w:rPr>
          <w:spacing w:val="-36"/>
          <w:w w:val="100"/>
        </w:rPr>
        <w:t>传真：</w:t>
      </w:r>
      <w:r>
        <w:rPr>
          <w:spacing w:val="-1"/>
          <w:w w:val="100"/>
        </w:rPr>
        <w:t>（</w:t>
      </w:r>
      <w:r>
        <w:rPr>
          <w:w w:val="100"/>
        </w:rPr>
        <w:t>01</w:t>
      </w:r>
      <w:r>
        <w:rPr>
          <w:spacing w:val="-3"/>
          <w:w w:val="100"/>
        </w:rPr>
        <w:t>0</w:t>
      </w:r>
      <w:r>
        <w:rPr>
          <w:w w:val="100"/>
        </w:rPr>
        <w:t>）6</w:t>
      </w:r>
      <w:r>
        <w:rPr>
          <w:spacing w:val="-3"/>
          <w:w w:val="100"/>
        </w:rPr>
        <w:t>6</w:t>
      </w:r>
      <w:r>
        <w:rPr>
          <w:w w:val="100"/>
        </w:rPr>
        <w:t>594</w:t>
      </w:r>
      <w:r>
        <w:rPr>
          <w:spacing w:val="-3"/>
          <w:w w:val="100"/>
        </w:rPr>
        <w:t>9</w:t>
      </w:r>
      <w:r>
        <w:rPr>
          <w:w w:val="100"/>
        </w:rPr>
        <w:t>42  </w:t>
      </w:r>
      <w:r>
        <w:rPr>
          <w:spacing w:val="-4"/>
        </w:rPr>
        <w:t>中国银行客服电话：</w:t>
      </w:r>
      <w:r>
        <w:rPr>
          <w:spacing w:val="-5"/>
        </w:rPr>
        <w:t>95566</w:t>
      </w:r>
    </w:p>
    <w:p>
      <w:pPr>
        <w:spacing w:line="269" w:lineRule="exact" w:before="0"/>
        <w:ind w:left="1080" w:right="0" w:firstLine="0"/>
        <w:jc w:val="left"/>
        <w:rPr>
          <w:b/>
          <w:sz w:val="21"/>
        </w:rPr>
      </w:pPr>
      <w:bookmarkStart w:name="_bookmark5" w:id="6"/>
      <w:bookmarkEnd w:id="6"/>
      <w:r>
        <w:rPr/>
      </w:r>
      <w:r>
        <w:rPr>
          <w:b/>
          <w:sz w:val="21"/>
        </w:rPr>
        <w:t>（二）基金托管部门及主要人员情况</w:t>
      </w:r>
    </w:p>
    <w:p>
      <w:pPr>
        <w:pStyle w:val="BodyText"/>
        <w:spacing w:before="6"/>
        <w:rPr>
          <w:b/>
          <w:sz w:val="15"/>
        </w:rPr>
      </w:pPr>
    </w:p>
    <w:p>
      <w:pPr>
        <w:pStyle w:val="BodyText"/>
        <w:spacing w:line="417" w:lineRule="auto"/>
        <w:ind w:left="658" w:right="1308" w:firstLine="419"/>
        <w:jc w:val="both"/>
      </w:pPr>
      <w:r>
        <w:rPr>
          <w:spacing w:val="-7"/>
        </w:rPr>
        <w:t>中国银行托管业务部设立于 </w:t>
      </w:r>
      <w:r>
        <w:rPr/>
        <w:t>1998</w:t>
      </w:r>
      <w:r>
        <w:rPr>
          <w:spacing w:val="-26"/>
        </w:rPr>
        <w:t> 年，现有员工 </w:t>
      </w:r>
      <w:r>
        <w:rPr/>
        <w:t>110</w:t>
      </w:r>
      <w:r>
        <w:rPr>
          <w:spacing w:val="-14"/>
        </w:rPr>
        <w:t> 余人，大部分员工具有丰富的银行、</w:t>
      </w:r>
      <w:r>
        <w:rPr>
          <w:spacing w:val="-11"/>
        </w:rPr>
        <w:t>证券、基金、信托从业经验，且具有海外工作、学习或培训经历，</w:t>
      </w:r>
      <w:r>
        <w:rPr>
          <w:spacing w:val="-5"/>
        </w:rPr>
        <w:t>60</w:t>
      </w:r>
      <w:r>
        <w:rPr>
          <w:spacing w:val="-3"/>
        </w:rPr>
        <w:t>％以上的员工具有硕士</w:t>
      </w:r>
      <w:r>
        <w:rPr>
          <w:spacing w:val="-8"/>
        </w:rPr>
        <w:t>以上学位或高级职称。为给客户提供专业化的托管服务，中国银行已在境内、外分行开展托</w:t>
      </w:r>
      <w:r>
        <w:rPr>
          <w:spacing w:val="-6"/>
        </w:rPr>
        <w:t>管业务。</w:t>
      </w:r>
    </w:p>
    <w:p>
      <w:pPr>
        <w:spacing w:after="0" w:line="417" w:lineRule="auto"/>
        <w:jc w:val="both"/>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8" w:firstLine="419"/>
        <w:jc w:val="both"/>
      </w:pPr>
      <w:r>
        <w:rPr>
          <w:spacing w:val="-7"/>
        </w:rPr>
        <w:t>作为国内首批开展证券投资基金托管业务的商业银行，中国银行拥有证券投资基金、基</w:t>
      </w:r>
      <w:r>
        <w:rPr>
          <w:spacing w:val="-10"/>
        </w:rPr>
        <w:t>金</w:t>
      </w:r>
      <w:r>
        <w:rPr>
          <w:spacing w:val="-3"/>
        </w:rPr>
        <w:t>（</w:t>
      </w:r>
      <w:r>
        <w:rPr>
          <w:spacing w:val="-4"/>
        </w:rPr>
        <w:t>一对多、一对一</w:t>
      </w:r>
      <w:r>
        <w:rPr>
          <w:spacing w:val="-106"/>
        </w:rPr>
        <w:t>）</w:t>
      </w:r>
      <w:r>
        <w:rPr>
          <w:spacing w:val="-7"/>
        </w:rPr>
        <w:t>、社保基金、保险资金、</w:t>
      </w:r>
      <w:r>
        <w:rPr/>
        <w:t>QFII</w:t>
      </w:r>
      <w:r>
        <w:rPr>
          <w:spacing w:val="-10"/>
        </w:rPr>
        <w:t>、</w:t>
      </w:r>
      <w:r>
        <w:rPr/>
        <w:t>RQFII</w:t>
      </w:r>
      <w:r>
        <w:rPr>
          <w:spacing w:val="-12"/>
        </w:rPr>
        <w:t>、</w:t>
      </w:r>
      <w:r>
        <w:rPr/>
        <w:t>QDII</w:t>
      </w:r>
      <w:r>
        <w:rPr>
          <w:spacing w:val="-6"/>
        </w:rPr>
        <w:t>、境外三类机构、券商资</w:t>
      </w:r>
      <w:r>
        <w:rPr>
          <w:spacing w:val="-11"/>
        </w:rPr>
        <w:t>产管理计划、信托计划、企业年金、银行理财产品、股权基金、私募基金、资金托管等门类齐全、产品丰富的托管业务体系。在国内，中国银行首家开展绩效评估、风险分析等增值服</w:t>
      </w:r>
      <w:r>
        <w:rPr>
          <w:spacing w:val="-6"/>
        </w:rPr>
        <w:t>务，为各类客户提供个性化的托管增值服务，是国内领先的大型中资托管银行。</w:t>
      </w:r>
    </w:p>
    <w:p>
      <w:pPr>
        <w:spacing w:line="268" w:lineRule="exact" w:before="0"/>
        <w:ind w:left="1078" w:right="0" w:firstLine="0"/>
        <w:jc w:val="left"/>
        <w:rPr>
          <w:b/>
          <w:sz w:val="21"/>
        </w:rPr>
      </w:pPr>
      <w:r>
        <w:rPr>
          <w:b/>
          <w:sz w:val="21"/>
        </w:rPr>
        <w:t>（三）证券投资基金托管情况</w:t>
      </w:r>
    </w:p>
    <w:p>
      <w:pPr>
        <w:pStyle w:val="BodyText"/>
        <w:spacing w:before="7"/>
        <w:rPr>
          <w:b/>
          <w:sz w:val="15"/>
        </w:rPr>
      </w:pPr>
    </w:p>
    <w:p>
      <w:pPr>
        <w:pStyle w:val="BodyText"/>
        <w:spacing w:line="417" w:lineRule="auto"/>
        <w:ind w:left="658" w:right="1203" w:firstLine="419"/>
      </w:pPr>
      <w:r>
        <w:rPr>
          <w:spacing w:val="-17"/>
        </w:rPr>
        <w:t>截至 </w:t>
      </w:r>
      <w:r>
        <w:rPr/>
        <w:t>2019</w:t>
      </w:r>
      <w:r>
        <w:rPr>
          <w:spacing w:val="-33"/>
        </w:rPr>
        <w:t> 年 </w:t>
      </w:r>
      <w:r>
        <w:rPr/>
        <w:t>9</w:t>
      </w:r>
      <w:r>
        <w:rPr>
          <w:spacing w:val="-33"/>
        </w:rPr>
        <w:t> 月 </w:t>
      </w:r>
      <w:r>
        <w:rPr/>
        <w:t>30</w:t>
      </w:r>
      <w:r>
        <w:rPr>
          <w:spacing w:val="-13"/>
        </w:rPr>
        <w:t> 日，中国银行已托管 </w:t>
      </w:r>
      <w:r>
        <w:rPr/>
        <w:t>721</w:t>
      </w:r>
      <w:r>
        <w:rPr>
          <w:spacing w:val="-12"/>
        </w:rPr>
        <w:t> 只证券投资基金，其中境内基金 </w:t>
      </w:r>
      <w:r>
        <w:rPr/>
        <w:t>681</w:t>
      </w:r>
      <w:r>
        <w:rPr>
          <w:spacing w:val="-17"/>
        </w:rPr>
        <w:t> 只， QDII</w:t>
      </w:r>
      <w:r>
        <w:rPr>
          <w:spacing w:val="-23"/>
        </w:rPr>
        <w:t> 基金 </w:t>
      </w:r>
      <w:r>
        <w:rPr/>
        <w:t>40</w:t>
      </w:r>
      <w:r>
        <w:rPr>
          <w:spacing w:val="-8"/>
        </w:rPr>
        <w:t> 只，覆盖了股票型、债券型、混合型、货币型、指数型、</w:t>
      </w:r>
      <w:r>
        <w:rPr/>
        <w:t>FOF</w:t>
      </w:r>
      <w:r>
        <w:rPr>
          <w:spacing w:val="-7"/>
        </w:rPr>
        <w:t> 等多种类型的基</w:t>
      </w:r>
      <w:r>
        <w:rPr>
          <w:spacing w:val="-5"/>
        </w:rPr>
        <w:t>金，满足了不同客户多元化的投资理财需求，基金托管规模位居同业前列。</w:t>
      </w:r>
    </w:p>
    <w:p>
      <w:pPr>
        <w:spacing w:before="0"/>
        <w:ind w:left="1080" w:right="0" w:firstLine="0"/>
        <w:jc w:val="left"/>
        <w:rPr>
          <w:b/>
          <w:sz w:val="21"/>
        </w:rPr>
      </w:pPr>
      <w:bookmarkStart w:name="_bookmark6" w:id="7"/>
      <w:bookmarkEnd w:id="7"/>
      <w:r>
        <w:rPr/>
      </w:r>
      <w:r>
        <w:rPr>
          <w:b/>
          <w:sz w:val="21"/>
        </w:rPr>
        <w:t>（四）托管业务的内部控制制度</w:t>
      </w:r>
    </w:p>
    <w:p>
      <w:pPr>
        <w:pStyle w:val="BodyText"/>
        <w:spacing w:before="7"/>
        <w:rPr>
          <w:b/>
          <w:sz w:val="15"/>
        </w:rPr>
      </w:pPr>
    </w:p>
    <w:p>
      <w:pPr>
        <w:pStyle w:val="BodyText"/>
        <w:spacing w:line="417" w:lineRule="auto"/>
        <w:ind w:left="658" w:right="1308" w:firstLine="419"/>
        <w:jc w:val="both"/>
      </w:pPr>
      <w:r>
        <w:rPr>
          <w:spacing w:val="-6"/>
        </w:rPr>
        <w:t>中国银行托管业务部风险管理与控制工作是中国银行全面风险控制工作的组成部分，秉</w:t>
      </w:r>
      <w:r>
        <w:rPr>
          <w:spacing w:val="-10"/>
        </w:rPr>
        <w:t>承中国银行风险控制理念，坚持“规范运作、稳健经营”的原则。中国银行托管业务部风险控制工作贯穿业务各环节，通过风险识别与评估、风险控制措施设定及制度建设、内外部检</w:t>
      </w:r>
      <w:r>
        <w:rPr>
          <w:spacing w:val="-5"/>
        </w:rPr>
        <w:t>查及审计等措施强化托管业务全员、全面、全程的风险管控。</w:t>
      </w:r>
    </w:p>
    <w:p>
      <w:pPr>
        <w:pStyle w:val="BodyText"/>
        <w:spacing w:line="417" w:lineRule="auto"/>
        <w:ind w:left="658" w:right="1203" w:firstLine="419"/>
      </w:pPr>
      <w:r>
        <w:rPr/>
        <w:t>2007</w:t>
      </w:r>
      <w:r>
        <w:rPr>
          <w:spacing w:val="-9"/>
        </w:rPr>
        <w:t> 年起，中国银行连续聘请外部会计会计师事务所开展托管业务内部控制审阅工作。</w:t>
      </w:r>
      <w:r>
        <w:rPr>
          <w:spacing w:val="-7"/>
          <w:w w:val="100"/>
        </w:rPr>
        <w:t>先后获得基于</w:t>
      </w:r>
      <w:r>
        <w:rPr>
          <w:spacing w:val="-7"/>
        </w:rPr>
        <w:t> </w:t>
      </w:r>
      <w:r>
        <w:rPr>
          <w:w w:val="100"/>
        </w:rPr>
        <w:t>“S</w:t>
      </w:r>
      <w:r>
        <w:rPr>
          <w:spacing w:val="-3"/>
          <w:w w:val="100"/>
        </w:rPr>
        <w:t>A</w:t>
      </w:r>
      <w:r>
        <w:rPr>
          <w:w w:val="100"/>
        </w:rPr>
        <w:t>S70</w:t>
      </w:r>
      <w:r>
        <w:rPr>
          <w:spacing w:val="-72"/>
          <w:w w:val="100"/>
        </w:rPr>
        <w:t>”、“</w:t>
      </w:r>
      <w:r>
        <w:rPr>
          <w:w w:val="100"/>
        </w:rPr>
        <w:t>AAF0</w:t>
      </w:r>
      <w:r>
        <w:rPr>
          <w:spacing w:val="-3"/>
          <w:w w:val="100"/>
        </w:rPr>
        <w:t>1</w:t>
      </w:r>
      <w:r>
        <w:rPr>
          <w:w w:val="100"/>
        </w:rPr>
        <w:t>/0</w:t>
      </w:r>
      <w:r>
        <w:rPr>
          <w:spacing w:val="-1"/>
          <w:w w:val="100"/>
        </w:rPr>
        <w:t>6</w:t>
      </w:r>
      <w:r>
        <w:rPr>
          <w:w w:val="100"/>
        </w:rPr>
        <w:t>”</w:t>
      </w:r>
      <w:r>
        <w:rPr/>
        <w:t> </w:t>
      </w:r>
      <w:r>
        <w:rPr>
          <w:w w:val="100"/>
        </w:rPr>
        <w:t>“IS</w:t>
      </w:r>
      <w:r>
        <w:rPr>
          <w:spacing w:val="-3"/>
          <w:w w:val="100"/>
        </w:rPr>
        <w:t>A</w:t>
      </w:r>
      <w:r>
        <w:rPr>
          <w:w w:val="100"/>
        </w:rPr>
        <w:t>E340</w:t>
      </w:r>
      <w:r>
        <w:rPr>
          <w:spacing w:val="-3"/>
          <w:w w:val="100"/>
        </w:rPr>
        <w:t>2</w:t>
      </w:r>
      <w:r>
        <w:rPr>
          <w:w w:val="100"/>
        </w:rPr>
        <w:t>”和“S</w:t>
      </w:r>
      <w:r>
        <w:rPr>
          <w:spacing w:val="-3"/>
          <w:w w:val="100"/>
        </w:rPr>
        <w:t>S</w:t>
      </w:r>
      <w:r>
        <w:rPr>
          <w:w w:val="100"/>
        </w:rPr>
        <w:t>AE1</w:t>
      </w:r>
      <w:r>
        <w:rPr>
          <w:spacing w:val="-1"/>
          <w:w w:val="100"/>
        </w:rPr>
        <w:t>6</w:t>
      </w:r>
      <w:r>
        <w:rPr>
          <w:spacing w:val="-3"/>
          <w:w w:val="100"/>
        </w:rPr>
        <w:t>”等国际主流内控审阅准</w:t>
      </w:r>
      <w:r>
        <w:rPr>
          <w:spacing w:val="-5"/>
        </w:rPr>
        <w:t>则的无保留意见的审阅报告。</w:t>
      </w:r>
      <w:r>
        <w:rPr/>
        <w:t>2017</w:t>
      </w:r>
      <w:r>
        <w:rPr>
          <w:spacing w:val="-12"/>
        </w:rPr>
        <w:t> 年，中国银行继续获得了基于“</w:t>
      </w:r>
      <w:r>
        <w:rPr>
          <w:spacing w:val="-4"/>
        </w:rPr>
        <w:t>ISAE3402</w:t>
      </w:r>
      <w:r>
        <w:rPr>
          <w:spacing w:val="-17"/>
        </w:rPr>
        <w:t>”和</w:t>
      </w:r>
      <w:r>
        <w:rPr/>
        <w:t>“SSAE16” </w:t>
      </w:r>
      <w:r>
        <w:rPr>
          <w:spacing w:val="-8"/>
        </w:rPr>
        <w:t>双准则的内部控制审计报告。中国银行托管业务内控制度完善，内控措施严密，能够有效保</w:t>
      </w:r>
      <w:r>
        <w:rPr>
          <w:spacing w:val="-5"/>
        </w:rPr>
        <w:t>证托管资产的安全。</w:t>
      </w:r>
    </w:p>
    <w:p>
      <w:pPr>
        <w:spacing w:line="268" w:lineRule="exact" w:before="0"/>
        <w:ind w:left="1078" w:right="0" w:firstLine="0"/>
        <w:jc w:val="left"/>
        <w:rPr>
          <w:b/>
          <w:sz w:val="21"/>
        </w:rPr>
      </w:pPr>
      <w:bookmarkStart w:name="_bookmark7" w:id="8"/>
      <w:bookmarkEnd w:id="8"/>
      <w:r>
        <w:rPr/>
      </w:r>
      <w:r>
        <w:rPr>
          <w:b/>
          <w:sz w:val="21"/>
        </w:rPr>
        <w:t>（五）托管人对管理人运作基金进行监督的方法和程序</w:t>
      </w:r>
    </w:p>
    <w:p>
      <w:pPr>
        <w:pStyle w:val="BodyText"/>
        <w:spacing w:before="6"/>
        <w:rPr>
          <w:b/>
          <w:sz w:val="15"/>
        </w:rPr>
      </w:pPr>
    </w:p>
    <w:p>
      <w:pPr>
        <w:pStyle w:val="BodyText"/>
        <w:spacing w:line="417" w:lineRule="auto"/>
        <w:ind w:left="658" w:right="1308" w:firstLine="419"/>
        <w:jc w:val="both"/>
      </w:pPr>
      <w:r>
        <w:rPr>
          <w:spacing w:val="-13"/>
        </w:rPr>
        <w:t>根据《中华人民共和国证券投资基金法》</w:t>
      </w:r>
      <w:r>
        <w:rPr>
          <w:spacing w:val="-15"/>
        </w:rPr>
        <w:t>、《公开募集证券投资基金运作管理办法》的相</w:t>
      </w:r>
      <w:r>
        <w:rPr>
          <w:spacing w:val="-12"/>
        </w:rPr>
        <w:t>关规定，基金托管人发现基金管理人的投资指令违反法律、行政法规和其他有关规定，或者违反基金合同约定的，应当拒绝执行，及时通知基金管理人，并及时向国务院证券监督管理</w:t>
      </w:r>
      <w:r>
        <w:rPr>
          <w:spacing w:val="-11"/>
        </w:rPr>
        <w:t>机构报告。基金托管人如发现基金管理人依据交易程序已经生效的投资指令违反法律、行政</w:t>
      </w:r>
      <w:r>
        <w:rPr>
          <w:spacing w:val="-6"/>
        </w:rPr>
        <w:t>法规和其他有关规定，或者违反基金合同约定的,应当及时通知基金管理人，并及时向国务</w:t>
      </w:r>
      <w:r>
        <w:rPr>
          <w:spacing w:val="-4"/>
        </w:rPr>
        <w:t>院证券监督管理机构报告。</w:t>
      </w:r>
    </w:p>
    <w:p>
      <w:pPr>
        <w:spacing w:after="0" w:line="417" w:lineRule="auto"/>
        <w:jc w:val="both"/>
        <w:sectPr>
          <w:pgSz w:w="11910" w:h="16840"/>
          <w:pgMar w:header="852" w:footer="992" w:top="1220" w:bottom="1180" w:left="1140" w:right="480"/>
        </w:sectPr>
      </w:pPr>
    </w:p>
    <w:p>
      <w:pPr>
        <w:pStyle w:val="BodyText"/>
        <w:spacing w:before="4"/>
        <w:rPr>
          <w:rFonts w:ascii="Times New Roman"/>
          <w:sz w:val="17"/>
        </w:rPr>
      </w:pPr>
    </w:p>
    <w:p>
      <w:pPr>
        <w:spacing w:after="0"/>
        <w:rPr>
          <w:rFonts w:ascii="Times New Roman"/>
          <w:sz w:val="17"/>
        </w:rPr>
        <w:sectPr>
          <w:pgSz w:w="11910" w:h="16840"/>
          <w:pgMar w:header="852" w:footer="992" w:top="1220" w:bottom="1180" w:left="1140" w:right="480"/>
        </w:sectPr>
      </w:pPr>
    </w:p>
    <w:p>
      <w:pPr>
        <w:pStyle w:val="BodyText"/>
        <w:spacing w:before="10"/>
        <w:rPr>
          <w:rFonts w:ascii="Times New Roman"/>
          <w:sz w:val="19"/>
        </w:rPr>
      </w:pPr>
    </w:p>
    <w:p>
      <w:pPr>
        <w:pStyle w:val="Heading1"/>
        <w:spacing w:before="67"/>
        <w:ind w:left="1902" w:right="2558"/>
        <w:jc w:val="center"/>
      </w:pPr>
      <w:bookmarkStart w:name="_bookmark8" w:id="9"/>
      <w:bookmarkEnd w:id="9"/>
      <w:r>
        <w:rPr>
          <w:b w:val="0"/>
        </w:rPr>
      </w:r>
      <w:r>
        <w:rPr/>
        <w:t>五、相关服务机构</w:t>
      </w:r>
    </w:p>
    <w:p>
      <w:pPr>
        <w:pStyle w:val="BodyText"/>
        <w:rPr>
          <w:b/>
          <w:sz w:val="20"/>
        </w:rPr>
      </w:pPr>
    </w:p>
    <w:p>
      <w:pPr>
        <w:pStyle w:val="BodyText"/>
        <w:rPr>
          <w:b/>
          <w:sz w:val="25"/>
        </w:rPr>
      </w:pPr>
    </w:p>
    <w:p>
      <w:pPr>
        <w:spacing w:line="417" w:lineRule="auto" w:before="72"/>
        <w:ind w:left="1138" w:right="7305" w:hanging="480"/>
        <w:jc w:val="left"/>
        <w:rPr>
          <w:sz w:val="21"/>
        </w:rPr>
      </w:pPr>
      <w:r>
        <w:rPr>
          <w:b/>
          <w:sz w:val="21"/>
        </w:rPr>
        <w:t>（一）基金份额发售机构</w:t>
      </w:r>
      <w:r>
        <w:rPr>
          <w:sz w:val="21"/>
        </w:rPr>
        <w:t>1、直销中心</w:t>
      </w:r>
    </w:p>
    <w:p>
      <w:pPr>
        <w:pStyle w:val="BodyText"/>
        <w:spacing w:line="269" w:lineRule="exact"/>
        <w:ind w:left="1138"/>
      </w:pPr>
      <w:r>
        <w:rPr/>
        <w:t>名称：景顺长城基金管理有限公司</w:t>
      </w:r>
    </w:p>
    <w:p>
      <w:pPr>
        <w:pStyle w:val="BodyText"/>
        <w:spacing w:before="7"/>
        <w:rPr>
          <w:sz w:val="15"/>
        </w:rPr>
      </w:pPr>
    </w:p>
    <w:p>
      <w:pPr>
        <w:pStyle w:val="BodyText"/>
        <w:spacing w:line="417" w:lineRule="auto"/>
        <w:ind w:left="1138" w:right="3155"/>
      </w:pPr>
      <w:r>
        <w:rPr>
          <w:spacing w:val="-6"/>
        </w:rPr>
        <w:t>注册地址：深圳市福田区中心四路 </w:t>
      </w:r>
      <w:r>
        <w:rPr/>
        <w:t>1</w:t>
      </w:r>
      <w:r>
        <w:rPr>
          <w:spacing w:val="-13"/>
        </w:rPr>
        <w:t> 号嘉里建设广场第 </w:t>
      </w:r>
      <w:r>
        <w:rPr/>
        <w:t>1</w:t>
      </w:r>
      <w:r>
        <w:rPr>
          <w:spacing w:val="-33"/>
        </w:rPr>
        <w:t> 座 </w:t>
      </w:r>
      <w:r>
        <w:rPr/>
        <w:t>21</w:t>
      </w:r>
      <w:r>
        <w:rPr>
          <w:spacing w:val="-25"/>
        </w:rPr>
        <w:t> 层</w:t>
      </w:r>
      <w:r>
        <w:rPr>
          <w:spacing w:val="-9"/>
        </w:rPr>
        <w:t>法定代表人：李进</w:t>
      </w:r>
    </w:p>
    <w:p>
      <w:pPr>
        <w:pStyle w:val="BodyText"/>
        <w:spacing w:line="417" w:lineRule="auto"/>
        <w:ind w:left="1138" w:right="6625"/>
      </w:pPr>
      <w:r>
        <w:rPr/>
        <w:t>电话：0755-82370388-1663 传真：0755-22381325</w:t>
      </w:r>
    </w:p>
    <w:p>
      <w:pPr>
        <w:pStyle w:val="BodyText"/>
        <w:spacing w:line="269" w:lineRule="exact"/>
        <w:ind w:left="1138"/>
      </w:pPr>
      <w:r>
        <w:rPr/>
        <w:t>联系人：周婷</w:t>
      </w:r>
    </w:p>
    <w:p>
      <w:pPr>
        <w:pStyle w:val="BodyText"/>
        <w:spacing w:before="7"/>
        <w:rPr>
          <w:sz w:val="15"/>
        </w:rPr>
      </w:pPr>
    </w:p>
    <w:p>
      <w:pPr>
        <w:pStyle w:val="BodyText"/>
        <w:ind w:left="1138"/>
      </w:pPr>
      <w:r>
        <w:rPr/>
        <w:t>客户服务电话：0755-82370688、4008888606</w:t>
      </w:r>
    </w:p>
    <w:p>
      <w:pPr>
        <w:pStyle w:val="BodyText"/>
        <w:spacing w:before="6"/>
        <w:rPr>
          <w:sz w:val="15"/>
        </w:rPr>
      </w:pPr>
    </w:p>
    <w:p>
      <w:pPr>
        <w:pStyle w:val="BodyText"/>
        <w:tabs>
          <w:tab w:pos="1663" w:val="left" w:leader="none"/>
        </w:tabs>
        <w:spacing w:before="1"/>
        <w:ind w:left="1138"/>
      </w:pPr>
      <w:r>
        <w:rPr/>
        <w:t>网</w:t>
        <w:tab/>
        <w:t>址：</w:t>
      </w:r>
      <w:hyperlink r:id="rId7">
        <w:r>
          <w:rPr>
            <w:u w:val="single"/>
          </w:rPr>
          <w:t>www.igwfmc.com</w:t>
        </w:r>
      </w:hyperlink>
    </w:p>
    <w:p>
      <w:pPr>
        <w:pStyle w:val="BodyText"/>
        <w:spacing w:before="12"/>
        <w:rPr>
          <w:sz w:val="9"/>
        </w:rPr>
      </w:pPr>
    </w:p>
    <w:p>
      <w:pPr>
        <w:pStyle w:val="BodyText"/>
        <w:spacing w:before="71"/>
        <w:ind w:left="1138"/>
      </w:pPr>
      <w:r>
        <w:rPr/>
        <w:t>注：直销中心包括本公司直销柜台及直销网上交易系统/电子交易直销前置式自助前台</w:t>
      </w:r>
    </w:p>
    <w:p>
      <w:pPr>
        <w:pStyle w:val="BodyText"/>
        <w:spacing w:before="7"/>
        <w:rPr>
          <w:sz w:val="15"/>
        </w:rPr>
      </w:pPr>
    </w:p>
    <w:p>
      <w:pPr>
        <w:pStyle w:val="BodyText"/>
        <w:spacing w:line="331" w:lineRule="auto" w:after="35"/>
        <w:ind w:left="1138" w:right="6672" w:hanging="480"/>
      </w:pPr>
      <w:r>
        <w:rPr/>
        <w:t>（具体以本公司官网列示为准） 2、代销机构：</w:t>
      </w: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623" w:hRule="atLeast"/>
        </w:trPr>
        <w:tc>
          <w:tcPr>
            <w:tcW w:w="470" w:type="dxa"/>
          </w:tcPr>
          <w:p>
            <w:pPr>
              <w:pStyle w:val="TableParagraph"/>
              <w:spacing w:before="15"/>
              <w:ind w:left="124"/>
              <w:rPr>
                <w:b/>
                <w:sz w:val="22"/>
              </w:rPr>
            </w:pPr>
            <w:r>
              <w:rPr>
                <w:b/>
                <w:w w:val="99"/>
                <w:sz w:val="22"/>
              </w:rPr>
              <w:t>序</w:t>
            </w:r>
          </w:p>
          <w:p>
            <w:pPr>
              <w:pStyle w:val="TableParagraph"/>
              <w:spacing w:line="277" w:lineRule="exact" w:before="30"/>
              <w:ind w:left="124"/>
              <w:rPr>
                <w:b/>
                <w:sz w:val="22"/>
              </w:rPr>
            </w:pPr>
            <w:r>
              <w:rPr>
                <w:b/>
                <w:w w:val="99"/>
                <w:sz w:val="22"/>
              </w:rPr>
              <w:t>号</w:t>
            </w:r>
          </w:p>
        </w:tc>
        <w:tc>
          <w:tcPr>
            <w:tcW w:w="2484" w:type="dxa"/>
          </w:tcPr>
          <w:p>
            <w:pPr>
              <w:pStyle w:val="TableParagraph"/>
              <w:spacing w:before="171"/>
              <w:ind w:left="116" w:right="113"/>
              <w:jc w:val="center"/>
              <w:rPr>
                <w:b/>
                <w:sz w:val="22"/>
              </w:rPr>
            </w:pPr>
            <w:r>
              <w:rPr>
                <w:b/>
                <w:sz w:val="22"/>
              </w:rPr>
              <w:t>销售机构全称</w:t>
            </w:r>
          </w:p>
        </w:tc>
        <w:tc>
          <w:tcPr>
            <w:tcW w:w="5480" w:type="dxa"/>
          </w:tcPr>
          <w:p>
            <w:pPr>
              <w:pStyle w:val="TableParagraph"/>
              <w:spacing w:before="171"/>
              <w:ind w:left="2056" w:right="2047"/>
              <w:jc w:val="center"/>
              <w:rPr>
                <w:b/>
                <w:sz w:val="22"/>
              </w:rPr>
            </w:pPr>
            <w:r>
              <w:rPr>
                <w:b/>
                <w:sz w:val="22"/>
              </w:rPr>
              <w:t>销售机构信息</w:t>
            </w:r>
          </w:p>
        </w:tc>
      </w:tr>
      <w:tr>
        <w:trPr>
          <w:trHeight w:val="1250" w:hRule="atLeast"/>
        </w:trPr>
        <w:tc>
          <w:tcPr>
            <w:tcW w:w="470" w:type="dxa"/>
          </w:tcPr>
          <w:p>
            <w:pPr>
              <w:pStyle w:val="TableParagraph"/>
              <w:rPr>
                <w:sz w:val="24"/>
              </w:rPr>
            </w:pPr>
          </w:p>
          <w:p>
            <w:pPr>
              <w:pStyle w:val="TableParagraph"/>
              <w:spacing w:before="196"/>
              <w:ind w:left="7"/>
              <w:jc w:val="center"/>
              <w:rPr>
                <w:rFonts w:ascii="Arial"/>
                <w:sz w:val="21"/>
              </w:rPr>
            </w:pPr>
            <w:r>
              <w:rPr>
                <w:rFonts w:ascii="Arial"/>
                <w:w w:val="100"/>
                <w:sz w:val="21"/>
              </w:rPr>
              <w:t>1</w:t>
            </w:r>
          </w:p>
        </w:tc>
        <w:tc>
          <w:tcPr>
            <w:tcW w:w="2484" w:type="dxa"/>
          </w:tcPr>
          <w:p>
            <w:pPr>
              <w:pStyle w:val="TableParagraph"/>
              <w:rPr>
                <w:sz w:val="22"/>
              </w:rPr>
            </w:pPr>
          </w:p>
          <w:p>
            <w:pPr>
              <w:pStyle w:val="TableParagraph"/>
              <w:spacing w:before="11"/>
              <w:rPr>
                <w:sz w:val="15"/>
              </w:rPr>
            </w:pPr>
          </w:p>
          <w:p>
            <w:pPr>
              <w:pStyle w:val="TableParagraph"/>
              <w:ind w:left="120" w:right="113"/>
              <w:jc w:val="center"/>
              <w:rPr>
                <w:sz w:val="22"/>
              </w:rPr>
            </w:pPr>
            <w:r>
              <w:rPr>
                <w:sz w:val="22"/>
              </w:rPr>
              <w:t>中国银行股份有限公司</w:t>
            </w:r>
          </w:p>
        </w:tc>
        <w:tc>
          <w:tcPr>
            <w:tcW w:w="5480" w:type="dxa"/>
          </w:tcPr>
          <w:p>
            <w:pPr>
              <w:pStyle w:val="TableParagraph"/>
              <w:spacing w:line="266" w:lineRule="auto" w:before="17"/>
              <w:ind w:left="108" w:right="216"/>
              <w:rPr>
                <w:sz w:val="22"/>
              </w:rPr>
            </w:pPr>
            <w:r>
              <w:rPr>
                <w:sz w:val="22"/>
              </w:rPr>
              <w:t>注册（办公）地址：北京市西城区复兴门内大街 </w:t>
            </w:r>
            <w:r>
              <w:rPr>
                <w:rFonts w:ascii="Arial" w:eastAsia="Arial"/>
                <w:sz w:val="22"/>
              </w:rPr>
              <w:t>1 </w:t>
            </w:r>
            <w:r>
              <w:rPr>
                <w:sz w:val="22"/>
              </w:rPr>
              <w:t>号联系人：宋亚平</w:t>
            </w:r>
          </w:p>
          <w:p>
            <w:pPr>
              <w:pStyle w:val="TableParagraph"/>
              <w:spacing w:line="280" w:lineRule="exact"/>
              <w:ind w:left="108"/>
              <w:rPr>
                <w:sz w:val="22"/>
              </w:rPr>
            </w:pPr>
            <w:r>
              <w:rPr>
                <w:sz w:val="22"/>
              </w:rPr>
              <w:t>客户服务电话：</w:t>
            </w:r>
            <w:r>
              <w:rPr>
                <w:rFonts w:ascii="Arial" w:eastAsia="Arial"/>
                <w:sz w:val="22"/>
              </w:rPr>
              <w:t>95566</w:t>
            </w:r>
            <w:r>
              <w:rPr>
                <w:sz w:val="22"/>
              </w:rPr>
              <w:t>（全国）</w:t>
            </w:r>
          </w:p>
          <w:p>
            <w:pPr>
              <w:pStyle w:val="TableParagraph"/>
              <w:spacing w:line="277" w:lineRule="exact" w:before="30"/>
              <w:ind w:left="108"/>
              <w:rPr>
                <w:rFonts w:ascii="Arial" w:eastAsia="Arial"/>
                <w:sz w:val="22"/>
              </w:rPr>
            </w:pPr>
            <w:r>
              <w:rPr>
                <w:sz w:val="22"/>
              </w:rPr>
              <w:t>网址：</w:t>
            </w:r>
            <w:hyperlink r:id="rId8">
              <w:r>
                <w:rPr>
                  <w:rFonts w:ascii="Arial" w:eastAsia="Arial"/>
                  <w:sz w:val="22"/>
                </w:rPr>
                <w:t>www.boc.cn</w:t>
              </w:r>
            </w:hyperlink>
          </w:p>
        </w:tc>
      </w:tr>
      <w:tr>
        <w:trPr>
          <w:trHeight w:val="2184" w:hRule="atLeast"/>
        </w:trPr>
        <w:tc>
          <w:tcPr>
            <w:tcW w:w="470" w:type="dxa"/>
          </w:tcPr>
          <w:p>
            <w:pPr>
              <w:pStyle w:val="TableParagraph"/>
              <w:rPr>
                <w:sz w:val="24"/>
              </w:rPr>
            </w:pPr>
          </w:p>
          <w:p>
            <w:pPr>
              <w:pStyle w:val="TableParagraph"/>
              <w:rPr>
                <w:sz w:val="24"/>
              </w:rPr>
            </w:pPr>
          </w:p>
          <w:p>
            <w:pPr>
              <w:pStyle w:val="TableParagraph"/>
              <w:spacing w:before="8"/>
              <w:rPr>
                <w:sz w:val="27"/>
              </w:rPr>
            </w:pPr>
          </w:p>
          <w:p>
            <w:pPr>
              <w:pStyle w:val="TableParagraph"/>
              <w:spacing w:before="1"/>
              <w:ind w:left="7"/>
              <w:jc w:val="center"/>
              <w:rPr>
                <w:rFonts w:ascii="Arial"/>
                <w:sz w:val="21"/>
              </w:rPr>
            </w:pPr>
            <w:r>
              <w:rPr>
                <w:rFonts w:ascii="Arial"/>
                <w:w w:val="100"/>
                <w:sz w:val="21"/>
              </w:rPr>
              <w:t>2</w:t>
            </w:r>
          </w:p>
        </w:tc>
        <w:tc>
          <w:tcPr>
            <w:tcW w:w="2484" w:type="dxa"/>
          </w:tcPr>
          <w:p>
            <w:pPr>
              <w:pStyle w:val="TableParagraph"/>
              <w:rPr>
                <w:sz w:val="22"/>
              </w:rPr>
            </w:pPr>
          </w:p>
          <w:p>
            <w:pPr>
              <w:pStyle w:val="TableParagraph"/>
              <w:rPr>
                <w:sz w:val="22"/>
              </w:rPr>
            </w:pPr>
          </w:p>
          <w:p>
            <w:pPr>
              <w:pStyle w:val="TableParagraph"/>
              <w:rPr>
                <w:sz w:val="18"/>
              </w:rPr>
            </w:pPr>
          </w:p>
          <w:p>
            <w:pPr>
              <w:pStyle w:val="TableParagraph"/>
              <w:spacing w:line="266" w:lineRule="auto"/>
              <w:ind w:left="1020" w:right="129" w:hanging="881"/>
              <w:rPr>
                <w:sz w:val="22"/>
              </w:rPr>
            </w:pPr>
            <w:r>
              <w:rPr>
                <w:sz w:val="22"/>
              </w:rPr>
              <w:t>中国农业银行股份有限公司</w:t>
            </w:r>
          </w:p>
        </w:tc>
        <w:tc>
          <w:tcPr>
            <w:tcW w:w="5480" w:type="dxa"/>
          </w:tcPr>
          <w:p>
            <w:pPr>
              <w:pStyle w:val="TableParagraph"/>
              <w:spacing w:line="266" w:lineRule="auto" w:before="15"/>
              <w:ind w:left="108" w:right="94"/>
              <w:rPr>
                <w:sz w:val="22"/>
              </w:rPr>
            </w:pPr>
            <w:r>
              <w:rPr>
                <w:sz w:val="22"/>
              </w:rPr>
              <w:t>注册（办公）地址：北京市东城区建国门内大街 </w:t>
            </w:r>
            <w:r>
              <w:rPr>
                <w:rFonts w:ascii="Arial" w:eastAsia="Arial"/>
                <w:sz w:val="22"/>
              </w:rPr>
              <w:t>69 </w:t>
            </w:r>
            <w:r>
              <w:rPr>
                <w:sz w:val="22"/>
              </w:rPr>
              <w:t>号法定代表人：周慕冰</w:t>
            </w:r>
          </w:p>
          <w:p>
            <w:pPr>
              <w:pStyle w:val="TableParagraph"/>
              <w:spacing w:line="280" w:lineRule="exact"/>
              <w:ind w:left="108"/>
              <w:rPr>
                <w:sz w:val="22"/>
              </w:rPr>
            </w:pPr>
            <w:r>
              <w:rPr>
                <w:sz w:val="22"/>
              </w:rPr>
              <w:t>联系人：张伟</w:t>
            </w:r>
          </w:p>
          <w:p>
            <w:pPr>
              <w:pStyle w:val="TableParagraph"/>
              <w:spacing w:line="266" w:lineRule="auto" w:before="30"/>
              <w:ind w:left="108" w:right="3278"/>
              <w:rPr>
                <w:rFonts w:ascii="Arial" w:eastAsia="Arial"/>
                <w:sz w:val="22"/>
              </w:rPr>
            </w:pPr>
            <w:r>
              <w:rPr>
                <w:sz w:val="22"/>
              </w:rPr>
              <w:t>电话：</w:t>
            </w:r>
            <w:r>
              <w:rPr>
                <w:rFonts w:ascii="Arial" w:eastAsia="Arial"/>
                <w:sz w:val="22"/>
              </w:rPr>
              <w:t>010-85109219 </w:t>
            </w:r>
            <w:r>
              <w:rPr>
                <w:sz w:val="22"/>
              </w:rPr>
              <w:t>传真：</w:t>
            </w:r>
            <w:r>
              <w:rPr>
                <w:rFonts w:ascii="Arial" w:eastAsia="Arial"/>
                <w:sz w:val="22"/>
              </w:rPr>
              <w:t>010-85109219</w:t>
            </w:r>
          </w:p>
          <w:p>
            <w:pPr>
              <w:pStyle w:val="TableParagraph"/>
              <w:spacing w:line="280" w:lineRule="exact"/>
              <w:ind w:left="108"/>
              <w:rPr>
                <w:rFonts w:ascii="Arial" w:eastAsia="Arial"/>
                <w:sz w:val="22"/>
              </w:rPr>
            </w:pPr>
            <w:r>
              <w:rPr>
                <w:sz w:val="22"/>
              </w:rPr>
              <w:t>客户服务电话：</w:t>
            </w:r>
            <w:r>
              <w:rPr>
                <w:rFonts w:ascii="Arial" w:eastAsia="Arial"/>
                <w:sz w:val="22"/>
              </w:rPr>
              <w:t>95599</w:t>
            </w:r>
          </w:p>
          <w:p>
            <w:pPr>
              <w:pStyle w:val="TableParagraph"/>
              <w:spacing w:line="277" w:lineRule="exact" w:before="31"/>
              <w:ind w:left="108"/>
              <w:rPr>
                <w:rFonts w:ascii="Arial" w:eastAsia="Arial"/>
                <w:sz w:val="22"/>
              </w:rPr>
            </w:pPr>
            <w:r>
              <w:rPr>
                <w:sz w:val="22"/>
              </w:rPr>
              <w:t>网址：</w:t>
            </w:r>
            <w:hyperlink r:id="rId9">
              <w:r>
                <w:rPr>
                  <w:rFonts w:ascii="Arial" w:eastAsia="Arial"/>
                  <w:sz w:val="22"/>
                </w:rPr>
                <w:t>www.abchina.com</w:t>
              </w:r>
            </w:hyperlink>
          </w:p>
        </w:tc>
      </w:tr>
      <w:tr>
        <w:trPr>
          <w:trHeight w:val="1247" w:hRule="atLeast"/>
        </w:trPr>
        <w:tc>
          <w:tcPr>
            <w:tcW w:w="470" w:type="dxa"/>
          </w:tcPr>
          <w:p>
            <w:pPr>
              <w:pStyle w:val="TableParagraph"/>
              <w:rPr>
                <w:sz w:val="24"/>
              </w:rPr>
            </w:pPr>
          </w:p>
          <w:p>
            <w:pPr>
              <w:pStyle w:val="TableParagraph"/>
              <w:spacing w:before="193"/>
              <w:ind w:left="7"/>
              <w:jc w:val="center"/>
              <w:rPr>
                <w:rFonts w:ascii="Arial"/>
                <w:sz w:val="21"/>
              </w:rPr>
            </w:pPr>
            <w:r>
              <w:rPr>
                <w:rFonts w:ascii="Arial"/>
                <w:w w:val="100"/>
                <w:sz w:val="21"/>
              </w:rPr>
              <w:t>3</w:t>
            </w:r>
          </w:p>
        </w:tc>
        <w:tc>
          <w:tcPr>
            <w:tcW w:w="2484" w:type="dxa"/>
          </w:tcPr>
          <w:p>
            <w:pPr>
              <w:pStyle w:val="TableParagraph"/>
              <w:spacing w:before="6"/>
              <w:rPr>
                <w:sz w:val="25"/>
              </w:rPr>
            </w:pPr>
          </w:p>
          <w:p>
            <w:pPr>
              <w:pStyle w:val="TableParagraph"/>
              <w:spacing w:line="266" w:lineRule="auto"/>
              <w:ind w:left="1020" w:right="129" w:hanging="881"/>
              <w:rPr>
                <w:sz w:val="22"/>
              </w:rPr>
            </w:pPr>
            <w:r>
              <w:rPr>
                <w:sz w:val="22"/>
              </w:rPr>
              <w:t>中国工商银行股份有限公司</w:t>
            </w:r>
          </w:p>
        </w:tc>
        <w:tc>
          <w:tcPr>
            <w:tcW w:w="5480" w:type="dxa"/>
          </w:tcPr>
          <w:p>
            <w:pPr>
              <w:pStyle w:val="TableParagraph"/>
              <w:spacing w:line="266" w:lineRule="auto" w:before="15"/>
              <w:ind w:left="108" w:right="94"/>
              <w:rPr>
                <w:sz w:val="22"/>
              </w:rPr>
            </w:pPr>
            <w:r>
              <w:rPr>
                <w:sz w:val="22"/>
              </w:rPr>
              <w:t>注册（办公）地址：北京市西城区复兴门内大街 </w:t>
            </w:r>
            <w:r>
              <w:rPr>
                <w:rFonts w:ascii="Arial" w:eastAsia="Arial"/>
                <w:sz w:val="22"/>
              </w:rPr>
              <w:t>55 </w:t>
            </w:r>
            <w:r>
              <w:rPr>
                <w:sz w:val="22"/>
              </w:rPr>
              <w:t>号法定代表人：陈四清</w:t>
            </w:r>
          </w:p>
          <w:p>
            <w:pPr>
              <w:pStyle w:val="TableParagraph"/>
              <w:spacing w:line="280" w:lineRule="exact"/>
              <w:ind w:left="108"/>
              <w:rPr>
                <w:sz w:val="22"/>
              </w:rPr>
            </w:pPr>
            <w:r>
              <w:rPr>
                <w:sz w:val="22"/>
              </w:rPr>
              <w:t>客户服务电话：</w:t>
            </w:r>
            <w:r>
              <w:rPr>
                <w:rFonts w:ascii="Arial" w:eastAsia="Arial"/>
                <w:sz w:val="22"/>
              </w:rPr>
              <w:t>95588</w:t>
            </w:r>
            <w:r>
              <w:rPr>
                <w:sz w:val="22"/>
              </w:rPr>
              <w:t>（全国）</w:t>
            </w:r>
          </w:p>
          <w:p>
            <w:pPr>
              <w:pStyle w:val="TableParagraph"/>
              <w:spacing w:line="277" w:lineRule="exact" w:before="30"/>
              <w:ind w:left="108"/>
              <w:rPr>
                <w:rFonts w:ascii="Arial" w:eastAsia="Arial"/>
                <w:sz w:val="22"/>
              </w:rPr>
            </w:pPr>
            <w:r>
              <w:rPr>
                <w:sz w:val="22"/>
              </w:rPr>
              <w:t>网址：</w:t>
            </w:r>
            <w:hyperlink r:id="rId10">
              <w:r>
                <w:rPr>
                  <w:rFonts w:ascii="Arial" w:eastAsia="Arial"/>
                  <w:sz w:val="22"/>
                </w:rPr>
                <w:t>www.icbc.com.cn</w:t>
              </w:r>
            </w:hyperlink>
          </w:p>
        </w:tc>
      </w:tr>
      <w:tr>
        <w:trPr>
          <w:trHeight w:val="1247" w:hRule="atLeast"/>
        </w:trPr>
        <w:tc>
          <w:tcPr>
            <w:tcW w:w="470" w:type="dxa"/>
          </w:tcPr>
          <w:p>
            <w:pPr>
              <w:pStyle w:val="TableParagraph"/>
              <w:rPr>
                <w:sz w:val="24"/>
              </w:rPr>
            </w:pPr>
          </w:p>
          <w:p>
            <w:pPr>
              <w:pStyle w:val="TableParagraph"/>
              <w:spacing w:before="193"/>
              <w:ind w:left="7"/>
              <w:jc w:val="center"/>
              <w:rPr>
                <w:rFonts w:ascii="Arial"/>
                <w:sz w:val="21"/>
              </w:rPr>
            </w:pPr>
            <w:r>
              <w:rPr>
                <w:rFonts w:ascii="Arial"/>
                <w:w w:val="100"/>
                <w:sz w:val="21"/>
              </w:rPr>
              <w:t>4</w:t>
            </w:r>
          </w:p>
        </w:tc>
        <w:tc>
          <w:tcPr>
            <w:tcW w:w="2484" w:type="dxa"/>
          </w:tcPr>
          <w:p>
            <w:pPr>
              <w:pStyle w:val="TableParagraph"/>
              <w:spacing w:before="6"/>
              <w:rPr>
                <w:sz w:val="25"/>
              </w:rPr>
            </w:pPr>
          </w:p>
          <w:p>
            <w:pPr>
              <w:pStyle w:val="TableParagraph"/>
              <w:spacing w:line="266" w:lineRule="auto"/>
              <w:ind w:left="1020" w:right="129" w:hanging="881"/>
              <w:rPr>
                <w:sz w:val="22"/>
              </w:rPr>
            </w:pPr>
            <w:r>
              <w:rPr>
                <w:sz w:val="22"/>
              </w:rPr>
              <w:t>中国建设银行股份有限公司</w:t>
            </w:r>
          </w:p>
        </w:tc>
        <w:tc>
          <w:tcPr>
            <w:tcW w:w="5480" w:type="dxa"/>
          </w:tcPr>
          <w:p>
            <w:pPr>
              <w:pStyle w:val="TableParagraph"/>
              <w:spacing w:line="266" w:lineRule="auto" w:before="15"/>
              <w:ind w:left="108" w:right="533"/>
              <w:rPr>
                <w:sz w:val="22"/>
              </w:rPr>
            </w:pPr>
            <w:r>
              <w:rPr>
                <w:sz w:val="22"/>
              </w:rPr>
              <w:t>注册（办公）地址：北京市西城区金融大街 </w:t>
            </w:r>
            <w:r>
              <w:rPr>
                <w:rFonts w:ascii="Arial" w:eastAsia="Arial"/>
                <w:sz w:val="22"/>
              </w:rPr>
              <w:t>25 </w:t>
            </w:r>
            <w:r>
              <w:rPr>
                <w:sz w:val="22"/>
              </w:rPr>
              <w:t>号法定代表人：田国立</w:t>
            </w:r>
          </w:p>
          <w:p>
            <w:pPr>
              <w:pStyle w:val="TableParagraph"/>
              <w:spacing w:line="280" w:lineRule="exact"/>
              <w:ind w:left="108"/>
              <w:rPr>
                <w:rFonts w:ascii="Arial" w:eastAsia="Arial"/>
                <w:sz w:val="22"/>
              </w:rPr>
            </w:pPr>
            <w:r>
              <w:rPr>
                <w:sz w:val="22"/>
              </w:rPr>
              <w:t>客户服务电话：</w:t>
            </w:r>
            <w:r>
              <w:rPr>
                <w:rFonts w:ascii="Arial" w:eastAsia="Arial"/>
                <w:sz w:val="22"/>
              </w:rPr>
              <w:t>95533</w:t>
            </w:r>
          </w:p>
          <w:p>
            <w:pPr>
              <w:pStyle w:val="TableParagraph"/>
              <w:spacing w:line="277" w:lineRule="exact" w:before="30"/>
              <w:ind w:left="108"/>
              <w:rPr>
                <w:rFonts w:ascii="Arial" w:eastAsia="Arial"/>
                <w:sz w:val="22"/>
              </w:rPr>
            </w:pPr>
            <w:r>
              <w:rPr>
                <w:sz w:val="22"/>
              </w:rPr>
              <w:t>网址：</w:t>
            </w:r>
            <w:hyperlink r:id="rId11">
              <w:r>
                <w:rPr>
                  <w:rFonts w:ascii="Arial" w:eastAsia="Arial"/>
                  <w:sz w:val="22"/>
                </w:rPr>
                <w:t>www.ccb.com</w:t>
              </w:r>
            </w:hyperlink>
          </w:p>
        </w:tc>
      </w:tr>
      <w:tr>
        <w:trPr>
          <w:trHeight w:val="311" w:hRule="atLeast"/>
        </w:trPr>
        <w:tc>
          <w:tcPr>
            <w:tcW w:w="470" w:type="dxa"/>
          </w:tcPr>
          <w:p>
            <w:pPr>
              <w:pStyle w:val="TableParagraph"/>
              <w:spacing w:before="33"/>
              <w:ind w:left="7"/>
              <w:jc w:val="center"/>
              <w:rPr>
                <w:rFonts w:ascii="Arial"/>
                <w:sz w:val="21"/>
              </w:rPr>
            </w:pPr>
            <w:r>
              <w:rPr>
                <w:rFonts w:ascii="Arial"/>
                <w:w w:val="100"/>
                <w:sz w:val="21"/>
              </w:rPr>
              <w:t>5</w:t>
            </w:r>
          </w:p>
        </w:tc>
        <w:tc>
          <w:tcPr>
            <w:tcW w:w="2484" w:type="dxa"/>
          </w:tcPr>
          <w:p>
            <w:pPr>
              <w:pStyle w:val="TableParagraph"/>
              <w:spacing w:line="277" w:lineRule="exact" w:before="15"/>
              <w:ind w:left="120" w:right="113"/>
              <w:jc w:val="center"/>
              <w:rPr>
                <w:sz w:val="22"/>
              </w:rPr>
            </w:pPr>
            <w:r>
              <w:rPr>
                <w:sz w:val="22"/>
              </w:rPr>
              <w:t>交通银行股份有限公司</w:t>
            </w:r>
          </w:p>
        </w:tc>
        <w:tc>
          <w:tcPr>
            <w:tcW w:w="5480" w:type="dxa"/>
          </w:tcPr>
          <w:p>
            <w:pPr>
              <w:pStyle w:val="TableParagraph"/>
              <w:spacing w:line="277" w:lineRule="exact" w:before="15"/>
              <w:ind w:left="108"/>
              <w:rPr>
                <w:sz w:val="22"/>
              </w:rPr>
            </w:pPr>
            <w:r>
              <w:rPr>
                <w:sz w:val="22"/>
              </w:rPr>
              <w:t>住所（办公）地址：上海市浦东新区银城中路 </w:t>
            </w:r>
            <w:r>
              <w:rPr>
                <w:rFonts w:ascii="Arial" w:eastAsia="Arial"/>
                <w:sz w:val="22"/>
              </w:rPr>
              <w:t>188 </w:t>
            </w:r>
            <w:r>
              <w:rPr>
                <w:sz w:val="22"/>
              </w:rPr>
              <w:t>号</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872"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66" w:lineRule="auto" w:before="15"/>
              <w:ind w:left="108" w:right="3597"/>
              <w:rPr>
                <w:sz w:val="22"/>
              </w:rPr>
            </w:pPr>
            <w:r>
              <w:rPr>
                <w:sz w:val="22"/>
              </w:rPr>
              <w:t>法定代表人：彭纯联系人：王菁</w:t>
            </w:r>
          </w:p>
          <w:p>
            <w:pPr>
              <w:pStyle w:val="TableParagraph"/>
              <w:spacing w:line="266" w:lineRule="auto"/>
              <w:ind w:left="108" w:right="2715"/>
              <w:rPr>
                <w:rFonts w:ascii="Arial" w:eastAsia="Arial"/>
                <w:sz w:val="22"/>
              </w:rPr>
            </w:pPr>
            <w:r>
              <w:rPr>
                <w:sz w:val="22"/>
              </w:rPr>
              <w:t>电话：</w:t>
            </w:r>
            <w:r>
              <w:rPr>
                <w:rFonts w:ascii="Arial" w:eastAsia="Arial"/>
                <w:sz w:val="22"/>
              </w:rPr>
              <w:t>021-58781234-1601 </w:t>
            </w:r>
            <w:r>
              <w:rPr>
                <w:sz w:val="22"/>
              </w:rPr>
              <w:t>传真：</w:t>
            </w:r>
            <w:r>
              <w:rPr>
                <w:rFonts w:ascii="Arial" w:eastAsia="Arial"/>
                <w:sz w:val="22"/>
              </w:rPr>
              <w:t>021-58408483</w:t>
            </w:r>
          </w:p>
          <w:p>
            <w:pPr>
              <w:pStyle w:val="TableParagraph"/>
              <w:spacing w:line="280" w:lineRule="exact"/>
              <w:ind w:left="108"/>
              <w:rPr>
                <w:rFonts w:ascii="Arial" w:eastAsia="Arial"/>
                <w:sz w:val="22"/>
              </w:rPr>
            </w:pPr>
            <w:r>
              <w:rPr>
                <w:sz w:val="22"/>
              </w:rPr>
              <w:t>客户服务电话：</w:t>
            </w:r>
            <w:r>
              <w:rPr>
                <w:rFonts w:ascii="Arial" w:eastAsia="Arial"/>
                <w:sz w:val="22"/>
              </w:rPr>
              <w:t>95559</w:t>
            </w:r>
          </w:p>
          <w:p>
            <w:pPr>
              <w:pStyle w:val="TableParagraph"/>
              <w:spacing w:line="277" w:lineRule="exact" w:before="29"/>
              <w:ind w:left="108"/>
              <w:rPr>
                <w:rFonts w:ascii="Arial" w:eastAsia="Arial"/>
                <w:sz w:val="22"/>
              </w:rPr>
            </w:pPr>
            <w:r>
              <w:rPr>
                <w:sz w:val="22"/>
              </w:rPr>
              <w:t>网址：</w:t>
            </w:r>
            <w:hyperlink r:id="rId12">
              <w:r>
                <w:rPr>
                  <w:rFonts w:ascii="Arial" w:eastAsia="Arial"/>
                  <w:sz w:val="22"/>
                </w:rPr>
                <w:t>www.bankcomm.com</w:t>
              </w:r>
            </w:hyperlink>
          </w:p>
        </w:tc>
      </w:tr>
      <w:tr>
        <w:trPr>
          <w:trHeight w:val="1557" w:hRule="atLeast"/>
        </w:trPr>
        <w:tc>
          <w:tcPr>
            <w:tcW w:w="470" w:type="dxa"/>
            <w:tcBorders>
              <w:bottom w:val="single" w:sz="6" w:space="0" w:color="000000"/>
            </w:tcBorders>
          </w:tcPr>
          <w:p>
            <w:pPr>
              <w:pStyle w:val="TableParagraph"/>
              <w:rPr>
                <w:rFonts w:ascii="Times New Roman"/>
                <w:sz w:val="24"/>
              </w:rPr>
            </w:pPr>
          </w:p>
          <w:p>
            <w:pPr>
              <w:pStyle w:val="TableParagraph"/>
              <w:spacing w:before="1"/>
              <w:rPr>
                <w:rFonts w:ascii="Times New Roman"/>
                <w:sz w:val="33"/>
              </w:rPr>
            </w:pPr>
          </w:p>
          <w:p>
            <w:pPr>
              <w:pStyle w:val="TableParagraph"/>
              <w:ind w:left="175"/>
              <w:rPr>
                <w:rFonts w:ascii="Arial"/>
                <w:sz w:val="21"/>
              </w:rPr>
            </w:pPr>
            <w:r>
              <w:rPr>
                <w:rFonts w:ascii="Arial"/>
                <w:w w:val="100"/>
                <w:sz w:val="21"/>
              </w:rPr>
              <w:t>6</w:t>
            </w:r>
          </w:p>
        </w:tc>
        <w:tc>
          <w:tcPr>
            <w:tcW w:w="2484"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spacing w:before="133"/>
              <w:ind w:left="120" w:right="113"/>
              <w:jc w:val="center"/>
              <w:rPr>
                <w:sz w:val="22"/>
              </w:rPr>
            </w:pPr>
            <w:r>
              <w:rPr>
                <w:sz w:val="22"/>
              </w:rPr>
              <w:t>招商银行股份有限公司</w:t>
            </w:r>
          </w:p>
        </w:tc>
        <w:tc>
          <w:tcPr>
            <w:tcW w:w="5480" w:type="dxa"/>
            <w:tcBorders>
              <w:bottom w:val="single" w:sz="6" w:space="0" w:color="000000"/>
            </w:tcBorders>
          </w:tcPr>
          <w:p>
            <w:pPr>
              <w:pStyle w:val="TableParagraph"/>
              <w:spacing w:line="266" w:lineRule="auto" w:before="15"/>
              <w:ind w:left="108" w:right="290"/>
              <w:rPr>
                <w:sz w:val="22"/>
              </w:rPr>
            </w:pPr>
            <w:r>
              <w:rPr>
                <w:sz w:val="22"/>
              </w:rPr>
              <w:t>注册（办公）地址：深圳市福田区深南大道 </w:t>
            </w:r>
            <w:r>
              <w:rPr>
                <w:rFonts w:ascii="Arial" w:eastAsia="Arial"/>
                <w:sz w:val="22"/>
              </w:rPr>
              <w:t>7088 </w:t>
            </w:r>
            <w:r>
              <w:rPr>
                <w:sz w:val="22"/>
              </w:rPr>
              <w:t>号法定代表人：李建红</w:t>
            </w:r>
          </w:p>
          <w:p>
            <w:pPr>
              <w:pStyle w:val="TableParagraph"/>
              <w:spacing w:line="280" w:lineRule="exact"/>
              <w:ind w:left="108"/>
              <w:rPr>
                <w:sz w:val="22"/>
              </w:rPr>
            </w:pPr>
            <w:r>
              <w:rPr>
                <w:sz w:val="22"/>
              </w:rPr>
              <w:t>联系人：邓炯鹏</w:t>
            </w:r>
          </w:p>
          <w:p>
            <w:pPr>
              <w:pStyle w:val="TableParagraph"/>
              <w:spacing w:before="30"/>
              <w:ind w:left="108"/>
              <w:rPr>
                <w:rFonts w:ascii="Arial" w:eastAsia="Arial"/>
                <w:sz w:val="22"/>
              </w:rPr>
            </w:pPr>
            <w:r>
              <w:rPr>
                <w:sz w:val="22"/>
              </w:rPr>
              <w:t>客户服务电话：</w:t>
            </w:r>
            <w:r>
              <w:rPr>
                <w:rFonts w:ascii="Arial" w:eastAsia="Arial"/>
                <w:sz w:val="22"/>
              </w:rPr>
              <w:t>95555</w:t>
            </w:r>
          </w:p>
          <w:p>
            <w:pPr>
              <w:pStyle w:val="TableParagraph"/>
              <w:spacing w:line="274" w:lineRule="exact" w:before="30"/>
              <w:ind w:left="108"/>
              <w:rPr>
                <w:rFonts w:ascii="Arial" w:eastAsia="Arial"/>
                <w:sz w:val="22"/>
              </w:rPr>
            </w:pPr>
            <w:r>
              <w:rPr>
                <w:sz w:val="22"/>
              </w:rPr>
              <w:t>网址：</w:t>
            </w:r>
            <w:hyperlink r:id="rId13">
              <w:r>
                <w:rPr>
                  <w:rFonts w:ascii="Arial" w:eastAsia="Arial"/>
                  <w:sz w:val="22"/>
                </w:rPr>
                <w:t>www.cmbchina.com</w:t>
              </w:r>
            </w:hyperlink>
          </w:p>
        </w:tc>
      </w:tr>
      <w:tr>
        <w:trPr>
          <w:trHeight w:val="1245" w:hRule="atLeast"/>
        </w:trPr>
        <w:tc>
          <w:tcPr>
            <w:tcW w:w="470" w:type="dxa"/>
            <w:tcBorders>
              <w:top w:val="single" w:sz="6" w:space="0" w:color="000000"/>
            </w:tcBorders>
          </w:tcPr>
          <w:p>
            <w:pPr>
              <w:pStyle w:val="TableParagraph"/>
              <w:rPr>
                <w:rFonts w:ascii="Times New Roman"/>
                <w:sz w:val="24"/>
              </w:rPr>
            </w:pPr>
          </w:p>
          <w:p>
            <w:pPr>
              <w:pStyle w:val="TableParagraph"/>
              <w:spacing w:before="4"/>
              <w:rPr>
                <w:rFonts w:ascii="Times New Roman"/>
                <w:sz w:val="19"/>
              </w:rPr>
            </w:pPr>
          </w:p>
          <w:p>
            <w:pPr>
              <w:pStyle w:val="TableParagraph"/>
              <w:ind w:left="175"/>
              <w:rPr>
                <w:rFonts w:ascii="Arial"/>
                <w:sz w:val="21"/>
              </w:rPr>
            </w:pPr>
            <w:r>
              <w:rPr>
                <w:rFonts w:ascii="Arial"/>
                <w:w w:val="100"/>
                <w:sz w:val="21"/>
              </w:rPr>
              <w:t>7</w:t>
            </w:r>
          </w:p>
        </w:tc>
        <w:tc>
          <w:tcPr>
            <w:tcW w:w="2484" w:type="dxa"/>
            <w:tcBorders>
              <w:top w:val="single" w:sz="6" w:space="0" w:color="000000"/>
            </w:tcBorders>
          </w:tcPr>
          <w:p>
            <w:pPr>
              <w:pStyle w:val="TableParagraph"/>
              <w:rPr>
                <w:rFonts w:ascii="Times New Roman"/>
                <w:sz w:val="22"/>
              </w:rPr>
            </w:pPr>
          </w:p>
          <w:p>
            <w:pPr>
              <w:pStyle w:val="TableParagraph"/>
              <w:spacing w:before="9"/>
              <w:rPr>
                <w:rFonts w:ascii="Times New Roman"/>
                <w:sz w:val="19"/>
              </w:rPr>
            </w:pPr>
          </w:p>
          <w:p>
            <w:pPr>
              <w:pStyle w:val="TableParagraph"/>
              <w:ind w:left="120" w:right="113"/>
              <w:jc w:val="center"/>
              <w:rPr>
                <w:sz w:val="22"/>
              </w:rPr>
            </w:pPr>
            <w:r>
              <w:rPr>
                <w:sz w:val="22"/>
              </w:rPr>
              <w:t>广发银行股份有限公司</w:t>
            </w:r>
          </w:p>
        </w:tc>
        <w:tc>
          <w:tcPr>
            <w:tcW w:w="5480" w:type="dxa"/>
            <w:tcBorders>
              <w:top w:val="single" w:sz="6" w:space="0" w:color="000000"/>
            </w:tcBorders>
          </w:tcPr>
          <w:p>
            <w:pPr>
              <w:pStyle w:val="TableParagraph"/>
              <w:spacing w:line="266" w:lineRule="auto" w:before="12"/>
              <w:ind w:left="108" w:right="412"/>
              <w:rPr>
                <w:sz w:val="22"/>
              </w:rPr>
            </w:pPr>
            <w:r>
              <w:rPr>
                <w:sz w:val="22"/>
              </w:rPr>
              <w:t>注册（办公）地址：广州市越秀区东风东路 </w:t>
            </w:r>
            <w:r>
              <w:rPr>
                <w:rFonts w:ascii="Arial" w:eastAsia="Arial"/>
                <w:sz w:val="22"/>
              </w:rPr>
              <w:t>713 </w:t>
            </w:r>
            <w:r>
              <w:rPr>
                <w:sz w:val="22"/>
              </w:rPr>
              <w:t>号法定代表人：杨明生</w:t>
            </w:r>
          </w:p>
          <w:p>
            <w:pPr>
              <w:pStyle w:val="TableParagraph"/>
              <w:spacing w:line="280" w:lineRule="exact"/>
              <w:ind w:left="108"/>
              <w:rPr>
                <w:rFonts w:ascii="Arial" w:eastAsia="Arial"/>
                <w:sz w:val="22"/>
              </w:rPr>
            </w:pPr>
            <w:r>
              <w:rPr>
                <w:sz w:val="22"/>
              </w:rPr>
              <w:t>客户服务电话：</w:t>
            </w:r>
            <w:r>
              <w:rPr>
                <w:rFonts w:ascii="Arial" w:eastAsia="Arial"/>
                <w:sz w:val="22"/>
              </w:rPr>
              <w:t>400 830 8003</w:t>
            </w:r>
          </w:p>
          <w:p>
            <w:pPr>
              <w:pStyle w:val="TableParagraph"/>
              <w:spacing w:line="277" w:lineRule="exact" w:before="31"/>
              <w:ind w:left="108"/>
              <w:rPr>
                <w:rFonts w:ascii="Arial" w:eastAsia="Arial"/>
                <w:sz w:val="22"/>
              </w:rPr>
            </w:pPr>
            <w:r>
              <w:rPr>
                <w:sz w:val="22"/>
              </w:rPr>
              <w:t>网址：</w:t>
            </w:r>
            <w:hyperlink r:id="rId14">
              <w:r>
                <w:rPr>
                  <w:rFonts w:ascii="Arial" w:eastAsia="Arial"/>
                  <w:sz w:val="22"/>
                </w:rPr>
                <w:t>www.cgbchina.com.cn</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175"/>
              <w:rPr>
                <w:rFonts w:ascii="Arial"/>
                <w:sz w:val="21"/>
              </w:rPr>
            </w:pPr>
            <w:r>
              <w:rPr>
                <w:rFonts w:ascii="Arial"/>
                <w:w w:val="100"/>
                <w:sz w:val="21"/>
              </w:rPr>
              <w:t>8</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799" w:right="129" w:hanging="660"/>
              <w:rPr>
                <w:sz w:val="22"/>
              </w:rPr>
            </w:pPr>
            <w:r>
              <w:rPr>
                <w:sz w:val="22"/>
              </w:rPr>
              <w:t>上海浦东发展银行股份有限公司</w:t>
            </w:r>
          </w:p>
        </w:tc>
        <w:tc>
          <w:tcPr>
            <w:tcW w:w="5480" w:type="dxa"/>
          </w:tcPr>
          <w:p>
            <w:pPr>
              <w:pStyle w:val="TableParagraph"/>
              <w:spacing w:before="15"/>
              <w:ind w:left="108"/>
              <w:rPr>
                <w:sz w:val="22"/>
              </w:rPr>
            </w:pPr>
            <w:r>
              <w:rPr>
                <w:sz w:val="22"/>
              </w:rPr>
              <w:t>注册地址：上海市浦东新区浦东南路 500 号</w:t>
            </w:r>
          </w:p>
          <w:p>
            <w:pPr>
              <w:pStyle w:val="TableParagraph"/>
              <w:spacing w:line="266" w:lineRule="auto" w:before="30"/>
              <w:ind w:left="108" w:right="1946"/>
              <w:rPr>
                <w:sz w:val="22"/>
              </w:rPr>
            </w:pPr>
            <w:r>
              <w:rPr>
                <w:spacing w:val="-7"/>
                <w:sz w:val="22"/>
              </w:rPr>
              <w:t>办公地址：上海市中山东一路 </w:t>
            </w:r>
            <w:r>
              <w:rPr>
                <w:sz w:val="22"/>
              </w:rPr>
              <w:t>12</w:t>
            </w:r>
            <w:r>
              <w:rPr>
                <w:spacing w:val="-32"/>
                <w:sz w:val="22"/>
              </w:rPr>
              <w:t> 号</w:t>
            </w:r>
            <w:r>
              <w:rPr>
                <w:spacing w:val="-2"/>
                <w:sz w:val="22"/>
              </w:rPr>
              <w:t>法定代表人：吉晓辉</w:t>
            </w:r>
          </w:p>
          <w:p>
            <w:pPr>
              <w:pStyle w:val="TableParagraph"/>
              <w:spacing w:line="280" w:lineRule="exact"/>
              <w:ind w:left="108"/>
              <w:rPr>
                <w:sz w:val="22"/>
              </w:rPr>
            </w:pPr>
            <w:r>
              <w:rPr>
                <w:spacing w:val="-2"/>
                <w:sz w:val="22"/>
              </w:rPr>
              <w:t>联系人：高天、于慧</w:t>
            </w:r>
          </w:p>
          <w:p>
            <w:pPr>
              <w:pStyle w:val="TableParagraph"/>
              <w:spacing w:line="266" w:lineRule="auto" w:before="30"/>
              <w:ind w:left="108" w:right="3045"/>
              <w:jc w:val="both"/>
              <w:rPr>
                <w:sz w:val="22"/>
              </w:rPr>
            </w:pPr>
            <w:r>
              <w:rPr>
                <w:sz w:val="22"/>
              </w:rPr>
              <w:t>电话：（021）61618888 传真：（021）63604199 客户服务热线：95528</w:t>
            </w:r>
          </w:p>
          <w:p>
            <w:pPr>
              <w:pStyle w:val="TableParagraph"/>
              <w:spacing w:line="274" w:lineRule="exact"/>
              <w:ind w:left="108"/>
              <w:rPr>
                <w:sz w:val="22"/>
              </w:rPr>
            </w:pPr>
            <w:r>
              <w:rPr>
                <w:sz w:val="22"/>
              </w:rPr>
              <w:t>公司网站</w:t>
            </w:r>
            <w:hyperlink r:id="rId15">
              <w:r>
                <w:rPr>
                  <w:sz w:val="22"/>
                </w:rPr>
                <w:t>：www.spdb.com.cn</w:t>
              </w:r>
            </w:hyperlink>
          </w:p>
        </w:tc>
      </w:tr>
      <w:tr>
        <w:trPr>
          <w:trHeight w:val="1874"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2"/>
              </w:rPr>
            </w:pPr>
          </w:p>
          <w:p>
            <w:pPr>
              <w:pStyle w:val="TableParagraph"/>
              <w:ind w:left="175"/>
              <w:rPr>
                <w:rFonts w:ascii="Arial"/>
                <w:sz w:val="21"/>
              </w:rPr>
            </w:pPr>
            <w:r>
              <w:rPr>
                <w:rFonts w:ascii="Arial"/>
                <w:w w:val="100"/>
                <w:sz w:val="21"/>
              </w:rPr>
              <w:t>9</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120" w:right="113"/>
              <w:jc w:val="center"/>
              <w:rPr>
                <w:sz w:val="22"/>
              </w:rPr>
            </w:pPr>
            <w:r>
              <w:rPr>
                <w:sz w:val="22"/>
              </w:rPr>
              <w:t>兴业银行股份有限公司</w:t>
            </w:r>
          </w:p>
        </w:tc>
        <w:tc>
          <w:tcPr>
            <w:tcW w:w="5480" w:type="dxa"/>
          </w:tcPr>
          <w:p>
            <w:pPr>
              <w:pStyle w:val="TableParagraph"/>
              <w:spacing w:line="266" w:lineRule="auto" w:before="17"/>
              <w:ind w:left="108" w:right="1396"/>
              <w:rPr>
                <w:sz w:val="22"/>
              </w:rPr>
            </w:pPr>
            <w:r>
              <w:rPr>
                <w:spacing w:val="-7"/>
                <w:sz w:val="22"/>
              </w:rPr>
              <w:t>注册地址：福州市湖东路 </w:t>
            </w:r>
            <w:r>
              <w:rPr>
                <w:sz w:val="22"/>
              </w:rPr>
              <w:t>154</w:t>
            </w:r>
            <w:r>
              <w:rPr>
                <w:spacing w:val="-13"/>
                <w:sz w:val="22"/>
              </w:rPr>
              <w:t> 号中山大厦</w:t>
            </w:r>
            <w:r>
              <w:rPr>
                <w:spacing w:val="-2"/>
                <w:sz w:val="22"/>
              </w:rPr>
              <w:t>法定代表人：高建平</w:t>
            </w:r>
          </w:p>
          <w:p>
            <w:pPr>
              <w:pStyle w:val="TableParagraph"/>
              <w:spacing w:line="280" w:lineRule="exact"/>
              <w:ind w:left="108"/>
              <w:rPr>
                <w:sz w:val="22"/>
              </w:rPr>
            </w:pPr>
            <w:r>
              <w:rPr>
                <w:sz w:val="22"/>
              </w:rPr>
              <w:t>联系人：陈丹</w:t>
            </w:r>
          </w:p>
          <w:p>
            <w:pPr>
              <w:pStyle w:val="TableParagraph"/>
              <w:spacing w:before="30"/>
              <w:ind w:left="108"/>
              <w:rPr>
                <w:sz w:val="22"/>
              </w:rPr>
            </w:pPr>
            <w:r>
              <w:rPr>
                <w:spacing w:val="-1"/>
                <w:sz w:val="22"/>
              </w:rPr>
              <w:t>电话：(0591)87844211</w:t>
            </w:r>
          </w:p>
          <w:p>
            <w:pPr>
              <w:pStyle w:val="TableParagraph"/>
              <w:spacing w:line="310" w:lineRule="atLeast" w:before="2"/>
              <w:ind w:left="108" w:right="3156"/>
              <w:rPr>
                <w:sz w:val="22"/>
              </w:rPr>
            </w:pPr>
            <w:r>
              <w:rPr>
                <w:spacing w:val="-1"/>
                <w:sz w:val="22"/>
              </w:rPr>
              <w:t>客户服务电话：</w:t>
            </w:r>
            <w:r>
              <w:rPr>
                <w:sz w:val="22"/>
              </w:rPr>
              <w:t>95561 </w:t>
            </w:r>
            <w:hyperlink r:id="rId16">
              <w:r>
                <w:rPr>
                  <w:sz w:val="22"/>
                </w:rPr>
                <w:t>网址</w:t>
              </w:r>
              <w:r>
                <w:rPr>
                  <w:spacing w:val="-3"/>
                  <w:sz w:val="22"/>
                </w:rPr>
                <w:t>：www.cib.com.cn</w:t>
              </w:r>
            </w:hyperlink>
          </w:p>
        </w:tc>
      </w:tr>
      <w:tr>
        <w:trPr>
          <w:trHeight w:val="1560" w:hRule="atLeast"/>
        </w:trPr>
        <w:tc>
          <w:tcPr>
            <w:tcW w:w="470" w:type="dxa"/>
          </w:tcPr>
          <w:p>
            <w:pPr>
              <w:pStyle w:val="TableParagraph"/>
              <w:rPr>
                <w:rFonts w:ascii="Times New Roman"/>
                <w:sz w:val="24"/>
              </w:rPr>
            </w:pPr>
          </w:p>
          <w:p>
            <w:pPr>
              <w:pStyle w:val="TableParagraph"/>
              <w:spacing w:before="1"/>
              <w:rPr>
                <w:rFonts w:ascii="Times New Roman"/>
                <w:sz w:val="33"/>
              </w:rPr>
            </w:pPr>
          </w:p>
          <w:p>
            <w:pPr>
              <w:pStyle w:val="TableParagraph"/>
              <w:ind w:left="117"/>
              <w:rPr>
                <w:rFonts w:ascii="Arial"/>
                <w:sz w:val="21"/>
              </w:rPr>
            </w:pPr>
            <w:r>
              <w:rPr>
                <w:rFonts w:ascii="Arial"/>
                <w:sz w:val="21"/>
              </w:rPr>
              <w:t>10</w:t>
            </w:r>
          </w:p>
        </w:tc>
        <w:tc>
          <w:tcPr>
            <w:tcW w:w="2484" w:type="dxa"/>
          </w:tcPr>
          <w:p>
            <w:pPr>
              <w:pStyle w:val="TableParagraph"/>
              <w:rPr>
                <w:rFonts w:ascii="Times New Roman"/>
                <w:sz w:val="22"/>
              </w:rPr>
            </w:pPr>
          </w:p>
          <w:p>
            <w:pPr>
              <w:pStyle w:val="TableParagraph"/>
              <w:rPr>
                <w:rFonts w:ascii="Times New Roman"/>
                <w:sz w:val="20"/>
              </w:rPr>
            </w:pPr>
          </w:p>
          <w:p>
            <w:pPr>
              <w:pStyle w:val="TableParagraph"/>
              <w:spacing w:line="266" w:lineRule="auto"/>
              <w:ind w:left="1020" w:right="129" w:hanging="881"/>
              <w:rPr>
                <w:sz w:val="22"/>
              </w:rPr>
            </w:pPr>
            <w:r>
              <w:rPr>
                <w:sz w:val="22"/>
              </w:rPr>
              <w:t>中国光大银行股份有限公司</w:t>
            </w:r>
          </w:p>
        </w:tc>
        <w:tc>
          <w:tcPr>
            <w:tcW w:w="5480" w:type="dxa"/>
          </w:tcPr>
          <w:p>
            <w:pPr>
              <w:pStyle w:val="TableParagraph"/>
              <w:spacing w:before="15"/>
              <w:ind w:left="108"/>
              <w:rPr>
                <w:sz w:val="22"/>
              </w:rPr>
            </w:pPr>
            <w:r>
              <w:rPr>
                <w:sz w:val="22"/>
              </w:rPr>
              <w:t>注册地址：北京市西城区太平桥大街 </w:t>
            </w:r>
            <w:r>
              <w:rPr>
                <w:rFonts w:ascii="Arial" w:eastAsia="Arial"/>
                <w:sz w:val="22"/>
              </w:rPr>
              <w:t>25 </w:t>
            </w:r>
            <w:r>
              <w:rPr>
                <w:sz w:val="22"/>
              </w:rPr>
              <w:t>号光大中心</w:t>
            </w:r>
          </w:p>
          <w:p>
            <w:pPr>
              <w:pStyle w:val="TableParagraph"/>
              <w:spacing w:line="266" w:lineRule="auto" w:before="30"/>
              <w:ind w:left="108" w:right="314"/>
              <w:rPr>
                <w:sz w:val="22"/>
              </w:rPr>
            </w:pPr>
            <w:r>
              <w:rPr>
                <w:sz w:val="22"/>
              </w:rPr>
              <w:t>办公地址：北京市西城区太平桥大街 </w:t>
            </w:r>
            <w:r>
              <w:rPr>
                <w:rFonts w:ascii="Arial" w:eastAsia="Arial"/>
                <w:sz w:val="22"/>
              </w:rPr>
              <w:t>25 </w:t>
            </w:r>
            <w:r>
              <w:rPr>
                <w:sz w:val="22"/>
              </w:rPr>
              <w:t>号光大中心法定代表人：李晓鹏</w:t>
            </w:r>
          </w:p>
          <w:p>
            <w:pPr>
              <w:pStyle w:val="TableParagraph"/>
              <w:spacing w:line="281" w:lineRule="exact"/>
              <w:ind w:left="108"/>
              <w:rPr>
                <w:sz w:val="22"/>
              </w:rPr>
            </w:pPr>
            <w:r>
              <w:rPr>
                <w:sz w:val="22"/>
              </w:rPr>
              <w:t>客户服务电话：</w:t>
            </w:r>
            <w:r>
              <w:rPr>
                <w:rFonts w:ascii="Arial" w:eastAsia="Arial"/>
                <w:sz w:val="22"/>
              </w:rPr>
              <w:t>95595</w:t>
            </w:r>
            <w:r>
              <w:rPr>
                <w:sz w:val="22"/>
              </w:rPr>
              <w:t>（全国）</w:t>
            </w:r>
          </w:p>
          <w:p>
            <w:pPr>
              <w:pStyle w:val="TableParagraph"/>
              <w:spacing w:line="277" w:lineRule="exact" w:before="30"/>
              <w:ind w:left="108"/>
              <w:rPr>
                <w:rFonts w:ascii="Arial" w:eastAsia="Arial"/>
                <w:sz w:val="22"/>
              </w:rPr>
            </w:pPr>
            <w:r>
              <w:rPr>
                <w:sz w:val="22"/>
              </w:rPr>
              <w:t>网址：</w:t>
            </w:r>
            <w:hyperlink r:id="rId17">
              <w:r>
                <w:rPr>
                  <w:rFonts w:ascii="Arial" w:eastAsia="Arial"/>
                  <w:sz w:val="22"/>
                </w:rPr>
                <w:t>www.cebbank.com</w:t>
              </w:r>
            </w:hyperlink>
          </w:p>
        </w:tc>
      </w:tr>
      <w:tr>
        <w:trPr>
          <w:trHeight w:val="2183"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117"/>
              <w:rPr>
                <w:rFonts w:ascii="Arial"/>
                <w:sz w:val="21"/>
              </w:rPr>
            </w:pPr>
            <w:r>
              <w:rPr>
                <w:rFonts w:ascii="Arial"/>
                <w:sz w:val="21"/>
              </w:rPr>
              <w:t>11</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spacing w:line="266" w:lineRule="auto"/>
              <w:ind w:left="1020" w:right="129" w:hanging="881"/>
              <w:rPr>
                <w:sz w:val="22"/>
              </w:rPr>
            </w:pPr>
            <w:r>
              <w:rPr>
                <w:sz w:val="22"/>
              </w:rPr>
              <w:t>中国民生银行股份有限公司</w:t>
            </w:r>
          </w:p>
        </w:tc>
        <w:tc>
          <w:tcPr>
            <w:tcW w:w="5480" w:type="dxa"/>
          </w:tcPr>
          <w:p>
            <w:pPr>
              <w:pStyle w:val="TableParagraph"/>
              <w:spacing w:line="266" w:lineRule="auto" w:before="15"/>
              <w:ind w:left="108" w:right="216"/>
              <w:rPr>
                <w:sz w:val="22"/>
              </w:rPr>
            </w:pPr>
            <w:r>
              <w:rPr>
                <w:sz w:val="22"/>
              </w:rPr>
              <w:t>注册（办公）地址：北京市西城区复兴门内大街 </w:t>
            </w:r>
            <w:r>
              <w:rPr>
                <w:rFonts w:ascii="Arial" w:eastAsia="Arial"/>
                <w:sz w:val="22"/>
              </w:rPr>
              <w:t>2 </w:t>
            </w:r>
            <w:r>
              <w:rPr>
                <w:sz w:val="22"/>
              </w:rPr>
              <w:t>号法定代表人：洪崎</w:t>
            </w:r>
          </w:p>
          <w:p>
            <w:pPr>
              <w:pStyle w:val="TableParagraph"/>
              <w:spacing w:line="280" w:lineRule="exact"/>
              <w:ind w:left="108"/>
              <w:rPr>
                <w:sz w:val="22"/>
              </w:rPr>
            </w:pPr>
            <w:r>
              <w:rPr>
                <w:sz w:val="22"/>
              </w:rPr>
              <w:t>联系人：穆婷</w:t>
            </w:r>
          </w:p>
          <w:p>
            <w:pPr>
              <w:pStyle w:val="TableParagraph"/>
              <w:spacing w:line="266" w:lineRule="auto" w:before="30"/>
              <w:ind w:left="108" w:right="2838"/>
              <w:rPr>
                <w:rFonts w:ascii="Arial" w:eastAsia="Arial"/>
                <w:sz w:val="22"/>
              </w:rPr>
            </w:pPr>
            <w:r>
              <w:rPr>
                <w:sz w:val="22"/>
              </w:rPr>
              <w:t>联系电话：</w:t>
            </w:r>
            <w:r>
              <w:rPr>
                <w:rFonts w:ascii="Arial" w:eastAsia="Arial"/>
                <w:sz w:val="22"/>
              </w:rPr>
              <w:t>010-58560666 </w:t>
            </w:r>
            <w:r>
              <w:rPr>
                <w:sz w:val="22"/>
              </w:rPr>
              <w:t>传真：</w:t>
            </w:r>
            <w:r>
              <w:rPr>
                <w:rFonts w:ascii="Arial" w:eastAsia="Arial"/>
                <w:sz w:val="22"/>
              </w:rPr>
              <w:t>010-57092611</w:t>
            </w:r>
          </w:p>
          <w:p>
            <w:pPr>
              <w:pStyle w:val="TableParagraph"/>
              <w:spacing w:line="280" w:lineRule="exact"/>
              <w:ind w:left="108"/>
              <w:rPr>
                <w:rFonts w:ascii="Arial" w:eastAsia="Arial"/>
                <w:sz w:val="22"/>
              </w:rPr>
            </w:pPr>
            <w:r>
              <w:rPr>
                <w:sz w:val="22"/>
              </w:rPr>
              <w:t>客户服务热线：</w:t>
            </w:r>
            <w:r>
              <w:rPr>
                <w:rFonts w:ascii="Arial" w:eastAsia="Arial"/>
                <w:sz w:val="22"/>
              </w:rPr>
              <w:t>95568</w:t>
            </w:r>
          </w:p>
          <w:p>
            <w:pPr>
              <w:pStyle w:val="TableParagraph"/>
              <w:spacing w:line="277" w:lineRule="exact" w:before="30"/>
              <w:ind w:left="108"/>
              <w:rPr>
                <w:rFonts w:ascii="Arial" w:eastAsia="Arial"/>
                <w:sz w:val="22"/>
              </w:rPr>
            </w:pPr>
            <w:r>
              <w:rPr>
                <w:sz w:val="22"/>
              </w:rPr>
              <w:t>网址：</w:t>
            </w:r>
            <w:hyperlink r:id="rId18">
              <w:r>
                <w:rPr>
                  <w:rFonts w:ascii="Arial" w:eastAsia="Arial"/>
                  <w:sz w:val="22"/>
                </w:rPr>
                <w:t>www.cmbc.com.cn</w:t>
              </w:r>
            </w:hyperlink>
          </w:p>
        </w:tc>
      </w:tr>
      <w:tr>
        <w:trPr>
          <w:trHeight w:val="936" w:hRule="atLeast"/>
        </w:trPr>
        <w:tc>
          <w:tcPr>
            <w:tcW w:w="470" w:type="dxa"/>
          </w:tcPr>
          <w:p>
            <w:pPr>
              <w:pStyle w:val="TableParagraph"/>
              <w:rPr>
                <w:rFonts w:ascii="Times New Roman"/>
                <w:sz w:val="30"/>
              </w:rPr>
            </w:pPr>
          </w:p>
          <w:p>
            <w:pPr>
              <w:pStyle w:val="TableParagraph"/>
              <w:ind w:left="117"/>
              <w:rPr>
                <w:rFonts w:ascii="Arial"/>
                <w:sz w:val="21"/>
              </w:rPr>
            </w:pPr>
            <w:r>
              <w:rPr>
                <w:rFonts w:ascii="Arial"/>
                <w:sz w:val="21"/>
              </w:rPr>
              <w:t>12</w:t>
            </w:r>
          </w:p>
        </w:tc>
        <w:tc>
          <w:tcPr>
            <w:tcW w:w="2484" w:type="dxa"/>
          </w:tcPr>
          <w:p>
            <w:pPr>
              <w:pStyle w:val="TableParagraph"/>
              <w:spacing w:before="5"/>
              <w:rPr>
                <w:rFonts w:ascii="Times New Roman"/>
                <w:sz w:val="28"/>
              </w:rPr>
            </w:pPr>
          </w:p>
          <w:p>
            <w:pPr>
              <w:pStyle w:val="TableParagraph"/>
              <w:ind w:left="120" w:right="113"/>
              <w:jc w:val="center"/>
              <w:rPr>
                <w:sz w:val="22"/>
              </w:rPr>
            </w:pPr>
            <w:r>
              <w:rPr>
                <w:sz w:val="22"/>
              </w:rPr>
              <w:t>北京银行股份有限公司</w:t>
            </w:r>
          </w:p>
        </w:tc>
        <w:tc>
          <w:tcPr>
            <w:tcW w:w="5480" w:type="dxa"/>
          </w:tcPr>
          <w:p>
            <w:pPr>
              <w:pStyle w:val="TableParagraph"/>
              <w:spacing w:before="15"/>
              <w:ind w:left="108"/>
              <w:rPr>
                <w:sz w:val="22"/>
              </w:rPr>
            </w:pPr>
            <w:r>
              <w:rPr>
                <w:sz w:val="22"/>
              </w:rPr>
              <w:t>注册地址：北京市西城区金融大街甲 </w:t>
            </w:r>
            <w:r>
              <w:rPr>
                <w:rFonts w:ascii="Arial" w:eastAsia="Arial"/>
                <w:sz w:val="22"/>
              </w:rPr>
              <w:t>17 </w:t>
            </w:r>
            <w:r>
              <w:rPr>
                <w:sz w:val="22"/>
              </w:rPr>
              <w:t>号首层</w:t>
            </w:r>
          </w:p>
          <w:p>
            <w:pPr>
              <w:pStyle w:val="TableParagraph"/>
              <w:spacing w:line="310" w:lineRule="atLeast" w:before="2"/>
              <w:ind w:left="108" w:right="1194"/>
              <w:rPr>
                <w:sz w:val="22"/>
              </w:rPr>
            </w:pPr>
            <w:r>
              <w:rPr>
                <w:sz w:val="22"/>
              </w:rPr>
              <w:t>办公地址：北京市西城区金融大街丙 </w:t>
            </w:r>
            <w:r>
              <w:rPr>
                <w:rFonts w:ascii="Arial" w:eastAsia="Arial"/>
                <w:sz w:val="22"/>
              </w:rPr>
              <w:t>17 </w:t>
            </w:r>
            <w:r>
              <w:rPr>
                <w:sz w:val="22"/>
              </w:rPr>
              <w:t>号法定代表人：闫冰竹</w:t>
            </w:r>
          </w:p>
        </w:tc>
      </w:tr>
    </w:tbl>
    <w:p>
      <w:pPr>
        <w:spacing w:after="0" w:line="310" w:lineRule="atLeas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936"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rFonts w:ascii="Arial" w:eastAsia="Arial"/>
                <w:sz w:val="22"/>
              </w:rPr>
            </w:pPr>
            <w:r>
              <w:rPr>
                <w:sz w:val="22"/>
              </w:rPr>
              <w:t>传真：</w:t>
            </w:r>
            <w:r>
              <w:rPr>
                <w:rFonts w:ascii="Arial" w:eastAsia="Arial"/>
                <w:sz w:val="22"/>
              </w:rPr>
              <w:t>010-66226045</w:t>
            </w:r>
          </w:p>
          <w:p>
            <w:pPr>
              <w:pStyle w:val="TableParagraph"/>
              <w:spacing w:before="31"/>
              <w:ind w:left="108"/>
              <w:rPr>
                <w:rFonts w:ascii="Arial" w:eastAsia="Arial"/>
                <w:sz w:val="22"/>
              </w:rPr>
            </w:pPr>
            <w:r>
              <w:rPr>
                <w:sz w:val="22"/>
              </w:rPr>
              <w:t>客户服务电话：</w:t>
            </w:r>
            <w:r>
              <w:rPr>
                <w:rFonts w:ascii="Arial" w:eastAsia="Arial"/>
                <w:sz w:val="22"/>
              </w:rPr>
              <w:t>010-95526</w:t>
            </w:r>
          </w:p>
          <w:p>
            <w:pPr>
              <w:pStyle w:val="TableParagraph"/>
              <w:spacing w:line="277" w:lineRule="exact" w:before="30"/>
              <w:ind w:left="108"/>
              <w:rPr>
                <w:rFonts w:ascii="Arial" w:eastAsia="Arial"/>
                <w:sz w:val="22"/>
              </w:rPr>
            </w:pPr>
            <w:r>
              <w:rPr>
                <w:sz w:val="22"/>
              </w:rPr>
              <w:t>网址：</w:t>
            </w:r>
            <w:hyperlink r:id="rId19">
              <w:r>
                <w:rPr>
                  <w:rFonts w:ascii="Arial" w:eastAsia="Arial"/>
                  <w:sz w:val="22"/>
                </w:rPr>
                <w:t>www.bankofbeijing.com.cn</w:t>
              </w:r>
            </w:hyperlink>
          </w:p>
        </w:tc>
      </w:tr>
      <w:tr>
        <w:trPr>
          <w:trHeight w:val="2493" w:hRule="atLeast"/>
        </w:trPr>
        <w:tc>
          <w:tcPr>
            <w:tcW w:w="470" w:type="dxa"/>
            <w:tcBorders>
              <w:bottom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05"/>
              <w:jc w:val="right"/>
              <w:rPr>
                <w:rFonts w:ascii="Arial"/>
                <w:sz w:val="21"/>
              </w:rPr>
            </w:pPr>
            <w:r>
              <w:rPr>
                <w:rFonts w:ascii="Arial"/>
                <w:sz w:val="21"/>
              </w:rPr>
              <w:t>13</w:t>
            </w:r>
          </w:p>
        </w:tc>
        <w:tc>
          <w:tcPr>
            <w:tcW w:w="2484"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中信银行股份有限公司</w:t>
            </w:r>
          </w:p>
        </w:tc>
        <w:tc>
          <w:tcPr>
            <w:tcW w:w="5480" w:type="dxa"/>
            <w:tcBorders>
              <w:bottom w:val="single" w:sz="6" w:space="0" w:color="000000"/>
            </w:tcBorders>
          </w:tcPr>
          <w:p>
            <w:pPr>
              <w:pStyle w:val="TableParagraph"/>
              <w:spacing w:before="15"/>
              <w:ind w:left="108"/>
              <w:rPr>
                <w:rFonts w:ascii="Arial" w:eastAsia="Arial"/>
                <w:sz w:val="22"/>
              </w:rPr>
            </w:pPr>
            <w:r>
              <w:rPr>
                <w:spacing w:val="-9"/>
                <w:sz w:val="22"/>
              </w:rPr>
              <w:t>注册地址：北京市东城区朝阳门北大街 </w:t>
            </w:r>
            <w:r>
              <w:rPr>
                <w:rFonts w:ascii="Arial" w:eastAsia="Arial"/>
                <w:sz w:val="22"/>
              </w:rPr>
              <w:t>8 </w:t>
            </w:r>
            <w:r>
              <w:rPr>
                <w:spacing w:val="-11"/>
                <w:sz w:val="22"/>
              </w:rPr>
              <w:t>号富华大厦 </w:t>
            </w:r>
            <w:r>
              <w:rPr>
                <w:rFonts w:ascii="Arial" w:eastAsia="Arial"/>
                <w:sz w:val="22"/>
              </w:rPr>
              <w:t>C</w:t>
            </w:r>
          </w:p>
          <w:p>
            <w:pPr>
              <w:pStyle w:val="TableParagraph"/>
              <w:spacing w:before="30"/>
              <w:ind w:left="108"/>
              <w:rPr>
                <w:sz w:val="22"/>
              </w:rPr>
            </w:pPr>
            <w:r>
              <w:rPr>
                <w:w w:val="100"/>
                <w:sz w:val="22"/>
              </w:rPr>
              <w:t>座</w:t>
            </w:r>
          </w:p>
          <w:p>
            <w:pPr>
              <w:pStyle w:val="TableParagraph"/>
              <w:spacing w:line="266" w:lineRule="auto" w:before="30"/>
              <w:ind w:left="108" w:right="216"/>
              <w:rPr>
                <w:sz w:val="22"/>
              </w:rPr>
            </w:pPr>
            <w:r>
              <w:rPr>
                <w:sz w:val="22"/>
              </w:rPr>
              <w:t>办公地址：北京市东城区朝阳门北大街 </w:t>
            </w:r>
            <w:r>
              <w:rPr>
                <w:rFonts w:ascii="Arial" w:eastAsia="Arial"/>
                <w:sz w:val="22"/>
              </w:rPr>
              <w:t>9 </w:t>
            </w:r>
            <w:r>
              <w:rPr>
                <w:sz w:val="22"/>
              </w:rPr>
              <w:t>号文化大厦法定代表人：李庆萍</w:t>
            </w:r>
          </w:p>
          <w:p>
            <w:pPr>
              <w:pStyle w:val="TableParagraph"/>
              <w:spacing w:line="266" w:lineRule="auto"/>
              <w:ind w:left="108" w:right="3216"/>
              <w:rPr>
                <w:rFonts w:ascii="Arial" w:eastAsia="Arial"/>
                <w:sz w:val="22"/>
              </w:rPr>
            </w:pPr>
            <w:r>
              <w:rPr>
                <w:sz w:val="22"/>
              </w:rPr>
              <w:t>电话：</w:t>
            </w:r>
            <w:r>
              <w:rPr>
                <w:rFonts w:ascii="Arial" w:eastAsia="Arial"/>
                <w:sz w:val="22"/>
              </w:rPr>
              <w:t>010-89937369 </w:t>
            </w:r>
            <w:r>
              <w:rPr>
                <w:sz w:val="22"/>
              </w:rPr>
              <w:t>传真：</w:t>
            </w:r>
            <w:r>
              <w:rPr>
                <w:rFonts w:ascii="Arial" w:eastAsia="Arial"/>
                <w:sz w:val="22"/>
              </w:rPr>
              <w:t>010</w:t>
            </w:r>
            <w:r>
              <w:rPr>
                <w:rFonts w:ascii="Arial" w:eastAsia="Arial"/>
                <w:spacing w:val="-3"/>
                <w:sz w:val="22"/>
              </w:rPr>
              <w:t>- </w:t>
            </w:r>
            <w:r>
              <w:rPr>
                <w:rFonts w:ascii="Arial" w:eastAsia="Arial"/>
                <w:sz w:val="22"/>
              </w:rPr>
              <w:t>85230049</w:t>
            </w:r>
          </w:p>
          <w:p>
            <w:pPr>
              <w:pStyle w:val="TableParagraph"/>
              <w:spacing w:line="280" w:lineRule="exact"/>
              <w:ind w:left="108"/>
              <w:rPr>
                <w:rFonts w:ascii="Arial" w:eastAsia="Arial"/>
                <w:sz w:val="22"/>
              </w:rPr>
            </w:pPr>
            <w:r>
              <w:rPr>
                <w:spacing w:val="-2"/>
                <w:sz w:val="22"/>
              </w:rPr>
              <w:t>客户服务电话：</w:t>
            </w:r>
            <w:r>
              <w:rPr>
                <w:rFonts w:ascii="Arial" w:eastAsia="Arial"/>
                <w:sz w:val="22"/>
              </w:rPr>
              <w:t>95558</w:t>
            </w:r>
          </w:p>
          <w:p>
            <w:pPr>
              <w:pStyle w:val="TableParagraph"/>
              <w:spacing w:line="274" w:lineRule="exact" w:before="28"/>
              <w:ind w:left="108"/>
              <w:rPr>
                <w:rFonts w:ascii="Arial" w:eastAsia="Arial"/>
                <w:sz w:val="22"/>
              </w:rPr>
            </w:pPr>
            <w:r>
              <w:rPr>
                <w:sz w:val="22"/>
              </w:rPr>
              <w:t>网址：</w:t>
            </w:r>
            <w:hyperlink r:id="rId20">
              <w:r>
                <w:rPr>
                  <w:rFonts w:ascii="Arial" w:eastAsia="Arial"/>
                  <w:sz w:val="22"/>
                </w:rPr>
                <w:t>www.bank.ecitic.com</w:t>
              </w:r>
            </w:hyperlink>
          </w:p>
        </w:tc>
      </w:tr>
      <w:tr>
        <w:trPr>
          <w:trHeight w:val="2493" w:hRule="atLeast"/>
        </w:trPr>
        <w:tc>
          <w:tcPr>
            <w:tcW w:w="470" w:type="dxa"/>
            <w:tcBorders>
              <w:top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5"/>
              </w:rPr>
            </w:pPr>
          </w:p>
          <w:p>
            <w:pPr>
              <w:pStyle w:val="TableParagraph"/>
              <w:ind w:right="105"/>
              <w:jc w:val="right"/>
              <w:rPr>
                <w:rFonts w:ascii="Arial"/>
                <w:sz w:val="21"/>
              </w:rPr>
            </w:pPr>
            <w:r>
              <w:rPr>
                <w:rFonts w:ascii="Arial"/>
                <w:sz w:val="21"/>
              </w:rPr>
              <w:t>14</w:t>
            </w:r>
          </w:p>
        </w:tc>
        <w:tc>
          <w:tcPr>
            <w:tcW w:w="2484"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30"/>
              </w:rPr>
            </w:pPr>
          </w:p>
          <w:p>
            <w:pPr>
              <w:pStyle w:val="TableParagraph"/>
              <w:spacing w:before="1"/>
              <w:ind w:left="120" w:right="113"/>
              <w:jc w:val="center"/>
              <w:rPr>
                <w:sz w:val="22"/>
              </w:rPr>
            </w:pPr>
            <w:r>
              <w:rPr>
                <w:sz w:val="22"/>
              </w:rPr>
              <w:t>平安银行股份有限公司</w:t>
            </w:r>
          </w:p>
        </w:tc>
        <w:tc>
          <w:tcPr>
            <w:tcW w:w="5480" w:type="dxa"/>
            <w:tcBorders>
              <w:top w:val="single" w:sz="6" w:space="0" w:color="000000"/>
            </w:tcBorders>
          </w:tcPr>
          <w:p>
            <w:pPr>
              <w:pStyle w:val="TableParagraph"/>
              <w:spacing w:line="266" w:lineRule="auto" w:before="12"/>
              <w:ind w:left="108" w:right="69"/>
              <w:rPr>
                <w:sz w:val="22"/>
              </w:rPr>
            </w:pPr>
            <w:r>
              <w:rPr>
                <w:sz w:val="22"/>
              </w:rPr>
              <w:t>注册（办公）地址：深圳市深南东路 </w:t>
            </w:r>
            <w:r>
              <w:rPr>
                <w:rFonts w:ascii="Arial" w:eastAsia="Arial"/>
                <w:sz w:val="22"/>
              </w:rPr>
              <w:t>5047 </w:t>
            </w:r>
            <w:r>
              <w:rPr>
                <w:sz w:val="22"/>
              </w:rPr>
              <w:t>号深圳发展银行大厦</w:t>
            </w:r>
          </w:p>
          <w:p>
            <w:pPr>
              <w:pStyle w:val="TableParagraph"/>
              <w:spacing w:line="266" w:lineRule="auto"/>
              <w:ind w:left="108" w:right="3376"/>
              <w:rPr>
                <w:sz w:val="22"/>
              </w:rPr>
            </w:pPr>
            <w:r>
              <w:rPr>
                <w:sz w:val="22"/>
              </w:rPr>
              <w:t>法定代表人：孙建一联系人：张莉</w:t>
            </w:r>
          </w:p>
          <w:p>
            <w:pPr>
              <w:pStyle w:val="TableParagraph"/>
              <w:spacing w:line="266" w:lineRule="auto"/>
              <w:ind w:left="108" w:right="3278"/>
              <w:rPr>
                <w:rFonts w:ascii="Arial" w:eastAsia="Arial"/>
                <w:sz w:val="22"/>
              </w:rPr>
            </w:pPr>
            <w:r>
              <w:rPr>
                <w:sz w:val="22"/>
              </w:rPr>
              <w:t>电话：</w:t>
            </w:r>
            <w:r>
              <w:rPr>
                <w:rFonts w:ascii="Arial" w:eastAsia="Arial"/>
                <w:sz w:val="22"/>
              </w:rPr>
              <w:t>021-38637673 </w:t>
            </w:r>
            <w:r>
              <w:rPr>
                <w:sz w:val="22"/>
              </w:rPr>
              <w:t>传真：</w:t>
            </w:r>
            <w:r>
              <w:rPr>
                <w:rFonts w:ascii="Arial" w:eastAsia="Arial"/>
                <w:sz w:val="22"/>
              </w:rPr>
              <w:t>021-50979507</w:t>
            </w:r>
          </w:p>
          <w:p>
            <w:pPr>
              <w:pStyle w:val="TableParagraph"/>
              <w:spacing w:line="280" w:lineRule="exact"/>
              <w:ind w:left="108"/>
              <w:rPr>
                <w:rFonts w:ascii="Arial" w:eastAsia="Arial"/>
                <w:sz w:val="22"/>
              </w:rPr>
            </w:pPr>
            <w:r>
              <w:rPr>
                <w:sz w:val="22"/>
              </w:rPr>
              <w:t>客户服务电话：</w:t>
            </w:r>
            <w:r>
              <w:rPr>
                <w:rFonts w:ascii="Arial" w:eastAsia="Arial"/>
                <w:sz w:val="22"/>
              </w:rPr>
              <w:t>95511</w:t>
            </w:r>
            <w:r>
              <w:rPr>
                <w:sz w:val="22"/>
              </w:rPr>
              <w:t>－</w:t>
            </w:r>
            <w:r>
              <w:rPr>
                <w:rFonts w:ascii="Arial" w:eastAsia="Arial"/>
                <w:sz w:val="22"/>
              </w:rPr>
              <w:t>3</w:t>
            </w:r>
          </w:p>
          <w:p>
            <w:pPr>
              <w:pStyle w:val="TableParagraph"/>
              <w:spacing w:line="277" w:lineRule="exact" w:before="27"/>
              <w:ind w:left="108"/>
              <w:rPr>
                <w:rFonts w:ascii="Arial" w:eastAsia="Arial"/>
                <w:sz w:val="22"/>
              </w:rPr>
            </w:pPr>
            <w:r>
              <w:rPr>
                <w:sz w:val="22"/>
              </w:rPr>
              <w:t>网址：</w:t>
            </w:r>
            <w:hyperlink r:id="rId21">
              <w:r>
                <w:rPr>
                  <w:rFonts w:ascii="Arial" w:eastAsia="Arial"/>
                  <w:sz w:val="22"/>
                </w:rPr>
                <w:t>www.bank.pingan.com</w:t>
              </w:r>
            </w:hyperlink>
          </w:p>
        </w:tc>
      </w:tr>
      <w:tr>
        <w:trPr>
          <w:trHeight w:val="249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05"/>
              <w:jc w:val="right"/>
              <w:rPr>
                <w:rFonts w:ascii="Arial"/>
                <w:sz w:val="21"/>
              </w:rPr>
            </w:pPr>
            <w:r>
              <w:rPr>
                <w:rFonts w:ascii="Arial"/>
                <w:sz w:val="21"/>
              </w:rPr>
              <w:t>15</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渤海银行股份有限公司</w:t>
            </w:r>
          </w:p>
        </w:tc>
        <w:tc>
          <w:tcPr>
            <w:tcW w:w="5480" w:type="dxa"/>
          </w:tcPr>
          <w:p>
            <w:pPr>
              <w:pStyle w:val="TableParagraph"/>
              <w:spacing w:before="15"/>
              <w:ind w:left="108"/>
              <w:rPr>
                <w:sz w:val="22"/>
              </w:rPr>
            </w:pPr>
            <w:r>
              <w:rPr>
                <w:sz w:val="22"/>
              </w:rPr>
              <w:t>注册地址：天津市河西区马场道 </w:t>
            </w:r>
            <w:r>
              <w:rPr>
                <w:rFonts w:ascii="Arial" w:eastAsia="Arial"/>
                <w:sz w:val="22"/>
              </w:rPr>
              <w:t>201-205 </w:t>
            </w:r>
            <w:r>
              <w:rPr>
                <w:sz w:val="22"/>
              </w:rPr>
              <w:t>号</w:t>
            </w:r>
          </w:p>
          <w:p>
            <w:pPr>
              <w:pStyle w:val="TableParagraph"/>
              <w:spacing w:line="266" w:lineRule="auto" w:before="30"/>
              <w:ind w:left="108" w:right="93"/>
              <w:rPr>
                <w:sz w:val="22"/>
              </w:rPr>
            </w:pPr>
            <w:r>
              <w:rPr>
                <w:spacing w:val="-11"/>
                <w:sz w:val="22"/>
              </w:rPr>
              <w:t>办公地址：天津市河东区海河东路 </w:t>
            </w:r>
            <w:r>
              <w:rPr>
                <w:rFonts w:ascii="Arial" w:eastAsia="Arial"/>
                <w:sz w:val="22"/>
              </w:rPr>
              <w:t>218 </w:t>
            </w:r>
            <w:r>
              <w:rPr>
                <w:spacing w:val="-4"/>
                <w:sz w:val="22"/>
              </w:rPr>
              <w:t>号渤海银行大厦</w:t>
            </w:r>
            <w:r>
              <w:rPr>
                <w:spacing w:val="-2"/>
                <w:sz w:val="22"/>
              </w:rPr>
              <w:t>法定代表人：李伏安</w:t>
            </w:r>
          </w:p>
          <w:p>
            <w:pPr>
              <w:pStyle w:val="TableParagraph"/>
              <w:spacing w:line="281" w:lineRule="exact"/>
              <w:ind w:left="108"/>
              <w:rPr>
                <w:sz w:val="22"/>
              </w:rPr>
            </w:pPr>
            <w:r>
              <w:rPr>
                <w:sz w:val="22"/>
              </w:rPr>
              <w:t>联系人：王宏</w:t>
            </w:r>
          </w:p>
          <w:p>
            <w:pPr>
              <w:pStyle w:val="TableParagraph"/>
              <w:spacing w:line="266" w:lineRule="auto" w:before="30"/>
              <w:ind w:left="108" w:right="2838"/>
              <w:rPr>
                <w:rFonts w:ascii="Arial" w:eastAsia="Arial"/>
                <w:sz w:val="22"/>
              </w:rPr>
            </w:pPr>
            <w:r>
              <w:rPr>
                <w:sz w:val="22"/>
              </w:rPr>
              <w:t>联系电话：</w:t>
            </w:r>
            <w:r>
              <w:rPr>
                <w:rFonts w:ascii="Arial" w:eastAsia="Arial"/>
                <w:sz w:val="22"/>
              </w:rPr>
              <w:t>022-58316666 </w:t>
            </w:r>
            <w:r>
              <w:rPr>
                <w:sz w:val="22"/>
              </w:rPr>
              <w:t>传真：</w:t>
            </w:r>
            <w:r>
              <w:rPr>
                <w:rFonts w:ascii="Arial" w:eastAsia="Arial"/>
                <w:sz w:val="22"/>
              </w:rPr>
              <w:t>022-58316259</w:t>
            </w:r>
          </w:p>
          <w:p>
            <w:pPr>
              <w:pStyle w:val="TableParagraph"/>
              <w:spacing w:line="280" w:lineRule="exact"/>
              <w:ind w:left="108"/>
              <w:rPr>
                <w:rFonts w:ascii="Arial" w:eastAsia="Arial"/>
                <w:sz w:val="22"/>
              </w:rPr>
            </w:pPr>
            <w:r>
              <w:rPr>
                <w:sz w:val="22"/>
              </w:rPr>
              <w:t>客户服务热线：</w:t>
            </w:r>
            <w:r>
              <w:rPr>
                <w:rFonts w:ascii="Arial" w:eastAsia="Arial"/>
                <w:sz w:val="22"/>
              </w:rPr>
              <w:t>95541</w:t>
            </w:r>
          </w:p>
          <w:p>
            <w:pPr>
              <w:pStyle w:val="TableParagraph"/>
              <w:spacing w:line="277" w:lineRule="exact" w:before="30"/>
              <w:ind w:left="108"/>
              <w:rPr>
                <w:rFonts w:ascii="Arial" w:eastAsia="Arial"/>
                <w:sz w:val="22"/>
              </w:rPr>
            </w:pPr>
            <w:r>
              <w:rPr>
                <w:sz w:val="22"/>
              </w:rPr>
              <w:t>网址：</w:t>
            </w:r>
            <w:hyperlink r:id="rId22">
              <w:r>
                <w:rPr>
                  <w:rFonts w:ascii="Arial" w:eastAsia="Arial"/>
                  <w:sz w:val="22"/>
                </w:rPr>
                <w:t>www.cbhb.com.cn</w:t>
              </w:r>
            </w:hyperlink>
          </w:p>
        </w:tc>
      </w:tr>
      <w:tr>
        <w:trPr>
          <w:trHeight w:val="1249" w:hRule="atLeast"/>
        </w:trPr>
        <w:tc>
          <w:tcPr>
            <w:tcW w:w="470" w:type="dxa"/>
          </w:tcPr>
          <w:p>
            <w:pPr>
              <w:pStyle w:val="TableParagraph"/>
              <w:rPr>
                <w:rFonts w:ascii="Times New Roman"/>
                <w:sz w:val="24"/>
              </w:rPr>
            </w:pPr>
          </w:p>
          <w:p>
            <w:pPr>
              <w:pStyle w:val="TableParagraph"/>
              <w:spacing w:before="9"/>
              <w:rPr>
                <w:rFonts w:ascii="Times New Roman"/>
                <w:sz w:val="19"/>
              </w:rPr>
            </w:pPr>
          </w:p>
          <w:p>
            <w:pPr>
              <w:pStyle w:val="TableParagraph"/>
              <w:ind w:right="105"/>
              <w:jc w:val="right"/>
              <w:rPr>
                <w:rFonts w:ascii="Arial"/>
                <w:sz w:val="21"/>
              </w:rPr>
            </w:pPr>
            <w:r>
              <w:rPr>
                <w:rFonts w:ascii="Arial"/>
                <w:sz w:val="21"/>
              </w:rPr>
              <w:t>16</w:t>
            </w:r>
          </w:p>
        </w:tc>
        <w:tc>
          <w:tcPr>
            <w:tcW w:w="2484" w:type="dxa"/>
          </w:tcPr>
          <w:p>
            <w:pPr>
              <w:pStyle w:val="TableParagraph"/>
              <w:rPr>
                <w:rFonts w:ascii="Times New Roman"/>
                <w:sz w:val="22"/>
              </w:rPr>
            </w:pPr>
          </w:p>
          <w:p>
            <w:pPr>
              <w:pStyle w:val="TableParagraph"/>
              <w:spacing w:before="2"/>
              <w:rPr>
                <w:rFonts w:ascii="Times New Roman"/>
                <w:sz w:val="20"/>
              </w:rPr>
            </w:pPr>
          </w:p>
          <w:p>
            <w:pPr>
              <w:pStyle w:val="TableParagraph"/>
              <w:ind w:left="120" w:right="113"/>
              <w:jc w:val="center"/>
              <w:rPr>
                <w:sz w:val="22"/>
              </w:rPr>
            </w:pPr>
            <w:r>
              <w:rPr>
                <w:sz w:val="22"/>
              </w:rPr>
              <w:t>温州银行股份有限公司</w:t>
            </w:r>
          </w:p>
        </w:tc>
        <w:tc>
          <w:tcPr>
            <w:tcW w:w="5480" w:type="dxa"/>
          </w:tcPr>
          <w:p>
            <w:pPr>
              <w:pStyle w:val="TableParagraph"/>
              <w:spacing w:line="266" w:lineRule="auto" w:before="17"/>
              <w:ind w:left="108" w:right="188"/>
              <w:rPr>
                <w:sz w:val="22"/>
              </w:rPr>
            </w:pPr>
            <w:r>
              <w:rPr>
                <w:sz w:val="22"/>
              </w:rPr>
              <w:t>注册（办公）地址：温州市车站大道华海广场 </w:t>
            </w:r>
            <w:r>
              <w:rPr>
                <w:rFonts w:ascii="Arial" w:eastAsia="Arial"/>
                <w:sz w:val="22"/>
              </w:rPr>
              <w:t>1 </w:t>
            </w:r>
            <w:r>
              <w:rPr>
                <w:sz w:val="22"/>
              </w:rPr>
              <w:t>号楼法定代表人：夏瑞洲</w:t>
            </w:r>
          </w:p>
          <w:p>
            <w:pPr>
              <w:pStyle w:val="TableParagraph"/>
              <w:spacing w:line="280" w:lineRule="exact"/>
              <w:ind w:left="108"/>
              <w:rPr>
                <w:rFonts w:ascii="Arial" w:eastAsia="Arial"/>
                <w:sz w:val="22"/>
              </w:rPr>
            </w:pPr>
            <w:r>
              <w:rPr>
                <w:sz w:val="22"/>
              </w:rPr>
              <w:t>客户服务电话：</w:t>
            </w:r>
            <w:r>
              <w:rPr>
                <w:rFonts w:ascii="Arial" w:eastAsia="Arial"/>
                <w:sz w:val="22"/>
              </w:rPr>
              <w:t>0577-96699</w:t>
            </w:r>
          </w:p>
          <w:p>
            <w:pPr>
              <w:pStyle w:val="TableParagraph"/>
              <w:spacing w:line="277" w:lineRule="exact" w:before="30"/>
              <w:ind w:left="108"/>
              <w:rPr>
                <w:rFonts w:ascii="Arial" w:eastAsia="Arial"/>
                <w:sz w:val="22"/>
              </w:rPr>
            </w:pPr>
            <w:r>
              <w:rPr>
                <w:sz w:val="22"/>
              </w:rPr>
              <w:t>网址：</w:t>
            </w:r>
            <w:hyperlink r:id="rId23">
              <w:r>
                <w:rPr>
                  <w:rFonts w:ascii="Arial" w:eastAsia="Arial"/>
                  <w:sz w:val="22"/>
                </w:rPr>
                <w:t>www.wzbank.cn</w:t>
              </w:r>
            </w:hyperlink>
          </w:p>
        </w:tc>
      </w:tr>
      <w:tr>
        <w:trPr>
          <w:trHeight w:val="2184"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05"/>
              <w:jc w:val="right"/>
              <w:rPr>
                <w:rFonts w:ascii="Arial"/>
                <w:sz w:val="21"/>
              </w:rPr>
            </w:pPr>
            <w:r>
              <w:rPr>
                <w:rFonts w:ascii="Arial"/>
                <w:sz w:val="21"/>
              </w:rPr>
              <w:t>17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20" w:right="113"/>
              <w:jc w:val="center"/>
              <w:rPr>
                <w:sz w:val="22"/>
              </w:rPr>
            </w:pPr>
            <w:r>
              <w:rPr>
                <w:sz w:val="22"/>
              </w:rPr>
              <w:t>浙商银行股份有限公司</w:t>
            </w:r>
          </w:p>
        </w:tc>
        <w:tc>
          <w:tcPr>
            <w:tcW w:w="5480" w:type="dxa"/>
          </w:tcPr>
          <w:p>
            <w:pPr>
              <w:pStyle w:val="TableParagraph"/>
              <w:spacing w:line="266" w:lineRule="auto" w:before="15"/>
              <w:ind w:left="108" w:right="850"/>
              <w:rPr>
                <w:sz w:val="22"/>
              </w:rPr>
            </w:pPr>
            <w:r>
              <w:rPr>
                <w:sz w:val="22"/>
              </w:rPr>
              <w:t>注册（办公）地址：中国杭州市庆春路 </w:t>
            </w:r>
            <w:r>
              <w:rPr>
                <w:rFonts w:ascii="Arial" w:eastAsia="Arial"/>
                <w:sz w:val="22"/>
              </w:rPr>
              <w:t>288 </w:t>
            </w:r>
            <w:r>
              <w:rPr>
                <w:sz w:val="22"/>
              </w:rPr>
              <w:t>号法定代表人：张达洋</w:t>
            </w:r>
          </w:p>
          <w:p>
            <w:pPr>
              <w:pStyle w:val="TableParagraph"/>
              <w:spacing w:line="266" w:lineRule="auto"/>
              <w:ind w:left="108" w:right="3156"/>
              <w:rPr>
                <w:rFonts w:ascii="Arial" w:eastAsia="Arial"/>
                <w:sz w:val="22"/>
              </w:rPr>
            </w:pPr>
            <w:r>
              <w:rPr>
                <w:sz w:val="22"/>
              </w:rPr>
              <w:t>电话：</w:t>
            </w:r>
            <w:r>
              <w:rPr>
                <w:rFonts w:ascii="Arial" w:eastAsia="Arial"/>
                <w:sz w:val="22"/>
              </w:rPr>
              <w:t>0571-87659546 </w:t>
            </w:r>
            <w:r>
              <w:rPr>
                <w:sz w:val="22"/>
              </w:rPr>
              <w:t>传真：</w:t>
            </w:r>
            <w:r>
              <w:rPr>
                <w:rFonts w:ascii="Arial" w:eastAsia="Arial"/>
                <w:sz w:val="22"/>
              </w:rPr>
              <w:t>0571-87659188</w:t>
            </w:r>
          </w:p>
          <w:p>
            <w:pPr>
              <w:pStyle w:val="TableParagraph"/>
              <w:spacing w:line="280" w:lineRule="exact"/>
              <w:ind w:left="108"/>
              <w:rPr>
                <w:sz w:val="22"/>
              </w:rPr>
            </w:pPr>
            <w:r>
              <w:rPr>
                <w:sz w:val="22"/>
              </w:rPr>
              <w:t>联系人：毛真海</w:t>
            </w:r>
          </w:p>
          <w:p>
            <w:pPr>
              <w:pStyle w:val="TableParagraph"/>
              <w:spacing w:before="29"/>
              <w:ind w:left="108"/>
              <w:rPr>
                <w:rFonts w:ascii="Arial" w:eastAsia="Arial"/>
                <w:sz w:val="22"/>
              </w:rPr>
            </w:pPr>
            <w:r>
              <w:rPr>
                <w:sz w:val="22"/>
              </w:rPr>
              <w:t>客户服务热线：</w:t>
            </w:r>
            <w:r>
              <w:rPr>
                <w:rFonts w:ascii="Arial" w:eastAsia="Arial"/>
                <w:sz w:val="22"/>
              </w:rPr>
              <w:t>95527</w:t>
            </w:r>
          </w:p>
          <w:p>
            <w:pPr>
              <w:pStyle w:val="TableParagraph"/>
              <w:spacing w:line="277" w:lineRule="exact" w:before="30"/>
              <w:ind w:left="108"/>
              <w:rPr>
                <w:rFonts w:ascii="Arial" w:eastAsia="Arial"/>
                <w:sz w:val="22"/>
              </w:rPr>
            </w:pPr>
            <w:r>
              <w:rPr>
                <w:sz w:val="22"/>
              </w:rPr>
              <w:t>银行网址：</w:t>
            </w:r>
            <w:hyperlink r:id="rId24">
              <w:r>
                <w:rPr>
                  <w:rFonts w:ascii="Arial" w:eastAsia="Arial"/>
                  <w:sz w:val="22"/>
                </w:rPr>
                <w:t>www.czbank.com</w:t>
              </w:r>
            </w:hyperlink>
          </w:p>
        </w:tc>
      </w:tr>
      <w:tr>
        <w:trPr>
          <w:trHeight w:val="1872"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05"/>
              <w:jc w:val="right"/>
              <w:rPr>
                <w:rFonts w:ascii="Arial"/>
                <w:sz w:val="21"/>
              </w:rPr>
            </w:pPr>
            <w:r>
              <w:rPr>
                <w:rFonts w:ascii="Arial"/>
                <w:sz w:val="21"/>
              </w:rPr>
              <w:t>18</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20" w:right="113"/>
              <w:jc w:val="center"/>
              <w:rPr>
                <w:sz w:val="22"/>
              </w:rPr>
            </w:pPr>
            <w:r>
              <w:rPr>
                <w:sz w:val="22"/>
              </w:rPr>
              <w:t>华夏银行股份有限公司</w:t>
            </w:r>
          </w:p>
        </w:tc>
        <w:tc>
          <w:tcPr>
            <w:tcW w:w="5480" w:type="dxa"/>
          </w:tcPr>
          <w:p>
            <w:pPr>
              <w:pStyle w:val="TableParagraph"/>
              <w:spacing w:line="266" w:lineRule="auto" w:before="15"/>
              <w:ind w:left="108" w:right="94"/>
              <w:rPr>
                <w:sz w:val="22"/>
              </w:rPr>
            </w:pPr>
            <w:r>
              <w:rPr>
                <w:sz w:val="22"/>
              </w:rPr>
              <w:t>注册（办公）地址：北京市东城区建国门内大街 </w:t>
            </w:r>
            <w:r>
              <w:rPr>
                <w:rFonts w:ascii="Arial" w:eastAsia="Arial"/>
                <w:sz w:val="22"/>
              </w:rPr>
              <w:t>22 </w:t>
            </w:r>
            <w:r>
              <w:rPr>
                <w:sz w:val="22"/>
              </w:rPr>
              <w:t>号法定代表人：吴建</w:t>
            </w:r>
          </w:p>
          <w:p>
            <w:pPr>
              <w:pStyle w:val="TableParagraph"/>
              <w:spacing w:line="280" w:lineRule="exact"/>
              <w:ind w:left="108"/>
              <w:rPr>
                <w:sz w:val="22"/>
              </w:rPr>
            </w:pPr>
            <w:r>
              <w:rPr>
                <w:sz w:val="22"/>
              </w:rPr>
              <w:t>联系人：马旭</w:t>
            </w:r>
          </w:p>
          <w:p>
            <w:pPr>
              <w:pStyle w:val="TableParagraph"/>
              <w:spacing w:before="30"/>
              <w:ind w:left="108"/>
              <w:rPr>
                <w:rFonts w:ascii="Arial" w:eastAsia="Arial"/>
                <w:sz w:val="22"/>
              </w:rPr>
            </w:pPr>
            <w:r>
              <w:rPr>
                <w:sz w:val="22"/>
              </w:rPr>
              <w:t>联系电话：</w:t>
            </w:r>
            <w:r>
              <w:rPr>
                <w:rFonts w:ascii="Arial" w:eastAsia="Arial"/>
                <w:sz w:val="22"/>
              </w:rPr>
              <w:t>010-85238425</w:t>
            </w:r>
          </w:p>
          <w:p>
            <w:pPr>
              <w:pStyle w:val="TableParagraph"/>
              <w:spacing w:before="30"/>
              <w:ind w:left="108"/>
              <w:rPr>
                <w:rFonts w:ascii="Arial" w:eastAsia="Arial"/>
                <w:sz w:val="22"/>
              </w:rPr>
            </w:pPr>
            <w:r>
              <w:rPr>
                <w:sz w:val="22"/>
              </w:rPr>
              <w:t>客户服务电话：</w:t>
            </w:r>
            <w:r>
              <w:rPr>
                <w:rFonts w:ascii="Arial" w:eastAsia="Arial"/>
                <w:sz w:val="22"/>
              </w:rPr>
              <w:t>95577</w:t>
            </w:r>
          </w:p>
          <w:p>
            <w:pPr>
              <w:pStyle w:val="TableParagraph"/>
              <w:spacing w:line="277" w:lineRule="exact" w:before="30"/>
              <w:ind w:left="108"/>
              <w:rPr>
                <w:rFonts w:ascii="Arial" w:eastAsia="Arial"/>
                <w:sz w:val="22"/>
              </w:rPr>
            </w:pPr>
            <w:r>
              <w:rPr>
                <w:sz w:val="22"/>
              </w:rPr>
              <w:t>公司网址：</w:t>
            </w:r>
            <w:hyperlink r:id="rId25">
              <w:r>
                <w:rPr>
                  <w:rFonts w:ascii="Arial" w:eastAsia="Arial"/>
                  <w:sz w:val="22"/>
                </w:rPr>
                <w:t>www.hxb.com.cn</w:t>
              </w:r>
            </w:hyperlink>
          </w:p>
        </w:tc>
      </w:tr>
    </w:tbl>
    <w:p>
      <w:pPr>
        <w:spacing w:after="0" w:line="277" w:lineRule="exact"/>
        <w:rPr>
          <w:rFonts w:ascii="Arial" w:eastAsia="Arial"/>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2496" w:hRule="atLeast"/>
        </w:trPr>
        <w:tc>
          <w:tcPr>
            <w:tcW w:w="470"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05"/>
              <w:jc w:val="right"/>
              <w:rPr>
                <w:rFonts w:ascii="Arial"/>
                <w:sz w:val="21"/>
              </w:rPr>
            </w:pPr>
            <w:r>
              <w:rPr>
                <w:rFonts w:ascii="Arial"/>
                <w:sz w:val="21"/>
              </w:rPr>
              <w:t>19</w:t>
            </w:r>
          </w:p>
        </w:tc>
        <w:tc>
          <w:tcPr>
            <w:tcW w:w="2484"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金华银行股份有限公司</w:t>
            </w:r>
          </w:p>
        </w:tc>
        <w:tc>
          <w:tcPr>
            <w:tcW w:w="5480" w:type="dxa"/>
            <w:tcBorders>
              <w:top w:val="nil"/>
            </w:tcBorders>
          </w:tcPr>
          <w:p>
            <w:pPr>
              <w:pStyle w:val="TableParagraph"/>
              <w:spacing w:line="266" w:lineRule="auto" w:before="15"/>
              <w:ind w:left="108"/>
              <w:rPr>
                <w:sz w:val="22"/>
              </w:rPr>
            </w:pPr>
            <w:r>
              <w:rPr>
                <w:spacing w:val="-21"/>
                <w:sz w:val="22"/>
              </w:rPr>
              <w:t>注册</w:t>
            </w:r>
            <w:r>
              <w:rPr>
                <w:sz w:val="22"/>
              </w:rPr>
              <w:t>（</w:t>
            </w:r>
            <w:r>
              <w:rPr>
                <w:spacing w:val="-2"/>
                <w:sz w:val="22"/>
              </w:rPr>
              <w:t>办公</w:t>
            </w:r>
            <w:r>
              <w:rPr>
                <w:spacing w:val="-41"/>
                <w:sz w:val="22"/>
              </w:rPr>
              <w:t>）</w:t>
            </w:r>
            <w:r>
              <w:rPr>
                <w:spacing w:val="-12"/>
                <w:sz w:val="22"/>
              </w:rPr>
              <w:t>地址：浙江省金华市光南路 </w:t>
            </w:r>
            <w:r>
              <w:rPr>
                <w:rFonts w:ascii="Arial" w:eastAsia="Arial"/>
                <w:sz w:val="22"/>
              </w:rPr>
              <w:t>668</w:t>
            </w:r>
            <w:r>
              <w:rPr>
                <w:rFonts w:ascii="Arial" w:eastAsia="Arial"/>
                <w:spacing w:val="-2"/>
                <w:sz w:val="22"/>
              </w:rPr>
              <w:t> </w:t>
            </w:r>
            <w:r>
              <w:rPr>
                <w:spacing w:val="-41"/>
                <w:sz w:val="22"/>
              </w:rPr>
              <w:t>号</w:t>
            </w:r>
            <w:r>
              <w:rPr>
                <w:spacing w:val="-3"/>
                <w:sz w:val="22"/>
              </w:rPr>
              <w:t>（</w:t>
            </w:r>
            <w:r>
              <w:rPr>
                <w:sz w:val="22"/>
              </w:rPr>
              <w:t>邮编： </w:t>
            </w:r>
            <w:r>
              <w:rPr>
                <w:rFonts w:ascii="Arial" w:eastAsia="Arial"/>
                <w:sz w:val="22"/>
              </w:rPr>
              <w:t>321015</w:t>
            </w:r>
            <w:r>
              <w:rPr>
                <w:sz w:val="22"/>
              </w:rPr>
              <w:t>）</w:t>
            </w:r>
          </w:p>
          <w:p>
            <w:pPr>
              <w:pStyle w:val="TableParagraph"/>
              <w:spacing w:line="266" w:lineRule="auto"/>
              <w:ind w:left="108" w:right="3376"/>
              <w:rPr>
                <w:sz w:val="22"/>
              </w:rPr>
            </w:pPr>
            <w:r>
              <w:rPr>
                <w:sz w:val="22"/>
              </w:rPr>
              <w:t>法定代表人：徐雅清联系人：徐晓峰</w:t>
            </w:r>
          </w:p>
          <w:p>
            <w:pPr>
              <w:pStyle w:val="TableParagraph"/>
              <w:spacing w:line="266" w:lineRule="auto"/>
              <w:ind w:left="108" w:right="3156"/>
              <w:rPr>
                <w:rFonts w:ascii="Arial" w:eastAsia="Arial"/>
                <w:sz w:val="22"/>
              </w:rPr>
            </w:pPr>
            <w:r>
              <w:rPr>
                <w:sz w:val="22"/>
              </w:rPr>
              <w:t>电话：</w:t>
            </w:r>
            <w:r>
              <w:rPr>
                <w:rFonts w:ascii="Arial" w:eastAsia="Arial"/>
                <w:sz w:val="22"/>
              </w:rPr>
              <w:t>0579-83207775 </w:t>
            </w:r>
            <w:r>
              <w:rPr>
                <w:sz w:val="22"/>
              </w:rPr>
              <w:t>传真：</w:t>
            </w:r>
            <w:r>
              <w:rPr>
                <w:rFonts w:ascii="Arial" w:eastAsia="Arial"/>
                <w:sz w:val="22"/>
              </w:rPr>
              <w:t>0579-82178321</w:t>
            </w:r>
          </w:p>
          <w:p>
            <w:pPr>
              <w:pStyle w:val="TableParagraph"/>
              <w:spacing w:line="280" w:lineRule="exact"/>
              <w:ind w:left="108"/>
              <w:rPr>
                <w:rFonts w:ascii="Arial" w:eastAsia="Arial"/>
                <w:sz w:val="22"/>
              </w:rPr>
            </w:pPr>
            <w:r>
              <w:rPr>
                <w:spacing w:val="-2"/>
                <w:sz w:val="22"/>
              </w:rPr>
              <w:t>客户服务电话：</w:t>
            </w:r>
            <w:r>
              <w:rPr>
                <w:rFonts w:ascii="Arial" w:eastAsia="Arial"/>
                <w:spacing w:val="-1"/>
                <w:sz w:val="22"/>
              </w:rPr>
              <w:t>400-711-6668</w:t>
            </w:r>
          </w:p>
          <w:p>
            <w:pPr>
              <w:pStyle w:val="TableParagraph"/>
              <w:spacing w:line="277" w:lineRule="exact" w:before="27"/>
              <w:ind w:left="108"/>
              <w:rPr>
                <w:rFonts w:ascii="Arial" w:eastAsia="Arial"/>
                <w:sz w:val="22"/>
              </w:rPr>
            </w:pPr>
            <w:r>
              <w:rPr>
                <w:spacing w:val="-2"/>
                <w:sz w:val="22"/>
              </w:rPr>
              <w:t>银行网址：</w:t>
            </w:r>
            <w:hyperlink r:id="rId26">
              <w:r>
                <w:rPr>
                  <w:rFonts w:ascii="Arial" w:eastAsia="Arial"/>
                  <w:spacing w:val="-1"/>
                  <w:sz w:val="22"/>
                </w:rPr>
                <w:t>www.jhccb.com.cn</w:t>
              </w:r>
            </w:hyperlink>
          </w:p>
        </w:tc>
      </w:tr>
      <w:tr>
        <w:trPr>
          <w:trHeight w:val="2184"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05"/>
              <w:jc w:val="right"/>
              <w:rPr>
                <w:rFonts w:ascii="Arial"/>
                <w:sz w:val="21"/>
              </w:rPr>
            </w:pPr>
            <w:r>
              <w:rPr>
                <w:rFonts w:ascii="Arial"/>
                <w:sz w:val="21"/>
              </w:rPr>
              <w:t>20</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20" w:right="113"/>
              <w:jc w:val="center"/>
              <w:rPr>
                <w:sz w:val="22"/>
              </w:rPr>
            </w:pPr>
            <w:r>
              <w:rPr>
                <w:sz w:val="22"/>
              </w:rPr>
              <w:t>嘉兴银行股份有限公司</w:t>
            </w:r>
          </w:p>
        </w:tc>
        <w:tc>
          <w:tcPr>
            <w:tcW w:w="5480" w:type="dxa"/>
          </w:tcPr>
          <w:p>
            <w:pPr>
              <w:pStyle w:val="TableParagraph"/>
              <w:spacing w:line="266" w:lineRule="auto" w:before="15"/>
              <w:ind w:left="108" w:right="1071"/>
              <w:rPr>
                <w:sz w:val="22"/>
              </w:rPr>
            </w:pPr>
            <w:r>
              <w:rPr>
                <w:sz w:val="22"/>
              </w:rPr>
              <w:t>注册（办公）地址：嘉兴市建国南路 </w:t>
            </w:r>
            <w:r>
              <w:rPr>
                <w:rFonts w:ascii="Arial" w:eastAsia="Arial"/>
                <w:sz w:val="22"/>
              </w:rPr>
              <w:t>409 </w:t>
            </w:r>
            <w:r>
              <w:rPr>
                <w:sz w:val="22"/>
              </w:rPr>
              <w:t>号法定代表人：许洪明</w:t>
            </w:r>
          </w:p>
          <w:p>
            <w:pPr>
              <w:pStyle w:val="TableParagraph"/>
              <w:spacing w:line="280" w:lineRule="exact"/>
              <w:ind w:left="108"/>
              <w:rPr>
                <w:sz w:val="22"/>
              </w:rPr>
            </w:pPr>
            <w:r>
              <w:rPr>
                <w:sz w:val="22"/>
              </w:rPr>
              <w:t>联系人：陈兢</w:t>
            </w:r>
          </w:p>
          <w:p>
            <w:pPr>
              <w:pStyle w:val="TableParagraph"/>
              <w:spacing w:line="266" w:lineRule="auto" w:before="30"/>
              <w:ind w:left="108" w:right="3156"/>
              <w:rPr>
                <w:rFonts w:ascii="Arial" w:eastAsia="Arial"/>
                <w:sz w:val="22"/>
              </w:rPr>
            </w:pPr>
            <w:r>
              <w:rPr>
                <w:sz w:val="22"/>
              </w:rPr>
              <w:t>电话：</w:t>
            </w:r>
            <w:r>
              <w:rPr>
                <w:rFonts w:ascii="Arial" w:eastAsia="Arial"/>
                <w:sz w:val="22"/>
              </w:rPr>
              <w:t>0573-82082676 </w:t>
            </w:r>
            <w:r>
              <w:rPr>
                <w:sz w:val="22"/>
              </w:rPr>
              <w:t>传真：</w:t>
            </w:r>
            <w:r>
              <w:rPr>
                <w:rFonts w:ascii="Arial" w:eastAsia="Arial"/>
                <w:sz w:val="22"/>
              </w:rPr>
              <w:t>0573-82062161</w:t>
            </w:r>
          </w:p>
          <w:p>
            <w:pPr>
              <w:pStyle w:val="TableParagraph"/>
              <w:spacing w:line="280" w:lineRule="exact"/>
              <w:ind w:left="108"/>
              <w:rPr>
                <w:rFonts w:ascii="Arial" w:eastAsia="Arial"/>
                <w:sz w:val="22"/>
              </w:rPr>
            </w:pPr>
            <w:r>
              <w:rPr>
                <w:spacing w:val="-2"/>
                <w:sz w:val="22"/>
              </w:rPr>
              <w:t>客户服务电话：</w:t>
            </w:r>
            <w:r>
              <w:rPr>
                <w:rFonts w:ascii="Arial" w:eastAsia="Arial"/>
                <w:spacing w:val="-1"/>
                <w:sz w:val="22"/>
              </w:rPr>
              <w:t>057396528</w:t>
            </w:r>
          </w:p>
          <w:p>
            <w:pPr>
              <w:pStyle w:val="TableParagraph"/>
              <w:spacing w:line="277" w:lineRule="exact" w:before="31"/>
              <w:ind w:left="108"/>
              <w:rPr>
                <w:rFonts w:ascii="Arial" w:eastAsia="Arial"/>
                <w:sz w:val="22"/>
              </w:rPr>
            </w:pPr>
            <w:r>
              <w:rPr>
                <w:spacing w:val="-2"/>
                <w:sz w:val="22"/>
              </w:rPr>
              <w:t>银行网址： </w:t>
            </w:r>
            <w:hyperlink r:id="rId27">
              <w:r>
                <w:rPr>
                  <w:rFonts w:ascii="Arial" w:eastAsia="Arial"/>
                  <w:sz w:val="22"/>
                </w:rPr>
                <w:t>www.bojx.com</w:t>
              </w:r>
            </w:hyperlink>
          </w:p>
        </w:tc>
      </w:tr>
      <w:tr>
        <w:trPr>
          <w:trHeight w:val="2807"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05"/>
              <w:jc w:val="right"/>
              <w:rPr>
                <w:rFonts w:ascii="Arial"/>
                <w:sz w:val="21"/>
              </w:rPr>
            </w:pPr>
            <w:r>
              <w:rPr>
                <w:rFonts w:ascii="Arial"/>
                <w:sz w:val="21"/>
              </w:rPr>
              <w:t>21</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1020" w:right="129" w:hanging="881"/>
              <w:rPr>
                <w:sz w:val="22"/>
              </w:rPr>
            </w:pPr>
            <w:r>
              <w:rPr>
                <w:sz w:val="22"/>
              </w:rPr>
              <w:t>花旗银行（中国）有限公司</w:t>
            </w:r>
          </w:p>
        </w:tc>
        <w:tc>
          <w:tcPr>
            <w:tcW w:w="5480" w:type="dxa"/>
          </w:tcPr>
          <w:p>
            <w:pPr>
              <w:pStyle w:val="TableParagraph"/>
              <w:spacing w:before="15"/>
              <w:ind w:left="108"/>
              <w:rPr>
                <w:sz w:val="22"/>
              </w:rPr>
            </w:pPr>
            <w:r>
              <w:rPr>
                <w:sz w:val="22"/>
              </w:rPr>
              <w:t>注册地址：上海市浦东新区花园石桥路 </w:t>
            </w:r>
            <w:r>
              <w:rPr>
                <w:rFonts w:ascii="Arial" w:eastAsia="Arial"/>
                <w:sz w:val="22"/>
              </w:rPr>
              <w:t>33 </w:t>
            </w:r>
            <w:r>
              <w:rPr>
                <w:sz w:val="22"/>
              </w:rPr>
              <w:t>号花旗集团</w:t>
            </w:r>
          </w:p>
          <w:p>
            <w:pPr>
              <w:pStyle w:val="TableParagraph"/>
              <w:spacing w:before="30"/>
              <w:ind w:left="108"/>
              <w:rPr>
                <w:sz w:val="22"/>
              </w:rPr>
            </w:pPr>
            <w:r>
              <w:rPr>
                <w:sz w:val="22"/>
              </w:rPr>
              <w:t>大厦 </w:t>
            </w:r>
            <w:r>
              <w:rPr>
                <w:rFonts w:ascii="Arial" w:eastAsia="Arial"/>
                <w:sz w:val="22"/>
              </w:rPr>
              <w:t>35 </w:t>
            </w:r>
            <w:r>
              <w:rPr>
                <w:sz w:val="22"/>
              </w:rPr>
              <w:t>楼</w:t>
            </w:r>
          </w:p>
          <w:p>
            <w:pPr>
              <w:pStyle w:val="TableParagraph"/>
              <w:spacing w:before="30"/>
              <w:ind w:left="108"/>
              <w:rPr>
                <w:sz w:val="22"/>
              </w:rPr>
            </w:pPr>
            <w:r>
              <w:rPr>
                <w:sz w:val="22"/>
              </w:rPr>
              <w:t>办公地址：上海市浦东新区花园石桥路 </w:t>
            </w:r>
            <w:r>
              <w:rPr>
                <w:rFonts w:ascii="Arial" w:eastAsia="Arial"/>
                <w:sz w:val="22"/>
              </w:rPr>
              <w:t>33 </w:t>
            </w:r>
            <w:r>
              <w:rPr>
                <w:sz w:val="22"/>
              </w:rPr>
              <w:t>号花旗集团</w:t>
            </w:r>
          </w:p>
          <w:p>
            <w:pPr>
              <w:pStyle w:val="TableParagraph"/>
              <w:spacing w:before="30"/>
              <w:ind w:left="108"/>
              <w:rPr>
                <w:sz w:val="22"/>
              </w:rPr>
            </w:pPr>
            <w:r>
              <w:rPr>
                <w:sz w:val="22"/>
              </w:rPr>
              <w:t>大厦 </w:t>
            </w:r>
            <w:r>
              <w:rPr>
                <w:rFonts w:ascii="Arial" w:eastAsia="Arial"/>
                <w:sz w:val="22"/>
              </w:rPr>
              <w:t>35 </w:t>
            </w:r>
            <w:r>
              <w:rPr>
                <w:sz w:val="22"/>
              </w:rPr>
              <w:t>楼</w:t>
            </w:r>
          </w:p>
          <w:p>
            <w:pPr>
              <w:pStyle w:val="TableParagraph"/>
              <w:spacing w:before="30"/>
              <w:ind w:left="108"/>
              <w:rPr>
                <w:rFonts w:ascii="Arial" w:eastAsia="Arial"/>
                <w:sz w:val="22"/>
              </w:rPr>
            </w:pPr>
            <w:r>
              <w:rPr>
                <w:spacing w:val="-1"/>
                <w:sz w:val="22"/>
              </w:rPr>
              <w:t>邮政编码： </w:t>
            </w:r>
            <w:r>
              <w:rPr>
                <w:rFonts w:ascii="Arial" w:eastAsia="Arial"/>
                <w:sz w:val="22"/>
              </w:rPr>
              <w:t>200120</w:t>
            </w:r>
          </w:p>
          <w:p>
            <w:pPr>
              <w:pStyle w:val="TableParagraph"/>
              <w:spacing w:before="30"/>
              <w:ind w:left="108"/>
              <w:rPr>
                <w:sz w:val="22"/>
              </w:rPr>
            </w:pPr>
            <w:r>
              <w:rPr>
                <w:spacing w:val="-2"/>
                <w:sz w:val="22"/>
              </w:rPr>
              <w:t>法定代表人：林钰华</w:t>
            </w:r>
          </w:p>
          <w:p>
            <w:pPr>
              <w:pStyle w:val="TableParagraph"/>
              <w:spacing w:line="266" w:lineRule="auto" w:before="31"/>
              <w:ind w:left="108" w:right="39"/>
              <w:rPr>
                <w:rFonts w:ascii="Arial" w:eastAsia="Arial"/>
                <w:sz w:val="22"/>
              </w:rPr>
            </w:pPr>
            <w:r>
              <w:rPr>
                <w:sz w:val="22"/>
              </w:rPr>
              <w:t>客服电话：</w:t>
            </w:r>
            <w:r>
              <w:rPr>
                <w:rFonts w:ascii="Arial" w:eastAsia="Arial"/>
                <w:sz w:val="22"/>
              </w:rPr>
              <w:t>400-821-1880</w:t>
            </w:r>
            <w:r>
              <w:rPr>
                <w:sz w:val="22"/>
              </w:rPr>
              <w:t>，</w:t>
            </w:r>
            <w:r>
              <w:rPr>
                <w:rFonts w:ascii="Arial" w:eastAsia="Arial"/>
                <w:sz w:val="22"/>
              </w:rPr>
              <w:t>800-830-1880 (</w:t>
            </w:r>
            <w:r>
              <w:rPr>
                <w:sz w:val="22"/>
              </w:rPr>
              <w:t>限中国大陆固话拨打</w:t>
            </w:r>
            <w:r>
              <w:rPr>
                <w:rFonts w:ascii="Arial" w:eastAsia="Arial"/>
                <w:sz w:val="22"/>
              </w:rPr>
              <w:t>)</w:t>
            </w:r>
          </w:p>
          <w:p>
            <w:pPr>
              <w:pStyle w:val="TableParagraph"/>
              <w:spacing w:line="275" w:lineRule="exact"/>
              <w:ind w:left="108"/>
              <w:rPr>
                <w:rFonts w:ascii="Arial" w:eastAsia="Arial"/>
                <w:sz w:val="22"/>
              </w:rPr>
            </w:pPr>
            <w:r>
              <w:rPr>
                <w:sz w:val="22"/>
              </w:rPr>
              <w:t>网址： </w:t>
            </w:r>
            <w:hyperlink r:id="rId28">
              <w:r>
                <w:rPr>
                  <w:rFonts w:ascii="Arial" w:eastAsia="Arial"/>
                  <w:sz w:val="22"/>
                </w:rPr>
                <w:t>www.citibank.com.cn</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05"/>
              <w:jc w:val="right"/>
              <w:rPr>
                <w:rFonts w:ascii="Arial"/>
                <w:sz w:val="21"/>
              </w:rPr>
            </w:pPr>
            <w:r>
              <w:rPr>
                <w:rFonts w:ascii="Arial"/>
                <w:sz w:val="21"/>
              </w:rPr>
              <w:t>22</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包商银行股份有限公司</w:t>
            </w:r>
          </w:p>
        </w:tc>
        <w:tc>
          <w:tcPr>
            <w:tcW w:w="5480" w:type="dxa"/>
          </w:tcPr>
          <w:p>
            <w:pPr>
              <w:pStyle w:val="TableParagraph"/>
              <w:spacing w:before="15"/>
              <w:ind w:left="108"/>
              <w:rPr>
                <w:sz w:val="22"/>
              </w:rPr>
            </w:pPr>
            <w:r>
              <w:rPr>
                <w:sz w:val="22"/>
              </w:rPr>
              <w:t>注册（办公）地址：内蒙古包头市钢铁大街 </w:t>
            </w:r>
            <w:r>
              <w:rPr>
                <w:rFonts w:ascii="Arial" w:eastAsia="Arial"/>
                <w:sz w:val="22"/>
              </w:rPr>
              <w:t>6 </w:t>
            </w:r>
            <w:r>
              <w:rPr>
                <w:sz w:val="22"/>
              </w:rPr>
              <w:t>号</w:t>
            </w:r>
          </w:p>
          <w:p>
            <w:pPr>
              <w:pStyle w:val="TableParagraph"/>
              <w:spacing w:line="266" w:lineRule="auto" w:before="30"/>
              <w:ind w:left="108" w:right="1536"/>
              <w:rPr>
                <w:sz w:val="22"/>
              </w:rPr>
            </w:pPr>
            <w:r>
              <w:rPr>
                <w:sz w:val="22"/>
              </w:rPr>
              <w:t>办公地址：内蒙古包头市钢铁大街 </w:t>
            </w:r>
            <w:r>
              <w:rPr>
                <w:rFonts w:ascii="Arial" w:eastAsia="Arial"/>
                <w:sz w:val="22"/>
              </w:rPr>
              <w:t>6 </w:t>
            </w:r>
            <w:r>
              <w:rPr>
                <w:sz w:val="22"/>
              </w:rPr>
              <w:t>号法定代表人：李镇西</w:t>
            </w:r>
          </w:p>
          <w:p>
            <w:pPr>
              <w:pStyle w:val="TableParagraph"/>
              <w:spacing w:line="280" w:lineRule="exact"/>
              <w:ind w:left="108"/>
              <w:rPr>
                <w:sz w:val="22"/>
              </w:rPr>
            </w:pPr>
            <w:r>
              <w:rPr>
                <w:sz w:val="22"/>
              </w:rPr>
              <w:t>联系人：张建鑫</w:t>
            </w:r>
          </w:p>
          <w:p>
            <w:pPr>
              <w:pStyle w:val="TableParagraph"/>
              <w:spacing w:line="266" w:lineRule="auto" w:before="30"/>
              <w:ind w:left="108" w:right="3278"/>
              <w:rPr>
                <w:rFonts w:ascii="Arial" w:eastAsia="Arial"/>
                <w:sz w:val="22"/>
              </w:rPr>
            </w:pPr>
            <w:r>
              <w:rPr>
                <w:sz w:val="22"/>
              </w:rPr>
              <w:t>电话：</w:t>
            </w:r>
            <w:r>
              <w:rPr>
                <w:rFonts w:ascii="Arial" w:eastAsia="Arial"/>
                <w:sz w:val="22"/>
              </w:rPr>
              <w:t>010-64816038 </w:t>
            </w:r>
            <w:r>
              <w:rPr>
                <w:sz w:val="22"/>
              </w:rPr>
              <w:t>传真：</w:t>
            </w:r>
            <w:r>
              <w:rPr>
                <w:rFonts w:ascii="Arial" w:eastAsia="Arial"/>
                <w:sz w:val="22"/>
              </w:rPr>
              <w:t>010-84596546</w:t>
            </w:r>
          </w:p>
          <w:p>
            <w:pPr>
              <w:pStyle w:val="TableParagraph"/>
              <w:spacing w:line="280" w:lineRule="exact"/>
              <w:ind w:left="108"/>
              <w:rPr>
                <w:rFonts w:ascii="Arial" w:eastAsia="Arial"/>
                <w:sz w:val="22"/>
              </w:rPr>
            </w:pPr>
            <w:r>
              <w:rPr>
                <w:sz w:val="22"/>
              </w:rPr>
              <w:t>客服电话： </w:t>
            </w:r>
            <w:r>
              <w:rPr>
                <w:rFonts w:ascii="Arial" w:eastAsia="Arial"/>
                <w:sz w:val="22"/>
              </w:rPr>
              <w:t>95352</w:t>
            </w:r>
          </w:p>
          <w:p>
            <w:pPr>
              <w:pStyle w:val="TableParagraph"/>
              <w:spacing w:line="277" w:lineRule="exact" w:before="30"/>
              <w:ind w:left="108"/>
              <w:rPr>
                <w:rFonts w:ascii="Arial" w:eastAsia="Arial"/>
                <w:sz w:val="22"/>
              </w:rPr>
            </w:pPr>
            <w:r>
              <w:rPr>
                <w:sz w:val="22"/>
              </w:rPr>
              <w:t>网站：</w:t>
            </w:r>
            <w:hyperlink r:id="rId29">
              <w:r>
                <w:rPr>
                  <w:rFonts w:ascii="Arial" w:eastAsia="Arial"/>
                  <w:sz w:val="22"/>
                </w:rPr>
                <w:t>www.bsb.com.cn</w:t>
              </w:r>
            </w:hyperlink>
          </w:p>
        </w:tc>
      </w:tr>
      <w:tr>
        <w:trPr>
          <w:trHeight w:val="2809"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right="105"/>
              <w:jc w:val="right"/>
              <w:rPr>
                <w:rFonts w:ascii="Arial"/>
                <w:sz w:val="21"/>
              </w:rPr>
            </w:pPr>
            <w:r>
              <w:rPr>
                <w:rFonts w:ascii="Arial"/>
                <w:sz w:val="21"/>
              </w:rPr>
              <w:t>23</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line="266" w:lineRule="auto" w:before="135"/>
              <w:ind w:left="139" w:right="129"/>
              <w:jc w:val="center"/>
              <w:rPr>
                <w:sz w:val="22"/>
              </w:rPr>
            </w:pPr>
            <w:r>
              <w:rPr>
                <w:spacing w:val="-1"/>
                <w:sz w:val="22"/>
              </w:rPr>
              <w:t>华侨银行</w:t>
            </w:r>
            <w:r>
              <w:rPr>
                <w:sz w:val="22"/>
              </w:rPr>
              <w:t>（</w:t>
            </w:r>
            <w:r>
              <w:rPr>
                <w:spacing w:val="-2"/>
                <w:sz w:val="22"/>
              </w:rPr>
              <w:t>中国</w:t>
            </w:r>
            <w:r>
              <w:rPr>
                <w:sz w:val="22"/>
              </w:rPr>
              <w:t>）</w:t>
            </w:r>
            <w:r>
              <w:rPr>
                <w:spacing w:val="-8"/>
                <w:sz w:val="22"/>
              </w:rPr>
              <w:t>有限</w:t>
            </w:r>
            <w:r>
              <w:rPr>
                <w:sz w:val="22"/>
              </w:rPr>
              <w:t>公司</w:t>
            </w:r>
          </w:p>
          <w:p>
            <w:pPr>
              <w:pStyle w:val="TableParagraph"/>
              <w:spacing w:line="266" w:lineRule="auto"/>
              <w:ind w:left="139" w:right="129"/>
              <w:jc w:val="center"/>
              <w:rPr>
                <w:sz w:val="22"/>
              </w:rPr>
            </w:pPr>
            <w:r>
              <w:rPr>
                <w:sz w:val="22"/>
              </w:rPr>
              <w:t>（</w:t>
            </w:r>
            <w:r>
              <w:rPr>
                <w:spacing w:val="-4"/>
                <w:sz w:val="22"/>
              </w:rPr>
              <w:t>注：仅代销景系列之优选混合型证券投资基</w:t>
            </w:r>
            <w:r>
              <w:rPr>
                <w:sz w:val="22"/>
              </w:rPr>
              <w:t>金）</w:t>
            </w:r>
          </w:p>
        </w:tc>
        <w:tc>
          <w:tcPr>
            <w:tcW w:w="5480" w:type="dxa"/>
          </w:tcPr>
          <w:p>
            <w:pPr>
              <w:pStyle w:val="TableParagraph"/>
              <w:spacing w:line="266" w:lineRule="auto" w:before="17"/>
              <w:ind w:left="108" w:right="69"/>
              <w:rPr>
                <w:sz w:val="22"/>
              </w:rPr>
            </w:pPr>
            <w:r>
              <w:rPr>
                <w:sz w:val="22"/>
              </w:rPr>
              <w:t>注册（办公）地址：上海市浦东新区源深路 </w:t>
            </w:r>
            <w:r>
              <w:rPr>
                <w:rFonts w:ascii="Arial" w:eastAsia="Arial"/>
                <w:sz w:val="22"/>
              </w:rPr>
              <w:t>1155 </w:t>
            </w:r>
            <w:r>
              <w:rPr>
                <w:sz w:val="22"/>
              </w:rPr>
              <w:t>号华侨银行大厦</w:t>
            </w:r>
          </w:p>
          <w:p>
            <w:pPr>
              <w:pStyle w:val="TableParagraph"/>
              <w:spacing w:line="283" w:lineRule="auto" w:before="12"/>
              <w:ind w:left="108" w:right="207"/>
              <w:rPr>
                <w:sz w:val="22"/>
              </w:rPr>
            </w:pPr>
            <w:r>
              <w:rPr>
                <w:rFonts w:ascii="Arial" w:eastAsia="Arial"/>
                <w:sz w:val="22"/>
              </w:rPr>
              <w:t>B101,B103,B106,B108-109,101,103-104,106-108,20 1-204,206-208,301-308,401-408,501-508 </w:t>
            </w:r>
            <w:r>
              <w:rPr>
                <w:sz w:val="22"/>
              </w:rPr>
              <w:t>单元</w:t>
            </w:r>
          </w:p>
          <w:p>
            <w:pPr>
              <w:pStyle w:val="TableParagraph"/>
              <w:spacing w:line="261" w:lineRule="exact"/>
              <w:ind w:left="108"/>
              <w:rPr>
                <w:rFonts w:ascii="Arial" w:eastAsia="Arial"/>
                <w:sz w:val="22"/>
              </w:rPr>
            </w:pPr>
            <w:r>
              <w:rPr>
                <w:sz w:val="22"/>
              </w:rPr>
              <w:t>法定代表人：钱乃骥</w:t>
            </w:r>
            <w:r>
              <w:rPr>
                <w:rFonts w:ascii="Arial" w:eastAsia="Arial"/>
                <w:sz w:val="22"/>
              </w:rPr>
              <w:t>(TSIEN SAMUEL NAG)</w:t>
            </w:r>
          </w:p>
          <w:p>
            <w:pPr>
              <w:pStyle w:val="TableParagraph"/>
              <w:spacing w:before="30"/>
              <w:ind w:left="108"/>
              <w:rPr>
                <w:sz w:val="22"/>
              </w:rPr>
            </w:pPr>
            <w:r>
              <w:rPr>
                <w:sz w:val="22"/>
              </w:rPr>
              <w:t>联系人：殷晓卿</w:t>
            </w:r>
          </w:p>
          <w:p>
            <w:pPr>
              <w:pStyle w:val="TableParagraph"/>
              <w:spacing w:before="30"/>
              <w:ind w:left="108"/>
              <w:rPr>
                <w:rFonts w:ascii="Arial" w:eastAsia="Arial"/>
                <w:sz w:val="22"/>
              </w:rPr>
            </w:pPr>
            <w:r>
              <w:rPr>
                <w:sz w:val="22"/>
              </w:rPr>
              <w:t>电话：</w:t>
            </w:r>
            <w:r>
              <w:rPr>
                <w:rFonts w:ascii="Arial" w:eastAsia="Arial"/>
                <w:sz w:val="22"/>
              </w:rPr>
              <w:t>021-20831801</w:t>
            </w:r>
          </w:p>
          <w:p>
            <w:pPr>
              <w:pStyle w:val="TableParagraph"/>
              <w:spacing w:before="30"/>
              <w:ind w:left="108"/>
              <w:rPr>
                <w:rFonts w:ascii="Arial" w:eastAsia="Arial"/>
                <w:sz w:val="22"/>
              </w:rPr>
            </w:pPr>
            <w:r>
              <w:rPr>
                <w:sz w:val="22"/>
              </w:rPr>
              <w:t>客服电话：</w:t>
            </w:r>
            <w:r>
              <w:rPr>
                <w:rFonts w:ascii="Arial" w:eastAsia="Arial"/>
                <w:sz w:val="22"/>
              </w:rPr>
              <w:t>400-6702-8888</w:t>
            </w:r>
          </w:p>
          <w:p>
            <w:pPr>
              <w:pStyle w:val="TableParagraph"/>
              <w:spacing w:line="277" w:lineRule="exact" w:before="30"/>
              <w:ind w:left="108"/>
              <w:rPr>
                <w:rFonts w:ascii="Arial" w:eastAsia="Arial"/>
                <w:sz w:val="22"/>
              </w:rPr>
            </w:pPr>
            <w:r>
              <w:rPr>
                <w:sz w:val="22"/>
              </w:rPr>
              <w:t>网站：</w:t>
            </w:r>
            <w:hyperlink r:id="rId30">
              <w:r>
                <w:rPr>
                  <w:rFonts w:ascii="Arial" w:eastAsia="Arial"/>
                  <w:sz w:val="22"/>
                </w:rPr>
                <w:t>WWW.OCBC.COM.CN</w:t>
              </w:r>
            </w:hyperlink>
          </w:p>
        </w:tc>
      </w:tr>
      <w:tr>
        <w:trPr>
          <w:trHeight w:val="935" w:hRule="atLeast"/>
        </w:trPr>
        <w:tc>
          <w:tcPr>
            <w:tcW w:w="470" w:type="dxa"/>
          </w:tcPr>
          <w:p>
            <w:pPr>
              <w:pStyle w:val="TableParagraph"/>
              <w:rPr>
                <w:rFonts w:ascii="Times New Roman"/>
                <w:sz w:val="30"/>
              </w:rPr>
            </w:pPr>
          </w:p>
          <w:p>
            <w:pPr>
              <w:pStyle w:val="TableParagraph"/>
              <w:ind w:right="105"/>
              <w:jc w:val="right"/>
              <w:rPr>
                <w:rFonts w:ascii="Arial"/>
                <w:sz w:val="21"/>
              </w:rPr>
            </w:pPr>
            <w:r>
              <w:rPr>
                <w:rFonts w:ascii="Arial"/>
                <w:sz w:val="21"/>
              </w:rPr>
              <w:t>24</w:t>
            </w:r>
          </w:p>
        </w:tc>
        <w:tc>
          <w:tcPr>
            <w:tcW w:w="2484" w:type="dxa"/>
          </w:tcPr>
          <w:p>
            <w:pPr>
              <w:pStyle w:val="TableParagraph"/>
              <w:spacing w:before="15"/>
              <w:ind w:left="139"/>
              <w:rPr>
                <w:sz w:val="22"/>
              </w:rPr>
            </w:pPr>
            <w:r>
              <w:rPr>
                <w:sz w:val="22"/>
              </w:rPr>
              <w:t>南京银行股份有限公司</w:t>
            </w:r>
          </w:p>
          <w:p>
            <w:pPr>
              <w:pStyle w:val="TableParagraph"/>
              <w:spacing w:line="310" w:lineRule="atLeast" w:before="2"/>
              <w:ind w:left="249" w:right="129" w:hanging="111"/>
              <w:rPr>
                <w:sz w:val="22"/>
              </w:rPr>
            </w:pPr>
            <w:r>
              <w:rPr>
                <w:sz w:val="22"/>
              </w:rPr>
              <w:t>（注：仅代销景系列之货币市场证券投资基</w:t>
            </w:r>
          </w:p>
        </w:tc>
        <w:tc>
          <w:tcPr>
            <w:tcW w:w="5480" w:type="dxa"/>
          </w:tcPr>
          <w:p>
            <w:pPr>
              <w:pStyle w:val="TableParagraph"/>
              <w:spacing w:line="266" w:lineRule="auto" w:before="15"/>
              <w:ind w:left="108" w:right="1291"/>
              <w:rPr>
                <w:sz w:val="22"/>
              </w:rPr>
            </w:pPr>
            <w:r>
              <w:rPr>
                <w:sz w:val="22"/>
              </w:rPr>
              <w:t>注册（办公）地址：南京市中山路 </w:t>
            </w:r>
            <w:r>
              <w:rPr>
                <w:rFonts w:ascii="Arial" w:eastAsia="Arial"/>
                <w:sz w:val="22"/>
              </w:rPr>
              <w:t>288 </w:t>
            </w:r>
            <w:r>
              <w:rPr>
                <w:sz w:val="22"/>
              </w:rPr>
              <w:t>号法定代表人：林复</w:t>
            </w:r>
          </w:p>
          <w:p>
            <w:pPr>
              <w:pStyle w:val="TableParagraph"/>
              <w:spacing w:line="275" w:lineRule="exact"/>
              <w:ind w:left="108"/>
              <w:rPr>
                <w:sz w:val="22"/>
              </w:rPr>
            </w:pPr>
            <w:r>
              <w:rPr>
                <w:sz w:val="22"/>
              </w:rPr>
              <w:t>联系人：李冰洁</w:t>
            </w:r>
          </w:p>
        </w:tc>
      </w:tr>
    </w:tbl>
    <w:p>
      <w:pPr>
        <w:spacing w:after="0" w:line="275"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248"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spacing w:line="266" w:lineRule="auto" w:before="15"/>
              <w:ind w:left="799" w:right="129" w:hanging="660"/>
              <w:rPr>
                <w:sz w:val="22"/>
              </w:rPr>
            </w:pPr>
            <w:r>
              <w:rPr>
                <w:sz w:val="22"/>
              </w:rPr>
              <w:t>金、优选混合型证券投资基金）</w:t>
            </w:r>
          </w:p>
        </w:tc>
        <w:tc>
          <w:tcPr>
            <w:tcW w:w="5480" w:type="dxa"/>
            <w:tcBorders>
              <w:top w:val="nil"/>
            </w:tcBorders>
          </w:tcPr>
          <w:p>
            <w:pPr>
              <w:pStyle w:val="TableParagraph"/>
              <w:spacing w:line="266" w:lineRule="auto" w:before="15"/>
              <w:ind w:left="108" w:right="3278"/>
              <w:rPr>
                <w:rFonts w:ascii="Arial" w:eastAsia="Arial"/>
                <w:sz w:val="22"/>
              </w:rPr>
            </w:pPr>
            <w:r>
              <w:rPr>
                <w:sz w:val="22"/>
              </w:rPr>
              <w:t>电话：</w:t>
            </w:r>
            <w:r>
              <w:rPr>
                <w:rFonts w:ascii="Arial" w:eastAsia="Arial"/>
                <w:sz w:val="22"/>
              </w:rPr>
              <w:t>025-86775317 </w:t>
            </w:r>
            <w:r>
              <w:rPr>
                <w:sz w:val="22"/>
              </w:rPr>
              <w:t>传真：</w:t>
            </w:r>
            <w:r>
              <w:rPr>
                <w:rFonts w:ascii="Arial" w:eastAsia="Arial"/>
                <w:sz w:val="22"/>
              </w:rPr>
              <w:t>025-86775376</w:t>
            </w:r>
          </w:p>
          <w:p>
            <w:pPr>
              <w:pStyle w:val="TableParagraph"/>
              <w:spacing w:line="280" w:lineRule="exact"/>
              <w:ind w:left="108"/>
              <w:rPr>
                <w:rFonts w:ascii="Arial" w:eastAsia="Arial"/>
                <w:sz w:val="22"/>
              </w:rPr>
            </w:pPr>
            <w:r>
              <w:rPr>
                <w:sz w:val="22"/>
              </w:rPr>
              <w:t>客户服务电话： </w:t>
            </w:r>
            <w:r>
              <w:rPr>
                <w:rFonts w:ascii="Arial" w:eastAsia="Arial"/>
                <w:sz w:val="22"/>
              </w:rPr>
              <w:t>95302</w:t>
            </w:r>
          </w:p>
          <w:p>
            <w:pPr>
              <w:pStyle w:val="TableParagraph"/>
              <w:spacing w:line="277" w:lineRule="exact" w:before="31"/>
              <w:ind w:left="108"/>
              <w:rPr>
                <w:rFonts w:ascii="Arial" w:eastAsia="Arial"/>
                <w:sz w:val="22"/>
              </w:rPr>
            </w:pPr>
            <w:r>
              <w:rPr>
                <w:sz w:val="22"/>
              </w:rPr>
              <w:t>网址：</w:t>
            </w:r>
            <w:hyperlink r:id="rId31">
              <w:r>
                <w:rPr>
                  <w:rFonts w:ascii="Arial" w:eastAsia="Arial"/>
                  <w:sz w:val="22"/>
                </w:rPr>
                <w:t>www.njcb.com.cn</w:t>
              </w:r>
            </w:hyperlink>
          </w:p>
        </w:tc>
      </w:tr>
      <w:tr>
        <w:trPr>
          <w:trHeight w:val="1559" w:hRule="atLeast"/>
        </w:trPr>
        <w:tc>
          <w:tcPr>
            <w:tcW w:w="470" w:type="dxa"/>
          </w:tcPr>
          <w:p>
            <w:pPr>
              <w:pStyle w:val="TableParagraph"/>
              <w:rPr>
                <w:rFonts w:ascii="Times New Roman"/>
                <w:sz w:val="24"/>
              </w:rPr>
            </w:pPr>
          </w:p>
          <w:p>
            <w:pPr>
              <w:pStyle w:val="TableParagraph"/>
              <w:spacing w:before="1"/>
              <w:rPr>
                <w:rFonts w:ascii="Times New Roman"/>
                <w:sz w:val="33"/>
              </w:rPr>
            </w:pPr>
          </w:p>
          <w:p>
            <w:pPr>
              <w:pStyle w:val="TableParagraph"/>
              <w:ind w:right="105"/>
              <w:jc w:val="right"/>
              <w:rPr>
                <w:rFonts w:ascii="Arial"/>
                <w:sz w:val="21"/>
              </w:rPr>
            </w:pPr>
            <w:r>
              <w:rPr>
                <w:rFonts w:ascii="Arial"/>
                <w:sz w:val="21"/>
              </w:rPr>
              <w:t>25</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33"/>
              <w:ind w:left="139"/>
              <w:rPr>
                <w:sz w:val="22"/>
              </w:rPr>
            </w:pPr>
            <w:r>
              <w:rPr>
                <w:sz w:val="22"/>
              </w:rPr>
              <w:t>苏州银行股份有限公司</w:t>
            </w:r>
          </w:p>
        </w:tc>
        <w:tc>
          <w:tcPr>
            <w:tcW w:w="5480" w:type="dxa"/>
          </w:tcPr>
          <w:p>
            <w:pPr>
              <w:pStyle w:val="TableParagraph"/>
              <w:spacing w:line="266" w:lineRule="auto" w:before="15"/>
              <w:ind w:left="108" w:right="631"/>
              <w:rPr>
                <w:sz w:val="22"/>
              </w:rPr>
            </w:pPr>
            <w:r>
              <w:rPr>
                <w:sz w:val="22"/>
              </w:rPr>
              <w:t>注册（办公）地址：苏州工业园区钟园路 </w:t>
            </w:r>
            <w:r>
              <w:rPr>
                <w:rFonts w:ascii="Arial" w:eastAsia="Arial"/>
                <w:sz w:val="22"/>
              </w:rPr>
              <w:t>728 </w:t>
            </w:r>
            <w:r>
              <w:rPr>
                <w:sz w:val="22"/>
              </w:rPr>
              <w:t>号法定代表人：王兰凤</w:t>
            </w:r>
          </w:p>
          <w:p>
            <w:pPr>
              <w:pStyle w:val="TableParagraph"/>
              <w:spacing w:line="280" w:lineRule="exact"/>
              <w:ind w:left="108"/>
              <w:rPr>
                <w:rFonts w:ascii="Arial" w:eastAsia="Arial"/>
                <w:sz w:val="22"/>
              </w:rPr>
            </w:pPr>
            <w:r>
              <w:rPr>
                <w:sz w:val="22"/>
              </w:rPr>
              <w:t>传真：</w:t>
            </w:r>
            <w:r>
              <w:rPr>
                <w:rFonts w:ascii="Arial" w:eastAsia="Arial"/>
                <w:sz w:val="22"/>
              </w:rPr>
              <w:t>0512-69868370</w:t>
            </w:r>
          </w:p>
          <w:p>
            <w:pPr>
              <w:pStyle w:val="TableParagraph"/>
              <w:spacing w:line="310" w:lineRule="atLeast" w:before="2"/>
              <w:ind w:left="108" w:right="2496"/>
              <w:rPr>
                <w:rFonts w:ascii="Arial" w:eastAsia="Arial"/>
                <w:sz w:val="22"/>
              </w:rPr>
            </w:pPr>
            <w:r>
              <w:rPr>
                <w:sz w:val="22"/>
              </w:rPr>
              <w:t>客户服务电话：</w:t>
            </w:r>
            <w:r>
              <w:rPr>
                <w:rFonts w:ascii="Arial" w:eastAsia="Arial"/>
                <w:sz w:val="22"/>
              </w:rPr>
              <w:t>0512-96067 </w:t>
            </w:r>
            <w:r>
              <w:rPr>
                <w:sz w:val="22"/>
              </w:rPr>
              <w:t>网址：</w:t>
            </w:r>
            <w:hyperlink r:id="rId32">
              <w:r>
                <w:rPr>
                  <w:rFonts w:ascii="Arial" w:eastAsia="Arial"/>
                  <w:sz w:val="22"/>
                </w:rPr>
                <w:t>www.suzhoubank.com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05"/>
              <w:jc w:val="right"/>
              <w:rPr>
                <w:rFonts w:ascii="Arial"/>
                <w:sz w:val="21"/>
              </w:rPr>
            </w:pPr>
            <w:r>
              <w:rPr>
                <w:rFonts w:ascii="Arial"/>
                <w:sz w:val="21"/>
              </w:rPr>
              <w:t>26</w:t>
            </w:r>
          </w:p>
        </w:tc>
        <w:tc>
          <w:tcPr>
            <w:tcW w:w="2484" w:type="dxa"/>
          </w:tcPr>
          <w:p>
            <w:pPr>
              <w:pStyle w:val="TableParagraph"/>
              <w:rPr>
                <w:rFonts w:ascii="Times New Roman"/>
                <w:sz w:val="22"/>
              </w:rPr>
            </w:pPr>
          </w:p>
          <w:p>
            <w:pPr>
              <w:pStyle w:val="TableParagraph"/>
              <w:rPr>
                <w:rFonts w:ascii="Times New Roman"/>
                <w:sz w:val="20"/>
              </w:rPr>
            </w:pPr>
          </w:p>
          <w:p>
            <w:pPr>
              <w:pStyle w:val="TableParagraph"/>
              <w:spacing w:line="266" w:lineRule="auto"/>
              <w:ind w:left="139" w:right="129"/>
              <w:jc w:val="center"/>
              <w:rPr>
                <w:sz w:val="22"/>
              </w:rPr>
            </w:pPr>
            <w:r>
              <w:rPr>
                <w:spacing w:val="-1"/>
                <w:sz w:val="22"/>
              </w:rPr>
              <w:t>星展银行</w:t>
            </w:r>
            <w:r>
              <w:rPr>
                <w:sz w:val="22"/>
              </w:rPr>
              <w:t>（</w:t>
            </w:r>
            <w:r>
              <w:rPr>
                <w:spacing w:val="-2"/>
                <w:sz w:val="22"/>
              </w:rPr>
              <w:t>中国</w:t>
            </w:r>
            <w:r>
              <w:rPr>
                <w:sz w:val="22"/>
              </w:rPr>
              <w:t>）</w:t>
            </w:r>
            <w:r>
              <w:rPr>
                <w:spacing w:val="-8"/>
                <w:sz w:val="22"/>
              </w:rPr>
              <w:t>有限</w:t>
            </w:r>
            <w:r>
              <w:rPr>
                <w:sz w:val="22"/>
              </w:rPr>
              <w:t>公司</w:t>
            </w:r>
          </w:p>
          <w:p>
            <w:pPr>
              <w:pStyle w:val="TableParagraph"/>
              <w:spacing w:line="266" w:lineRule="auto"/>
              <w:ind w:left="139" w:right="129"/>
              <w:jc w:val="center"/>
              <w:rPr>
                <w:sz w:val="22"/>
              </w:rPr>
            </w:pPr>
            <w:r>
              <w:rPr>
                <w:sz w:val="22"/>
              </w:rPr>
              <w:t>（</w:t>
            </w:r>
            <w:r>
              <w:rPr>
                <w:spacing w:val="-4"/>
                <w:sz w:val="22"/>
              </w:rPr>
              <w:t>注：仅代销景系列之</w:t>
            </w:r>
            <w:r>
              <w:rPr>
                <w:spacing w:val="-2"/>
                <w:sz w:val="22"/>
              </w:rPr>
              <w:t>货币市场证券投资基 金）</w:t>
            </w:r>
          </w:p>
        </w:tc>
        <w:tc>
          <w:tcPr>
            <w:tcW w:w="5480" w:type="dxa"/>
          </w:tcPr>
          <w:p>
            <w:pPr>
              <w:pStyle w:val="TableParagraph"/>
              <w:spacing w:before="15"/>
              <w:ind w:left="108"/>
              <w:jc w:val="both"/>
              <w:rPr>
                <w:rFonts w:ascii="Arial" w:eastAsia="Arial"/>
                <w:sz w:val="22"/>
              </w:rPr>
            </w:pPr>
            <w:r>
              <w:rPr>
                <w:sz w:val="22"/>
              </w:rPr>
              <w:t>注册（办公）地址：上海市浦东新区陆家嘴环路 </w:t>
            </w:r>
            <w:r>
              <w:rPr>
                <w:rFonts w:ascii="Arial" w:eastAsia="Arial"/>
                <w:sz w:val="22"/>
              </w:rPr>
              <w:t>1318</w:t>
            </w:r>
          </w:p>
          <w:p>
            <w:pPr>
              <w:pStyle w:val="TableParagraph"/>
              <w:spacing w:line="266" w:lineRule="auto" w:before="30"/>
              <w:ind w:left="108" w:right="3376"/>
              <w:jc w:val="both"/>
              <w:rPr>
                <w:sz w:val="22"/>
              </w:rPr>
            </w:pPr>
            <w:r>
              <w:rPr>
                <w:spacing w:val="-28"/>
                <w:sz w:val="22"/>
              </w:rPr>
              <w:t>号 </w:t>
            </w:r>
            <w:r>
              <w:rPr>
                <w:rFonts w:ascii="Arial" w:eastAsia="Arial"/>
                <w:sz w:val="22"/>
              </w:rPr>
              <w:t>1301</w:t>
            </w:r>
            <w:r>
              <w:rPr>
                <w:sz w:val="22"/>
              </w:rPr>
              <w:t>、</w:t>
            </w:r>
            <w:r>
              <w:rPr>
                <w:rFonts w:ascii="Arial" w:eastAsia="Arial"/>
                <w:sz w:val="22"/>
              </w:rPr>
              <w:t>1801 </w:t>
            </w:r>
            <w:r>
              <w:rPr>
                <w:spacing w:val="-3"/>
                <w:sz w:val="22"/>
              </w:rPr>
              <w:t>单元</w:t>
            </w:r>
            <w:r>
              <w:rPr>
                <w:spacing w:val="-4"/>
                <w:sz w:val="22"/>
              </w:rPr>
              <w:t>法定代表人：葛甘牛</w:t>
            </w:r>
            <w:r>
              <w:rPr>
                <w:spacing w:val="-1"/>
                <w:sz w:val="22"/>
              </w:rPr>
              <w:t>联系人：吴欣莹</w:t>
            </w:r>
          </w:p>
          <w:p>
            <w:pPr>
              <w:pStyle w:val="TableParagraph"/>
              <w:spacing w:line="280" w:lineRule="exact"/>
              <w:ind w:left="108"/>
              <w:rPr>
                <w:rFonts w:ascii="Arial" w:eastAsia="Arial"/>
                <w:sz w:val="22"/>
              </w:rPr>
            </w:pPr>
            <w:r>
              <w:rPr>
                <w:sz w:val="22"/>
              </w:rPr>
              <w:t>电话： </w:t>
            </w:r>
            <w:r>
              <w:rPr>
                <w:rFonts w:ascii="Arial" w:eastAsia="Arial"/>
                <w:sz w:val="22"/>
              </w:rPr>
              <w:t>021-38968359</w:t>
            </w:r>
          </w:p>
          <w:p>
            <w:pPr>
              <w:pStyle w:val="TableParagraph"/>
              <w:spacing w:before="30"/>
              <w:ind w:left="108"/>
              <w:rPr>
                <w:rFonts w:ascii="Arial" w:eastAsia="Arial"/>
                <w:sz w:val="22"/>
              </w:rPr>
            </w:pPr>
            <w:r>
              <w:rPr>
                <w:sz w:val="22"/>
              </w:rPr>
              <w:t>传真：</w:t>
            </w:r>
            <w:r>
              <w:rPr>
                <w:rFonts w:ascii="Arial" w:eastAsia="Arial"/>
                <w:sz w:val="22"/>
              </w:rPr>
              <w:t>021-38968995</w:t>
            </w:r>
          </w:p>
          <w:p>
            <w:pPr>
              <w:pStyle w:val="TableParagraph"/>
              <w:spacing w:line="310" w:lineRule="atLeast" w:before="2"/>
              <w:ind w:left="108" w:right="2447"/>
              <w:rPr>
                <w:rFonts w:ascii="Arial" w:eastAsia="Arial"/>
                <w:sz w:val="22"/>
              </w:rPr>
            </w:pPr>
            <w:r>
              <w:rPr>
                <w:sz w:val="22"/>
              </w:rPr>
              <w:t>客户服务电话：</w:t>
            </w:r>
            <w:r>
              <w:rPr>
                <w:rFonts w:ascii="Arial" w:eastAsia="Arial"/>
                <w:sz w:val="22"/>
              </w:rPr>
              <w:t>400-820-8988 </w:t>
            </w:r>
            <w:r>
              <w:rPr>
                <w:sz w:val="22"/>
              </w:rPr>
              <w:t>网址：</w:t>
            </w:r>
            <w:hyperlink r:id="rId33">
              <w:r>
                <w:rPr>
                  <w:rFonts w:ascii="Arial" w:eastAsia="Arial"/>
                  <w:sz w:val="22"/>
                </w:rPr>
                <w:t>www.dbs.com.cn</w:t>
              </w:r>
            </w:hyperlink>
          </w:p>
        </w:tc>
      </w:tr>
      <w:tr>
        <w:trPr>
          <w:trHeight w:val="3119"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05"/>
              <w:jc w:val="right"/>
              <w:rPr>
                <w:rFonts w:ascii="Arial"/>
                <w:sz w:val="21"/>
              </w:rPr>
            </w:pPr>
            <w:r>
              <w:rPr>
                <w:rFonts w:ascii="Arial"/>
                <w:sz w:val="21"/>
              </w:rPr>
              <w:t>27</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spacing w:line="266" w:lineRule="auto"/>
              <w:ind w:left="139" w:right="129"/>
              <w:jc w:val="center"/>
              <w:rPr>
                <w:sz w:val="22"/>
              </w:rPr>
            </w:pPr>
            <w:r>
              <w:rPr>
                <w:spacing w:val="-1"/>
                <w:sz w:val="22"/>
              </w:rPr>
              <w:t>东亚银行</w:t>
            </w:r>
            <w:r>
              <w:rPr>
                <w:sz w:val="22"/>
              </w:rPr>
              <w:t>（</w:t>
            </w:r>
            <w:r>
              <w:rPr>
                <w:spacing w:val="-2"/>
                <w:sz w:val="22"/>
              </w:rPr>
              <w:t>中国</w:t>
            </w:r>
            <w:r>
              <w:rPr>
                <w:sz w:val="22"/>
              </w:rPr>
              <w:t>）</w:t>
            </w:r>
            <w:r>
              <w:rPr>
                <w:spacing w:val="-8"/>
                <w:sz w:val="22"/>
              </w:rPr>
              <w:t>有限</w:t>
            </w:r>
            <w:r>
              <w:rPr>
                <w:sz w:val="22"/>
              </w:rPr>
              <w:t>公司</w:t>
            </w:r>
          </w:p>
          <w:p>
            <w:pPr>
              <w:pStyle w:val="TableParagraph"/>
              <w:spacing w:line="266" w:lineRule="auto"/>
              <w:ind w:left="139" w:right="129"/>
              <w:jc w:val="center"/>
              <w:rPr>
                <w:sz w:val="22"/>
              </w:rPr>
            </w:pPr>
            <w:r>
              <w:rPr>
                <w:sz w:val="22"/>
              </w:rPr>
              <w:t>（</w:t>
            </w:r>
            <w:r>
              <w:rPr>
                <w:spacing w:val="-4"/>
                <w:sz w:val="22"/>
              </w:rPr>
              <w:t>注：仅代销景系列之优选混合型证券投资基</w:t>
            </w:r>
            <w:r>
              <w:rPr>
                <w:sz w:val="22"/>
              </w:rPr>
              <w:t>金）</w:t>
            </w:r>
          </w:p>
        </w:tc>
        <w:tc>
          <w:tcPr>
            <w:tcW w:w="5480" w:type="dxa"/>
          </w:tcPr>
          <w:p>
            <w:pPr>
              <w:pStyle w:val="TableParagraph"/>
              <w:spacing w:before="15"/>
              <w:ind w:left="108"/>
              <w:rPr>
                <w:sz w:val="22"/>
              </w:rPr>
            </w:pPr>
            <w:r>
              <w:rPr>
                <w:sz w:val="22"/>
              </w:rPr>
              <w:t>注册地址：上海浦东新区花园石桥路 </w:t>
            </w:r>
            <w:r>
              <w:rPr>
                <w:rFonts w:ascii="Arial" w:eastAsia="Arial"/>
                <w:sz w:val="22"/>
              </w:rPr>
              <w:t>66 </w:t>
            </w:r>
            <w:r>
              <w:rPr>
                <w:sz w:val="22"/>
              </w:rPr>
              <w:t>号东亚银行大</w:t>
            </w:r>
          </w:p>
          <w:p>
            <w:pPr>
              <w:pStyle w:val="TableParagraph"/>
              <w:spacing w:before="30"/>
              <w:ind w:left="108"/>
              <w:rPr>
                <w:sz w:val="22"/>
              </w:rPr>
            </w:pPr>
            <w:r>
              <w:rPr>
                <w:sz w:val="22"/>
              </w:rPr>
              <w:t>厦 </w:t>
            </w:r>
            <w:r>
              <w:rPr>
                <w:rFonts w:ascii="Arial" w:eastAsia="Arial"/>
                <w:sz w:val="22"/>
              </w:rPr>
              <w:t>29 </w:t>
            </w:r>
            <w:r>
              <w:rPr>
                <w:sz w:val="22"/>
              </w:rPr>
              <w:t>楼</w:t>
            </w:r>
          </w:p>
          <w:p>
            <w:pPr>
              <w:pStyle w:val="TableParagraph"/>
              <w:spacing w:line="266" w:lineRule="auto" w:before="30"/>
              <w:ind w:left="108" w:right="94"/>
              <w:rPr>
                <w:sz w:val="22"/>
              </w:rPr>
            </w:pPr>
            <w:r>
              <w:rPr>
                <w:sz w:val="22"/>
              </w:rPr>
              <w:t>办公地址：上海浦东新区花园石桥路 </w:t>
            </w:r>
            <w:r>
              <w:rPr>
                <w:rFonts w:ascii="Arial" w:eastAsia="Arial"/>
                <w:sz w:val="22"/>
              </w:rPr>
              <w:t>66 </w:t>
            </w:r>
            <w:r>
              <w:rPr>
                <w:sz w:val="22"/>
              </w:rPr>
              <w:t>号东亚银行大厦</w:t>
            </w:r>
          </w:p>
          <w:p>
            <w:pPr>
              <w:pStyle w:val="TableParagraph"/>
              <w:spacing w:line="266" w:lineRule="auto"/>
              <w:ind w:left="108" w:right="3376"/>
              <w:rPr>
                <w:sz w:val="22"/>
              </w:rPr>
            </w:pPr>
            <w:r>
              <w:rPr>
                <w:sz w:val="22"/>
              </w:rPr>
              <w:t>法定代表人：李国宝联系人：杨俊</w:t>
            </w:r>
          </w:p>
          <w:p>
            <w:pPr>
              <w:pStyle w:val="TableParagraph"/>
              <w:spacing w:line="280" w:lineRule="exact"/>
              <w:ind w:left="108"/>
              <w:rPr>
                <w:rFonts w:ascii="Arial" w:eastAsia="Arial"/>
                <w:sz w:val="22"/>
              </w:rPr>
            </w:pPr>
            <w:r>
              <w:rPr>
                <w:sz w:val="22"/>
              </w:rPr>
              <w:t>电话：</w:t>
            </w:r>
            <w:r>
              <w:rPr>
                <w:rFonts w:ascii="Arial" w:eastAsia="Arial"/>
                <w:sz w:val="22"/>
              </w:rPr>
              <w:t>021-3866 3866</w:t>
            </w:r>
          </w:p>
          <w:p>
            <w:pPr>
              <w:pStyle w:val="TableParagraph"/>
              <w:spacing w:before="29"/>
              <w:ind w:left="108"/>
              <w:rPr>
                <w:rFonts w:ascii="Arial" w:eastAsia="Arial"/>
                <w:sz w:val="22"/>
              </w:rPr>
            </w:pPr>
            <w:r>
              <w:rPr>
                <w:sz w:val="22"/>
              </w:rPr>
              <w:t>传真：</w:t>
            </w:r>
            <w:r>
              <w:rPr>
                <w:rFonts w:ascii="Arial" w:eastAsia="Arial"/>
                <w:sz w:val="22"/>
              </w:rPr>
              <w:t>021-3867 5314</w:t>
            </w:r>
          </w:p>
          <w:p>
            <w:pPr>
              <w:pStyle w:val="TableParagraph"/>
              <w:spacing w:before="30"/>
              <w:ind w:left="108"/>
              <w:rPr>
                <w:rFonts w:ascii="Arial" w:eastAsia="Arial"/>
                <w:sz w:val="22"/>
              </w:rPr>
            </w:pPr>
            <w:r>
              <w:rPr>
                <w:spacing w:val="-2"/>
                <w:sz w:val="22"/>
              </w:rPr>
              <w:t>客户服务电话：</w:t>
            </w:r>
            <w:r>
              <w:rPr>
                <w:rFonts w:ascii="Arial" w:eastAsia="Arial"/>
                <w:sz w:val="22"/>
              </w:rPr>
              <w:t>95382</w:t>
            </w:r>
          </w:p>
          <w:p>
            <w:pPr>
              <w:pStyle w:val="TableParagraph"/>
              <w:tabs>
                <w:tab w:pos="991" w:val="left" w:leader="none"/>
              </w:tabs>
              <w:spacing w:line="277" w:lineRule="exact" w:before="30"/>
              <w:ind w:left="108"/>
              <w:rPr>
                <w:rFonts w:ascii="Arial" w:eastAsia="Arial"/>
                <w:sz w:val="22"/>
              </w:rPr>
            </w:pPr>
            <w:r>
              <w:rPr>
                <w:sz w:val="22"/>
              </w:rPr>
              <w:t>网址：</w:t>
              <w:tab/>
            </w:r>
            <w:hyperlink r:id="rId34">
              <w:r>
                <w:rPr>
                  <w:rFonts w:ascii="Arial" w:eastAsia="Arial"/>
                  <w:sz w:val="22"/>
                </w:rPr>
                <w:t>http://www.hkbea.com.cn/</w:t>
              </w:r>
            </w:hyperlink>
          </w:p>
        </w:tc>
      </w:tr>
      <w:tr>
        <w:trPr>
          <w:trHeight w:val="1562" w:hRule="atLeast"/>
        </w:trPr>
        <w:tc>
          <w:tcPr>
            <w:tcW w:w="470" w:type="dxa"/>
          </w:tcPr>
          <w:p>
            <w:pPr>
              <w:pStyle w:val="TableParagraph"/>
              <w:rPr>
                <w:rFonts w:ascii="Times New Roman"/>
                <w:sz w:val="24"/>
              </w:rPr>
            </w:pPr>
          </w:p>
          <w:p>
            <w:pPr>
              <w:pStyle w:val="TableParagraph"/>
              <w:spacing w:before="4"/>
              <w:rPr>
                <w:rFonts w:ascii="Times New Roman"/>
                <w:sz w:val="33"/>
              </w:rPr>
            </w:pPr>
          </w:p>
          <w:p>
            <w:pPr>
              <w:pStyle w:val="TableParagraph"/>
              <w:ind w:right="105"/>
              <w:jc w:val="right"/>
              <w:rPr>
                <w:rFonts w:ascii="Arial"/>
                <w:sz w:val="21"/>
              </w:rPr>
            </w:pPr>
            <w:r>
              <w:rPr>
                <w:rFonts w:ascii="Arial"/>
                <w:sz w:val="21"/>
              </w:rPr>
              <w:t>28</w:t>
            </w:r>
          </w:p>
        </w:tc>
        <w:tc>
          <w:tcPr>
            <w:tcW w:w="2484" w:type="dxa"/>
          </w:tcPr>
          <w:p>
            <w:pPr>
              <w:pStyle w:val="TableParagraph"/>
              <w:spacing w:line="266" w:lineRule="auto" w:before="17"/>
              <w:ind w:left="139" w:right="129"/>
              <w:jc w:val="center"/>
              <w:rPr>
                <w:sz w:val="22"/>
              </w:rPr>
            </w:pPr>
            <w:r>
              <w:rPr>
                <w:sz w:val="22"/>
              </w:rPr>
              <w:t>上海农村商业银行股份有限公司</w:t>
            </w:r>
          </w:p>
          <w:p>
            <w:pPr>
              <w:pStyle w:val="TableParagraph"/>
              <w:spacing w:line="280" w:lineRule="exact"/>
              <w:ind w:left="120" w:right="113"/>
              <w:jc w:val="center"/>
              <w:rPr>
                <w:sz w:val="22"/>
              </w:rPr>
            </w:pPr>
            <w:r>
              <w:rPr>
                <w:sz w:val="22"/>
              </w:rPr>
              <w:t>（注：仅代销景系列之</w:t>
            </w:r>
          </w:p>
          <w:p>
            <w:pPr>
              <w:pStyle w:val="TableParagraph"/>
              <w:spacing w:line="310" w:lineRule="atLeast" w:before="2"/>
              <w:ind w:left="249" w:right="239"/>
              <w:jc w:val="center"/>
              <w:rPr>
                <w:sz w:val="22"/>
              </w:rPr>
            </w:pPr>
            <w:r>
              <w:rPr>
                <w:sz w:val="22"/>
              </w:rPr>
              <w:t>货币市场证券投资基金）</w:t>
            </w:r>
          </w:p>
        </w:tc>
        <w:tc>
          <w:tcPr>
            <w:tcW w:w="5480" w:type="dxa"/>
          </w:tcPr>
          <w:p>
            <w:pPr>
              <w:pStyle w:val="TableParagraph"/>
              <w:spacing w:line="266" w:lineRule="auto" w:before="173"/>
              <w:ind w:left="108" w:right="606"/>
              <w:rPr>
                <w:sz w:val="22"/>
              </w:rPr>
            </w:pPr>
            <w:r>
              <w:rPr>
                <w:sz w:val="22"/>
              </w:rPr>
              <w:t>注册</w:t>
            </w:r>
            <w:r>
              <w:rPr>
                <w:rFonts w:ascii="Arial" w:eastAsia="Arial"/>
                <w:sz w:val="22"/>
              </w:rPr>
              <w:t>(</w:t>
            </w:r>
            <w:r>
              <w:rPr>
                <w:sz w:val="22"/>
              </w:rPr>
              <w:t>办公</w:t>
            </w:r>
            <w:r>
              <w:rPr>
                <w:rFonts w:ascii="Arial" w:eastAsia="Arial"/>
                <w:sz w:val="22"/>
              </w:rPr>
              <w:t>)</w:t>
            </w:r>
            <w:r>
              <w:rPr>
                <w:sz w:val="22"/>
              </w:rPr>
              <w:t>地址：上海市黄埔区中山东二路 </w:t>
            </w:r>
            <w:r>
              <w:rPr>
                <w:rFonts w:ascii="Arial" w:eastAsia="Arial"/>
                <w:sz w:val="22"/>
              </w:rPr>
              <w:t>70 </w:t>
            </w:r>
            <w:r>
              <w:rPr>
                <w:sz w:val="22"/>
              </w:rPr>
              <w:t>号法定代表人：冀光恒</w:t>
            </w:r>
          </w:p>
          <w:p>
            <w:pPr>
              <w:pStyle w:val="TableParagraph"/>
              <w:spacing w:line="280" w:lineRule="exact"/>
              <w:ind w:left="108"/>
              <w:rPr>
                <w:rFonts w:ascii="Arial" w:eastAsia="Arial"/>
                <w:sz w:val="22"/>
              </w:rPr>
            </w:pPr>
            <w:r>
              <w:rPr>
                <w:sz w:val="22"/>
              </w:rPr>
              <w:t>客户服务电话：</w:t>
            </w:r>
            <w:r>
              <w:rPr>
                <w:rFonts w:ascii="Arial" w:eastAsia="Arial"/>
                <w:sz w:val="22"/>
              </w:rPr>
              <w:t>021-962999</w:t>
            </w:r>
            <w:r>
              <w:rPr>
                <w:sz w:val="22"/>
              </w:rPr>
              <w:t>、</w:t>
            </w:r>
            <w:r>
              <w:rPr>
                <w:rFonts w:ascii="Arial" w:eastAsia="Arial"/>
                <w:sz w:val="22"/>
              </w:rPr>
              <w:t>4006962999</w:t>
            </w:r>
          </w:p>
          <w:p>
            <w:pPr>
              <w:pStyle w:val="TableParagraph"/>
              <w:spacing w:before="30"/>
              <w:ind w:left="108"/>
              <w:rPr>
                <w:rFonts w:ascii="Arial" w:eastAsia="Arial"/>
                <w:sz w:val="22"/>
              </w:rPr>
            </w:pPr>
            <w:r>
              <w:rPr>
                <w:sz w:val="22"/>
              </w:rPr>
              <w:t>网址：</w:t>
            </w:r>
            <w:hyperlink r:id="rId35">
              <w:r>
                <w:rPr>
                  <w:rFonts w:ascii="Arial" w:eastAsia="Arial"/>
                  <w:sz w:val="22"/>
                </w:rPr>
                <w:t>www.srcb.com</w:t>
              </w:r>
            </w:hyperlink>
          </w:p>
        </w:tc>
      </w:tr>
      <w:tr>
        <w:trPr>
          <w:trHeight w:val="3119"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05"/>
              <w:jc w:val="right"/>
              <w:rPr>
                <w:rFonts w:ascii="Arial"/>
                <w:sz w:val="21"/>
              </w:rPr>
            </w:pPr>
            <w:r>
              <w:rPr>
                <w:rFonts w:ascii="Arial"/>
                <w:sz w:val="21"/>
              </w:rPr>
              <w:t>29</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20" w:right="113"/>
              <w:jc w:val="center"/>
              <w:rPr>
                <w:sz w:val="22"/>
              </w:rPr>
            </w:pPr>
            <w:r>
              <w:rPr>
                <w:sz w:val="22"/>
              </w:rPr>
              <w:t>中原银行股份有限公司</w:t>
            </w:r>
          </w:p>
          <w:p>
            <w:pPr>
              <w:pStyle w:val="TableParagraph"/>
              <w:spacing w:line="266" w:lineRule="auto" w:before="30"/>
              <w:ind w:left="139" w:right="129"/>
              <w:jc w:val="center"/>
              <w:rPr>
                <w:sz w:val="22"/>
              </w:rPr>
            </w:pPr>
            <w:r>
              <w:rPr>
                <w:sz w:val="22"/>
              </w:rPr>
              <w:t>（</w:t>
            </w:r>
            <w:r>
              <w:rPr>
                <w:spacing w:val="-4"/>
                <w:sz w:val="22"/>
              </w:rPr>
              <w:t>注：仅代销景系列之</w:t>
            </w:r>
            <w:r>
              <w:rPr>
                <w:spacing w:val="-2"/>
                <w:sz w:val="22"/>
              </w:rPr>
              <w:t>货币市场证券投资基 金）</w:t>
            </w:r>
          </w:p>
        </w:tc>
        <w:tc>
          <w:tcPr>
            <w:tcW w:w="5480" w:type="dxa"/>
          </w:tcPr>
          <w:p>
            <w:pPr>
              <w:pStyle w:val="TableParagraph"/>
              <w:spacing w:before="15"/>
              <w:ind w:left="108"/>
              <w:rPr>
                <w:rFonts w:ascii="Arial" w:eastAsia="Arial"/>
                <w:sz w:val="22"/>
              </w:rPr>
            </w:pPr>
            <w:r>
              <w:rPr>
                <w:spacing w:val="-7"/>
                <w:sz w:val="22"/>
              </w:rPr>
              <w:t>注册地址：河南省郑州市郑东新区 </w:t>
            </w:r>
            <w:r>
              <w:rPr>
                <w:rFonts w:ascii="Arial" w:eastAsia="Arial"/>
                <w:sz w:val="22"/>
              </w:rPr>
              <w:t>CBD </w:t>
            </w:r>
            <w:r>
              <w:rPr>
                <w:spacing w:val="-12"/>
                <w:sz w:val="22"/>
              </w:rPr>
              <w:t>商务外环路 </w:t>
            </w:r>
            <w:r>
              <w:rPr>
                <w:rFonts w:ascii="Arial" w:eastAsia="Arial"/>
                <w:sz w:val="22"/>
              </w:rPr>
              <w:t>23</w:t>
            </w:r>
          </w:p>
          <w:p>
            <w:pPr>
              <w:pStyle w:val="TableParagraph"/>
              <w:spacing w:before="30"/>
              <w:ind w:left="108"/>
              <w:rPr>
                <w:sz w:val="22"/>
              </w:rPr>
            </w:pPr>
            <w:r>
              <w:rPr>
                <w:sz w:val="22"/>
              </w:rPr>
              <w:t>号中科金座大厦</w:t>
            </w:r>
          </w:p>
          <w:p>
            <w:pPr>
              <w:pStyle w:val="TableParagraph"/>
              <w:spacing w:before="30"/>
              <w:ind w:left="108"/>
              <w:rPr>
                <w:rFonts w:ascii="Arial" w:eastAsia="Arial"/>
                <w:sz w:val="22"/>
              </w:rPr>
            </w:pPr>
            <w:r>
              <w:rPr>
                <w:spacing w:val="-7"/>
                <w:sz w:val="22"/>
              </w:rPr>
              <w:t>办公地址：河南省郑州市郑东新区 </w:t>
            </w:r>
            <w:r>
              <w:rPr>
                <w:rFonts w:ascii="Arial" w:eastAsia="Arial"/>
                <w:sz w:val="22"/>
              </w:rPr>
              <w:t>CBD </w:t>
            </w:r>
            <w:r>
              <w:rPr>
                <w:spacing w:val="-12"/>
                <w:sz w:val="22"/>
              </w:rPr>
              <w:t>商务外环路 </w:t>
            </w:r>
            <w:r>
              <w:rPr>
                <w:rFonts w:ascii="Arial" w:eastAsia="Arial"/>
                <w:sz w:val="22"/>
              </w:rPr>
              <w:t>23</w:t>
            </w:r>
          </w:p>
          <w:p>
            <w:pPr>
              <w:pStyle w:val="TableParagraph"/>
              <w:spacing w:before="30"/>
              <w:ind w:left="108"/>
              <w:rPr>
                <w:sz w:val="22"/>
              </w:rPr>
            </w:pPr>
            <w:r>
              <w:rPr>
                <w:spacing w:val="-1"/>
                <w:sz w:val="22"/>
              </w:rPr>
              <w:t>号中科金座大厦</w:t>
            </w:r>
          </w:p>
          <w:p>
            <w:pPr>
              <w:pStyle w:val="TableParagraph"/>
              <w:spacing w:line="266" w:lineRule="auto" w:before="30"/>
              <w:ind w:left="108" w:right="3376"/>
              <w:rPr>
                <w:sz w:val="22"/>
              </w:rPr>
            </w:pPr>
            <w:r>
              <w:rPr>
                <w:spacing w:val="-4"/>
                <w:sz w:val="22"/>
              </w:rPr>
              <w:t>法定代表人：窦荣兴</w:t>
            </w:r>
            <w:r>
              <w:rPr>
                <w:spacing w:val="-1"/>
                <w:sz w:val="22"/>
              </w:rPr>
              <w:t>联系人：牛映雪</w:t>
            </w:r>
          </w:p>
          <w:p>
            <w:pPr>
              <w:pStyle w:val="TableParagraph"/>
              <w:spacing w:line="266" w:lineRule="auto"/>
              <w:ind w:left="108" w:right="3156"/>
              <w:rPr>
                <w:rFonts w:ascii="Arial" w:eastAsia="Arial"/>
                <w:sz w:val="22"/>
              </w:rPr>
            </w:pPr>
            <w:r>
              <w:rPr>
                <w:sz w:val="22"/>
              </w:rPr>
              <w:t>电话：</w:t>
            </w:r>
            <w:r>
              <w:rPr>
                <w:rFonts w:ascii="Arial" w:eastAsia="Arial"/>
                <w:sz w:val="22"/>
              </w:rPr>
              <w:t>0371-85517710 </w:t>
            </w:r>
            <w:r>
              <w:rPr>
                <w:sz w:val="22"/>
              </w:rPr>
              <w:t>传真：</w:t>
            </w:r>
            <w:r>
              <w:rPr>
                <w:rFonts w:ascii="Arial" w:eastAsia="Arial"/>
                <w:sz w:val="22"/>
              </w:rPr>
              <w:t>0371-85519869</w:t>
            </w:r>
          </w:p>
          <w:p>
            <w:pPr>
              <w:pStyle w:val="TableParagraph"/>
              <w:spacing w:line="280" w:lineRule="exact"/>
              <w:ind w:left="108"/>
              <w:rPr>
                <w:rFonts w:ascii="Arial" w:eastAsia="Arial"/>
                <w:sz w:val="22"/>
              </w:rPr>
            </w:pPr>
            <w:r>
              <w:rPr>
                <w:sz w:val="22"/>
              </w:rPr>
              <w:t>客户服务电话：</w:t>
            </w:r>
            <w:r>
              <w:rPr>
                <w:rFonts w:ascii="Arial" w:eastAsia="Arial"/>
                <w:sz w:val="22"/>
              </w:rPr>
              <w:t>96688</w:t>
            </w:r>
          </w:p>
          <w:p>
            <w:pPr>
              <w:pStyle w:val="TableParagraph"/>
              <w:spacing w:line="277" w:lineRule="exact" w:before="29"/>
              <w:ind w:left="108"/>
              <w:rPr>
                <w:rFonts w:ascii="Arial" w:eastAsia="Arial"/>
                <w:sz w:val="22"/>
              </w:rPr>
            </w:pPr>
            <w:r>
              <w:rPr>
                <w:sz w:val="22"/>
              </w:rPr>
              <w:t>网址：</w:t>
            </w:r>
            <w:hyperlink r:id="rId36">
              <w:r>
                <w:rPr>
                  <w:rFonts w:ascii="Arial" w:eastAsia="Arial"/>
                  <w:sz w:val="22"/>
                </w:rPr>
                <w:t>www.zybank.com.cn</w:t>
              </w:r>
            </w:hyperlink>
          </w:p>
        </w:tc>
      </w:tr>
      <w:tr>
        <w:trPr>
          <w:trHeight w:val="624" w:hRule="atLeast"/>
        </w:trPr>
        <w:tc>
          <w:tcPr>
            <w:tcW w:w="470" w:type="dxa"/>
          </w:tcPr>
          <w:p>
            <w:pPr>
              <w:pStyle w:val="TableParagraph"/>
              <w:spacing w:before="189"/>
              <w:ind w:right="105"/>
              <w:jc w:val="right"/>
              <w:rPr>
                <w:rFonts w:ascii="Arial"/>
                <w:sz w:val="21"/>
              </w:rPr>
            </w:pPr>
            <w:r>
              <w:rPr>
                <w:rFonts w:ascii="Arial"/>
                <w:sz w:val="21"/>
              </w:rPr>
              <w:t>30</w:t>
            </w:r>
          </w:p>
        </w:tc>
        <w:tc>
          <w:tcPr>
            <w:tcW w:w="2484" w:type="dxa"/>
          </w:tcPr>
          <w:p>
            <w:pPr>
              <w:pStyle w:val="TableParagraph"/>
              <w:spacing w:before="15"/>
              <w:ind w:left="120" w:right="113"/>
              <w:jc w:val="center"/>
              <w:rPr>
                <w:sz w:val="22"/>
              </w:rPr>
            </w:pPr>
            <w:r>
              <w:rPr>
                <w:sz w:val="22"/>
              </w:rPr>
              <w:t>江苏江南农村商业银行</w:t>
            </w:r>
          </w:p>
          <w:p>
            <w:pPr>
              <w:pStyle w:val="TableParagraph"/>
              <w:spacing w:line="277" w:lineRule="exact" w:before="30"/>
              <w:ind w:left="118" w:right="113"/>
              <w:jc w:val="center"/>
              <w:rPr>
                <w:sz w:val="22"/>
              </w:rPr>
            </w:pPr>
            <w:r>
              <w:rPr>
                <w:sz w:val="22"/>
              </w:rPr>
              <w:t>股份有限公司</w:t>
            </w:r>
          </w:p>
        </w:tc>
        <w:tc>
          <w:tcPr>
            <w:tcW w:w="5480" w:type="dxa"/>
          </w:tcPr>
          <w:p>
            <w:pPr>
              <w:pStyle w:val="TableParagraph"/>
              <w:spacing w:before="15"/>
              <w:ind w:left="108"/>
              <w:rPr>
                <w:sz w:val="22"/>
              </w:rPr>
            </w:pPr>
            <w:r>
              <w:rPr>
                <w:sz w:val="22"/>
              </w:rPr>
              <w:t>注册（办公）地址：常州和平中路 </w:t>
            </w:r>
            <w:r>
              <w:rPr>
                <w:rFonts w:ascii="Arial" w:eastAsia="Arial"/>
                <w:sz w:val="22"/>
              </w:rPr>
              <w:t>413 </w:t>
            </w:r>
            <w:r>
              <w:rPr>
                <w:sz w:val="22"/>
              </w:rPr>
              <w:t>号</w:t>
            </w:r>
          </w:p>
          <w:p>
            <w:pPr>
              <w:pStyle w:val="TableParagraph"/>
              <w:spacing w:line="277" w:lineRule="exact" w:before="30"/>
              <w:ind w:left="108"/>
              <w:rPr>
                <w:sz w:val="22"/>
              </w:rPr>
            </w:pPr>
            <w:r>
              <w:rPr>
                <w:sz w:val="22"/>
              </w:rPr>
              <w:t>法定代表人：陆向阳</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560"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sz w:val="22"/>
              </w:rPr>
            </w:pPr>
            <w:r>
              <w:rPr>
                <w:sz w:val="22"/>
              </w:rPr>
              <w:t>联系人：蒋姣</w:t>
            </w:r>
          </w:p>
          <w:p>
            <w:pPr>
              <w:pStyle w:val="TableParagraph"/>
              <w:spacing w:line="266" w:lineRule="auto" w:before="31"/>
              <w:ind w:left="108" w:right="3156"/>
              <w:rPr>
                <w:rFonts w:ascii="Arial" w:eastAsia="Arial"/>
                <w:sz w:val="22"/>
              </w:rPr>
            </w:pPr>
            <w:r>
              <w:rPr>
                <w:sz w:val="22"/>
              </w:rPr>
              <w:t>电话：</w:t>
            </w:r>
            <w:r>
              <w:rPr>
                <w:rFonts w:ascii="Arial" w:eastAsia="Arial"/>
                <w:sz w:val="22"/>
              </w:rPr>
              <w:t>0519-80585939 </w:t>
            </w:r>
            <w:r>
              <w:rPr>
                <w:sz w:val="22"/>
              </w:rPr>
              <w:t>传真：</w:t>
            </w:r>
            <w:r>
              <w:rPr>
                <w:rFonts w:ascii="Arial" w:eastAsia="Arial"/>
                <w:sz w:val="22"/>
              </w:rPr>
              <w:t>0519-89995017</w:t>
            </w:r>
          </w:p>
          <w:p>
            <w:pPr>
              <w:pStyle w:val="TableParagraph"/>
              <w:spacing w:line="280" w:lineRule="exact"/>
              <w:ind w:left="108"/>
              <w:rPr>
                <w:rFonts w:ascii="Arial" w:eastAsia="Arial"/>
                <w:sz w:val="22"/>
              </w:rPr>
            </w:pPr>
            <w:r>
              <w:rPr>
                <w:sz w:val="22"/>
              </w:rPr>
              <w:t>客户服务电话：</w:t>
            </w:r>
            <w:r>
              <w:rPr>
                <w:rFonts w:ascii="Arial" w:eastAsia="Arial"/>
                <w:sz w:val="22"/>
              </w:rPr>
              <w:t>96005</w:t>
            </w:r>
          </w:p>
          <w:p>
            <w:pPr>
              <w:pStyle w:val="TableParagraph"/>
              <w:spacing w:line="277" w:lineRule="exact" w:before="30"/>
              <w:ind w:left="108"/>
              <w:rPr>
                <w:rFonts w:ascii="Arial" w:eastAsia="Arial"/>
                <w:sz w:val="22"/>
              </w:rPr>
            </w:pPr>
            <w:r>
              <w:rPr>
                <w:sz w:val="22"/>
              </w:rPr>
              <w:t>网址：</w:t>
            </w:r>
            <w:hyperlink r:id="rId37">
              <w:r>
                <w:rPr>
                  <w:rFonts w:ascii="Arial" w:eastAsia="Arial"/>
                  <w:sz w:val="22"/>
                </w:rPr>
                <w:t>www.jnbank.com.cn</w:t>
              </w:r>
            </w:hyperlink>
          </w:p>
        </w:tc>
      </w:tr>
      <w:tr>
        <w:trPr>
          <w:trHeight w:val="2184"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31</w:t>
            </w:r>
          </w:p>
        </w:tc>
        <w:tc>
          <w:tcPr>
            <w:tcW w:w="2484" w:type="dxa"/>
          </w:tcPr>
          <w:p>
            <w:pPr>
              <w:pStyle w:val="TableParagraph"/>
              <w:spacing w:before="5"/>
              <w:rPr>
                <w:rFonts w:ascii="Times New Roman"/>
                <w:sz w:val="28"/>
              </w:rPr>
            </w:pPr>
          </w:p>
          <w:p>
            <w:pPr>
              <w:pStyle w:val="TableParagraph"/>
              <w:ind w:left="120" w:right="113"/>
              <w:jc w:val="center"/>
              <w:rPr>
                <w:sz w:val="22"/>
              </w:rPr>
            </w:pPr>
            <w:r>
              <w:rPr>
                <w:sz w:val="22"/>
              </w:rPr>
              <w:t>恒丰银行股份有限公司</w:t>
            </w:r>
          </w:p>
          <w:p>
            <w:pPr>
              <w:pStyle w:val="TableParagraph"/>
              <w:spacing w:line="266" w:lineRule="auto" w:before="30"/>
              <w:ind w:left="139" w:right="129"/>
              <w:jc w:val="center"/>
              <w:rPr>
                <w:sz w:val="22"/>
              </w:rPr>
            </w:pPr>
            <w:r>
              <w:rPr>
                <w:sz w:val="22"/>
              </w:rPr>
              <w:t>（注：仅代销景系列之优选混合型证券投资基金、动力平衡证券投资基金）</w:t>
            </w:r>
          </w:p>
        </w:tc>
        <w:tc>
          <w:tcPr>
            <w:tcW w:w="5480" w:type="dxa"/>
          </w:tcPr>
          <w:p>
            <w:pPr>
              <w:pStyle w:val="TableParagraph"/>
              <w:spacing w:line="266" w:lineRule="auto" w:before="15"/>
              <w:ind w:left="108" w:right="191"/>
              <w:rPr>
                <w:sz w:val="22"/>
              </w:rPr>
            </w:pPr>
            <w:r>
              <w:rPr>
                <w:sz w:val="22"/>
              </w:rPr>
              <w:t>注册（办公）地址：中国烟台市芝罘区南大街 </w:t>
            </w:r>
            <w:r>
              <w:rPr>
                <w:rFonts w:ascii="Arial" w:eastAsia="Arial"/>
                <w:sz w:val="22"/>
              </w:rPr>
              <w:t>248 </w:t>
            </w:r>
            <w:r>
              <w:rPr>
                <w:sz w:val="22"/>
              </w:rPr>
              <w:t>号法定代表人：蔡国华</w:t>
            </w:r>
          </w:p>
          <w:p>
            <w:pPr>
              <w:pStyle w:val="TableParagraph"/>
              <w:spacing w:line="280" w:lineRule="exact"/>
              <w:ind w:left="108"/>
              <w:rPr>
                <w:sz w:val="22"/>
              </w:rPr>
            </w:pPr>
            <w:r>
              <w:rPr>
                <w:sz w:val="22"/>
              </w:rPr>
              <w:t>联系人：李胜贤</w:t>
            </w:r>
          </w:p>
          <w:p>
            <w:pPr>
              <w:pStyle w:val="TableParagraph"/>
              <w:spacing w:line="266" w:lineRule="auto" w:before="30"/>
              <w:ind w:left="108" w:right="3278"/>
              <w:rPr>
                <w:rFonts w:ascii="Arial" w:eastAsia="Arial"/>
                <w:sz w:val="22"/>
              </w:rPr>
            </w:pPr>
            <w:r>
              <w:rPr>
                <w:sz w:val="22"/>
              </w:rPr>
              <w:t>电话：</w:t>
            </w:r>
            <w:r>
              <w:rPr>
                <w:rFonts w:ascii="Arial" w:eastAsia="Arial"/>
                <w:sz w:val="22"/>
              </w:rPr>
              <w:t>021-63890179 </w:t>
            </w:r>
            <w:r>
              <w:rPr>
                <w:sz w:val="22"/>
              </w:rPr>
              <w:t>传真：</w:t>
            </w:r>
            <w:r>
              <w:rPr>
                <w:rFonts w:ascii="Arial" w:eastAsia="Arial"/>
                <w:sz w:val="22"/>
              </w:rPr>
              <w:t>021-63890196</w:t>
            </w:r>
          </w:p>
          <w:p>
            <w:pPr>
              <w:pStyle w:val="TableParagraph"/>
              <w:spacing w:line="280" w:lineRule="exact"/>
              <w:ind w:left="108"/>
              <w:rPr>
                <w:rFonts w:ascii="Arial" w:eastAsia="Arial"/>
                <w:sz w:val="22"/>
              </w:rPr>
            </w:pPr>
            <w:r>
              <w:rPr>
                <w:sz w:val="22"/>
              </w:rPr>
              <w:t>客户服务电话：</w:t>
            </w:r>
            <w:r>
              <w:rPr>
                <w:rFonts w:ascii="Arial" w:eastAsia="Arial"/>
                <w:sz w:val="22"/>
              </w:rPr>
              <w:t>95395</w:t>
            </w:r>
          </w:p>
          <w:p>
            <w:pPr>
              <w:pStyle w:val="TableParagraph"/>
              <w:spacing w:line="277" w:lineRule="exact" w:before="31"/>
              <w:ind w:left="108"/>
              <w:rPr>
                <w:rFonts w:ascii="Arial" w:eastAsia="Arial"/>
                <w:sz w:val="22"/>
              </w:rPr>
            </w:pPr>
            <w:r>
              <w:rPr>
                <w:sz w:val="22"/>
              </w:rPr>
              <w:t>网址：</w:t>
            </w:r>
            <w:hyperlink r:id="rId38">
              <w:r>
                <w:rPr>
                  <w:rFonts w:ascii="Arial" w:eastAsia="Arial"/>
                  <w:sz w:val="22"/>
                </w:rPr>
                <w:t>www.hfbank.com.cn</w:t>
              </w:r>
            </w:hyperlink>
          </w:p>
        </w:tc>
      </w:tr>
      <w:tr>
        <w:trPr>
          <w:trHeight w:val="2183"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32</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spacing w:line="266" w:lineRule="auto"/>
              <w:ind w:left="1020" w:right="129" w:hanging="881"/>
              <w:rPr>
                <w:sz w:val="22"/>
              </w:rPr>
            </w:pPr>
            <w:r>
              <w:rPr>
                <w:sz w:val="22"/>
              </w:rPr>
              <w:t>四川天府银行股份有限公司</w:t>
            </w:r>
          </w:p>
        </w:tc>
        <w:tc>
          <w:tcPr>
            <w:tcW w:w="5480" w:type="dxa"/>
          </w:tcPr>
          <w:p>
            <w:pPr>
              <w:pStyle w:val="TableParagraph"/>
              <w:spacing w:before="15"/>
              <w:ind w:left="108"/>
              <w:rPr>
                <w:sz w:val="22"/>
              </w:rPr>
            </w:pPr>
            <w:r>
              <w:rPr>
                <w:sz w:val="22"/>
              </w:rPr>
              <w:t>注册地址：四川省南充市涪江路 </w:t>
            </w:r>
            <w:r>
              <w:rPr>
                <w:rFonts w:ascii="Arial" w:eastAsia="Arial"/>
                <w:sz w:val="22"/>
              </w:rPr>
              <w:t>1 </w:t>
            </w:r>
            <w:r>
              <w:rPr>
                <w:sz w:val="22"/>
              </w:rPr>
              <w:t>号</w:t>
            </w:r>
          </w:p>
          <w:p>
            <w:pPr>
              <w:pStyle w:val="TableParagraph"/>
              <w:spacing w:line="266" w:lineRule="auto" w:before="30"/>
              <w:ind w:left="108" w:right="631"/>
              <w:rPr>
                <w:sz w:val="22"/>
              </w:rPr>
            </w:pPr>
            <w:r>
              <w:rPr>
                <w:sz w:val="22"/>
              </w:rPr>
              <w:t>办公地址：四川省成都市锦江区下东大街 </w:t>
            </w:r>
            <w:r>
              <w:rPr>
                <w:rFonts w:ascii="Arial" w:eastAsia="Arial"/>
                <w:sz w:val="22"/>
              </w:rPr>
              <w:t>258 </w:t>
            </w:r>
            <w:r>
              <w:rPr>
                <w:sz w:val="22"/>
              </w:rPr>
              <w:t>号法定代表人：邢敏</w:t>
            </w:r>
          </w:p>
          <w:p>
            <w:pPr>
              <w:pStyle w:val="TableParagraph"/>
              <w:spacing w:line="280" w:lineRule="exact"/>
              <w:ind w:left="108"/>
              <w:rPr>
                <w:sz w:val="22"/>
              </w:rPr>
            </w:pPr>
            <w:r>
              <w:rPr>
                <w:sz w:val="22"/>
              </w:rPr>
              <w:t>联系人：樊海波</w:t>
            </w:r>
          </w:p>
          <w:p>
            <w:pPr>
              <w:pStyle w:val="TableParagraph"/>
              <w:spacing w:before="30"/>
              <w:ind w:left="108"/>
              <w:rPr>
                <w:rFonts w:ascii="Arial" w:eastAsia="Arial"/>
                <w:sz w:val="22"/>
              </w:rPr>
            </w:pPr>
            <w:r>
              <w:rPr>
                <w:sz w:val="22"/>
              </w:rPr>
              <w:t>电话：</w:t>
            </w:r>
            <w:r>
              <w:rPr>
                <w:rFonts w:ascii="Arial" w:eastAsia="Arial"/>
                <w:sz w:val="22"/>
              </w:rPr>
              <w:t>028-67676033</w:t>
            </w:r>
          </w:p>
          <w:p>
            <w:pPr>
              <w:pStyle w:val="TableParagraph"/>
              <w:spacing w:line="310" w:lineRule="atLeast" w:before="2"/>
              <w:ind w:left="108" w:right="2593"/>
              <w:rPr>
                <w:rFonts w:ascii="Arial" w:eastAsia="Arial"/>
                <w:sz w:val="22"/>
              </w:rPr>
            </w:pPr>
            <w:r>
              <w:rPr>
                <w:sz w:val="22"/>
              </w:rPr>
              <w:t>客户服务电话：</w:t>
            </w:r>
            <w:r>
              <w:rPr>
                <w:rFonts w:ascii="Arial" w:eastAsia="Arial"/>
                <w:sz w:val="22"/>
              </w:rPr>
              <w:t>4001696869 </w:t>
            </w:r>
            <w:r>
              <w:rPr>
                <w:sz w:val="22"/>
              </w:rPr>
              <w:t>网址：</w:t>
            </w:r>
            <w:hyperlink r:id="rId39">
              <w:r>
                <w:rPr>
                  <w:rFonts w:ascii="Arial" w:eastAsia="Arial"/>
                  <w:sz w:val="22"/>
                </w:rPr>
                <w:t>www.tf.cn</w:t>
              </w:r>
            </w:hyperlink>
          </w:p>
        </w:tc>
      </w:tr>
      <w:tr>
        <w:trPr>
          <w:trHeight w:val="2184"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33</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20" w:right="113"/>
              <w:jc w:val="center"/>
              <w:rPr>
                <w:sz w:val="22"/>
              </w:rPr>
            </w:pPr>
            <w:r>
              <w:rPr>
                <w:sz w:val="22"/>
              </w:rPr>
              <w:t>江苏银行股份有限公司</w:t>
            </w:r>
          </w:p>
        </w:tc>
        <w:tc>
          <w:tcPr>
            <w:tcW w:w="5480" w:type="dxa"/>
          </w:tcPr>
          <w:p>
            <w:pPr>
              <w:pStyle w:val="TableParagraph"/>
              <w:spacing w:line="266" w:lineRule="auto" w:before="15"/>
              <w:ind w:left="108" w:right="1414"/>
              <w:rPr>
                <w:sz w:val="22"/>
              </w:rPr>
            </w:pPr>
            <w:r>
              <w:rPr>
                <w:sz w:val="22"/>
              </w:rPr>
              <w:t>注册（办公）地址：南京市中华路 </w:t>
            </w:r>
            <w:r>
              <w:rPr>
                <w:rFonts w:ascii="Arial" w:eastAsia="Arial"/>
                <w:sz w:val="22"/>
              </w:rPr>
              <w:t>26 </w:t>
            </w:r>
            <w:r>
              <w:rPr>
                <w:sz w:val="22"/>
              </w:rPr>
              <w:t>号法定代表人：夏平</w:t>
            </w:r>
          </w:p>
          <w:p>
            <w:pPr>
              <w:pStyle w:val="TableParagraph"/>
              <w:spacing w:line="281" w:lineRule="exact"/>
              <w:ind w:left="108"/>
              <w:rPr>
                <w:sz w:val="22"/>
              </w:rPr>
            </w:pPr>
            <w:r>
              <w:rPr>
                <w:sz w:val="22"/>
              </w:rPr>
              <w:t>联系人：张洪玮</w:t>
            </w:r>
          </w:p>
          <w:p>
            <w:pPr>
              <w:pStyle w:val="TableParagraph"/>
              <w:spacing w:line="266" w:lineRule="auto" w:before="30"/>
              <w:ind w:left="108" w:right="3278"/>
              <w:rPr>
                <w:rFonts w:ascii="Arial" w:eastAsia="Arial"/>
                <w:sz w:val="22"/>
              </w:rPr>
            </w:pPr>
            <w:r>
              <w:rPr>
                <w:sz w:val="22"/>
              </w:rPr>
              <w:t>电话：</w:t>
            </w:r>
            <w:r>
              <w:rPr>
                <w:rFonts w:ascii="Arial" w:eastAsia="Arial"/>
                <w:sz w:val="22"/>
              </w:rPr>
              <w:t>025-58587036 </w:t>
            </w:r>
            <w:r>
              <w:rPr>
                <w:sz w:val="22"/>
              </w:rPr>
              <w:t>传真：</w:t>
            </w:r>
            <w:r>
              <w:rPr>
                <w:rFonts w:ascii="Arial" w:eastAsia="Arial"/>
                <w:sz w:val="22"/>
              </w:rPr>
              <w:t>025-58587820</w:t>
            </w:r>
          </w:p>
          <w:p>
            <w:pPr>
              <w:pStyle w:val="TableParagraph"/>
              <w:spacing w:line="280" w:lineRule="exact"/>
              <w:ind w:left="108"/>
              <w:rPr>
                <w:rFonts w:ascii="Arial" w:eastAsia="Arial"/>
                <w:sz w:val="22"/>
              </w:rPr>
            </w:pPr>
            <w:r>
              <w:rPr>
                <w:sz w:val="22"/>
              </w:rPr>
              <w:t>客户服务电话：</w:t>
            </w:r>
            <w:r>
              <w:rPr>
                <w:rFonts w:ascii="Arial" w:eastAsia="Arial"/>
                <w:sz w:val="22"/>
              </w:rPr>
              <w:t>95319</w:t>
            </w:r>
          </w:p>
          <w:p>
            <w:pPr>
              <w:pStyle w:val="TableParagraph"/>
              <w:spacing w:line="277" w:lineRule="exact" w:before="30"/>
              <w:ind w:left="108"/>
              <w:rPr>
                <w:rFonts w:ascii="Arial" w:eastAsia="Arial"/>
                <w:sz w:val="22"/>
              </w:rPr>
            </w:pPr>
            <w:r>
              <w:rPr>
                <w:sz w:val="22"/>
              </w:rPr>
              <w:t>网址：</w:t>
            </w:r>
            <w:hyperlink r:id="rId40">
              <w:r>
                <w:rPr>
                  <w:rFonts w:ascii="Arial" w:eastAsia="Arial"/>
                  <w:sz w:val="22"/>
                </w:rPr>
                <w:t>www.jsbchina.cn</w:t>
              </w:r>
            </w:hyperlink>
          </w:p>
        </w:tc>
      </w:tr>
      <w:tr>
        <w:trPr>
          <w:trHeight w:val="1874"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2"/>
              </w:rPr>
            </w:pPr>
          </w:p>
          <w:p>
            <w:pPr>
              <w:pStyle w:val="TableParagraph"/>
              <w:ind w:right="105"/>
              <w:jc w:val="right"/>
              <w:rPr>
                <w:rFonts w:ascii="Arial"/>
                <w:sz w:val="21"/>
              </w:rPr>
            </w:pPr>
            <w:r>
              <w:rPr>
                <w:rFonts w:ascii="Arial"/>
                <w:sz w:val="21"/>
              </w:rPr>
              <w:t>34</w:t>
            </w:r>
          </w:p>
        </w:tc>
        <w:tc>
          <w:tcPr>
            <w:tcW w:w="2484" w:type="dxa"/>
          </w:tcPr>
          <w:p>
            <w:pPr>
              <w:pStyle w:val="TableParagraph"/>
              <w:spacing w:before="173"/>
              <w:ind w:left="120" w:right="113"/>
              <w:jc w:val="center"/>
              <w:rPr>
                <w:sz w:val="22"/>
              </w:rPr>
            </w:pPr>
            <w:r>
              <w:rPr>
                <w:sz w:val="22"/>
              </w:rPr>
              <w:t>宁波银行股份有限公司</w:t>
            </w:r>
          </w:p>
          <w:p>
            <w:pPr>
              <w:pStyle w:val="TableParagraph"/>
              <w:spacing w:line="266" w:lineRule="auto" w:before="30"/>
              <w:ind w:left="139" w:right="129"/>
              <w:jc w:val="center"/>
              <w:rPr>
                <w:sz w:val="22"/>
              </w:rPr>
            </w:pPr>
            <w:r>
              <w:rPr>
                <w:sz w:val="22"/>
              </w:rPr>
              <w:t>（注：仅代销景系列之优选混合型证券投资基金、动力平衡证券投资基金）</w:t>
            </w:r>
          </w:p>
        </w:tc>
        <w:tc>
          <w:tcPr>
            <w:tcW w:w="5480" w:type="dxa"/>
          </w:tcPr>
          <w:p>
            <w:pPr>
              <w:pStyle w:val="TableParagraph"/>
              <w:spacing w:line="266" w:lineRule="auto" w:before="17"/>
              <w:ind w:left="108" w:right="92"/>
              <w:rPr>
                <w:sz w:val="22"/>
              </w:rPr>
            </w:pPr>
            <w:r>
              <w:rPr>
                <w:spacing w:val="-9"/>
                <w:sz w:val="22"/>
              </w:rPr>
              <w:t>注册</w:t>
            </w:r>
            <w:r>
              <w:rPr>
                <w:spacing w:val="-3"/>
                <w:sz w:val="22"/>
              </w:rPr>
              <w:t>（</w:t>
            </w:r>
            <w:r>
              <w:rPr>
                <w:spacing w:val="-2"/>
                <w:sz w:val="22"/>
              </w:rPr>
              <w:t>办公</w:t>
            </w:r>
            <w:r>
              <w:rPr>
                <w:spacing w:val="-17"/>
                <w:sz w:val="22"/>
              </w:rPr>
              <w:t>）</w:t>
            </w:r>
            <w:r>
              <w:rPr>
                <w:spacing w:val="-8"/>
                <w:sz w:val="22"/>
              </w:rPr>
              <w:t>地址：浙江省宁波市鄞州区宁东路 </w:t>
            </w:r>
            <w:r>
              <w:rPr>
                <w:rFonts w:ascii="Arial" w:eastAsia="Arial"/>
                <w:sz w:val="22"/>
              </w:rPr>
              <w:t>345 </w:t>
            </w:r>
            <w:r>
              <w:rPr>
                <w:spacing w:val="-12"/>
                <w:sz w:val="22"/>
              </w:rPr>
              <w:t>号</w:t>
            </w:r>
            <w:r>
              <w:rPr>
                <w:spacing w:val="-1"/>
                <w:sz w:val="22"/>
              </w:rPr>
              <w:t>联系人：廖凯亮</w:t>
            </w:r>
          </w:p>
          <w:p>
            <w:pPr>
              <w:pStyle w:val="TableParagraph"/>
              <w:spacing w:line="266" w:lineRule="auto"/>
              <w:ind w:left="108" w:right="3045"/>
              <w:rPr>
                <w:rFonts w:ascii="Arial" w:eastAsia="Arial"/>
                <w:sz w:val="22"/>
              </w:rPr>
            </w:pPr>
            <w:r>
              <w:rPr>
                <w:sz w:val="22"/>
              </w:rPr>
              <w:t>电话：</w:t>
            </w:r>
            <w:r>
              <w:rPr>
                <w:rFonts w:ascii="Arial" w:eastAsia="Arial"/>
                <w:sz w:val="22"/>
              </w:rPr>
              <w:t>0574-87050028 </w:t>
            </w:r>
            <w:r>
              <w:rPr>
                <w:sz w:val="22"/>
              </w:rPr>
              <w:t>传真： </w:t>
            </w:r>
            <w:r>
              <w:rPr>
                <w:rFonts w:ascii="Arial" w:eastAsia="Arial"/>
                <w:sz w:val="22"/>
              </w:rPr>
              <w:t>0574-87050027</w:t>
            </w:r>
          </w:p>
          <w:p>
            <w:pPr>
              <w:pStyle w:val="TableParagraph"/>
              <w:spacing w:line="280" w:lineRule="exact"/>
              <w:ind w:left="108"/>
              <w:rPr>
                <w:rFonts w:ascii="Arial" w:eastAsia="Arial"/>
                <w:sz w:val="22"/>
              </w:rPr>
            </w:pPr>
            <w:r>
              <w:rPr>
                <w:sz w:val="22"/>
              </w:rPr>
              <w:t>客户服务电话： </w:t>
            </w:r>
            <w:r>
              <w:rPr>
                <w:rFonts w:ascii="Arial" w:eastAsia="Arial"/>
                <w:sz w:val="22"/>
              </w:rPr>
              <w:t>95574</w:t>
            </w:r>
          </w:p>
          <w:p>
            <w:pPr>
              <w:pStyle w:val="TableParagraph"/>
              <w:spacing w:line="277" w:lineRule="exact" w:before="28"/>
              <w:ind w:left="108"/>
              <w:rPr>
                <w:rFonts w:ascii="Arial" w:eastAsia="Arial"/>
                <w:sz w:val="22"/>
              </w:rPr>
            </w:pPr>
            <w:r>
              <w:rPr>
                <w:sz w:val="22"/>
              </w:rPr>
              <w:t>网址：</w:t>
            </w:r>
            <w:hyperlink r:id="rId41">
              <w:r>
                <w:rPr>
                  <w:rFonts w:ascii="Arial" w:eastAsia="Arial"/>
                  <w:sz w:val="22"/>
                </w:rPr>
                <w:t>www.nbcb.cn</w:t>
              </w:r>
            </w:hyperlink>
          </w:p>
        </w:tc>
      </w:tr>
      <w:tr>
        <w:trPr>
          <w:trHeight w:val="3119"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05"/>
              <w:jc w:val="right"/>
              <w:rPr>
                <w:rFonts w:ascii="Arial"/>
                <w:sz w:val="21"/>
              </w:rPr>
            </w:pPr>
            <w:r>
              <w:rPr>
                <w:rFonts w:ascii="Arial"/>
                <w:sz w:val="21"/>
              </w:rPr>
              <w:t>35</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20" w:right="113"/>
              <w:jc w:val="center"/>
              <w:rPr>
                <w:sz w:val="22"/>
              </w:rPr>
            </w:pPr>
            <w:r>
              <w:rPr>
                <w:sz w:val="22"/>
              </w:rPr>
              <w:t>长城证券股份有限公司</w:t>
            </w:r>
          </w:p>
        </w:tc>
        <w:tc>
          <w:tcPr>
            <w:tcW w:w="5480" w:type="dxa"/>
          </w:tcPr>
          <w:p>
            <w:pPr>
              <w:pStyle w:val="TableParagraph"/>
              <w:spacing w:before="15"/>
              <w:ind w:left="108"/>
              <w:rPr>
                <w:sz w:val="22"/>
              </w:rPr>
            </w:pPr>
            <w:r>
              <w:rPr>
                <w:sz w:val="22"/>
              </w:rPr>
              <w:t>注册地址：广东省深圳市福田区深南大道 </w:t>
            </w:r>
            <w:r>
              <w:rPr>
                <w:rFonts w:ascii="Arial" w:eastAsia="Arial"/>
                <w:sz w:val="22"/>
              </w:rPr>
              <w:t>6008 </w:t>
            </w:r>
            <w:r>
              <w:rPr>
                <w:sz w:val="22"/>
              </w:rPr>
              <w:t>号特区</w:t>
            </w:r>
          </w:p>
          <w:p>
            <w:pPr>
              <w:pStyle w:val="TableParagraph"/>
              <w:spacing w:line="266" w:lineRule="auto" w:before="30"/>
              <w:ind w:left="108" w:right="3515"/>
              <w:rPr>
                <w:sz w:val="22"/>
              </w:rPr>
            </w:pPr>
            <w:r>
              <w:rPr>
                <w:sz w:val="22"/>
              </w:rPr>
              <w:t>报业大厦 </w:t>
            </w:r>
            <w:r>
              <w:rPr>
                <w:rFonts w:ascii="Arial" w:eastAsia="Arial"/>
                <w:sz w:val="22"/>
              </w:rPr>
              <w:t>16-17 </w:t>
            </w:r>
            <w:r>
              <w:rPr>
                <w:sz w:val="22"/>
              </w:rPr>
              <w:t>层法定代表人：曹宏</w:t>
            </w:r>
          </w:p>
          <w:p>
            <w:pPr>
              <w:pStyle w:val="TableParagraph"/>
              <w:spacing w:line="266" w:lineRule="auto"/>
              <w:ind w:left="108" w:right="69"/>
              <w:rPr>
                <w:sz w:val="22"/>
              </w:rPr>
            </w:pPr>
            <w:r>
              <w:rPr>
                <w:sz w:val="22"/>
              </w:rPr>
              <w:t>办公地址：广东省深圳市福田区深南大道 </w:t>
            </w:r>
            <w:r>
              <w:rPr>
                <w:rFonts w:ascii="Arial" w:eastAsia="Arial"/>
                <w:sz w:val="22"/>
              </w:rPr>
              <w:t>6008 </w:t>
            </w:r>
            <w:r>
              <w:rPr>
                <w:sz w:val="22"/>
              </w:rPr>
              <w:t>号特区报业大厦 </w:t>
            </w:r>
            <w:r>
              <w:rPr>
                <w:rFonts w:ascii="Arial" w:eastAsia="Arial"/>
                <w:sz w:val="22"/>
              </w:rPr>
              <w:t>14</w:t>
            </w:r>
            <w:r>
              <w:rPr>
                <w:sz w:val="22"/>
              </w:rPr>
              <w:t>、</w:t>
            </w:r>
            <w:r>
              <w:rPr>
                <w:rFonts w:ascii="Arial" w:eastAsia="Arial"/>
                <w:sz w:val="22"/>
              </w:rPr>
              <w:t>16</w:t>
            </w:r>
            <w:r>
              <w:rPr>
                <w:sz w:val="22"/>
              </w:rPr>
              <w:t>、</w:t>
            </w:r>
            <w:r>
              <w:rPr>
                <w:rFonts w:ascii="Arial" w:eastAsia="Arial"/>
                <w:sz w:val="22"/>
              </w:rPr>
              <w:t>17 </w:t>
            </w:r>
            <w:r>
              <w:rPr>
                <w:sz w:val="22"/>
              </w:rPr>
              <w:t>层</w:t>
            </w:r>
          </w:p>
          <w:p>
            <w:pPr>
              <w:pStyle w:val="TableParagraph"/>
              <w:spacing w:line="266" w:lineRule="auto"/>
              <w:ind w:left="108" w:right="2593"/>
              <w:rPr>
                <w:sz w:val="22"/>
              </w:rPr>
            </w:pPr>
            <w:r>
              <w:rPr>
                <w:sz w:val="22"/>
              </w:rPr>
              <w:t>客户服务电话：</w:t>
            </w:r>
            <w:r>
              <w:rPr>
                <w:rFonts w:ascii="Arial" w:eastAsia="Arial"/>
                <w:sz w:val="22"/>
              </w:rPr>
              <w:t>4006666888 </w:t>
            </w:r>
            <w:r>
              <w:rPr>
                <w:sz w:val="22"/>
              </w:rPr>
              <w:t>联系人：金夏</w:t>
            </w:r>
          </w:p>
          <w:p>
            <w:pPr>
              <w:pStyle w:val="TableParagraph"/>
              <w:spacing w:line="280" w:lineRule="exact"/>
              <w:ind w:left="108"/>
              <w:rPr>
                <w:rFonts w:ascii="Arial" w:eastAsia="Arial"/>
                <w:sz w:val="22"/>
              </w:rPr>
            </w:pPr>
            <w:r>
              <w:rPr>
                <w:sz w:val="22"/>
              </w:rPr>
              <w:t>联系电话：</w:t>
            </w:r>
            <w:r>
              <w:rPr>
                <w:rFonts w:ascii="Arial" w:eastAsia="Arial"/>
                <w:sz w:val="22"/>
              </w:rPr>
              <w:t>0755-83516289</w:t>
            </w:r>
          </w:p>
          <w:p>
            <w:pPr>
              <w:pStyle w:val="TableParagraph"/>
              <w:spacing w:line="310" w:lineRule="atLeast"/>
              <w:ind w:left="108" w:right="2996"/>
              <w:rPr>
                <w:rFonts w:ascii="Arial" w:eastAsia="Arial"/>
                <w:sz w:val="22"/>
              </w:rPr>
            </w:pPr>
            <w:r>
              <w:rPr>
                <w:sz w:val="22"/>
              </w:rPr>
              <w:t>邮箱：</w:t>
            </w:r>
            <w:hyperlink r:id="rId42">
              <w:r>
                <w:rPr>
                  <w:rFonts w:ascii="Arial" w:eastAsia="Arial"/>
                  <w:sz w:val="22"/>
                </w:rPr>
                <w:t>jinxia@cgws.com </w:t>
              </w:r>
            </w:hyperlink>
            <w:r>
              <w:rPr>
                <w:sz w:val="22"/>
              </w:rPr>
              <w:t>网址：</w:t>
            </w:r>
            <w:hyperlink r:id="rId43">
              <w:r>
                <w:rPr>
                  <w:rFonts w:ascii="Arial" w:eastAsia="Arial"/>
                  <w:sz w:val="22"/>
                </w:rPr>
                <w:t>www.cgws.com</w:t>
              </w:r>
            </w:hyperlink>
          </w:p>
        </w:tc>
      </w:tr>
      <w:tr>
        <w:trPr>
          <w:trHeight w:val="624" w:hRule="atLeast"/>
        </w:trPr>
        <w:tc>
          <w:tcPr>
            <w:tcW w:w="470" w:type="dxa"/>
          </w:tcPr>
          <w:p>
            <w:pPr>
              <w:pStyle w:val="TableParagraph"/>
              <w:spacing w:before="189"/>
              <w:ind w:right="105"/>
              <w:jc w:val="right"/>
              <w:rPr>
                <w:rFonts w:ascii="Arial"/>
                <w:sz w:val="21"/>
              </w:rPr>
            </w:pPr>
            <w:r>
              <w:rPr>
                <w:rFonts w:ascii="Arial"/>
                <w:sz w:val="21"/>
              </w:rPr>
              <w:t>36</w:t>
            </w:r>
          </w:p>
        </w:tc>
        <w:tc>
          <w:tcPr>
            <w:tcW w:w="2484" w:type="dxa"/>
          </w:tcPr>
          <w:p>
            <w:pPr>
              <w:pStyle w:val="TableParagraph"/>
              <w:spacing w:before="171"/>
              <w:ind w:left="120" w:right="113"/>
              <w:jc w:val="center"/>
              <w:rPr>
                <w:sz w:val="22"/>
              </w:rPr>
            </w:pPr>
            <w:r>
              <w:rPr>
                <w:sz w:val="22"/>
              </w:rPr>
              <w:t>广发证券股份有限公司</w:t>
            </w:r>
          </w:p>
        </w:tc>
        <w:tc>
          <w:tcPr>
            <w:tcW w:w="5480" w:type="dxa"/>
          </w:tcPr>
          <w:p>
            <w:pPr>
              <w:pStyle w:val="TableParagraph"/>
              <w:spacing w:before="15"/>
              <w:ind w:left="108"/>
              <w:rPr>
                <w:sz w:val="22"/>
              </w:rPr>
            </w:pPr>
            <w:r>
              <w:rPr>
                <w:spacing w:val="-12"/>
                <w:sz w:val="22"/>
              </w:rPr>
              <w:t>注册地址：广州天河区天河北路 </w:t>
            </w:r>
            <w:r>
              <w:rPr>
                <w:rFonts w:ascii="Arial" w:eastAsia="Arial"/>
                <w:sz w:val="22"/>
              </w:rPr>
              <w:t>183-187 </w:t>
            </w:r>
            <w:r>
              <w:rPr>
                <w:spacing w:val="-3"/>
                <w:sz w:val="22"/>
              </w:rPr>
              <w:t>号大都会广场</w:t>
            </w:r>
          </w:p>
          <w:p>
            <w:pPr>
              <w:pStyle w:val="TableParagraph"/>
              <w:spacing w:line="277" w:lineRule="exact" w:before="30"/>
              <w:ind w:left="108"/>
              <w:rPr>
                <w:sz w:val="22"/>
              </w:rPr>
            </w:pPr>
            <w:r>
              <w:rPr>
                <w:rFonts w:ascii="Arial" w:eastAsia="Arial"/>
                <w:sz w:val="22"/>
              </w:rPr>
              <w:t>43 </w:t>
            </w:r>
            <w:r>
              <w:rPr>
                <w:sz w:val="22"/>
              </w:rPr>
              <w:t>楼（</w:t>
            </w:r>
            <w:r>
              <w:rPr>
                <w:rFonts w:ascii="Arial" w:eastAsia="Arial"/>
                <w:sz w:val="22"/>
              </w:rPr>
              <w:t>4301-4316 </w:t>
            </w:r>
            <w:r>
              <w:rPr>
                <w:sz w:val="22"/>
              </w:rPr>
              <w:t>房）</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2184"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66" w:lineRule="auto" w:before="15"/>
              <w:ind w:left="108" w:right="314"/>
              <w:rPr>
                <w:sz w:val="22"/>
              </w:rPr>
            </w:pPr>
            <w:r>
              <w:rPr>
                <w:sz w:val="22"/>
              </w:rPr>
              <w:t>办公地址：广州市天河区马场路 </w:t>
            </w:r>
            <w:r>
              <w:rPr>
                <w:rFonts w:ascii="Arial" w:eastAsia="Arial"/>
                <w:sz w:val="22"/>
              </w:rPr>
              <w:t>26 </w:t>
            </w:r>
            <w:r>
              <w:rPr>
                <w:sz w:val="22"/>
              </w:rPr>
              <w:t>号广发证券大厦法定代表人：孙树明</w:t>
            </w:r>
          </w:p>
          <w:p>
            <w:pPr>
              <w:pStyle w:val="TableParagraph"/>
              <w:spacing w:line="280" w:lineRule="exact"/>
              <w:ind w:left="108"/>
              <w:rPr>
                <w:sz w:val="22"/>
              </w:rPr>
            </w:pPr>
            <w:r>
              <w:rPr>
                <w:sz w:val="22"/>
              </w:rPr>
              <w:t>联系人：黄岚</w:t>
            </w:r>
          </w:p>
          <w:p>
            <w:pPr>
              <w:pStyle w:val="TableParagraph"/>
              <w:spacing w:line="266" w:lineRule="auto" w:before="30"/>
              <w:ind w:left="108" w:right="3278"/>
              <w:rPr>
                <w:rFonts w:ascii="Arial" w:eastAsia="Arial"/>
                <w:sz w:val="22"/>
              </w:rPr>
            </w:pPr>
            <w:r>
              <w:rPr>
                <w:spacing w:val="-1"/>
                <w:sz w:val="22"/>
              </w:rPr>
              <w:t>电话：</w:t>
            </w:r>
            <w:r>
              <w:rPr>
                <w:rFonts w:ascii="Arial" w:eastAsia="Arial"/>
                <w:spacing w:val="-1"/>
                <w:sz w:val="22"/>
              </w:rPr>
              <w:t>020-87555888 </w:t>
            </w:r>
            <w:r>
              <w:rPr>
                <w:spacing w:val="-1"/>
                <w:sz w:val="22"/>
              </w:rPr>
              <w:t>传真：</w:t>
            </w:r>
            <w:r>
              <w:rPr>
                <w:rFonts w:ascii="Arial" w:eastAsia="Arial"/>
                <w:spacing w:val="-1"/>
                <w:sz w:val="22"/>
              </w:rPr>
              <w:t>020-87555305</w:t>
            </w:r>
          </w:p>
          <w:p>
            <w:pPr>
              <w:pStyle w:val="TableParagraph"/>
              <w:spacing w:line="280" w:lineRule="exact"/>
              <w:ind w:left="108"/>
              <w:rPr>
                <w:rFonts w:ascii="Arial" w:eastAsia="Arial"/>
                <w:sz w:val="22"/>
              </w:rPr>
            </w:pPr>
            <w:r>
              <w:rPr>
                <w:spacing w:val="-1"/>
                <w:sz w:val="22"/>
              </w:rPr>
              <w:t>客户服务电话</w:t>
            </w:r>
            <w:r>
              <w:rPr>
                <w:rFonts w:ascii="Arial" w:eastAsia="Arial"/>
                <w:spacing w:val="2"/>
                <w:sz w:val="22"/>
              </w:rPr>
              <w:t>: </w:t>
            </w:r>
            <w:r>
              <w:rPr>
                <w:rFonts w:ascii="Arial" w:eastAsia="Arial"/>
                <w:sz w:val="22"/>
              </w:rPr>
              <w:t>95575</w:t>
            </w:r>
          </w:p>
          <w:p>
            <w:pPr>
              <w:pStyle w:val="TableParagraph"/>
              <w:spacing w:line="277" w:lineRule="exact" w:before="31"/>
              <w:ind w:left="108"/>
              <w:rPr>
                <w:rFonts w:ascii="Arial" w:eastAsia="Arial"/>
                <w:sz w:val="22"/>
              </w:rPr>
            </w:pPr>
            <w:r>
              <w:rPr>
                <w:sz w:val="22"/>
              </w:rPr>
              <w:t>网址：</w:t>
            </w:r>
            <w:hyperlink r:id="rId44">
              <w:r>
                <w:rPr>
                  <w:rFonts w:ascii="Arial" w:eastAsia="Arial"/>
                  <w:sz w:val="22"/>
                </w:rPr>
                <w:t>www.gf.com.cn</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05"/>
              <w:jc w:val="right"/>
              <w:rPr>
                <w:rFonts w:ascii="Arial"/>
                <w:sz w:val="21"/>
              </w:rPr>
            </w:pPr>
            <w:r>
              <w:rPr>
                <w:rFonts w:ascii="Arial"/>
                <w:sz w:val="21"/>
              </w:rPr>
              <w:t>37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spacing w:line="266" w:lineRule="auto"/>
              <w:ind w:left="1020" w:right="129" w:hanging="881"/>
              <w:rPr>
                <w:sz w:val="22"/>
              </w:rPr>
            </w:pPr>
            <w:r>
              <w:rPr>
                <w:sz w:val="22"/>
              </w:rPr>
              <w:t>中国银河证券股份有限公司</w:t>
            </w:r>
          </w:p>
        </w:tc>
        <w:tc>
          <w:tcPr>
            <w:tcW w:w="5480" w:type="dxa"/>
          </w:tcPr>
          <w:p>
            <w:pPr>
              <w:pStyle w:val="TableParagraph"/>
              <w:spacing w:before="15"/>
              <w:ind w:left="108"/>
              <w:rPr>
                <w:sz w:val="22"/>
              </w:rPr>
            </w:pPr>
            <w:r>
              <w:rPr>
                <w:sz w:val="22"/>
              </w:rPr>
              <w:t>办公地址：北京市西城区金融大街 </w:t>
            </w:r>
            <w:r>
              <w:rPr>
                <w:rFonts w:ascii="Arial" w:eastAsia="Arial"/>
                <w:sz w:val="22"/>
              </w:rPr>
              <w:t>35 </w:t>
            </w:r>
            <w:r>
              <w:rPr>
                <w:sz w:val="22"/>
              </w:rPr>
              <w:t>号国际企业大厦</w:t>
            </w:r>
          </w:p>
          <w:p>
            <w:pPr>
              <w:pStyle w:val="TableParagraph"/>
              <w:spacing w:before="30"/>
              <w:ind w:left="108"/>
              <w:rPr>
                <w:sz w:val="22"/>
              </w:rPr>
            </w:pPr>
            <w:r>
              <w:rPr>
                <w:rFonts w:ascii="Arial" w:eastAsia="Arial"/>
                <w:sz w:val="22"/>
              </w:rPr>
              <w:t>C </w:t>
            </w:r>
            <w:r>
              <w:rPr>
                <w:sz w:val="22"/>
              </w:rPr>
              <w:t>座</w:t>
            </w:r>
          </w:p>
          <w:p>
            <w:pPr>
              <w:pStyle w:val="TableParagraph"/>
              <w:spacing w:line="266" w:lineRule="auto" w:before="30"/>
              <w:ind w:left="108" w:right="834"/>
              <w:rPr>
                <w:sz w:val="22"/>
              </w:rPr>
            </w:pPr>
            <w:r>
              <w:rPr>
                <w:spacing w:val="-7"/>
                <w:sz w:val="22"/>
              </w:rPr>
              <w:t>注册地址：北京市西城区金融大街 </w:t>
            </w:r>
            <w:r>
              <w:rPr>
                <w:rFonts w:ascii="Arial" w:eastAsia="Arial"/>
                <w:sz w:val="22"/>
              </w:rPr>
              <w:t>35 </w:t>
            </w:r>
            <w:r>
              <w:rPr>
                <w:spacing w:val="-26"/>
                <w:sz w:val="22"/>
              </w:rPr>
              <w:t>号 </w:t>
            </w:r>
            <w:r>
              <w:rPr>
                <w:rFonts w:ascii="Arial" w:eastAsia="Arial"/>
                <w:sz w:val="22"/>
              </w:rPr>
              <w:t>2-6 </w:t>
            </w:r>
            <w:r>
              <w:rPr>
                <w:spacing w:val="-12"/>
                <w:sz w:val="22"/>
              </w:rPr>
              <w:t>层</w:t>
            </w:r>
            <w:r>
              <w:rPr>
                <w:spacing w:val="-2"/>
                <w:sz w:val="22"/>
              </w:rPr>
              <w:t>法定代表人：陈共炎</w:t>
            </w:r>
          </w:p>
          <w:p>
            <w:pPr>
              <w:pStyle w:val="TableParagraph"/>
              <w:spacing w:line="281" w:lineRule="exact"/>
              <w:ind w:left="108"/>
              <w:rPr>
                <w:sz w:val="22"/>
              </w:rPr>
            </w:pPr>
            <w:r>
              <w:rPr>
                <w:sz w:val="22"/>
              </w:rPr>
              <w:t>联系人：辛国政</w:t>
            </w:r>
          </w:p>
          <w:p>
            <w:pPr>
              <w:pStyle w:val="TableParagraph"/>
              <w:spacing w:line="266" w:lineRule="auto" w:before="30"/>
              <w:ind w:left="108" w:right="2838"/>
              <w:rPr>
                <w:rFonts w:ascii="Arial" w:eastAsia="Arial"/>
                <w:sz w:val="22"/>
              </w:rPr>
            </w:pPr>
            <w:r>
              <w:rPr>
                <w:sz w:val="22"/>
              </w:rPr>
              <w:t>联系电话：</w:t>
            </w:r>
            <w:r>
              <w:rPr>
                <w:rFonts w:ascii="Arial" w:eastAsia="Arial"/>
                <w:sz w:val="22"/>
              </w:rPr>
              <w:t>010-83574507 </w:t>
            </w:r>
            <w:r>
              <w:rPr>
                <w:sz w:val="22"/>
              </w:rPr>
              <w:t>传真：</w:t>
            </w:r>
            <w:r>
              <w:rPr>
                <w:rFonts w:ascii="Arial" w:eastAsia="Arial"/>
                <w:sz w:val="22"/>
              </w:rPr>
              <w:t>010-83574807</w:t>
            </w:r>
          </w:p>
          <w:p>
            <w:pPr>
              <w:pStyle w:val="TableParagraph"/>
              <w:spacing w:line="280" w:lineRule="exact"/>
              <w:ind w:left="108"/>
              <w:rPr>
                <w:rFonts w:ascii="Arial" w:eastAsia="Arial"/>
                <w:sz w:val="22"/>
              </w:rPr>
            </w:pPr>
            <w:r>
              <w:rPr>
                <w:sz w:val="22"/>
              </w:rPr>
              <w:t>客服电话：</w:t>
            </w:r>
            <w:r>
              <w:rPr>
                <w:rFonts w:ascii="Arial" w:eastAsia="Arial"/>
                <w:sz w:val="22"/>
              </w:rPr>
              <w:t>4008-888-888 </w:t>
            </w:r>
            <w:r>
              <w:rPr>
                <w:sz w:val="22"/>
              </w:rPr>
              <w:t>或 </w:t>
            </w:r>
            <w:r>
              <w:rPr>
                <w:rFonts w:ascii="Arial" w:eastAsia="Arial"/>
                <w:sz w:val="22"/>
              </w:rPr>
              <w:t>95551</w:t>
            </w:r>
          </w:p>
          <w:p>
            <w:pPr>
              <w:pStyle w:val="TableParagraph"/>
              <w:spacing w:line="310" w:lineRule="atLeast" w:before="2"/>
              <w:ind w:left="108" w:right="1908"/>
              <w:rPr>
                <w:rFonts w:ascii="Arial" w:eastAsia="Arial"/>
                <w:sz w:val="22"/>
              </w:rPr>
            </w:pPr>
            <w:r>
              <w:rPr>
                <w:sz w:val="22"/>
              </w:rPr>
              <w:t>公司网址：</w:t>
            </w:r>
            <w:hyperlink r:id="rId45">
              <w:r>
                <w:rPr>
                  <w:rFonts w:ascii="Arial" w:eastAsia="Arial"/>
                  <w:sz w:val="22"/>
                </w:rPr>
                <w:t>www.chinastock.com.cn </w:t>
              </w:r>
            </w:hyperlink>
            <w:r>
              <w:rPr>
                <w:sz w:val="22"/>
              </w:rPr>
              <w:t>邮政编码：</w:t>
            </w:r>
            <w:r>
              <w:rPr>
                <w:rFonts w:ascii="Arial" w:eastAsia="Arial"/>
                <w:sz w:val="22"/>
              </w:rPr>
              <w:t>100033</w:t>
            </w:r>
          </w:p>
        </w:tc>
      </w:tr>
      <w:tr>
        <w:trPr>
          <w:trHeight w:val="280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05"/>
              <w:jc w:val="right"/>
              <w:rPr>
                <w:rFonts w:ascii="Arial"/>
                <w:sz w:val="21"/>
              </w:rPr>
            </w:pPr>
            <w:r>
              <w:rPr>
                <w:rFonts w:ascii="Arial"/>
                <w:sz w:val="21"/>
              </w:rPr>
              <w:t>38</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1020" w:right="129" w:hanging="881"/>
              <w:rPr>
                <w:sz w:val="22"/>
              </w:rPr>
            </w:pPr>
            <w:r>
              <w:rPr>
                <w:sz w:val="22"/>
              </w:rPr>
              <w:t>国泰君安证券股份有限公司</w:t>
            </w:r>
          </w:p>
        </w:tc>
        <w:tc>
          <w:tcPr>
            <w:tcW w:w="5480" w:type="dxa"/>
          </w:tcPr>
          <w:p>
            <w:pPr>
              <w:pStyle w:val="TableParagraph"/>
              <w:spacing w:before="15"/>
              <w:ind w:left="108"/>
              <w:rPr>
                <w:sz w:val="22"/>
              </w:rPr>
            </w:pPr>
            <w:r>
              <w:rPr>
                <w:spacing w:val="-7"/>
                <w:sz w:val="22"/>
              </w:rPr>
              <w:t>注册地址：中国</w:t>
            </w:r>
            <w:r>
              <w:rPr>
                <w:spacing w:val="-3"/>
                <w:sz w:val="22"/>
              </w:rPr>
              <w:t>（</w:t>
            </w:r>
            <w:r>
              <w:rPr>
                <w:spacing w:val="-2"/>
                <w:sz w:val="22"/>
              </w:rPr>
              <w:t>上海</w:t>
            </w:r>
            <w:r>
              <w:rPr>
                <w:spacing w:val="-20"/>
                <w:sz w:val="22"/>
              </w:rPr>
              <w:t>）</w:t>
            </w:r>
            <w:r>
              <w:rPr>
                <w:spacing w:val="-6"/>
                <w:sz w:val="22"/>
              </w:rPr>
              <w:t>自由贸易试验区商城路 </w:t>
            </w:r>
            <w:r>
              <w:rPr>
                <w:rFonts w:ascii="Arial" w:eastAsia="Arial"/>
                <w:sz w:val="22"/>
              </w:rPr>
              <w:t>618 </w:t>
            </w:r>
            <w:r>
              <w:rPr>
                <w:sz w:val="22"/>
              </w:rPr>
              <w:t>号</w:t>
            </w:r>
          </w:p>
          <w:p>
            <w:pPr>
              <w:pStyle w:val="TableParagraph"/>
              <w:spacing w:before="30"/>
              <w:ind w:left="108"/>
              <w:rPr>
                <w:sz w:val="22"/>
              </w:rPr>
            </w:pPr>
            <w:r>
              <w:rPr>
                <w:spacing w:val="-11"/>
                <w:sz w:val="22"/>
              </w:rPr>
              <w:t>办公地址：上海市浦东新区银城中路 </w:t>
            </w:r>
            <w:r>
              <w:rPr>
                <w:rFonts w:ascii="Arial" w:eastAsia="Arial"/>
                <w:sz w:val="22"/>
              </w:rPr>
              <w:t>168</w:t>
            </w:r>
            <w:r>
              <w:rPr>
                <w:rFonts w:ascii="Arial" w:eastAsia="Arial"/>
                <w:spacing w:val="1"/>
                <w:sz w:val="22"/>
              </w:rPr>
              <w:t> </w:t>
            </w:r>
            <w:r>
              <w:rPr>
                <w:spacing w:val="-3"/>
                <w:sz w:val="22"/>
              </w:rPr>
              <w:t>号上海银行大</w:t>
            </w:r>
          </w:p>
          <w:p>
            <w:pPr>
              <w:pStyle w:val="TableParagraph"/>
              <w:spacing w:before="30"/>
              <w:ind w:left="108"/>
              <w:rPr>
                <w:sz w:val="22"/>
              </w:rPr>
            </w:pPr>
            <w:r>
              <w:rPr>
                <w:sz w:val="22"/>
              </w:rPr>
              <w:t>厦 </w:t>
            </w:r>
            <w:r>
              <w:rPr>
                <w:rFonts w:ascii="Arial" w:eastAsia="Arial"/>
                <w:sz w:val="22"/>
              </w:rPr>
              <w:t>29 </w:t>
            </w:r>
            <w:r>
              <w:rPr>
                <w:sz w:val="22"/>
              </w:rPr>
              <w:t>楼</w:t>
            </w:r>
          </w:p>
          <w:p>
            <w:pPr>
              <w:pStyle w:val="TableParagraph"/>
              <w:spacing w:line="266" w:lineRule="auto" w:before="30"/>
              <w:ind w:left="108" w:right="3376"/>
              <w:rPr>
                <w:sz w:val="22"/>
              </w:rPr>
            </w:pPr>
            <w:r>
              <w:rPr>
                <w:sz w:val="22"/>
              </w:rPr>
              <w:t>法定代表人：杨德红联系人：芮敏祺</w:t>
            </w:r>
          </w:p>
          <w:p>
            <w:pPr>
              <w:pStyle w:val="TableParagraph"/>
              <w:spacing w:line="266" w:lineRule="auto"/>
              <w:ind w:left="108" w:right="3216"/>
              <w:rPr>
                <w:rFonts w:ascii="Arial" w:eastAsia="Arial"/>
                <w:sz w:val="22"/>
              </w:rPr>
            </w:pPr>
            <w:r>
              <w:rPr>
                <w:sz w:val="22"/>
              </w:rPr>
              <w:t>电话：</w:t>
            </w:r>
            <w:r>
              <w:rPr>
                <w:rFonts w:ascii="Arial" w:eastAsia="Arial"/>
                <w:sz w:val="22"/>
              </w:rPr>
              <w:t>021-38676666 </w:t>
            </w:r>
            <w:r>
              <w:rPr>
                <w:sz w:val="22"/>
              </w:rPr>
              <w:t>传真：</w:t>
            </w:r>
            <w:r>
              <w:rPr>
                <w:rFonts w:ascii="Arial" w:eastAsia="Arial"/>
                <w:sz w:val="22"/>
              </w:rPr>
              <w:t>021- 38670161</w:t>
            </w:r>
          </w:p>
          <w:p>
            <w:pPr>
              <w:pStyle w:val="TableParagraph"/>
              <w:spacing w:line="280" w:lineRule="exact"/>
              <w:ind w:left="108"/>
              <w:rPr>
                <w:rFonts w:ascii="Arial" w:eastAsia="Arial"/>
                <w:sz w:val="22"/>
              </w:rPr>
            </w:pPr>
            <w:r>
              <w:rPr>
                <w:spacing w:val="-1"/>
                <w:sz w:val="22"/>
              </w:rPr>
              <w:t>客户服务电话</w:t>
            </w:r>
            <w:r>
              <w:rPr>
                <w:rFonts w:ascii="Arial" w:eastAsia="Arial"/>
                <w:spacing w:val="2"/>
                <w:sz w:val="22"/>
              </w:rPr>
              <w:t>: </w:t>
            </w:r>
            <w:r>
              <w:rPr>
                <w:rFonts w:ascii="Arial" w:eastAsia="Arial"/>
                <w:sz w:val="22"/>
              </w:rPr>
              <w:t>95521</w:t>
            </w:r>
          </w:p>
          <w:p>
            <w:pPr>
              <w:pStyle w:val="TableParagraph"/>
              <w:spacing w:line="277" w:lineRule="exact" w:before="29"/>
              <w:ind w:left="108"/>
              <w:rPr>
                <w:rFonts w:ascii="Arial" w:eastAsia="Arial"/>
                <w:sz w:val="22"/>
              </w:rPr>
            </w:pPr>
            <w:r>
              <w:rPr>
                <w:spacing w:val="-1"/>
                <w:sz w:val="22"/>
              </w:rPr>
              <w:t>网址：</w:t>
            </w:r>
            <w:hyperlink r:id="rId46">
              <w:r>
                <w:rPr>
                  <w:rFonts w:ascii="Arial" w:eastAsia="Arial"/>
                  <w:spacing w:val="-1"/>
                  <w:sz w:val="22"/>
                </w:rPr>
                <w:t>www.gtja.com</w:t>
              </w:r>
            </w:hyperlink>
          </w:p>
        </w:tc>
      </w:tr>
      <w:tr>
        <w:trPr>
          <w:trHeight w:val="2184"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39</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spacing w:line="266" w:lineRule="auto"/>
              <w:ind w:left="1020" w:right="129" w:hanging="881"/>
              <w:rPr>
                <w:sz w:val="22"/>
              </w:rPr>
            </w:pPr>
            <w:r>
              <w:rPr>
                <w:sz w:val="22"/>
              </w:rPr>
              <w:t>中信建投证券股份有限公司</w:t>
            </w:r>
          </w:p>
        </w:tc>
        <w:tc>
          <w:tcPr>
            <w:tcW w:w="5480" w:type="dxa"/>
          </w:tcPr>
          <w:p>
            <w:pPr>
              <w:pStyle w:val="TableParagraph"/>
              <w:spacing w:line="266" w:lineRule="auto" w:before="15"/>
              <w:ind w:left="108" w:right="150"/>
              <w:rPr>
                <w:sz w:val="22"/>
              </w:rPr>
            </w:pPr>
            <w:r>
              <w:rPr>
                <w:sz w:val="22"/>
              </w:rPr>
              <w:t>注册（</w:t>
            </w:r>
            <w:r>
              <w:rPr>
                <w:spacing w:val="-2"/>
                <w:sz w:val="22"/>
              </w:rPr>
              <w:t>办公</w:t>
            </w:r>
            <w:r>
              <w:rPr>
                <w:sz w:val="22"/>
              </w:rPr>
              <w:t>）</w:t>
            </w:r>
            <w:r>
              <w:rPr>
                <w:spacing w:val="-7"/>
                <w:sz w:val="22"/>
              </w:rPr>
              <w:t>地址：北京市朝阳区安立路 </w:t>
            </w:r>
            <w:r>
              <w:rPr>
                <w:rFonts w:ascii="Arial" w:eastAsia="Arial"/>
                <w:sz w:val="22"/>
              </w:rPr>
              <w:t>66 </w:t>
            </w:r>
            <w:r>
              <w:rPr>
                <w:spacing w:val="-26"/>
                <w:sz w:val="22"/>
              </w:rPr>
              <w:t>号 </w:t>
            </w:r>
            <w:r>
              <w:rPr>
                <w:rFonts w:ascii="Arial" w:eastAsia="Arial"/>
                <w:sz w:val="22"/>
              </w:rPr>
              <w:t>4 </w:t>
            </w:r>
            <w:r>
              <w:rPr>
                <w:spacing w:val="-6"/>
                <w:sz w:val="22"/>
              </w:rPr>
              <w:t>号楼</w:t>
            </w:r>
            <w:r>
              <w:rPr>
                <w:spacing w:val="-2"/>
                <w:sz w:val="22"/>
              </w:rPr>
              <w:t>法定代表人：王常青</w:t>
            </w:r>
          </w:p>
          <w:p>
            <w:pPr>
              <w:pStyle w:val="TableParagraph"/>
              <w:spacing w:line="280" w:lineRule="exact"/>
              <w:ind w:left="108"/>
              <w:rPr>
                <w:sz w:val="22"/>
              </w:rPr>
            </w:pPr>
            <w:r>
              <w:rPr>
                <w:sz w:val="22"/>
              </w:rPr>
              <w:t>联系人：许梦园</w:t>
            </w:r>
          </w:p>
          <w:p>
            <w:pPr>
              <w:pStyle w:val="TableParagraph"/>
              <w:spacing w:line="266" w:lineRule="auto" w:before="30"/>
              <w:ind w:left="108" w:right="2911"/>
              <w:rPr>
                <w:rFonts w:ascii="Arial" w:eastAsia="Arial"/>
                <w:sz w:val="22"/>
              </w:rPr>
            </w:pPr>
            <w:r>
              <w:rPr>
                <w:sz w:val="22"/>
              </w:rPr>
              <w:t>电话：（</w:t>
            </w:r>
            <w:r>
              <w:rPr>
                <w:rFonts w:ascii="Arial" w:eastAsia="Arial"/>
                <w:sz w:val="22"/>
              </w:rPr>
              <w:t>010</w:t>
            </w:r>
            <w:r>
              <w:rPr>
                <w:sz w:val="22"/>
              </w:rPr>
              <w:t>）</w:t>
            </w:r>
            <w:r>
              <w:rPr>
                <w:rFonts w:ascii="Arial" w:eastAsia="Arial"/>
                <w:sz w:val="22"/>
              </w:rPr>
              <w:t>85156398 </w:t>
            </w:r>
            <w:r>
              <w:rPr>
                <w:sz w:val="22"/>
              </w:rPr>
              <w:t>传真：（</w:t>
            </w:r>
            <w:r>
              <w:rPr>
                <w:rFonts w:ascii="Arial" w:eastAsia="Arial"/>
                <w:sz w:val="22"/>
              </w:rPr>
              <w:t>010</w:t>
            </w:r>
            <w:r>
              <w:rPr>
                <w:sz w:val="22"/>
              </w:rPr>
              <w:t>）</w:t>
            </w:r>
            <w:r>
              <w:rPr>
                <w:rFonts w:ascii="Arial" w:eastAsia="Arial"/>
                <w:sz w:val="22"/>
              </w:rPr>
              <w:t>65182261</w:t>
            </w:r>
          </w:p>
          <w:p>
            <w:pPr>
              <w:pStyle w:val="TableParagraph"/>
              <w:spacing w:line="280" w:lineRule="exact"/>
              <w:ind w:left="108"/>
              <w:rPr>
                <w:rFonts w:ascii="Arial" w:eastAsia="Arial"/>
                <w:sz w:val="22"/>
              </w:rPr>
            </w:pPr>
            <w:r>
              <w:rPr>
                <w:sz w:val="22"/>
              </w:rPr>
              <w:t>客户服务电话</w:t>
            </w:r>
            <w:r>
              <w:rPr>
                <w:rFonts w:ascii="Arial" w:eastAsia="Arial"/>
                <w:sz w:val="22"/>
              </w:rPr>
              <w:t>: 4008888108/95587</w:t>
            </w:r>
          </w:p>
          <w:p>
            <w:pPr>
              <w:pStyle w:val="TableParagraph"/>
              <w:spacing w:line="277" w:lineRule="exact" w:before="31"/>
              <w:ind w:left="108"/>
              <w:rPr>
                <w:rFonts w:ascii="Arial" w:eastAsia="Arial"/>
                <w:sz w:val="22"/>
              </w:rPr>
            </w:pPr>
            <w:r>
              <w:rPr>
                <w:sz w:val="22"/>
              </w:rPr>
              <w:t>网址：</w:t>
            </w:r>
            <w:hyperlink r:id="rId47">
              <w:r>
                <w:rPr>
                  <w:rFonts w:ascii="Arial" w:eastAsia="Arial"/>
                  <w:sz w:val="22"/>
                </w:rPr>
                <w:t>www.csc108.com</w:t>
              </w:r>
            </w:hyperlink>
          </w:p>
        </w:tc>
      </w:tr>
      <w:tr>
        <w:trPr>
          <w:trHeight w:val="218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right="105"/>
              <w:jc w:val="right"/>
              <w:rPr>
                <w:rFonts w:ascii="Arial"/>
                <w:sz w:val="21"/>
              </w:rPr>
            </w:pPr>
            <w:r>
              <w:rPr>
                <w:rFonts w:ascii="Arial"/>
                <w:sz w:val="21"/>
              </w:rPr>
              <w:t>40</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139"/>
              <w:rPr>
                <w:sz w:val="22"/>
              </w:rPr>
            </w:pPr>
            <w:r>
              <w:rPr>
                <w:sz w:val="22"/>
              </w:rPr>
              <w:t>申万宏源证券有限公司</w:t>
            </w:r>
          </w:p>
        </w:tc>
        <w:tc>
          <w:tcPr>
            <w:tcW w:w="5480" w:type="dxa"/>
          </w:tcPr>
          <w:p>
            <w:pPr>
              <w:pStyle w:val="TableParagraph"/>
              <w:spacing w:line="266" w:lineRule="auto" w:before="17"/>
              <w:ind w:left="108" w:right="126"/>
              <w:rPr>
                <w:sz w:val="22"/>
              </w:rPr>
            </w:pPr>
            <w:r>
              <w:rPr>
                <w:sz w:val="22"/>
              </w:rPr>
              <w:t>注册（</w:t>
            </w:r>
            <w:r>
              <w:rPr>
                <w:spacing w:val="-2"/>
                <w:sz w:val="22"/>
              </w:rPr>
              <w:t>办公</w:t>
            </w:r>
            <w:r>
              <w:rPr>
                <w:sz w:val="22"/>
              </w:rPr>
              <w:t>）</w:t>
            </w:r>
            <w:r>
              <w:rPr>
                <w:spacing w:val="-7"/>
                <w:sz w:val="22"/>
              </w:rPr>
              <w:t>地址：上海市徐汇区长乐路 </w:t>
            </w:r>
            <w:r>
              <w:rPr>
                <w:rFonts w:ascii="Arial" w:eastAsia="Arial"/>
                <w:sz w:val="22"/>
              </w:rPr>
              <w:t>989 </w:t>
            </w:r>
            <w:r>
              <w:rPr>
                <w:spacing w:val="-26"/>
                <w:sz w:val="22"/>
              </w:rPr>
              <w:t>号 </w:t>
            </w:r>
            <w:r>
              <w:rPr>
                <w:rFonts w:ascii="Arial" w:eastAsia="Arial"/>
                <w:sz w:val="22"/>
              </w:rPr>
              <w:t>45 </w:t>
            </w:r>
            <w:r>
              <w:rPr>
                <w:spacing w:val="-11"/>
                <w:sz w:val="22"/>
              </w:rPr>
              <w:t>层</w:t>
            </w:r>
            <w:r>
              <w:rPr>
                <w:spacing w:val="-2"/>
                <w:sz w:val="22"/>
              </w:rPr>
              <w:t>法定代表人：李梅</w:t>
            </w:r>
          </w:p>
          <w:p>
            <w:pPr>
              <w:pStyle w:val="TableParagraph"/>
              <w:spacing w:line="280" w:lineRule="exact"/>
              <w:ind w:left="108"/>
              <w:rPr>
                <w:sz w:val="22"/>
              </w:rPr>
            </w:pPr>
            <w:r>
              <w:rPr>
                <w:sz w:val="22"/>
              </w:rPr>
              <w:t>联系人：曹晔</w:t>
            </w:r>
          </w:p>
          <w:p>
            <w:pPr>
              <w:pStyle w:val="TableParagraph"/>
              <w:spacing w:line="266" w:lineRule="auto" w:before="30"/>
              <w:ind w:left="108" w:right="3278"/>
              <w:rPr>
                <w:rFonts w:ascii="Arial" w:eastAsia="Arial"/>
                <w:sz w:val="22"/>
              </w:rPr>
            </w:pPr>
            <w:r>
              <w:rPr>
                <w:sz w:val="22"/>
              </w:rPr>
              <w:t>电话：</w:t>
            </w:r>
            <w:r>
              <w:rPr>
                <w:rFonts w:ascii="Arial" w:eastAsia="Arial"/>
                <w:sz w:val="22"/>
              </w:rPr>
              <w:t>021-33389888 </w:t>
            </w:r>
            <w:r>
              <w:rPr>
                <w:sz w:val="22"/>
              </w:rPr>
              <w:t>传真：</w:t>
            </w:r>
            <w:r>
              <w:rPr>
                <w:rFonts w:ascii="Arial" w:eastAsia="Arial"/>
                <w:sz w:val="22"/>
              </w:rPr>
              <w:t>021-33388224</w:t>
            </w:r>
          </w:p>
          <w:p>
            <w:pPr>
              <w:pStyle w:val="TableParagraph"/>
              <w:spacing w:line="280" w:lineRule="exact"/>
              <w:ind w:left="108"/>
              <w:rPr>
                <w:rFonts w:ascii="Arial" w:eastAsia="Arial"/>
                <w:sz w:val="22"/>
              </w:rPr>
            </w:pPr>
            <w:r>
              <w:rPr>
                <w:sz w:val="22"/>
              </w:rPr>
              <w:t>客户服务电话：</w:t>
            </w:r>
            <w:r>
              <w:rPr>
                <w:rFonts w:ascii="Arial" w:eastAsia="Arial"/>
                <w:sz w:val="22"/>
              </w:rPr>
              <w:t>95523 </w:t>
            </w:r>
            <w:r>
              <w:rPr>
                <w:sz w:val="22"/>
              </w:rPr>
              <w:t>或 </w:t>
            </w:r>
            <w:r>
              <w:rPr>
                <w:rFonts w:ascii="Arial" w:eastAsia="Arial"/>
                <w:sz w:val="22"/>
              </w:rPr>
              <w:t>4008895523</w:t>
            </w:r>
          </w:p>
          <w:p>
            <w:pPr>
              <w:pStyle w:val="TableParagraph"/>
              <w:spacing w:line="277" w:lineRule="exact" w:before="30"/>
              <w:ind w:left="108"/>
              <w:rPr>
                <w:rFonts w:ascii="Arial" w:eastAsia="Arial"/>
                <w:sz w:val="22"/>
              </w:rPr>
            </w:pPr>
            <w:r>
              <w:rPr>
                <w:sz w:val="22"/>
              </w:rPr>
              <w:t>网址：</w:t>
            </w:r>
            <w:hyperlink r:id="rId48">
              <w:r>
                <w:rPr>
                  <w:rFonts w:ascii="Arial" w:eastAsia="Arial"/>
                  <w:sz w:val="22"/>
                </w:rPr>
                <w:t>www.swhysc.com</w:t>
              </w:r>
            </w:hyperlink>
          </w:p>
        </w:tc>
      </w:tr>
      <w:tr>
        <w:trPr>
          <w:trHeight w:val="1248" w:hRule="atLeast"/>
        </w:trPr>
        <w:tc>
          <w:tcPr>
            <w:tcW w:w="470" w:type="dxa"/>
          </w:tcPr>
          <w:p>
            <w:pPr>
              <w:pStyle w:val="TableParagraph"/>
              <w:rPr>
                <w:rFonts w:ascii="Times New Roman"/>
                <w:sz w:val="24"/>
              </w:rPr>
            </w:pPr>
          </w:p>
          <w:p>
            <w:pPr>
              <w:pStyle w:val="TableParagraph"/>
              <w:spacing w:before="7"/>
              <w:rPr>
                <w:rFonts w:ascii="Times New Roman"/>
                <w:sz w:val="19"/>
              </w:rPr>
            </w:pPr>
          </w:p>
          <w:p>
            <w:pPr>
              <w:pStyle w:val="TableParagraph"/>
              <w:ind w:right="105"/>
              <w:jc w:val="right"/>
              <w:rPr>
                <w:rFonts w:ascii="Arial"/>
                <w:sz w:val="21"/>
              </w:rPr>
            </w:pPr>
            <w:r>
              <w:rPr>
                <w:rFonts w:ascii="Arial"/>
                <w:sz w:val="21"/>
              </w:rPr>
              <w:t>41</w:t>
            </w:r>
          </w:p>
        </w:tc>
        <w:tc>
          <w:tcPr>
            <w:tcW w:w="2484" w:type="dxa"/>
          </w:tcPr>
          <w:p>
            <w:pPr>
              <w:pStyle w:val="TableParagraph"/>
              <w:spacing w:before="5"/>
              <w:rPr>
                <w:rFonts w:ascii="Times New Roman"/>
                <w:sz w:val="28"/>
              </w:rPr>
            </w:pPr>
          </w:p>
          <w:p>
            <w:pPr>
              <w:pStyle w:val="TableParagraph"/>
              <w:spacing w:line="266" w:lineRule="auto"/>
              <w:ind w:left="1020" w:right="129" w:hanging="881"/>
              <w:rPr>
                <w:sz w:val="22"/>
              </w:rPr>
            </w:pPr>
            <w:r>
              <w:rPr>
                <w:sz w:val="22"/>
              </w:rPr>
              <w:t>申万宏源西部证券有限公司</w:t>
            </w:r>
          </w:p>
        </w:tc>
        <w:tc>
          <w:tcPr>
            <w:tcW w:w="5480" w:type="dxa"/>
          </w:tcPr>
          <w:p>
            <w:pPr>
              <w:pStyle w:val="TableParagraph"/>
              <w:spacing w:line="266" w:lineRule="auto" w:before="15"/>
              <w:ind w:left="108" w:right="79"/>
              <w:rPr>
                <w:sz w:val="22"/>
              </w:rPr>
            </w:pPr>
            <w:r>
              <w:rPr>
                <w:sz w:val="22"/>
              </w:rPr>
              <w:t>注册（办公）地址：新疆乌鲁木齐市高新区（新市区） 北京南路 </w:t>
            </w:r>
            <w:r>
              <w:rPr>
                <w:rFonts w:ascii="Arial" w:eastAsia="Arial"/>
                <w:sz w:val="22"/>
              </w:rPr>
              <w:t>358 </w:t>
            </w:r>
            <w:r>
              <w:rPr>
                <w:sz w:val="22"/>
              </w:rPr>
              <w:t>号大成国际大厦 </w:t>
            </w:r>
            <w:r>
              <w:rPr>
                <w:rFonts w:ascii="Arial" w:eastAsia="Arial"/>
                <w:sz w:val="22"/>
              </w:rPr>
              <w:t>20 </w:t>
            </w:r>
            <w:r>
              <w:rPr>
                <w:sz w:val="22"/>
              </w:rPr>
              <w:t>楼 </w:t>
            </w:r>
            <w:r>
              <w:rPr>
                <w:rFonts w:ascii="Arial" w:eastAsia="Arial"/>
                <w:sz w:val="22"/>
              </w:rPr>
              <w:t>2005 </w:t>
            </w:r>
            <w:r>
              <w:rPr>
                <w:sz w:val="22"/>
              </w:rPr>
              <w:t>室</w:t>
            </w:r>
          </w:p>
          <w:p>
            <w:pPr>
              <w:pStyle w:val="TableParagraph"/>
              <w:spacing w:line="281" w:lineRule="exact"/>
              <w:ind w:left="108"/>
              <w:rPr>
                <w:sz w:val="22"/>
              </w:rPr>
            </w:pPr>
            <w:r>
              <w:rPr>
                <w:sz w:val="22"/>
              </w:rPr>
              <w:t>法定代表人：李季</w:t>
            </w:r>
          </w:p>
          <w:p>
            <w:pPr>
              <w:pStyle w:val="TableParagraph"/>
              <w:spacing w:line="277" w:lineRule="exact" w:before="30"/>
              <w:ind w:left="108"/>
              <w:rPr>
                <w:sz w:val="22"/>
              </w:rPr>
            </w:pPr>
            <w:r>
              <w:rPr>
                <w:sz w:val="22"/>
              </w:rPr>
              <w:t>联系人：王君</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248"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66" w:lineRule="auto" w:before="15"/>
              <w:ind w:left="108" w:right="3278"/>
              <w:rPr>
                <w:rFonts w:ascii="Arial" w:eastAsia="Arial"/>
                <w:sz w:val="22"/>
              </w:rPr>
            </w:pPr>
            <w:r>
              <w:rPr>
                <w:sz w:val="22"/>
              </w:rPr>
              <w:t>电话：</w:t>
            </w:r>
            <w:r>
              <w:rPr>
                <w:rFonts w:ascii="Arial" w:eastAsia="Arial"/>
                <w:sz w:val="22"/>
              </w:rPr>
              <w:t>0991-7885083 </w:t>
            </w:r>
            <w:r>
              <w:rPr>
                <w:sz w:val="22"/>
              </w:rPr>
              <w:t>传真：</w:t>
            </w:r>
            <w:r>
              <w:rPr>
                <w:rFonts w:ascii="Arial" w:eastAsia="Arial"/>
                <w:sz w:val="22"/>
              </w:rPr>
              <w:t>0991-2310927</w:t>
            </w:r>
          </w:p>
          <w:p>
            <w:pPr>
              <w:pStyle w:val="TableParagraph"/>
              <w:spacing w:line="280" w:lineRule="exact"/>
              <w:ind w:left="108"/>
              <w:rPr>
                <w:rFonts w:ascii="Arial" w:eastAsia="Arial"/>
                <w:sz w:val="22"/>
              </w:rPr>
            </w:pPr>
            <w:r>
              <w:rPr>
                <w:sz w:val="22"/>
              </w:rPr>
              <w:t>客户服务电话：</w:t>
            </w:r>
            <w:r>
              <w:rPr>
                <w:rFonts w:ascii="Arial" w:eastAsia="Arial"/>
                <w:sz w:val="22"/>
              </w:rPr>
              <w:t>400-800-0562</w:t>
            </w:r>
          </w:p>
          <w:p>
            <w:pPr>
              <w:pStyle w:val="TableParagraph"/>
              <w:spacing w:line="277" w:lineRule="exact" w:before="31"/>
              <w:ind w:left="108"/>
              <w:rPr>
                <w:rFonts w:ascii="Arial" w:eastAsia="Arial"/>
                <w:sz w:val="22"/>
              </w:rPr>
            </w:pPr>
            <w:r>
              <w:rPr>
                <w:sz w:val="22"/>
              </w:rPr>
              <w:t>网址：</w:t>
            </w:r>
            <w:hyperlink r:id="rId49">
              <w:r>
                <w:rPr>
                  <w:rFonts w:ascii="Arial" w:eastAsia="Arial"/>
                  <w:sz w:val="22"/>
                </w:rPr>
                <w:t>www.hysec.com</w:t>
              </w:r>
            </w:hyperlink>
          </w:p>
        </w:tc>
      </w:tr>
      <w:tr>
        <w:trPr>
          <w:trHeight w:val="2181" w:hRule="atLeast"/>
        </w:trPr>
        <w:tc>
          <w:tcPr>
            <w:tcW w:w="470" w:type="dxa"/>
            <w:tcBorders>
              <w:bottom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42</w:t>
            </w:r>
          </w:p>
        </w:tc>
        <w:tc>
          <w:tcPr>
            <w:tcW w:w="2484"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20" w:right="113"/>
              <w:jc w:val="center"/>
              <w:rPr>
                <w:sz w:val="22"/>
              </w:rPr>
            </w:pPr>
            <w:r>
              <w:rPr>
                <w:sz w:val="22"/>
              </w:rPr>
              <w:t>招商证券股份有限公司</w:t>
            </w:r>
          </w:p>
        </w:tc>
        <w:tc>
          <w:tcPr>
            <w:tcW w:w="5480" w:type="dxa"/>
            <w:tcBorders>
              <w:bottom w:val="single" w:sz="6" w:space="0" w:color="000000"/>
            </w:tcBorders>
          </w:tcPr>
          <w:p>
            <w:pPr>
              <w:pStyle w:val="TableParagraph"/>
              <w:spacing w:line="266" w:lineRule="auto" w:before="15"/>
              <w:ind w:left="108" w:right="216"/>
              <w:rPr>
                <w:sz w:val="22"/>
              </w:rPr>
            </w:pPr>
            <w:r>
              <w:rPr>
                <w:sz w:val="22"/>
              </w:rPr>
              <w:t>注册（办公）地址：深圳市益田路江苏大厦 </w:t>
            </w:r>
            <w:r>
              <w:rPr>
                <w:rFonts w:ascii="Arial" w:eastAsia="Arial"/>
                <w:sz w:val="22"/>
              </w:rPr>
              <w:t>38-45 </w:t>
            </w:r>
            <w:r>
              <w:rPr>
                <w:sz w:val="22"/>
              </w:rPr>
              <w:t>层法定代表人：宫少林</w:t>
            </w:r>
          </w:p>
          <w:p>
            <w:pPr>
              <w:pStyle w:val="TableParagraph"/>
              <w:spacing w:line="280" w:lineRule="exact"/>
              <w:ind w:left="108"/>
              <w:rPr>
                <w:sz w:val="22"/>
              </w:rPr>
            </w:pPr>
            <w:r>
              <w:rPr>
                <w:sz w:val="22"/>
              </w:rPr>
              <w:t>联系人：黄婵君</w:t>
            </w:r>
          </w:p>
          <w:p>
            <w:pPr>
              <w:pStyle w:val="TableParagraph"/>
              <w:spacing w:line="266" w:lineRule="auto" w:before="30"/>
              <w:ind w:left="108" w:right="3156"/>
              <w:rPr>
                <w:rFonts w:ascii="Arial" w:eastAsia="Arial"/>
                <w:sz w:val="22"/>
              </w:rPr>
            </w:pPr>
            <w:r>
              <w:rPr>
                <w:sz w:val="22"/>
              </w:rPr>
              <w:t>电话：</w:t>
            </w:r>
            <w:r>
              <w:rPr>
                <w:rFonts w:ascii="Arial" w:eastAsia="Arial"/>
                <w:sz w:val="22"/>
              </w:rPr>
              <w:t>0755-82943666 </w:t>
            </w:r>
            <w:r>
              <w:rPr>
                <w:sz w:val="22"/>
              </w:rPr>
              <w:t>传真：</w:t>
            </w:r>
            <w:r>
              <w:rPr>
                <w:rFonts w:ascii="Arial" w:eastAsia="Arial"/>
                <w:sz w:val="22"/>
              </w:rPr>
              <w:t>0755-83734343</w:t>
            </w:r>
          </w:p>
          <w:p>
            <w:pPr>
              <w:pStyle w:val="TableParagraph"/>
              <w:spacing w:line="280" w:lineRule="exact"/>
              <w:ind w:left="108"/>
              <w:rPr>
                <w:rFonts w:ascii="Arial" w:eastAsia="Arial"/>
                <w:sz w:val="22"/>
              </w:rPr>
            </w:pPr>
            <w:r>
              <w:rPr>
                <w:sz w:val="22"/>
              </w:rPr>
              <w:t>客户服务电话</w:t>
            </w:r>
            <w:r>
              <w:rPr>
                <w:rFonts w:ascii="Arial" w:eastAsia="Arial"/>
                <w:sz w:val="22"/>
              </w:rPr>
              <w:t>:400-8888-111</w:t>
            </w:r>
            <w:r>
              <w:rPr>
                <w:sz w:val="22"/>
              </w:rPr>
              <w:t>，</w:t>
            </w:r>
            <w:r>
              <w:rPr>
                <w:rFonts w:ascii="Arial" w:eastAsia="Arial"/>
                <w:sz w:val="22"/>
              </w:rPr>
              <w:t>95565</w:t>
            </w:r>
          </w:p>
          <w:p>
            <w:pPr>
              <w:pStyle w:val="TableParagraph"/>
              <w:spacing w:line="274" w:lineRule="exact" w:before="30"/>
              <w:ind w:left="108"/>
              <w:rPr>
                <w:rFonts w:ascii="Arial" w:eastAsia="Arial"/>
                <w:sz w:val="22"/>
              </w:rPr>
            </w:pPr>
            <w:r>
              <w:rPr>
                <w:sz w:val="22"/>
              </w:rPr>
              <w:t>网址：</w:t>
            </w:r>
            <w:hyperlink r:id="rId50">
              <w:r>
                <w:rPr>
                  <w:rFonts w:ascii="Arial" w:eastAsia="Arial"/>
                  <w:sz w:val="22"/>
                </w:rPr>
                <w:t>www.newone.com.cn</w:t>
              </w:r>
            </w:hyperlink>
          </w:p>
        </w:tc>
      </w:tr>
      <w:tr>
        <w:trPr>
          <w:trHeight w:val="2181" w:hRule="atLeast"/>
        </w:trPr>
        <w:tc>
          <w:tcPr>
            <w:tcW w:w="470" w:type="dxa"/>
            <w:tcBorders>
              <w:top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39"/>
              <w:ind w:right="105"/>
              <w:jc w:val="right"/>
              <w:rPr>
                <w:rFonts w:ascii="Arial"/>
                <w:sz w:val="21"/>
              </w:rPr>
            </w:pPr>
            <w:r>
              <w:rPr>
                <w:rFonts w:ascii="Arial"/>
                <w:sz w:val="21"/>
              </w:rPr>
              <w:t>43</w:t>
            </w:r>
          </w:p>
        </w:tc>
        <w:tc>
          <w:tcPr>
            <w:tcW w:w="2484"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0"/>
              <w:ind w:left="120" w:right="113"/>
              <w:jc w:val="center"/>
              <w:rPr>
                <w:sz w:val="22"/>
              </w:rPr>
            </w:pPr>
            <w:r>
              <w:rPr>
                <w:sz w:val="22"/>
              </w:rPr>
              <w:t>国都证券股份有限公司</w:t>
            </w:r>
          </w:p>
        </w:tc>
        <w:tc>
          <w:tcPr>
            <w:tcW w:w="5480" w:type="dxa"/>
            <w:tcBorders>
              <w:top w:val="single" w:sz="6" w:space="0" w:color="000000"/>
            </w:tcBorders>
          </w:tcPr>
          <w:p>
            <w:pPr>
              <w:pStyle w:val="TableParagraph"/>
              <w:spacing w:before="12"/>
              <w:ind w:left="108"/>
              <w:rPr>
                <w:sz w:val="22"/>
              </w:rPr>
            </w:pPr>
            <w:r>
              <w:rPr>
                <w:sz w:val="22"/>
              </w:rPr>
              <w:t>注册（办公）地址：北京市东城区东直门南大街 </w:t>
            </w:r>
            <w:r>
              <w:rPr>
                <w:rFonts w:ascii="Arial" w:eastAsia="Arial"/>
                <w:sz w:val="22"/>
              </w:rPr>
              <w:t>3 </w:t>
            </w:r>
            <w:r>
              <w:rPr>
                <w:sz w:val="22"/>
              </w:rPr>
              <w:t>号国</w:t>
            </w:r>
          </w:p>
          <w:p>
            <w:pPr>
              <w:pStyle w:val="TableParagraph"/>
              <w:spacing w:line="266" w:lineRule="auto" w:before="31"/>
              <w:ind w:left="108" w:right="3230"/>
              <w:rPr>
                <w:sz w:val="22"/>
              </w:rPr>
            </w:pPr>
            <w:r>
              <w:rPr>
                <w:spacing w:val="-10"/>
                <w:sz w:val="22"/>
              </w:rPr>
              <w:t>华投资大厦 </w:t>
            </w:r>
            <w:r>
              <w:rPr>
                <w:rFonts w:ascii="Arial" w:eastAsia="Arial"/>
                <w:sz w:val="22"/>
              </w:rPr>
              <w:t>9 </w:t>
            </w:r>
            <w:r>
              <w:rPr>
                <w:spacing w:val="-27"/>
                <w:sz w:val="22"/>
              </w:rPr>
              <w:t>号 </w:t>
            </w:r>
            <w:r>
              <w:rPr>
                <w:rFonts w:ascii="Arial" w:eastAsia="Arial"/>
                <w:sz w:val="22"/>
              </w:rPr>
              <w:t>10 </w:t>
            </w:r>
            <w:r>
              <w:rPr>
                <w:spacing w:val="-15"/>
                <w:sz w:val="22"/>
              </w:rPr>
              <w:t>层</w:t>
            </w:r>
            <w:r>
              <w:rPr>
                <w:spacing w:val="-1"/>
                <w:sz w:val="22"/>
              </w:rPr>
              <w:t>联系人：黄静</w:t>
            </w:r>
          </w:p>
          <w:p>
            <w:pPr>
              <w:pStyle w:val="TableParagraph"/>
              <w:spacing w:line="280" w:lineRule="exact"/>
              <w:ind w:left="108"/>
              <w:rPr>
                <w:rFonts w:ascii="Arial" w:eastAsia="Arial"/>
                <w:sz w:val="22"/>
              </w:rPr>
            </w:pPr>
            <w:r>
              <w:rPr>
                <w:sz w:val="22"/>
              </w:rPr>
              <w:t>电话：</w:t>
            </w:r>
            <w:r>
              <w:rPr>
                <w:rFonts w:ascii="Arial" w:eastAsia="Arial"/>
                <w:sz w:val="22"/>
              </w:rPr>
              <w:t>010-84183333</w:t>
            </w:r>
          </w:p>
          <w:p>
            <w:pPr>
              <w:pStyle w:val="TableParagraph"/>
              <w:spacing w:line="266" w:lineRule="auto" w:before="30"/>
              <w:ind w:left="108" w:right="2715"/>
              <w:rPr>
                <w:rFonts w:ascii="Arial" w:eastAsia="Arial"/>
                <w:sz w:val="22"/>
              </w:rPr>
            </w:pPr>
            <w:r>
              <w:rPr>
                <w:sz w:val="22"/>
              </w:rPr>
              <w:t>传真：</w:t>
            </w:r>
            <w:r>
              <w:rPr>
                <w:rFonts w:ascii="Arial" w:eastAsia="Arial"/>
                <w:sz w:val="22"/>
              </w:rPr>
              <w:t>010-84183311-3389 </w:t>
            </w:r>
            <w:r>
              <w:rPr>
                <w:sz w:val="22"/>
              </w:rPr>
              <w:t>客服电话：</w:t>
            </w:r>
            <w:r>
              <w:rPr>
                <w:rFonts w:ascii="Arial" w:eastAsia="Arial"/>
                <w:sz w:val="22"/>
              </w:rPr>
              <w:t>400-818-8118</w:t>
            </w:r>
          </w:p>
          <w:p>
            <w:pPr>
              <w:pStyle w:val="TableParagraph"/>
              <w:spacing w:line="275" w:lineRule="exact"/>
              <w:ind w:left="108"/>
              <w:rPr>
                <w:rFonts w:ascii="Arial" w:eastAsia="Arial"/>
                <w:sz w:val="22"/>
              </w:rPr>
            </w:pPr>
            <w:r>
              <w:rPr>
                <w:sz w:val="22"/>
              </w:rPr>
              <w:t>网址：</w:t>
            </w:r>
            <w:hyperlink r:id="rId51">
              <w:r>
                <w:rPr>
                  <w:rFonts w:ascii="Arial" w:eastAsia="Arial"/>
                  <w:sz w:val="22"/>
                </w:rPr>
                <w:t>www.guodu.com</w:t>
              </w:r>
            </w:hyperlink>
          </w:p>
        </w:tc>
      </w:tr>
      <w:tr>
        <w:trPr>
          <w:trHeight w:val="249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05"/>
              <w:jc w:val="right"/>
              <w:rPr>
                <w:rFonts w:ascii="Arial"/>
                <w:sz w:val="21"/>
              </w:rPr>
            </w:pPr>
            <w:r>
              <w:rPr>
                <w:rFonts w:ascii="Arial"/>
                <w:sz w:val="21"/>
              </w:rPr>
              <w:t>44</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兴业证券股份有限公司</w:t>
            </w:r>
          </w:p>
        </w:tc>
        <w:tc>
          <w:tcPr>
            <w:tcW w:w="5480" w:type="dxa"/>
          </w:tcPr>
          <w:p>
            <w:pPr>
              <w:pStyle w:val="TableParagraph"/>
              <w:spacing w:before="15"/>
              <w:ind w:left="108"/>
              <w:rPr>
                <w:sz w:val="22"/>
              </w:rPr>
            </w:pPr>
            <w:r>
              <w:rPr>
                <w:sz w:val="22"/>
              </w:rPr>
              <w:t>注册地址：福州市湖东路 </w:t>
            </w:r>
            <w:r>
              <w:rPr>
                <w:rFonts w:ascii="Arial" w:eastAsia="Arial"/>
                <w:sz w:val="22"/>
              </w:rPr>
              <w:t>268 </w:t>
            </w:r>
            <w:r>
              <w:rPr>
                <w:sz w:val="22"/>
              </w:rPr>
              <w:t>号</w:t>
            </w:r>
          </w:p>
          <w:p>
            <w:pPr>
              <w:pStyle w:val="TableParagraph"/>
              <w:spacing w:line="266" w:lineRule="auto" w:before="30"/>
              <w:ind w:left="108" w:right="1414"/>
              <w:rPr>
                <w:sz w:val="22"/>
              </w:rPr>
            </w:pPr>
            <w:r>
              <w:rPr>
                <w:sz w:val="22"/>
              </w:rPr>
              <w:t>办公地址：上海市浦东新区长柳路 </w:t>
            </w:r>
            <w:r>
              <w:rPr>
                <w:rFonts w:ascii="Arial" w:eastAsia="Arial"/>
                <w:sz w:val="22"/>
              </w:rPr>
              <w:t>36 </w:t>
            </w:r>
            <w:r>
              <w:rPr>
                <w:sz w:val="22"/>
              </w:rPr>
              <w:t>号法定代表人：杨华辉</w:t>
            </w:r>
          </w:p>
          <w:p>
            <w:pPr>
              <w:pStyle w:val="TableParagraph"/>
              <w:spacing w:line="281" w:lineRule="exact"/>
              <w:ind w:left="108"/>
              <w:rPr>
                <w:sz w:val="22"/>
              </w:rPr>
            </w:pPr>
            <w:r>
              <w:rPr>
                <w:sz w:val="22"/>
              </w:rPr>
              <w:t>联系人：乔琳雪</w:t>
            </w:r>
          </w:p>
          <w:p>
            <w:pPr>
              <w:pStyle w:val="TableParagraph"/>
              <w:spacing w:line="266" w:lineRule="auto" w:before="30"/>
              <w:ind w:left="108" w:right="2838"/>
              <w:rPr>
                <w:rFonts w:ascii="Arial" w:eastAsia="Arial"/>
                <w:sz w:val="22"/>
              </w:rPr>
            </w:pPr>
            <w:r>
              <w:rPr>
                <w:sz w:val="22"/>
              </w:rPr>
              <w:t>联系电话：</w:t>
            </w:r>
            <w:r>
              <w:rPr>
                <w:rFonts w:ascii="Arial" w:eastAsia="Arial"/>
                <w:sz w:val="22"/>
              </w:rPr>
              <w:t>021-38565547 </w:t>
            </w:r>
            <w:r>
              <w:rPr>
                <w:sz w:val="22"/>
              </w:rPr>
              <w:t>传真：</w:t>
            </w:r>
            <w:r>
              <w:rPr>
                <w:rFonts w:ascii="Arial" w:eastAsia="Arial"/>
                <w:sz w:val="22"/>
              </w:rPr>
              <w:t>0591-38507538</w:t>
            </w:r>
          </w:p>
          <w:p>
            <w:pPr>
              <w:pStyle w:val="TableParagraph"/>
              <w:spacing w:line="280" w:lineRule="exact"/>
              <w:ind w:left="108"/>
              <w:rPr>
                <w:rFonts w:ascii="Arial" w:eastAsia="Arial"/>
                <w:sz w:val="22"/>
              </w:rPr>
            </w:pPr>
            <w:r>
              <w:rPr>
                <w:sz w:val="22"/>
              </w:rPr>
              <w:t>客户服务电话</w:t>
            </w:r>
            <w:r>
              <w:rPr>
                <w:rFonts w:ascii="Arial" w:eastAsia="Arial"/>
                <w:sz w:val="22"/>
              </w:rPr>
              <w:t>:95562</w:t>
            </w:r>
          </w:p>
          <w:p>
            <w:pPr>
              <w:pStyle w:val="TableParagraph"/>
              <w:spacing w:line="277" w:lineRule="exact" w:before="30"/>
              <w:ind w:left="108"/>
              <w:rPr>
                <w:rFonts w:ascii="Arial" w:eastAsia="Arial"/>
                <w:sz w:val="22"/>
              </w:rPr>
            </w:pPr>
            <w:r>
              <w:rPr>
                <w:sz w:val="22"/>
              </w:rPr>
              <w:t>网址：</w:t>
            </w:r>
            <w:hyperlink r:id="rId52">
              <w:r>
                <w:rPr>
                  <w:rFonts w:ascii="Arial" w:eastAsia="Arial"/>
                  <w:sz w:val="22"/>
                </w:rPr>
                <w:t>www.xyzq.com.cn</w:t>
              </w:r>
            </w:hyperlink>
          </w:p>
        </w:tc>
      </w:tr>
      <w:tr>
        <w:trPr>
          <w:trHeight w:val="218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right="105"/>
              <w:jc w:val="right"/>
              <w:rPr>
                <w:rFonts w:ascii="Arial"/>
                <w:sz w:val="21"/>
              </w:rPr>
            </w:pPr>
            <w:r>
              <w:rPr>
                <w:rFonts w:ascii="Arial"/>
                <w:sz w:val="21"/>
              </w:rPr>
              <w:t>45</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120" w:right="113"/>
              <w:jc w:val="center"/>
              <w:rPr>
                <w:sz w:val="22"/>
              </w:rPr>
            </w:pPr>
            <w:r>
              <w:rPr>
                <w:sz w:val="22"/>
              </w:rPr>
              <w:t>光大证券股份有限公司</w:t>
            </w:r>
          </w:p>
        </w:tc>
        <w:tc>
          <w:tcPr>
            <w:tcW w:w="5480" w:type="dxa"/>
          </w:tcPr>
          <w:p>
            <w:pPr>
              <w:pStyle w:val="TableParagraph"/>
              <w:spacing w:line="266" w:lineRule="auto" w:before="17"/>
              <w:ind w:left="108" w:right="509"/>
              <w:rPr>
                <w:sz w:val="22"/>
              </w:rPr>
            </w:pPr>
            <w:r>
              <w:rPr>
                <w:sz w:val="22"/>
              </w:rPr>
              <w:t>注册（办公）地址：上海市静安区新闸路 </w:t>
            </w:r>
            <w:r>
              <w:rPr>
                <w:rFonts w:ascii="Arial" w:eastAsia="Arial"/>
                <w:sz w:val="22"/>
              </w:rPr>
              <w:t>1508 </w:t>
            </w:r>
            <w:r>
              <w:rPr>
                <w:sz w:val="22"/>
              </w:rPr>
              <w:t>号法定代表人：周健男</w:t>
            </w:r>
          </w:p>
          <w:p>
            <w:pPr>
              <w:pStyle w:val="TableParagraph"/>
              <w:spacing w:line="280" w:lineRule="exact"/>
              <w:ind w:left="108"/>
              <w:rPr>
                <w:sz w:val="22"/>
              </w:rPr>
            </w:pPr>
            <w:r>
              <w:rPr>
                <w:sz w:val="22"/>
              </w:rPr>
              <w:t>联系人：郁疆</w:t>
            </w:r>
          </w:p>
          <w:p>
            <w:pPr>
              <w:pStyle w:val="TableParagraph"/>
              <w:spacing w:line="266" w:lineRule="auto" w:before="30"/>
              <w:ind w:left="108" w:right="3278"/>
              <w:rPr>
                <w:rFonts w:ascii="Arial" w:eastAsia="Arial"/>
                <w:sz w:val="22"/>
              </w:rPr>
            </w:pPr>
            <w:r>
              <w:rPr>
                <w:sz w:val="22"/>
              </w:rPr>
              <w:t>电话：</w:t>
            </w:r>
            <w:r>
              <w:rPr>
                <w:rFonts w:ascii="Arial" w:eastAsia="Arial"/>
                <w:sz w:val="22"/>
              </w:rPr>
              <w:t>021-22169999 </w:t>
            </w:r>
            <w:r>
              <w:rPr>
                <w:sz w:val="22"/>
              </w:rPr>
              <w:t>传真：</w:t>
            </w:r>
            <w:r>
              <w:rPr>
                <w:rFonts w:ascii="Arial" w:eastAsia="Arial"/>
                <w:sz w:val="22"/>
              </w:rPr>
              <w:t>021-22169134</w:t>
            </w:r>
          </w:p>
          <w:p>
            <w:pPr>
              <w:pStyle w:val="TableParagraph"/>
              <w:spacing w:line="280" w:lineRule="exact"/>
              <w:ind w:left="108"/>
              <w:rPr>
                <w:rFonts w:ascii="Arial" w:eastAsia="Arial"/>
                <w:sz w:val="22"/>
              </w:rPr>
            </w:pPr>
            <w:r>
              <w:rPr>
                <w:sz w:val="22"/>
              </w:rPr>
              <w:t>客户服务电话：</w:t>
            </w:r>
            <w:r>
              <w:rPr>
                <w:rFonts w:ascii="Arial" w:eastAsia="Arial"/>
                <w:sz w:val="22"/>
              </w:rPr>
              <w:t>95525</w:t>
            </w:r>
            <w:r>
              <w:rPr>
                <w:sz w:val="22"/>
              </w:rPr>
              <w:t>、</w:t>
            </w:r>
            <w:r>
              <w:rPr>
                <w:rFonts w:ascii="Arial" w:eastAsia="Arial"/>
                <w:sz w:val="22"/>
              </w:rPr>
              <w:t>4008888788</w:t>
            </w:r>
            <w:r>
              <w:rPr>
                <w:sz w:val="22"/>
              </w:rPr>
              <w:t>、</w:t>
            </w:r>
            <w:r>
              <w:rPr>
                <w:rFonts w:ascii="Arial" w:eastAsia="Arial"/>
                <w:sz w:val="22"/>
              </w:rPr>
              <w:t>10108998</w:t>
            </w:r>
          </w:p>
          <w:p>
            <w:pPr>
              <w:pStyle w:val="TableParagraph"/>
              <w:spacing w:line="277" w:lineRule="exact" w:before="31"/>
              <w:ind w:left="108"/>
              <w:rPr>
                <w:rFonts w:ascii="Arial" w:eastAsia="Arial"/>
                <w:sz w:val="22"/>
              </w:rPr>
            </w:pPr>
            <w:r>
              <w:rPr>
                <w:sz w:val="22"/>
              </w:rPr>
              <w:t>网址：</w:t>
            </w:r>
            <w:hyperlink r:id="rId53">
              <w:r>
                <w:rPr>
                  <w:rFonts w:ascii="Arial" w:eastAsia="Arial"/>
                  <w:sz w:val="22"/>
                </w:rPr>
                <w:t>www.ebscn.com</w:t>
              </w:r>
            </w:hyperlink>
          </w:p>
        </w:tc>
      </w:tr>
      <w:tr>
        <w:trPr>
          <w:trHeight w:val="2183"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46</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20" w:right="113"/>
              <w:jc w:val="center"/>
              <w:rPr>
                <w:sz w:val="22"/>
              </w:rPr>
            </w:pPr>
            <w:r>
              <w:rPr>
                <w:sz w:val="22"/>
              </w:rPr>
              <w:t>海通证券股份有限公司</w:t>
            </w:r>
          </w:p>
        </w:tc>
        <w:tc>
          <w:tcPr>
            <w:tcW w:w="5480" w:type="dxa"/>
          </w:tcPr>
          <w:p>
            <w:pPr>
              <w:pStyle w:val="TableParagraph"/>
              <w:spacing w:line="266" w:lineRule="auto" w:before="15"/>
              <w:ind w:left="108" w:right="1291"/>
              <w:rPr>
                <w:sz w:val="22"/>
              </w:rPr>
            </w:pPr>
            <w:r>
              <w:rPr>
                <w:sz w:val="22"/>
              </w:rPr>
              <w:t>注册（办公）地址：上海市广东路 </w:t>
            </w:r>
            <w:r>
              <w:rPr>
                <w:rFonts w:ascii="Arial" w:eastAsia="Arial"/>
                <w:sz w:val="22"/>
              </w:rPr>
              <w:t>689 </w:t>
            </w:r>
            <w:r>
              <w:rPr>
                <w:sz w:val="22"/>
              </w:rPr>
              <w:t>号法定代表人：周杰</w:t>
            </w:r>
          </w:p>
          <w:p>
            <w:pPr>
              <w:pStyle w:val="TableParagraph"/>
              <w:spacing w:line="280" w:lineRule="exact"/>
              <w:ind w:left="108"/>
              <w:rPr>
                <w:sz w:val="22"/>
              </w:rPr>
            </w:pPr>
            <w:r>
              <w:rPr>
                <w:sz w:val="22"/>
              </w:rPr>
              <w:t>联系人：李笑鸣</w:t>
            </w:r>
          </w:p>
          <w:p>
            <w:pPr>
              <w:pStyle w:val="TableParagraph"/>
              <w:spacing w:line="266" w:lineRule="auto" w:before="30"/>
              <w:ind w:left="108" w:right="3278"/>
              <w:rPr>
                <w:rFonts w:ascii="Arial" w:eastAsia="Arial"/>
                <w:sz w:val="22"/>
              </w:rPr>
            </w:pPr>
            <w:r>
              <w:rPr>
                <w:sz w:val="22"/>
              </w:rPr>
              <w:t>电话：</w:t>
            </w:r>
            <w:r>
              <w:rPr>
                <w:rFonts w:ascii="Arial" w:eastAsia="Arial"/>
                <w:sz w:val="22"/>
              </w:rPr>
              <w:t>021-23219000 </w:t>
            </w:r>
            <w:r>
              <w:rPr>
                <w:sz w:val="22"/>
              </w:rPr>
              <w:t>传真：</w:t>
            </w:r>
            <w:r>
              <w:rPr>
                <w:rFonts w:ascii="Arial" w:eastAsia="Arial"/>
                <w:sz w:val="22"/>
              </w:rPr>
              <w:t>021-23219100</w:t>
            </w:r>
          </w:p>
          <w:p>
            <w:pPr>
              <w:pStyle w:val="TableParagraph"/>
              <w:spacing w:line="280" w:lineRule="exact"/>
              <w:ind w:left="108"/>
              <w:rPr>
                <w:rFonts w:ascii="Arial" w:eastAsia="Arial"/>
                <w:sz w:val="22"/>
              </w:rPr>
            </w:pPr>
            <w:r>
              <w:rPr>
                <w:sz w:val="22"/>
              </w:rPr>
              <w:t>客服电话：</w:t>
            </w:r>
            <w:r>
              <w:rPr>
                <w:rFonts w:ascii="Arial" w:eastAsia="Arial"/>
                <w:sz w:val="22"/>
              </w:rPr>
              <w:t>95553</w:t>
            </w:r>
          </w:p>
          <w:p>
            <w:pPr>
              <w:pStyle w:val="TableParagraph"/>
              <w:spacing w:line="277" w:lineRule="exact" w:before="30"/>
              <w:ind w:left="108"/>
              <w:rPr>
                <w:rFonts w:ascii="Arial" w:eastAsia="Arial"/>
                <w:sz w:val="22"/>
              </w:rPr>
            </w:pPr>
            <w:r>
              <w:rPr>
                <w:sz w:val="22"/>
              </w:rPr>
              <w:t>网址：</w:t>
            </w:r>
            <w:hyperlink r:id="rId54">
              <w:r>
                <w:rPr>
                  <w:rFonts w:ascii="Arial" w:eastAsia="Arial"/>
                  <w:sz w:val="22"/>
                </w:rPr>
                <w:t>www.htsec.com</w:t>
              </w:r>
            </w:hyperlink>
          </w:p>
        </w:tc>
      </w:tr>
      <w:tr>
        <w:trPr>
          <w:trHeight w:val="1248" w:hRule="atLeast"/>
        </w:trPr>
        <w:tc>
          <w:tcPr>
            <w:tcW w:w="470" w:type="dxa"/>
          </w:tcPr>
          <w:p>
            <w:pPr>
              <w:pStyle w:val="TableParagraph"/>
              <w:rPr>
                <w:rFonts w:ascii="Times New Roman"/>
                <w:sz w:val="24"/>
              </w:rPr>
            </w:pPr>
          </w:p>
          <w:p>
            <w:pPr>
              <w:pStyle w:val="TableParagraph"/>
              <w:spacing w:before="7"/>
              <w:rPr>
                <w:rFonts w:ascii="Times New Roman"/>
                <w:sz w:val="19"/>
              </w:rPr>
            </w:pPr>
          </w:p>
          <w:p>
            <w:pPr>
              <w:pStyle w:val="TableParagraph"/>
              <w:ind w:right="105"/>
              <w:jc w:val="right"/>
              <w:rPr>
                <w:rFonts w:ascii="Arial"/>
                <w:sz w:val="21"/>
              </w:rPr>
            </w:pPr>
            <w:r>
              <w:rPr>
                <w:rFonts w:ascii="Arial"/>
                <w:sz w:val="21"/>
              </w:rPr>
              <w:t>47</w:t>
            </w:r>
          </w:p>
        </w:tc>
        <w:tc>
          <w:tcPr>
            <w:tcW w:w="2484" w:type="dxa"/>
          </w:tcPr>
          <w:p>
            <w:pPr>
              <w:pStyle w:val="TableParagraph"/>
              <w:spacing w:before="5"/>
              <w:rPr>
                <w:rFonts w:ascii="Times New Roman"/>
                <w:sz w:val="28"/>
              </w:rPr>
            </w:pPr>
          </w:p>
          <w:p>
            <w:pPr>
              <w:pStyle w:val="TableParagraph"/>
              <w:spacing w:line="266" w:lineRule="auto"/>
              <w:ind w:left="1020" w:right="129" w:hanging="881"/>
              <w:rPr>
                <w:sz w:val="22"/>
              </w:rPr>
            </w:pPr>
            <w:r>
              <w:rPr>
                <w:sz w:val="22"/>
              </w:rPr>
              <w:t>中银国际证券股份有限公司</w:t>
            </w:r>
          </w:p>
        </w:tc>
        <w:tc>
          <w:tcPr>
            <w:tcW w:w="5480" w:type="dxa"/>
          </w:tcPr>
          <w:p>
            <w:pPr>
              <w:pStyle w:val="TableParagraph"/>
              <w:spacing w:before="15"/>
              <w:ind w:left="108"/>
              <w:rPr>
                <w:sz w:val="22"/>
              </w:rPr>
            </w:pPr>
            <w:r>
              <w:rPr>
                <w:spacing w:val="-9"/>
                <w:sz w:val="22"/>
              </w:rPr>
              <w:t>注册</w:t>
            </w:r>
            <w:r>
              <w:rPr>
                <w:spacing w:val="-3"/>
                <w:sz w:val="22"/>
              </w:rPr>
              <w:t>（</w:t>
            </w:r>
            <w:r>
              <w:rPr>
                <w:spacing w:val="-2"/>
                <w:sz w:val="22"/>
              </w:rPr>
              <w:t>办公</w:t>
            </w:r>
            <w:r>
              <w:rPr>
                <w:spacing w:val="-17"/>
                <w:sz w:val="22"/>
              </w:rPr>
              <w:t>）</w:t>
            </w:r>
            <w:r>
              <w:rPr>
                <w:spacing w:val="-9"/>
                <w:sz w:val="22"/>
              </w:rPr>
              <w:t>地址：上海市浦东新区银城中路 </w:t>
            </w:r>
            <w:r>
              <w:rPr>
                <w:rFonts w:ascii="Arial" w:eastAsia="Arial"/>
                <w:sz w:val="22"/>
              </w:rPr>
              <w:t>200 </w:t>
            </w:r>
            <w:r>
              <w:rPr>
                <w:sz w:val="22"/>
              </w:rPr>
              <w:t>号中</w:t>
            </w:r>
          </w:p>
          <w:p>
            <w:pPr>
              <w:pStyle w:val="TableParagraph"/>
              <w:spacing w:before="30"/>
              <w:ind w:left="108"/>
              <w:rPr>
                <w:sz w:val="22"/>
              </w:rPr>
            </w:pPr>
            <w:r>
              <w:rPr>
                <w:sz w:val="22"/>
              </w:rPr>
              <w:t>银大厦 </w:t>
            </w:r>
            <w:r>
              <w:rPr>
                <w:rFonts w:ascii="Arial" w:eastAsia="Arial"/>
                <w:sz w:val="22"/>
              </w:rPr>
              <w:t>31 </w:t>
            </w:r>
            <w:r>
              <w:rPr>
                <w:sz w:val="22"/>
              </w:rPr>
              <w:t>楼</w:t>
            </w:r>
          </w:p>
          <w:p>
            <w:pPr>
              <w:pStyle w:val="TableParagraph"/>
              <w:spacing w:line="310" w:lineRule="atLeast" w:before="2"/>
              <w:ind w:left="108" w:right="3597"/>
              <w:rPr>
                <w:sz w:val="22"/>
              </w:rPr>
            </w:pPr>
            <w:r>
              <w:rPr>
                <w:sz w:val="22"/>
              </w:rPr>
              <w:t>法定代表人：宁敏联系人：许慧琳</w:t>
            </w:r>
          </w:p>
        </w:tc>
      </w:tr>
    </w:tbl>
    <w:p>
      <w:pPr>
        <w:spacing w:after="0" w:line="310" w:lineRule="atLeas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936"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rFonts w:ascii="Arial" w:eastAsia="Arial"/>
                <w:sz w:val="22"/>
              </w:rPr>
            </w:pPr>
            <w:r>
              <w:rPr>
                <w:sz w:val="22"/>
              </w:rPr>
              <w:t>电话：</w:t>
            </w:r>
            <w:r>
              <w:rPr>
                <w:rFonts w:ascii="Arial" w:eastAsia="Arial"/>
                <w:sz w:val="22"/>
              </w:rPr>
              <w:t>021-20328531</w:t>
            </w:r>
          </w:p>
          <w:p>
            <w:pPr>
              <w:pStyle w:val="TableParagraph"/>
              <w:spacing w:before="31"/>
              <w:ind w:left="108"/>
              <w:rPr>
                <w:rFonts w:ascii="Arial" w:eastAsia="Arial"/>
                <w:sz w:val="22"/>
              </w:rPr>
            </w:pPr>
            <w:r>
              <w:rPr>
                <w:sz w:val="22"/>
              </w:rPr>
              <w:t>客户服务电话</w:t>
            </w:r>
            <w:r>
              <w:rPr>
                <w:rFonts w:ascii="Arial" w:eastAsia="Arial"/>
                <w:sz w:val="22"/>
              </w:rPr>
              <w:t>: 4006208888</w:t>
            </w:r>
          </w:p>
          <w:p>
            <w:pPr>
              <w:pStyle w:val="TableParagraph"/>
              <w:spacing w:line="277" w:lineRule="exact" w:before="30"/>
              <w:ind w:left="108"/>
              <w:rPr>
                <w:rFonts w:ascii="Arial" w:eastAsia="Arial"/>
                <w:sz w:val="22"/>
              </w:rPr>
            </w:pPr>
            <w:r>
              <w:rPr>
                <w:sz w:val="22"/>
              </w:rPr>
              <w:t>网址：</w:t>
            </w:r>
            <w:hyperlink r:id="rId55">
              <w:r>
                <w:rPr>
                  <w:rFonts w:ascii="Arial" w:eastAsia="Arial"/>
                  <w:sz w:val="22"/>
                </w:rPr>
                <w:t>www.bocichina.com</w:t>
              </w:r>
            </w:hyperlink>
          </w:p>
        </w:tc>
      </w:tr>
      <w:tr>
        <w:trPr>
          <w:trHeight w:val="2493" w:hRule="atLeast"/>
        </w:trPr>
        <w:tc>
          <w:tcPr>
            <w:tcW w:w="470" w:type="dxa"/>
            <w:tcBorders>
              <w:bottom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05"/>
              <w:jc w:val="right"/>
              <w:rPr>
                <w:rFonts w:ascii="Arial"/>
                <w:sz w:val="21"/>
              </w:rPr>
            </w:pPr>
            <w:r>
              <w:rPr>
                <w:rFonts w:ascii="Arial"/>
                <w:sz w:val="21"/>
              </w:rPr>
              <w:t>48</w:t>
            </w:r>
          </w:p>
        </w:tc>
        <w:tc>
          <w:tcPr>
            <w:tcW w:w="2484"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安信证券股份有限公司</w:t>
            </w:r>
          </w:p>
        </w:tc>
        <w:tc>
          <w:tcPr>
            <w:tcW w:w="5480" w:type="dxa"/>
            <w:tcBorders>
              <w:bottom w:val="single" w:sz="6" w:space="0" w:color="000000"/>
            </w:tcBorders>
          </w:tcPr>
          <w:p>
            <w:pPr>
              <w:pStyle w:val="TableParagraph"/>
              <w:spacing w:line="266" w:lineRule="auto" w:before="15"/>
              <w:ind w:left="108" w:right="69"/>
              <w:rPr>
                <w:sz w:val="22"/>
              </w:rPr>
            </w:pPr>
            <w:r>
              <w:rPr>
                <w:sz w:val="22"/>
              </w:rPr>
              <w:t>注册（办公）地址：深圳市福田区金田路 </w:t>
            </w:r>
            <w:r>
              <w:rPr>
                <w:rFonts w:ascii="Arial" w:eastAsia="Arial"/>
                <w:sz w:val="22"/>
              </w:rPr>
              <w:t>4018 </w:t>
            </w:r>
            <w:r>
              <w:rPr>
                <w:sz w:val="22"/>
              </w:rPr>
              <w:t>号安联大厦 </w:t>
            </w:r>
            <w:r>
              <w:rPr>
                <w:rFonts w:ascii="Arial" w:eastAsia="Arial"/>
                <w:sz w:val="22"/>
              </w:rPr>
              <w:t>35 </w:t>
            </w:r>
            <w:r>
              <w:rPr>
                <w:sz w:val="22"/>
              </w:rPr>
              <w:t>层、</w:t>
            </w:r>
            <w:r>
              <w:rPr>
                <w:rFonts w:ascii="Arial" w:eastAsia="Arial"/>
                <w:sz w:val="22"/>
              </w:rPr>
              <w:t>28 </w:t>
            </w:r>
            <w:r>
              <w:rPr>
                <w:sz w:val="22"/>
              </w:rPr>
              <w:t>层 </w:t>
            </w:r>
            <w:r>
              <w:rPr>
                <w:rFonts w:ascii="Arial" w:eastAsia="Arial"/>
                <w:sz w:val="22"/>
              </w:rPr>
              <w:t>A02 </w:t>
            </w:r>
            <w:r>
              <w:rPr>
                <w:sz w:val="22"/>
              </w:rPr>
              <w:t>单元</w:t>
            </w:r>
          </w:p>
          <w:p>
            <w:pPr>
              <w:pStyle w:val="TableParagraph"/>
              <w:spacing w:line="266" w:lineRule="auto"/>
              <w:ind w:left="108" w:right="3376"/>
              <w:rPr>
                <w:sz w:val="22"/>
              </w:rPr>
            </w:pPr>
            <w:r>
              <w:rPr>
                <w:sz w:val="22"/>
              </w:rPr>
              <w:t>法定代表人：王连志联系人：郑向溢</w:t>
            </w:r>
          </w:p>
          <w:p>
            <w:pPr>
              <w:pStyle w:val="TableParagraph"/>
              <w:spacing w:line="266" w:lineRule="auto"/>
              <w:ind w:left="108" w:right="3007"/>
              <w:rPr>
                <w:rFonts w:ascii="Arial" w:eastAsia="Arial"/>
                <w:sz w:val="22"/>
              </w:rPr>
            </w:pPr>
            <w:r>
              <w:rPr>
                <w:sz w:val="22"/>
              </w:rPr>
              <w:t>电话：</w:t>
            </w:r>
            <w:r>
              <w:rPr>
                <w:rFonts w:ascii="Arial" w:eastAsia="Arial"/>
                <w:sz w:val="22"/>
              </w:rPr>
              <w:t>0755</w:t>
            </w:r>
            <w:r>
              <w:rPr>
                <w:sz w:val="22"/>
              </w:rPr>
              <w:t>－</w:t>
            </w:r>
            <w:r>
              <w:rPr>
                <w:rFonts w:ascii="Arial" w:eastAsia="Arial"/>
                <w:sz w:val="22"/>
              </w:rPr>
              <w:t>82558038 </w:t>
            </w:r>
            <w:r>
              <w:rPr>
                <w:sz w:val="22"/>
              </w:rPr>
              <w:t>传真：</w:t>
            </w:r>
            <w:r>
              <w:rPr>
                <w:rFonts w:ascii="Arial" w:eastAsia="Arial"/>
                <w:sz w:val="22"/>
              </w:rPr>
              <w:t>0755-82558355</w:t>
            </w:r>
          </w:p>
          <w:p>
            <w:pPr>
              <w:pStyle w:val="TableParagraph"/>
              <w:spacing w:line="280" w:lineRule="exact"/>
              <w:ind w:left="108"/>
              <w:rPr>
                <w:rFonts w:ascii="Arial" w:eastAsia="Arial"/>
                <w:sz w:val="22"/>
              </w:rPr>
            </w:pPr>
            <w:r>
              <w:rPr>
                <w:sz w:val="22"/>
              </w:rPr>
              <w:t>客户服务电话</w:t>
            </w:r>
            <w:r>
              <w:rPr>
                <w:rFonts w:ascii="Arial" w:eastAsia="Arial"/>
                <w:sz w:val="22"/>
              </w:rPr>
              <w:t>:4008001001</w:t>
            </w:r>
          </w:p>
          <w:p>
            <w:pPr>
              <w:pStyle w:val="TableParagraph"/>
              <w:spacing w:line="274" w:lineRule="exact" w:before="26"/>
              <w:ind w:left="108"/>
              <w:rPr>
                <w:rFonts w:ascii="Arial" w:eastAsia="Arial"/>
                <w:sz w:val="22"/>
              </w:rPr>
            </w:pPr>
            <w:r>
              <w:rPr>
                <w:sz w:val="22"/>
              </w:rPr>
              <w:t>网址：</w:t>
            </w:r>
            <w:hyperlink r:id="rId56">
              <w:r>
                <w:rPr>
                  <w:rFonts w:ascii="Arial" w:eastAsia="Arial"/>
                  <w:sz w:val="22"/>
                </w:rPr>
                <w:t>www.essence.com.cn</w:t>
              </w:r>
            </w:hyperlink>
          </w:p>
        </w:tc>
      </w:tr>
      <w:tr>
        <w:trPr>
          <w:trHeight w:val="2493" w:hRule="atLeast"/>
        </w:trPr>
        <w:tc>
          <w:tcPr>
            <w:tcW w:w="470" w:type="dxa"/>
            <w:tcBorders>
              <w:top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5"/>
              </w:rPr>
            </w:pPr>
          </w:p>
          <w:p>
            <w:pPr>
              <w:pStyle w:val="TableParagraph"/>
              <w:ind w:right="105"/>
              <w:jc w:val="right"/>
              <w:rPr>
                <w:rFonts w:ascii="Arial"/>
                <w:sz w:val="21"/>
              </w:rPr>
            </w:pPr>
            <w:r>
              <w:rPr>
                <w:rFonts w:ascii="Arial"/>
                <w:sz w:val="21"/>
              </w:rPr>
              <w:t>49</w:t>
            </w:r>
          </w:p>
        </w:tc>
        <w:tc>
          <w:tcPr>
            <w:tcW w:w="2484"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30"/>
              </w:rPr>
            </w:pPr>
          </w:p>
          <w:p>
            <w:pPr>
              <w:pStyle w:val="TableParagraph"/>
              <w:spacing w:before="1"/>
              <w:ind w:left="120" w:right="113"/>
              <w:jc w:val="center"/>
              <w:rPr>
                <w:sz w:val="22"/>
              </w:rPr>
            </w:pPr>
            <w:r>
              <w:rPr>
                <w:sz w:val="22"/>
              </w:rPr>
              <w:t>国元证券有限责任公司</w:t>
            </w:r>
          </w:p>
        </w:tc>
        <w:tc>
          <w:tcPr>
            <w:tcW w:w="5480" w:type="dxa"/>
            <w:tcBorders>
              <w:top w:val="single" w:sz="6" w:space="0" w:color="000000"/>
            </w:tcBorders>
          </w:tcPr>
          <w:p>
            <w:pPr>
              <w:pStyle w:val="TableParagraph"/>
              <w:spacing w:line="266" w:lineRule="auto" w:before="12"/>
              <w:ind w:left="108" w:right="631"/>
              <w:rPr>
                <w:sz w:val="22"/>
              </w:rPr>
            </w:pPr>
            <w:r>
              <w:rPr>
                <w:sz w:val="22"/>
              </w:rPr>
              <w:t>注册（办公）地址：安徽省合肥市寿春路 </w:t>
            </w:r>
            <w:r>
              <w:rPr>
                <w:rFonts w:ascii="Arial" w:eastAsia="Arial"/>
                <w:sz w:val="22"/>
              </w:rPr>
              <w:t>179 </w:t>
            </w:r>
            <w:r>
              <w:rPr>
                <w:sz w:val="22"/>
              </w:rPr>
              <w:t>号法定代表人：蔡咏</w:t>
            </w:r>
          </w:p>
          <w:p>
            <w:pPr>
              <w:pStyle w:val="TableParagraph"/>
              <w:spacing w:line="280" w:lineRule="exact"/>
              <w:ind w:left="108"/>
              <w:rPr>
                <w:sz w:val="22"/>
              </w:rPr>
            </w:pPr>
            <w:r>
              <w:rPr>
                <w:sz w:val="22"/>
              </w:rPr>
              <w:t>联系人：李飞</w:t>
            </w:r>
          </w:p>
          <w:p>
            <w:pPr>
              <w:pStyle w:val="TableParagraph"/>
              <w:spacing w:line="266" w:lineRule="auto" w:before="31"/>
              <w:ind w:left="108" w:right="3007"/>
              <w:rPr>
                <w:rFonts w:ascii="Arial" w:hAnsi="Arial" w:eastAsia="Arial"/>
                <w:sz w:val="22"/>
              </w:rPr>
            </w:pPr>
            <w:r>
              <w:rPr>
                <w:sz w:val="22"/>
              </w:rPr>
              <w:t>电话：</w:t>
            </w:r>
            <w:r>
              <w:rPr>
                <w:rFonts w:ascii="Arial" w:hAnsi="Arial" w:eastAsia="Arial"/>
                <w:sz w:val="22"/>
              </w:rPr>
              <w:t>0551-62246298 </w:t>
            </w:r>
            <w:r>
              <w:rPr>
                <w:sz w:val="22"/>
              </w:rPr>
              <w:t>传真：</w:t>
            </w:r>
            <w:r>
              <w:rPr>
                <w:rFonts w:ascii="Arial" w:hAnsi="Arial" w:eastAsia="Arial"/>
                <w:sz w:val="22"/>
              </w:rPr>
              <w:t>0551—62272108</w:t>
            </w:r>
          </w:p>
          <w:p>
            <w:pPr>
              <w:pStyle w:val="TableParagraph"/>
              <w:spacing w:line="266" w:lineRule="auto"/>
              <w:ind w:left="108" w:right="100"/>
              <w:rPr>
                <w:rFonts w:ascii="Arial" w:eastAsia="Arial"/>
                <w:sz w:val="22"/>
              </w:rPr>
            </w:pPr>
            <w:r>
              <w:rPr>
                <w:sz w:val="22"/>
              </w:rPr>
              <w:t>客服电话：全国统一热线 </w:t>
            </w:r>
            <w:r>
              <w:rPr>
                <w:rFonts w:ascii="Arial" w:eastAsia="Arial"/>
                <w:sz w:val="22"/>
              </w:rPr>
              <w:t>95578</w:t>
            </w:r>
            <w:r>
              <w:rPr>
                <w:sz w:val="22"/>
              </w:rPr>
              <w:t>，</w:t>
            </w:r>
            <w:r>
              <w:rPr>
                <w:rFonts w:ascii="Arial" w:eastAsia="Arial"/>
                <w:sz w:val="22"/>
              </w:rPr>
              <w:t>4008888777</w:t>
            </w:r>
            <w:r>
              <w:rPr>
                <w:sz w:val="22"/>
              </w:rPr>
              <w:t>，安徽省内热线 </w:t>
            </w:r>
            <w:r>
              <w:rPr>
                <w:rFonts w:ascii="Arial" w:eastAsia="Arial"/>
                <w:sz w:val="22"/>
              </w:rPr>
              <w:t>96888</w:t>
            </w:r>
          </w:p>
          <w:p>
            <w:pPr>
              <w:pStyle w:val="TableParagraph"/>
              <w:spacing w:line="275" w:lineRule="exact"/>
              <w:ind w:left="108"/>
              <w:rPr>
                <w:rFonts w:ascii="Arial" w:eastAsia="Arial"/>
                <w:sz w:val="22"/>
              </w:rPr>
            </w:pPr>
            <w:r>
              <w:rPr>
                <w:sz w:val="22"/>
              </w:rPr>
              <w:t>网址：</w:t>
            </w:r>
            <w:hyperlink r:id="rId57">
              <w:r>
                <w:rPr>
                  <w:rFonts w:ascii="Arial" w:eastAsia="Arial"/>
                  <w:sz w:val="22"/>
                </w:rPr>
                <w:t>www.gyzq.com.cn</w:t>
              </w:r>
            </w:hyperlink>
          </w:p>
        </w:tc>
      </w:tr>
      <w:tr>
        <w:trPr>
          <w:trHeight w:val="249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05"/>
              <w:jc w:val="right"/>
              <w:rPr>
                <w:rFonts w:ascii="Arial"/>
                <w:sz w:val="21"/>
              </w:rPr>
            </w:pPr>
            <w:r>
              <w:rPr>
                <w:rFonts w:ascii="Arial"/>
                <w:sz w:val="21"/>
              </w:rPr>
              <w:t>50</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平安证券股份有限公司</w:t>
            </w:r>
          </w:p>
        </w:tc>
        <w:tc>
          <w:tcPr>
            <w:tcW w:w="5480" w:type="dxa"/>
          </w:tcPr>
          <w:p>
            <w:pPr>
              <w:pStyle w:val="TableParagraph"/>
              <w:spacing w:line="266" w:lineRule="auto" w:before="15"/>
              <w:ind w:left="108" w:right="69"/>
              <w:rPr>
                <w:sz w:val="22"/>
              </w:rPr>
            </w:pPr>
            <w:r>
              <w:rPr>
                <w:sz w:val="22"/>
              </w:rPr>
              <w:t>注册（办公）地址：深圳市福田区益田路 </w:t>
            </w:r>
            <w:r>
              <w:rPr>
                <w:rFonts w:ascii="Arial" w:eastAsia="Arial"/>
                <w:sz w:val="22"/>
              </w:rPr>
              <w:t>5033 </w:t>
            </w:r>
            <w:r>
              <w:rPr>
                <w:sz w:val="22"/>
              </w:rPr>
              <w:t>号平安金融中心 </w:t>
            </w:r>
            <w:r>
              <w:rPr>
                <w:rFonts w:ascii="Arial" w:eastAsia="Arial"/>
                <w:sz w:val="22"/>
              </w:rPr>
              <w:t>61 </w:t>
            </w:r>
            <w:r>
              <w:rPr>
                <w:sz w:val="22"/>
              </w:rPr>
              <w:t>层</w:t>
            </w:r>
            <w:r>
              <w:rPr>
                <w:rFonts w:ascii="Arial" w:eastAsia="Arial"/>
                <w:sz w:val="22"/>
              </w:rPr>
              <w:t>-64 </w:t>
            </w:r>
            <w:r>
              <w:rPr>
                <w:sz w:val="22"/>
              </w:rPr>
              <w:t>层</w:t>
            </w:r>
          </w:p>
          <w:p>
            <w:pPr>
              <w:pStyle w:val="TableParagraph"/>
              <w:spacing w:line="266" w:lineRule="auto"/>
              <w:ind w:left="108" w:right="3597"/>
              <w:rPr>
                <w:sz w:val="22"/>
              </w:rPr>
            </w:pPr>
            <w:r>
              <w:rPr>
                <w:sz w:val="22"/>
              </w:rPr>
              <w:t>法人代表：何之江联系人：王阳</w:t>
            </w:r>
          </w:p>
          <w:p>
            <w:pPr>
              <w:pStyle w:val="TableParagraph"/>
              <w:spacing w:line="266" w:lineRule="auto"/>
              <w:ind w:left="108" w:right="3278"/>
              <w:rPr>
                <w:rFonts w:ascii="Arial" w:eastAsia="Arial"/>
                <w:sz w:val="22"/>
              </w:rPr>
            </w:pPr>
            <w:r>
              <w:rPr>
                <w:sz w:val="22"/>
              </w:rPr>
              <w:t>电话：</w:t>
            </w:r>
            <w:r>
              <w:rPr>
                <w:rFonts w:ascii="Arial" w:eastAsia="Arial"/>
                <w:sz w:val="22"/>
              </w:rPr>
              <w:t>021-38632136 </w:t>
            </w:r>
            <w:r>
              <w:rPr>
                <w:sz w:val="22"/>
              </w:rPr>
              <w:t>传真：</w:t>
            </w:r>
            <w:r>
              <w:rPr>
                <w:rFonts w:ascii="Arial" w:eastAsia="Arial"/>
                <w:sz w:val="22"/>
              </w:rPr>
              <w:t>021-33830395</w:t>
            </w:r>
          </w:p>
          <w:p>
            <w:pPr>
              <w:pStyle w:val="TableParagraph"/>
              <w:spacing w:line="280" w:lineRule="exact"/>
              <w:ind w:left="108"/>
              <w:rPr>
                <w:rFonts w:ascii="Arial" w:eastAsia="Arial"/>
                <w:sz w:val="22"/>
              </w:rPr>
            </w:pPr>
            <w:r>
              <w:rPr>
                <w:spacing w:val="-2"/>
                <w:sz w:val="22"/>
              </w:rPr>
              <w:t>客户服务电话：</w:t>
            </w:r>
            <w:r>
              <w:rPr>
                <w:rFonts w:ascii="Arial" w:eastAsia="Arial"/>
                <w:spacing w:val="-1"/>
                <w:sz w:val="22"/>
              </w:rPr>
              <w:t>95511-8</w:t>
            </w:r>
          </w:p>
          <w:p>
            <w:pPr>
              <w:pStyle w:val="TableParagraph"/>
              <w:spacing w:line="277" w:lineRule="exact" w:before="27"/>
              <w:ind w:left="108"/>
              <w:rPr>
                <w:rFonts w:ascii="Arial" w:eastAsia="Arial"/>
                <w:sz w:val="22"/>
              </w:rPr>
            </w:pPr>
            <w:r>
              <w:rPr>
                <w:spacing w:val="-1"/>
                <w:sz w:val="22"/>
              </w:rPr>
              <w:t>网址：</w:t>
            </w:r>
            <w:r>
              <w:rPr>
                <w:rFonts w:ascii="Arial" w:eastAsia="Arial"/>
                <w:spacing w:val="-1"/>
                <w:sz w:val="22"/>
              </w:rPr>
              <w:t>stock.pingan.com</w:t>
            </w:r>
          </w:p>
        </w:tc>
      </w:tr>
      <w:tr>
        <w:trPr>
          <w:trHeight w:val="249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05"/>
              <w:jc w:val="right"/>
              <w:rPr>
                <w:rFonts w:ascii="Arial"/>
                <w:sz w:val="21"/>
              </w:rPr>
            </w:pPr>
            <w:r>
              <w:rPr>
                <w:rFonts w:ascii="Arial"/>
                <w:sz w:val="21"/>
              </w:rPr>
              <w:t>51</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20" w:right="113"/>
              <w:jc w:val="center"/>
              <w:rPr>
                <w:sz w:val="22"/>
              </w:rPr>
            </w:pPr>
            <w:r>
              <w:rPr>
                <w:sz w:val="22"/>
              </w:rPr>
              <w:t>国信证券股份有限公司</w:t>
            </w:r>
          </w:p>
        </w:tc>
        <w:tc>
          <w:tcPr>
            <w:tcW w:w="5480" w:type="dxa"/>
          </w:tcPr>
          <w:p>
            <w:pPr>
              <w:pStyle w:val="TableParagraph"/>
              <w:spacing w:line="266" w:lineRule="auto" w:before="17"/>
              <w:ind w:left="108" w:right="69"/>
              <w:rPr>
                <w:sz w:val="22"/>
              </w:rPr>
            </w:pPr>
            <w:r>
              <w:rPr>
                <w:sz w:val="22"/>
              </w:rPr>
              <w:t>注册（办公）地址：深圳市罗湖区红岭中路 </w:t>
            </w:r>
            <w:r>
              <w:rPr>
                <w:rFonts w:ascii="Arial" w:eastAsia="Arial"/>
                <w:sz w:val="22"/>
              </w:rPr>
              <w:t>1012 </w:t>
            </w:r>
            <w:r>
              <w:rPr>
                <w:sz w:val="22"/>
              </w:rPr>
              <w:t>号国信证券大厦十六层至二十六层</w:t>
            </w:r>
          </w:p>
          <w:p>
            <w:pPr>
              <w:pStyle w:val="TableParagraph"/>
              <w:spacing w:line="266" w:lineRule="auto"/>
              <w:ind w:left="108" w:right="3597"/>
              <w:rPr>
                <w:sz w:val="22"/>
              </w:rPr>
            </w:pPr>
            <w:r>
              <w:rPr>
                <w:sz w:val="22"/>
              </w:rPr>
              <w:t>法定代表人：何如联系人：李颖</w:t>
            </w:r>
          </w:p>
          <w:p>
            <w:pPr>
              <w:pStyle w:val="TableParagraph"/>
              <w:spacing w:line="266" w:lineRule="auto"/>
              <w:ind w:left="108" w:right="3156"/>
              <w:rPr>
                <w:rFonts w:ascii="Arial" w:eastAsia="Arial"/>
                <w:sz w:val="22"/>
              </w:rPr>
            </w:pPr>
            <w:r>
              <w:rPr>
                <w:sz w:val="22"/>
              </w:rPr>
              <w:t>电话：</w:t>
            </w:r>
            <w:r>
              <w:rPr>
                <w:rFonts w:ascii="Arial" w:eastAsia="Arial"/>
                <w:sz w:val="22"/>
              </w:rPr>
              <w:t>0755-82130833 </w:t>
            </w:r>
            <w:r>
              <w:rPr>
                <w:sz w:val="22"/>
              </w:rPr>
              <w:t>传真：</w:t>
            </w:r>
            <w:r>
              <w:rPr>
                <w:rFonts w:ascii="Arial" w:eastAsia="Arial"/>
                <w:sz w:val="22"/>
              </w:rPr>
              <w:t>0755-82133952</w:t>
            </w:r>
          </w:p>
          <w:p>
            <w:pPr>
              <w:pStyle w:val="TableParagraph"/>
              <w:spacing w:line="281" w:lineRule="exact"/>
              <w:ind w:left="108"/>
              <w:rPr>
                <w:rFonts w:ascii="Arial" w:eastAsia="Arial"/>
                <w:sz w:val="22"/>
              </w:rPr>
            </w:pPr>
            <w:r>
              <w:rPr>
                <w:sz w:val="22"/>
              </w:rPr>
              <w:t>客户服务电话</w:t>
            </w:r>
            <w:r>
              <w:rPr>
                <w:rFonts w:ascii="Arial" w:eastAsia="Arial"/>
                <w:sz w:val="22"/>
              </w:rPr>
              <w:t>:95536</w:t>
            </w:r>
          </w:p>
          <w:p>
            <w:pPr>
              <w:pStyle w:val="TableParagraph"/>
              <w:spacing w:line="277" w:lineRule="exact" w:before="27"/>
              <w:ind w:left="108"/>
              <w:rPr>
                <w:rFonts w:ascii="Arial" w:eastAsia="Arial"/>
                <w:sz w:val="22"/>
              </w:rPr>
            </w:pPr>
            <w:r>
              <w:rPr>
                <w:sz w:val="22"/>
              </w:rPr>
              <w:t>网址：</w:t>
            </w:r>
            <w:hyperlink r:id="rId58">
              <w:r>
                <w:rPr>
                  <w:rFonts w:ascii="Arial" w:eastAsia="Arial"/>
                  <w:sz w:val="22"/>
                </w:rPr>
                <w:t>www.guosen.com.cn</w:t>
              </w:r>
            </w:hyperlink>
          </w:p>
        </w:tc>
      </w:tr>
      <w:tr>
        <w:trPr>
          <w:trHeight w:val="2183"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52</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spacing w:line="266" w:lineRule="auto"/>
              <w:ind w:left="1020" w:right="129" w:hanging="881"/>
              <w:rPr>
                <w:sz w:val="22"/>
              </w:rPr>
            </w:pPr>
            <w:r>
              <w:rPr>
                <w:sz w:val="22"/>
              </w:rPr>
              <w:t>中国国际金融股份有限公司</w:t>
            </w:r>
          </w:p>
        </w:tc>
        <w:tc>
          <w:tcPr>
            <w:tcW w:w="5480" w:type="dxa"/>
          </w:tcPr>
          <w:p>
            <w:pPr>
              <w:pStyle w:val="TableParagraph"/>
              <w:spacing w:before="15"/>
              <w:ind w:left="108"/>
              <w:rPr>
                <w:sz w:val="22"/>
              </w:rPr>
            </w:pPr>
            <w:r>
              <w:rPr>
                <w:sz w:val="22"/>
              </w:rPr>
              <w:t>注册（办公）地址：北京市建国门外大街 </w:t>
            </w:r>
            <w:r>
              <w:rPr>
                <w:rFonts w:ascii="Arial" w:eastAsia="Arial"/>
                <w:sz w:val="22"/>
              </w:rPr>
              <w:t>1 </w:t>
            </w:r>
            <w:r>
              <w:rPr>
                <w:sz w:val="22"/>
              </w:rPr>
              <w:t>号国贸大厦</w:t>
            </w:r>
          </w:p>
          <w:p>
            <w:pPr>
              <w:pStyle w:val="TableParagraph"/>
              <w:spacing w:before="30"/>
              <w:ind w:left="108"/>
              <w:rPr>
                <w:sz w:val="22"/>
              </w:rPr>
            </w:pPr>
            <w:r>
              <w:rPr>
                <w:rFonts w:ascii="Arial" w:eastAsia="Arial"/>
                <w:sz w:val="22"/>
              </w:rPr>
              <w:t>2 </w:t>
            </w:r>
            <w:r>
              <w:rPr>
                <w:sz w:val="22"/>
              </w:rPr>
              <w:t>座 </w:t>
            </w:r>
            <w:r>
              <w:rPr>
                <w:rFonts w:ascii="Arial" w:eastAsia="Arial"/>
                <w:sz w:val="22"/>
              </w:rPr>
              <w:t>28 </w:t>
            </w:r>
            <w:r>
              <w:rPr>
                <w:sz w:val="22"/>
              </w:rPr>
              <w:t>层</w:t>
            </w:r>
          </w:p>
          <w:p>
            <w:pPr>
              <w:pStyle w:val="TableParagraph"/>
              <w:spacing w:line="266" w:lineRule="auto" w:before="30"/>
              <w:ind w:left="108" w:right="3376"/>
              <w:rPr>
                <w:sz w:val="22"/>
              </w:rPr>
            </w:pPr>
            <w:r>
              <w:rPr>
                <w:sz w:val="22"/>
              </w:rPr>
              <w:t>法定代表人：丁学东联系人：杨涵宇</w:t>
            </w:r>
          </w:p>
          <w:p>
            <w:pPr>
              <w:pStyle w:val="TableParagraph"/>
              <w:spacing w:line="280" w:lineRule="exact"/>
              <w:ind w:left="108"/>
              <w:rPr>
                <w:rFonts w:ascii="Arial" w:eastAsia="Arial"/>
                <w:sz w:val="22"/>
              </w:rPr>
            </w:pPr>
            <w:r>
              <w:rPr>
                <w:sz w:val="22"/>
              </w:rPr>
              <w:t>电话：</w:t>
            </w:r>
            <w:r>
              <w:rPr>
                <w:rFonts w:ascii="Arial" w:eastAsia="Arial"/>
                <w:sz w:val="22"/>
              </w:rPr>
              <w:t>010</w:t>
            </w:r>
            <w:r>
              <w:rPr>
                <w:sz w:val="22"/>
              </w:rPr>
              <w:t>－</w:t>
            </w:r>
            <w:r>
              <w:rPr>
                <w:rFonts w:ascii="Arial" w:eastAsia="Arial"/>
                <w:sz w:val="22"/>
              </w:rPr>
              <w:t>65051166</w:t>
            </w:r>
          </w:p>
          <w:p>
            <w:pPr>
              <w:pStyle w:val="TableParagraph"/>
              <w:spacing w:before="30"/>
              <w:ind w:left="108"/>
              <w:rPr>
                <w:rFonts w:ascii="Arial" w:eastAsia="Arial"/>
                <w:sz w:val="22"/>
              </w:rPr>
            </w:pPr>
            <w:r>
              <w:rPr>
                <w:sz w:val="22"/>
              </w:rPr>
              <w:t>客户服务电话：</w:t>
            </w:r>
            <w:r>
              <w:rPr>
                <w:rFonts w:ascii="Arial" w:eastAsia="Arial"/>
                <w:sz w:val="22"/>
              </w:rPr>
              <w:t>400 910 1166</w:t>
            </w:r>
          </w:p>
          <w:p>
            <w:pPr>
              <w:pStyle w:val="TableParagraph"/>
              <w:spacing w:line="277" w:lineRule="exact" w:before="30"/>
              <w:ind w:left="108"/>
              <w:rPr>
                <w:rFonts w:ascii="Arial" w:eastAsia="Arial"/>
                <w:sz w:val="22"/>
              </w:rPr>
            </w:pPr>
            <w:r>
              <w:rPr>
                <w:sz w:val="22"/>
              </w:rPr>
              <w:t>网址：</w:t>
            </w:r>
            <w:hyperlink r:id="rId59">
              <w:r>
                <w:rPr>
                  <w:rFonts w:ascii="Arial" w:eastAsia="Arial"/>
                  <w:sz w:val="22"/>
                </w:rPr>
                <w:t>www.cicc.com.cn</w:t>
              </w:r>
            </w:hyperlink>
          </w:p>
        </w:tc>
      </w:tr>
      <w:tr>
        <w:trPr>
          <w:trHeight w:val="624" w:hRule="atLeast"/>
        </w:trPr>
        <w:tc>
          <w:tcPr>
            <w:tcW w:w="470" w:type="dxa"/>
          </w:tcPr>
          <w:p>
            <w:pPr>
              <w:pStyle w:val="TableParagraph"/>
              <w:spacing w:before="189"/>
              <w:ind w:right="105"/>
              <w:jc w:val="right"/>
              <w:rPr>
                <w:rFonts w:ascii="Arial"/>
                <w:sz w:val="21"/>
              </w:rPr>
            </w:pPr>
            <w:r>
              <w:rPr>
                <w:rFonts w:ascii="Arial"/>
                <w:sz w:val="21"/>
              </w:rPr>
              <w:t>53</w:t>
            </w:r>
          </w:p>
        </w:tc>
        <w:tc>
          <w:tcPr>
            <w:tcW w:w="2484" w:type="dxa"/>
          </w:tcPr>
          <w:p>
            <w:pPr>
              <w:pStyle w:val="TableParagraph"/>
              <w:spacing w:before="171"/>
              <w:ind w:left="120" w:right="113"/>
              <w:jc w:val="center"/>
              <w:rPr>
                <w:sz w:val="22"/>
              </w:rPr>
            </w:pPr>
            <w:r>
              <w:rPr>
                <w:sz w:val="22"/>
              </w:rPr>
              <w:t>方正证券股份有限公司</w:t>
            </w:r>
          </w:p>
        </w:tc>
        <w:tc>
          <w:tcPr>
            <w:tcW w:w="5480" w:type="dxa"/>
          </w:tcPr>
          <w:p>
            <w:pPr>
              <w:pStyle w:val="TableParagraph"/>
              <w:spacing w:before="15"/>
              <w:ind w:left="108"/>
              <w:rPr>
                <w:rFonts w:ascii="Arial" w:eastAsia="Arial"/>
                <w:sz w:val="22"/>
              </w:rPr>
            </w:pPr>
            <w:r>
              <w:rPr>
                <w:spacing w:val="-14"/>
                <w:sz w:val="22"/>
              </w:rPr>
              <w:t>注册地址：湖南省长沙市芙蓉中路二段华侨国际大厦 </w:t>
            </w:r>
            <w:r>
              <w:rPr>
                <w:rFonts w:ascii="Arial" w:eastAsia="Arial"/>
                <w:sz w:val="22"/>
              </w:rPr>
              <w:t>22</w:t>
            </w:r>
          </w:p>
          <w:p>
            <w:pPr>
              <w:pStyle w:val="TableParagraph"/>
              <w:spacing w:line="277" w:lineRule="exact" w:before="30"/>
              <w:ind w:left="108"/>
              <w:rPr>
                <w:sz w:val="22"/>
              </w:rPr>
            </w:pPr>
            <w:r>
              <w:rPr>
                <w:sz w:val="22"/>
              </w:rPr>
              <w:t>－</w:t>
            </w:r>
            <w:r>
              <w:rPr>
                <w:rFonts w:ascii="Arial" w:eastAsia="Arial"/>
                <w:sz w:val="22"/>
              </w:rPr>
              <w:t>24 </w:t>
            </w:r>
            <w:r>
              <w:rPr>
                <w:sz w:val="22"/>
              </w:rPr>
              <w:t>层</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2496"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66" w:lineRule="auto" w:before="15"/>
              <w:ind w:left="108" w:right="94"/>
              <w:rPr>
                <w:rFonts w:ascii="Arial" w:eastAsia="Arial"/>
                <w:sz w:val="22"/>
              </w:rPr>
            </w:pPr>
            <w:r>
              <w:rPr>
                <w:sz w:val="22"/>
              </w:rPr>
              <w:t>办公地址：湖南省长沙市天心区湘江中路二段 </w:t>
            </w:r>
            <w:r>
              <w:rPr>
                <w:rFonts w:ascii="Arial" w:eastAsia="Arial"/>
                <w:sz w:val="22"/>
              </w:rPr>
              <w:t>36 </w:t>
            </w:r>
            <w:r>
              <w:rPr>
                <w:sz w:val="22"/>
              </w:rPr>
              <w:t>号华远华中心 </w:t>
            </w:r>
            <w:r>
              <w:rPr>
                <w:rFonts w:ascii="Arial" w:eastAsia="Arial"/>
                <w:sz w:val="22"/>
              </w:rPr>
              <w:t>4</w:t>
            </w:r>
            <w:r>
              <w:rPr>
                <w:sz w:val="22"/>
              </w:rPr>
              <w:t>、</w:t>
            </w:r>
            <w:r>
              <w:rPr>
                <w:rFonts w:ascii="Arial" w:eastAsia="Arial"/>
                <w:sz w:val="22"/>
              </w:rPr>
              <w:t>5 </w:t>
            </w:r>
            <w:r>
              <w:rPr>
                <w:sz w:val="22"/>
              </w:rPr>
              <w:t>号楼 </w:t>
            </w:r>
            <w:r>
              <w:rPr>
                <w:rFonts w:ascii="Arial" w:eastAsia="Arial"/>
                <w:sz w:val="22"/>
              </w:rPr>
              <w:t>2701-3717</w:t>
            </w:r>
          </w:p>
          <w:p>
            <w:pPr>
              <w:pStyle w:val="TableParagraph"/>
              <w:spacing w:line="266" w:lineRule="auto"/>
              <w:ind w:left="108" w:right="3597"/>
              <w:rPr>
                <w:sz w:val="22"/>
              </w:rPr>
            </w:pPr>
            <w:r>
              <w:rPr>
                <w:sz w:val="22"/>
              </w:rPr>
              <w:t>法定代表人：高利联系人：胡创</w:t>
            </w:r>
          </w:p>
          <w:p>
            <w:pPr>
              <w:pStyle w:val="TableParagraph"/>
              <w:spacing w:line="266" w:lineRule="auto"/>
              <w:ind w:left="108" w:right="3216"/>
              <w:rPr>
                <w:rFonts w:ascii="Arial" w:eastAsia="Arial"/>
                <w:sz w:val="22"/>
              </w:rPr>
            </w:pPr>
            <w:r>
              <w:rPr>
                <w:sz w:val="22"/>
              </w:rPr>
              <w:t>电话：</w:t>
            </w:r>
            <w:r>
              <w:rPr>
                <w:rFonts w:ascii="Arial" w:eastAsia="Arial"/>
                <w:sz w:val="22"/>
              </w:rPr>
              <w:t>010-59355941 </w:t>
            </w:r>
            <w:r>
              <w:rPr>
                <w:sz w:val="22"/>
              </w:rPr>
              <w:t>传真：</w:t>
            </w:r>
            <w:r>
              <w:rPr>
                <w:rFonts w:ascii="Arial" w:eastAsia="Arial"/>
                <w:sz w:val="22"/>
              </w:rPr>
              <w:t>010- 56437013</w:t>
            </w:r>
          </w:p>
          <w:p>
            <w:pPr>
              <w:pStyle w:val="TableParagraph"/>
              <w:spacing w:line="280" w:lineRule="exact"/>
              <w:ind w:left="108"/>
              <w:rPr>
                <w:rFonts w:ascii="Arial" w:eastAsia="Arial"/>
                <w:sz w:val="22"/>
              </w:rPr>
            </w:pPr>
            <w:r>
              <w:rPr>
                <w:sz w:val="22"/>
              </w:rPr>
              <w:t>客服热线：</w:t>
            </w:r>
            <w:r>
              <w:rPr>
                <w:rFonts w:ascii="Arial" w:eastAsia="Arial"/>
                <w:sz w:val="22"/>
              </w:rPr>
              <w:t>95571</w:t>
            </w:r>
          </w:p>
          <w:p>
            <w:pPr>
              <w:pStyle w:val="TableParagraph"/>
              <w:spacing w:line="277" w:lineRule="exact" w:before="27"/>
              <w:ind w:left="108"/>
              <w:rPr>
                <w:rFonts w:ascii="Arial" w:eastAsia="Arial"/>
                <w:sz w:val="22"/>
              </w:rPr>
            </w:pPr>
            <w:r>
              <w:rPr>
                <w:sz w:val="22"/>
              </w:rPr>
              <w:t>网址：</w:t>
            </w:r>
            <w:hyperlink r:id="rId60">
              <w:r>
                <w:rPr>
                  <w:rFonts w:ascii="Arial" w:eastAsia="Arial"/>
                  <w:sz w:val="22"/>
                </w:rPr>
                <w:t>www.foundersc.com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05"/>
              <w:jc w:val="right"/>
              <w:rPr>
                <w:rFonts w:ascii="Arial"/>
                <w:sz w:val="21"/>
              </w:rPr>
            </w:pPr>
            <w:r>
              <w:rPr>
                <w:rFonts w:ascii="Arial"/>
                <w:sz w:val="21"/>
              </w:rPr>
              <w:t>54</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天相投资顾问有限公司</w:t>
            </w:r>
          </w:p>
        </w:tc>
        <w:tc>
          <w:tcPr>
            <w:tcW w:w="5480" w:type="dxa"/>
          </w:tcPr>
          <w:p>
            <w:pPr>
              <w:pStyle w:val="TableParagraph"/>
              <w:spacing w:line="266" w:lineRule="auto" w:before="15"/>
              <w:ind w:left="108" w:right="92"/>
              <w:jc w:val="both"/>
              <w:rPr>
                <w:sz w:val="22"/>
              </w:rPr>
            </w:pPr>
            <w:r>
              <w:rPr>
                <w:spacing w:val="-16"/>
                <w:sz w:val="22"/>
              </w:rPr>
              <w:t>注册地址：北京市西城区金融街 </w:t>
            </w:r>
            <w:r>
              <w:rPr>
                <w:rFonts w:ascii="Arial" w:eastAsia="Arial"/>
                <w:sz w:val="22"/>
              </w:rPr>
              <w:t>19 </w:t>
            </w:r>
            <w:r>
              <w:rPr>
                <w:spacing w:val="6"/>
                <w:sz w:val="22"/>
              </w:rPr>
              <w:t>号富凯大厦</w:t>
            </w:r>
            <w:r>
              <w:rPr>
                <w:rFonts w:ascii="Arial" w:eastAsia="Arial"/>
                <w:sz w:val="22"/>
              </w:rPr>
              <w:t>B </w:t>
            </w:r>
            <w:r>
              <w:rPr>
                <w:spacing w:val="-32"/>
                <w:sz w:val="22"/>
              </w:rPr>
              <w:t>座 </w:t>
            </w:r>
            <w:r>
              <w:rPr>
                <w:rFonts w:ascii="Arial" w:eastAsia="Arial"/>
                <w:sz w:val="22"/>
              </w:rPr>
              <w:t>701 </w:t>
            </w:r>
            <w:r>
              <w:rPr>
                <w:spacing w:val="-6"/>
                <w:sz w:val="22"/>
              </w:rPr>
              <w:t>办公地址：北京市西城区新街口外大街 </w:t>
            </w:r>
            <w:r>
              <w:rPr>
                <w:rFonts w:ascii="Arial" w:eastAsia="Arial"/>
                <w:sz w:val="22"/>
              </w:rPr>
              <w:t>28 </w:t>
            </w:r>
            <w:r>
              <w:rPr>
                <w:spacing w:val="-27"/>
                <w:sz w:val="22"/>
              </w:rPr>
              <w:t>号 </w:t>
            </w:r>
            <w:r>
              <w:rPr>
                <w:rFonts w:ascii="Arial" w:eastAsia="Arial"/>
                <w:sz w:val="22"/>
              </w:rPr>
              <w:t>C </w:t>
            </w:r>
            <w:r>
              <w:rPr>
                <w:spacing w:val="-28"/>
                <w:sz w:val="22"/>
              </w:rPr>
              <w:t>座 </w:t>
            </w:r>
            <w:r>
              <w:rPr>
                <w:rFonts w:ascii="Arial" w:eastAsia="Arial"/>
                <w:sz w:val="22"/>
              </w:rPr>
              <w:t>5 </w:t>
            </w:r>
            <w:r>
              <w:rPr>
                <w:sz w:val="22"/>
              </w:rPr>
              <w:t>层</w:t>
            </w:r>
            <w:r>
              <w:rPr>
                <w:spacing w:val="-2"/>
                <w:sz w:val="22"/>
              </w:rPr>
              <w:t>法定代表人：林义相</w:t>
            </w:r>
          </w:p>
          <w:p>
            <w:pPr>
              <w:pStyle w:val="TableParagraph"/>
              <w:spacing w:line="280" w:lineRule="exact"/>
              <w:ind w:left="108"/>
              <w:rPr>
                <w:sz w:val="22"/>
              </w:rPr>
            </w:pPr>
            <w:r>
              <w:rPr>
                <w:sz w:val="22"/>
              </w:rPr>
              <w:t>联系人：尹伶</w:t>
            </w:r>
          </w:p>
          <w:p>
            <w:pPr>
              <w:pStyle w:val="TableParagraph"/>
              <w:spacing w:line="266" w:lineRule="auto" w:before="30"/>
              <w:ind w:left="108" w:right="3278"/>
              <w:rPr>
                <w:rFonts w:ascii="Arial" w:eastAsia="Arial"/>
                <w:sz w:val="22"/>
              </w:rPr>
            </w:pPr>
            <w:r>
              <w:rPr>
                <w:sz w:val="22"/>
              </w:rPr>
              <w:t>电话：</w:t>
            </w:r>
            <w:r>
              <w:rPr>
                <w:rFonts w:ascii="Arial" w:eastAsia="Arial"/>
                <w:sz w:val="22"/>
              </w:rPr>
              <w:t>010-66045529 </w:t>
            </w:r>
            <w:r>
              <w:rPr>
                <w:sz w:val="22"/>
              </w:rPr>
              <w:t>传真：</w:t>
            </w:r>
            <w:r>
              <w:rPr>
                <w:rFonts w:ascii="Arial" w:eastAsia="Arial"/>
                <w:sz w:val="22"/>
              </w:rPr>
              <w:t>010-66045518</w:t>
            </w:r>
          </w:p>
          <w:p>
            <w:pPr>
              <w:pStyle w:val="TableParagraph"/>
              <w:spacing w:line="280" w:lineRule="exact"/>
              <w:ind w:left="108"/>
              <w:rPr>
                <w:rFonts w:ascii="Arial" w:eastAsia="Arial"/>
                <w:sz w:val="22"/>
              </w:rPr>
            </w:pPr>
            <w:r>
              <w:rPr>
                <w:sz w:val="22"/>
              </w:rPr>
              <w:t>客服热线：</w:t>
            </w:r>
            <w:r>
              <w:rPr>
                <w:rFonts w:ascii="Arial" w:eastAsia="Arial"/>
                <w:sz w:val="22"/>
              </w:rPr>
              <w:t>010-66045678</w:t>
            </w:r>
          </w:p>
          <w:p>
            <w:pPr>
              <w:pStyle w:val="TableParagraph"/>
              <w:spacing w:line="277" w:lineRule="exact" w:before="30"/>
              <w:ind w:left="108"/>
              <w:rPr>
                <w:rFonts w:ascii="Arial" w:eastAsia="Arial"/>
                <w:sz w:val="22"/>
              </w:rPr>
            </w:pPr>
            <w:r>
              <w:rPr>
                <w:sz w:val="22"/>
              </w:rPr>
              <w:t>网址：</w:t>
            </w:r>
            <w:hyperlink r:id="rId61">
              <w:r>
                <w:rPr>
                  <w:rFonts w:ascii="Arial" w:eastAsia="Arial"/>
                  <w:sz w:val="22"/>
                </w:rPr>
                <w:t>www.txsec.com</w:t>
              </w:r>
            </w:hyperlink>
          </w:p>
        </w:tc>
      </w:tr>
      <w:tr>
        <w:trPr>
          <w:trHeight w:val="2183"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55</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20" w:right="113"/>
              <w:jc w:val="center"/>
              <w:rPr>
                <w:sz w:val="22"/>
              </w:rPr>
            </w:pPr>
            <w:r>
              <w:rPr>
                <w:sz w:val="22"/>
              </w:rPr>
              <w:t>西部证券股份有限公司</w:t>
            </w:r>
          </w:p>
        </w:tc>
        <w:tc>
          <w:tcPr>
            <w:tcW w:w="5480" w:type="dxa"/>
          </w:tcPr>
          <w:p>
            <w:pPr>
              <w:pStyle w:val="TableParagraph"/>
              <w:spacing w:before="15"/>
              <w:ind w:left="108"/>
              <w:rPr>
                <w:sz w:val="22"/>
              </w:rPr>
            </w:pPr>
            <w:r>
              <w:rPr>
                <w:sz w:val="22"/>
              </w:rPr>
              <w:t>注册（办公）地址：西安市新城区东新街 </w:t>
            </w:r>
            <w:r>
              <w:rPr>
                <w:rFonts w:ascii="Arial" w:eastAsia="Arial"/>
                <w:sz w:val="22"/>
              </w:rPr>
              <w:t>319 </w:t>
            </w:r>
            <w:r>
              <w:rPr>
                <w:sz w:val="22"/>
              </w:rPr>
              <w:t>号 </w:t>
            </w:r>
            <w:r>
              <w:rPr>
                <w:rFonts w:ascii="Arial" w:eastAsia="Arial"/>
                <w:sz w:val="22"/>
              </w:rPr>
              <w:t>7 </w:t>
            </w:r>
            <w:r>
              <w:rPr>
                <w:sz w:val="22"/>
              </w:rPr>
              <w:t>幢</w:t>
            </w:r>
          </w:p>
          <w:p>
            <w:pPr>
              <w:pStyle w:val="TableParagraph"/>
              <w:spacing w:before="30"/>
              <w:ind w:left="108"/>
              <w:rPr>
                <w:sz w:val="22"/>
              </w:rPr>
            </w:pPr>
            <w:r>
              <w:rPr>
                <w:rFonts w:ascii="Arial" w:eastAsia="Arial"/>
                <w:sz w:val="22"/>
              </w:rPr>
              <w:t>10000 </w:t>
            </w:r>
            <w:r>
              <w:rPr>
                <w:sz w:val="22"/>
              </w:rPr>
              <w:t>室</w:t>
            </w:r>
          </w:p>
          <w:p>
            <w:pPr>
              <w:pStyle w:val="TableParagraph"/>
              <w:spacing w:line="266" w:lineRule="auto" w:before="30"/>
              <w:ind w:left="108" w:right="3376"/>
              <w:rPr>
                <w:sz w:val="22"/>
              </w:rPr>
            </w:pPr>
            <w:r>
              <w:rPr>
                <w:sz w:val="22"/>
              </w:rPr>
              <w:t>法定代表人：徐朝晖联系人：梁承华</w:t>
            </w:r>
          </w:p>
          <w:p>
            <w:pPr>
              <w:pStyle w:val="TableParagraph"/>
              <w:spacing w:line="280" w:lineRule="exact"/>
              <w:ind w:left="108"/>
              <w:rPr>
                <w:rFonts w:ascii="Arial" w:eastAsia="Arial"/>
                <w:sz w:val="22"/>
              </w:rPr>
            </w:pPr>
            <w:r>
              <w:rPr>
                <w:sz w:val="22"/>
              </w:rPr>
              <w:t>联系方式：</w:t>
            </w:r>
            <w:r>
              <w:rPr>
                <w:rFonts w:ascii="Arial" w:eastAsia="Arial"/>
                <w:sz w:val="22"/>
              </w:rPr>
              <w:t>029-87211526</w:t>
            </w:r>
          </w:p>
          <w:p>
            <w:pPr>
              <w:pStyle w:val="TableParagraph"/>
              <w:spacing w:before="30"/>
              <w:ind w:left="108"/>
              <w:rPr>
                <w:rFonts w:ascii="Arial" w:eastAsia="Arial"/>
                <w:sz w:val="22"/>
              </w:rPr>
            </w:pPr>
            <w:r>
              <w:rPr>
                <w:sz w:val="22"/>
              </w:rPr>
              <w:t>客服热线：</w:t>
            </w:r>
            <w:r>
              <w:rPr>
                <w:rFonts w:ascii="Arial" w:eastAsia="Arial"/>
                <w:sz w:val="22"/>
              </w:rPr>
              <w:t>95582</w:t>
            </w:r>
          </w:p>
          <w:p>
            <w:pPr>
              <w:pStyle w:val="TableParagraph"/>
              <w:spacing w:line="277" w:lineRule="exact" w:before="31"/>
              <w:ind w:left="108"/>
              <w:rPr>
                <w:rFonts w:ascii="Arial" w:eastAsia="Arial"/>
                <w:sz w:val="22"/>
              </w:rPr>
            </w:pPr>
            <w:r>
              <w:rPr>
                <w:sz w:val="22"/>
              </w:rPr>
              <w:t>网址：</w:t>
            </w:r>
            <w:hyperlink r:id="rId62">
              <w:r>
                <w:rPr>
                  <w:rFonts w:ascii="Arial" w:eastAsia="Arial"/>
                  <w:sz w:val="22"/>
                </w:rPr>
                <w:t>www.westsecu.com.cn</w:t>
              </w:r>
            </w:hyperlink>
          </w:p>
        </w:tc>
      </w:tr>
      <w:tr>
        <w:trPr>
          <w:trHeight w:val="249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05"/>
              <w:jc w:val="right"/>
              <w:rPr>
                <w:rFonts w:ascii="Arial"/>
                <w:sz w:val="21"/>
              </w:rPr>
            </w:pPr>
            <w:r>
              <w:rPr>
                <w:rFonts w:ascii="Arial"/>
                <w:sz w:val="21"/>
              </w:rPr>
              <w:t>56</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华宝证券有限责任公司</w:t>
            </w:r>
          </w:p>
        </w:tc>
        <w:tc>
          <w:tcPr>
            <w:tcW w:w="5480" w:type="dxa"/>
          </w:tcPr>
          <w:p>
            <w:pPr>
              <w:pStyle w:val="TableParagraph"/>
              <w:spacing w:before="15"/>
              <w:ind w:left="108"/>
              <w:rPr>
                <w:sz w:val="22"/>
              </w:rPr>
            </w:pPr>
            <w:r>
              <w:rPr>
                <w:spacing w:val="-9"/>
                <w:sz w:val="22"/>
              </w:rPr>
              <w:t>注册</w:t>
            </w:r>
            <w:r>
              <w:rPr>
                <w:spacing w:val="-3"/>
                <w:sz w:val="22"/>
              </w:rPr>
              <w:t>（</w:t>
            </w:r>
            <w:r>
              <w:rPr>
                <w:spacing w:val="-2"/>
                <w:sz w:val="22"/>
              </w:rPr>
              <w:t>办公</w:t>
            </w:r>
            <w:r>
              <w:rPr>
                <w:spacing w:val="-17"/>
                <w:sz w:val="22"/>
              </w:rPr>
              <w:t>）</w:t>
            </w:r>
            <w:r>
              <w:rPr>
                <w:spacing w:val="-9"/>
                <w:sz w:val="22"/>
              </w:rPr>
              <w:t>地址：上海市浦东新区世纪大道 </w:t>
            </w:r>
            <w:r>
              <w:rPr>
                <w:rFonts w:ascii="Arial" w:eastAsia="Arial"/>
                <w:sz w:val="22"/>
              </w:rPr>
              <w:t>100 </w:t>
            </w:r>
            <w:r>
              <w:rPr>
                <w:sz w:val="22"/>
              </w:rPr>
              <w:t>号上</w:t>
            </w:r>
          </w:p>
          <w:p>
            <w:pPr>
              <w:pStyle w:val="TableParagraph"/>
              <w:spacing w:line="266" w:lineRule="auto" w:before="30"/>
              <w:ind w:left="108" w:right="3174"/>
              <w:rPr>
                <w:sz w:val="22"/>
              </w:rPr>
            </w:pPr>
            <w:r>
              <w:rPr>
                <w:sz w:val="22"/>
              </w:rPr>
              <w:t>海环球金融中心 </w:t>
            </w:r>
            <w:r>
              <w:rPr>
                <w:rFonts w:ascii="Arial" w:eastAsia="Arial"/>
                <w:sz w:val="22"/>
              </w:rPr>
              <w:t>57 </w:t>
            </w:r>
            <w:r>
              <w:rPr>
                <w:sz w:val="22"/>
              </w:rPr>
              <w:t>层法定代表人：陈林</w:t>
            </w:r>
          </w:p>
          <w:p>
            <w:pPr>
              <w:pStyle w:val="TableParagraph"/>
              <w:spacing w:line="280" w:lineRule="exact"/>
              <w:ind w:left="108"/>
              <w:rPr>
                <w:sz w:val="22"/>
              </w:rPr>
            </w:pPr>
            <w:r>
              <w:rPr>
                <w:sz w:val="22"/>
              </w:rPr>
              <w:t>联系人：刘闻川</w:t>
            </w:r>
          </w:p>
          <w:p>
            <w:pPr>
              <w:pStyle w:val="TableParagraph"/>
              <w:spacing w:line="266" w:lineRule="auto" w:before="30"/>
              <w:ind w:left="108" w:right="3278"/>
              <w:rPr>
                <w:rFonts w:ascii="Arial" w:eastAsia="Arial"/>
                <w:sz w:val="22"/>
              </w:rPr>
            </w:pPr>
            <w:r>
              <w:rPr>
                <w:sz w:val="22"/>
              </w:rPr>
              <w:t>电话：</w:t>
            </w:r>
            <w:r>
              <w:rPr>
                <w:rFonts w:ascii="Arial" w:eastAsia="Arial"/>
                <w:sz w:val="22"/>
              </w:rPr>
              <w:t>021-68778808 </w:t>
            </w:r>
            <w:r>
              <w:rPr>
                <w:sz w:val="22"/>
              </w:rPr>
              <w:t>传真：</w:t>
            </w:r>
            <w:r>
              <w:rPr>
                <w:rFonts w:ascii="Arial" w:eastAsia="Arial"/>
                <w:sz w:val="22"/>
              </w:rPr>
              <w:t>021-68778108</w:t>
            </w:r>
          </w:p>
          <w:p>
            <w:pPr>
              <w:pStyle w:val="TableParagraph"/>
              <w:spacing w:line="280" w:lineRule="exact"/>
              <w:ind w:left="108"/>
              <w:rPr>
                <w:rFonts w:ascii="Arial" w:eastAsia="Arial"/>
                <w:sz w:val="22"/>
              </w:rPr>
            </w:pPr>
            <w:r>
              <w:rPr>
                <w:sz w:val="22"/>
              </w:rPr>
              <w:t>客户服务电话</w:t>
            </w:r>
            <w:r>
              <w:rPr>
                <w:rFonts w:ascii="Arial" w:eastAsia="Arial"/>
                <w:sz w:val="22"/>
              </w:rPr>
              <w:t>:4008209898</w:t>
            </w:r>
          </w:p>
          <w:p>
            <w:pPr>
              <w:pStyle w:val="TableParagraph"/>
              <w:spacing w:line="277" w:lineRule="exact" w:before="30"/>
              <w:ind w:left="108"/>
              <w:rPr>
                <w:rFonts w:ascii="Arial" w:eastAsia="Arial"/>
                <w:sz w:val="22"/>
              </w:rPr>
            </w:pPr>
            <w:r>
              <w:rPr>
                <w:sz w:val="22"/>
              </w:rPr>
              <w:t>网址：</w:t>
            </w:r>
            <w:hyperlink r:id="rId63">
              <w:r>
                <w:rPr>
                  <w:rFonts w:ascii="Arial" w:eastAsia="Arial"/>
                  <w:sz w:val="22"/>
                </w:rPr>
                <w:t>www.cnhbstock.com</w:t>
              </w:r>
            </w:hyperlink>
          </w:p>
        </w:tc>
      </w:tr>
      <w:tr>
        <w:trPr>
          <w:trHeight w:val="218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4"/>
              <w:ind w:right="105"/>
              <w:jc w:val="right"/>
              <w:rPr>
                <w:rFonts w:ascii="Arial"/>
                <w:sz w:val="21"/>
              </w:rPr>
            </w:pPr>
            <w:r>
              <w:rPr>
                <w:rFonts w:ascii="Arial"/>
                <w:sz w:val="21"/>
              </w:rPr>
              <w:t>57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5"/>
              <w:ind w:left="120" w:right="113"/>
              <w:jc w:val="center"/>
              <w:rPr>
                <w:sz w:val="22"/>
              </w:rPr>
            </w:pPr>
            <w:r>
              <w:rPr>
                <w:sz w:val="22"/>
              </w:rPr>
              <w:t>爱建证券有限责任公司</w:t>
            </w:r>
          </w:p>
        </w:tc>
        <w:tc>
          <w:tcPr>
            <w:tcW w:w="5480" w:type="dxa"/>
          </w:tcPr>
          <w:p>
            <w:pPr>
              <w:pStyle w:val="TableParagraph"/>
              <w:spacing w:line="266" w:lineRule="auto" w:before="17"/>
              <w:ind w:left="108" w:right="565"/>
              <w:rPr>
                <w:sz w:val="22"/>
              </w:rPr>
            </w:pPr>
            <w:r>
              <w:rPr>
                <w:sz w:val="22"/>
              </w:rPr>
              <w:t>注册（</w:t>
            </w:r>
            <w:r>
              <w:rPr>
                <w:spacing w:val="-2"/>
                <w:sz w:val="22"/>
              </w:rPr>
              <w:t>办公</w:t>
            </w:r>
            <w:r>
              <w:rPr>
                <w:sz w:val="22"/>
              </w:rPr>
              <w:t>）</w:t>
            </w:r>
            <w:r>
              <w:rPr>
                <w:spacing w:val="-8"/>
                <w:sz w:val="22"/>
              </w:rPr>
              <w:t>地址：上海市南京西路 </w:t>
            </w:r>
            <w:r>
              <w:rPr>
                <w:rFonts w:ascii="Arial" w:eastAsia="Arial"/>
                <w:sz w:val="22"/>
              </w:rPr>
              <w:t>758 </w:t>
            </w:r>
            <w:r>
              <w:rPr>
                <w:spacing w:val="-26"/>
                <w:sz w:val="22"/>
              </w:rPr>
              <w:t>号 </w:t>
            </w:r>
            <w:r>
              <w:rPr>
                <w:rFonts w:ascii="Arial" w:eastAsia="Arial"/>
                <w:sz w:val="22"/>
              </w:rPr>
              <w:t>24 </w:t>
            </w:r>
            <w:r>
              <w:rPr>
                <w:sz w:val="22"/>
              </w:rPr>
              <w:t>楼</w:t>
            </w:r>
            <w:r>
              <w:rPr>
                <w:spacing w:val="-2"/>
                <w:sz w:val="22"/>
              </w:rPr>
              <w:t>法定代表人：宫龙云</w:t>
            </w:r>
          </w:p>
          <w:p>
            <w:pPr>
              <w:pStyle w:val="TableParagraph"/>
              <w:spacing w:line="281" w:lineRule="exact"/>
              <w:ind w:left="108"/>
              <w:rPr>
                <w:sz w:val="22"/>
              </w:rPr>
            </w:pPr>
            <w:r>
              <w:rPr>
                <w:sz w:val="22"/>
              </w:rPr>
              <w:t>联系人：陈敏</w:t>
            </w:r>
          </w:p>
          <w:p>
            <w:pPr>
              <w:pStyle w:val="TableParagraph"/>
              <w:spacing w:line="266" w:lineRule="auto" w:before="30"/>
              <w:ind w:left="108" w:right="3278"/>
              <w:rPr>
                <w:rFonts w:ascii="Arial" w:eastAsia="Arial"/>
                <w:sz w:val="22"/>
              </w:rPr>
            </w:pPr>
            <w:r>
              <w:rPr>
                <w:sz w:val="22"/>
              </w:rPr>
              <w:t>电话：</w:t>
            </w:r>
            <w:r>
              <w:rPr>
                <w:rFonts w:ascii="Arial" w:eastAsia="Arial"/>
                <w:sz w:val="22"/>
              </w:rPr>
              <w:t>021-32229888 </w:t>
            </w:r>
            <w:r>
              <w:rPr>
                <w:sz w:val="22"/>
              </w:rPr>
              <w:t>传真：</w:t>
            </w:r>
            <w:r>
              <w:rPr>
                <w:rFonts w:ascii="Arial" w:eastAsia="Arial"/>
                <w:sz w:val="22"/>
              </w:rPr>
              <w:t>021-68728703</w:t>
            </w:r>
          </w:p>
          <w:p>
            <w:pPr>
              <w:pStyle w:val="TableParagraph"/>
              <w:spacing w:line="280" w:lineRule="exact"/>
              <w:ind w:left="108"/>
              <w:rPr>
                <w:rFonts w:ascii="Arial" w:eastAsia="Arial"/>
                <w:sz w:val="22"/>
              </w:rPr>
            </w:pPr>
            <w:r>
              <w:rPr>
                <w:sz w:val="22"/>
              </w:rPr>
              <w:t>客服热线：</w:t>
            </w:r>
            <w:r>
              <w:rPr>
                <w:rFonts w:ascii="Arial" w:eastAsia="Arial"/>
                <w:sz w:val="22"/>
              </w:rPr>
              <w:t>021-63340678</w:t>
            </w:r>
          </w:p>
          <w:p>
            <w:pPr>
              <w:pStyle w:val="TableParagraph"/>
              <w:spacing w:line="277" w:lineRule="exact" w:before="30"/>
              <w:ind w:left="108"/>
              <w:rPr>
                <w:rFonts w:ascii="Arial" w:eastAsia="Arial"/>
                <w:sz w:val="22"/>
              </w:rPr>
            </w:pPr>
            <w:r>
              <w:rPr>
                <w:sz w:val="22"/>
              </w:rPr>
              <w:t>网址：</w:t>
            </w:r>
            <w:hyperlink r:id="rId64">
              <w:r>
                <w:rPr>
                  <w:rFonts w:ascii="Arial" w:eastAsia="Arial"/>
                  <w:sz w:val="22"/>
                </w:rPr>
                <w:t>www.ajzq.com</w:t>
              </w:r>
            </w:hyperlink>
          </w:p>
        </w:tc>
      </w:tr>
      <w:tr>
        <w:trPr>
          <w:trHeight w:val="1871"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05"/>
              <w:jc w:val="right"/>
              <w:rPr>
                <w:rFonts w:ascii="Arial"/>
                <w:sz w:val="21"/>
              </w:rPr>
            </w:pPr>
            <w:r>
              <w:rPr>
                <w:rFonts w:ascii="Arial"/>
                <w:sz w:val="21"/>
              </w:rPr>
              <w:t>58</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20" w:right="113"/>
              <w:jc w:val="center"/>
              <w:rPr>
                <w:sz w:val="22"/>
              </w:rPr>
            </w:pPr>
            <w:r>
              <w:rPr>
                <w:sz w:val="22"/>
              </w:rPr>
              <w:t>华福证券有限责任公司</w:t>
            </w:r>
          </w:p>
        </w:tc>
        <w:tc>
          <w:tcPr>
            <w:tcW w:w="5480" w:type="dxa"/>
          </w:tcPr>
          <w:p>
            <w:pPr>
              <w:pStyle w:val="TableParagraph"/>
              <w:spacing w:line="266" w:lineRule="auto" w:before="15"/>
              <w:ind w:left="108" w:right="-29"/>
              <w:rPr>
                <w:sz w:val="22"/>
              </w:rPr>
            </w:pPr>
            <w:r>
              <w:rPr>
                <w:spacing w:val="-21"/>
                <w:sz w:val="22"/>
              </w:rPr>
              <w:t>注册</w:t>
            </w:r>
            <w:r>
              <w:rPr>
                <w:sz w:val="22"/>
              </w:rPr>
              <w:t>（办公</w:t>
            </w:r>
            <w:r>
              <w:rPr>
                <w:spacing w:val="-44"/>
                <w:sz w:val="22"/>
              </w:rPr>
              <w:t>）</w:t>
            </w:r>
            <w:r>
              <w:rPr>
                <w:spacing w:val="-13"/>
                <w:sz w:val="22"/>
              </w:rPr>
              <w:t>地址：福州市五四路 </w:t>
            </w:r>
            <w:r>
              <w:rPr>
                <w:rFonts w:ascii="Arial" w:eastAsia="Arial"/>
                <w:sz w:val="22"/>
              </w:rPr>
              <w:t>157</w:t>
            </w:r>
            <w:r>
              <w:rPr>
                <w:rFonts w:ascii="Arial" w:eastAsia="Arial"/>
                <w:spacing w:val="-3"/>
                <w:sz w:val="22"/>
              </w:rPr>
              <w:t> </w:t>
            </w:r>
            <w:r>
              <w:rPr>
                <w:spacing w:val="-9"/>
                <w:sz w:val="22"/>
              </w:rPr>
              <w:t>号新天地大厦 </w:t>
            </w:r>
            <w:r>
              <w:rPr>
                <w:rFonts w:ascii="Arial" w:eastAsia="Arial"/>
                <w:sz w:val="22"/>
              </w:rPr>
              <w:t>7</w:t>
            </w:r>
            <w:r>
              <w:rPr>
                <w:sz w:val="22"/>
              </w:rPr>
              <w:t>、</w:t>
            </w:r>
            <w:r>
              <w:rPr>
                <w:rFonts w:ascii="Arial" w:eastAsia="Arial"/>
                <w:sz w:val="22"/>
              </w:rPr>
              <w:t>8</w:t>
            </w:r>
            <w:r>
              <w:rPr>
                <w:rFonts w:ascii="Arial" w:eastAsia="Arial"/>
                <w:spacing w:val="-7"/>
                <w:sz w:val="22"/>
              </w:rPr>
              <w:t> </w:t>
            </w:r>
            <w:r>
              <w:rPr>
                <w:sz w:val="22"/>
              </w:rPr>
              <w:t>层</w:t>
            </w:r>
          </w:p>
          <w:p>
            <w:pPr>
              <w:pStyle w:val="TableParagraph"/>
              <w:spacing w:line="266" w:lineRule="auto"/>
              <w:ind w:left="108" w:right="3376"/>
              <w:rPr>
                <w:sz w:val="22"/>
              </w:rPr>
            </w:pPr>
            <w:r>
              <w:rPr>
                <w:sz w:val="22"/>
              </w:rPr>
              <w:t>法定代表人：黄金琳联系人：张腾</w:t>
            </w:r>
          </w:p>
          <w:p>
            <w:pPr>
              <w:pStyle w:val="TableParagraph"/>
              <w:spacing w:line="281" w:lineRule="exact"/>
              <w:ind w:left="108"/>
              <w:rPr>
                <w:rFonts w:ascii="Arial" w:eastAsia="Arial"/>
                <w:sz w:val="22"/>
              </w:rPr>
            </w:pPr>
            <w:r>
              <w:rPr>
                <w:spacing w:val="-1"/>
                <w:sz w:val="22"/>
              </w:rPr>
              <w:t>电话：</w:t>
            </w:r>
            <w:r>
              <w:rPr>
                <w:rFonts w:ascii="Arial" w:eastAsia="Arial"/>
                <w:spacing w:val="-1"/>
                <w:sz w:val="22"/>
              </w:rPr>
              <w:t>0591-87383623</w:t>
            </w:r>
          </w:p>
          <w:p>
            <w:pPr>
              <w:pStyle w:val="TableParagraph"/>
              <w:spacing w:line="277" w:lineRule="exact" w:before="28"/>
              <w:ind w:left="108"/>
              <w:rPr>
                <w:rFonts w:ascii="Arial" w:eastAsia="Arial"/>
                <w:sz w:val="22"/>
              </w:rPr>
            </w:pPr>
            <w:r>
              <w:rPr>
                <w:spacing w:val="-1"/>
                <w:sz w:val="22"/>
              </w:rPr>
              <w:t>传真：</w:t>
            </w:r>
            <w:r>
              <w:rPr>
                <w:rFonts w:ascii="Arial" w:eastAsia="Arial"/>
                <w:spacing w:val="-1"/>
                <w:sz w:val="22"/>
              </w:rPr>
              <w:t>0591-87383610</w:t>
            </w:r>
          </w:p>
        </w:tc>
      </w:tr>
    </w:tbl>
    <w:p>
      <w:pPr>
        <w:spacing w:after="0" w:line="277" w:lineRule="exact"/>
        <w:rPr>
          <w:rFonts w:ascii="Arial" w:eastAsia="Arial"/>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624"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sz w:val="22"/>
              </w:rPr>
            </w:pPr>
            <w:r>
              <w:rPr>
                <w:sz w:val="22"/>
              </w:rPr>
              <w:t>客户服务电话：</w:t>
            </w:r>
            <w:r>
              <w:rPr>
                <w:rFonts w:ascii="Arial" w:eastAsia="Arial"/>
                <w:sz w:val="22"/>
              </w:rPr>
              <w:t>96326</w:t>
            </w:r>
            <w:r>
              <w:rPr>
                <w:sz w:val="22"/>
              </w:rPr>
              <w:t>（福建省外请加拨 </w:t>
            </w:r>
            <w:r>
              <w:rPr>
                <w:rFonts w:ascii="Arial" w:eastAsia="Arial"/>
                <w:sz w:val="22"/>
              </w:rPr>
              <w:t>0591</w:t>
            </w:r>
            <w:r>
              <w:rPr>
                <w:sz w:val="22"/>
              </w:rPr>
              <w:t>）</w:t>
            </w:r>
          </w:p>
          <w:p>
            <w:pPr>
              <w:pStyle w:val="TableParagraph"/>
              <w:spacing w:line="277" w:lineRule="exact" w:before="31"/>
              <w:ind w:left="108"/>
              <w:rPr>
                <w:rFonts w:ascii="Arial" w:eastAsia="Arial"/>
                <w:sz w:val="22"/>
              </w:rPr>
            </w:pPr>
            <w:r>
              <w:rPr>
                <w:sz w:val="22"/>
              </w:rPr>
              <w:t>网址：</w:t>
            </w:r>
            <w:hyperlink r:id="rId65">
              <w:r>
                <w:rPr>
                  <w:rFonts w:ascii="Arial" w:eastAsia="Arial"/>
                  <w:sz w:val="22"/>
                </w:rPr>
                <w:t>www.hfzq.com.cn</w:t>
              </w:r>
            </w:hyperlink>
          </w:p>
        </w:tc>
      </w:tr>
      <w:tr>
        <w:trPr>
          <w:trHeight w:val="249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05"/>
              <w:jc w:val="right"/>
              <w:rPr>
                <w:rFonts w:ascii="Arial"/>
                <w:sz w:val="21"/>
              </w:rPr>
            </w:pPr>
            <w:r>
              <w:rPr>
                <w:rFonts w:ascii="Arial"/>
                <w:sz w:val="21"/>
              </w:rPr>
              <w:t>59</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信达证券股份有限公司</w:t>
            </w:r>
          </w:p>
        </w:tc>
        <w:tc>
          <w:tcPr>
            <w:tcW w:w="5480" w:type="dxa"/>
          </w:tcPr>
          <w:p>
            <w:pPr>
              <w:pStyle w:val="TableParagraph"/>
              <w:spacing w:before="15"/>
              <w:ind w:left="108"/>
              <w:rPr>
                <w:rFonts w:ascii="Arial" w:eastAsia="Arial"/>
                <w:sz w:val="22"/>
              </w:rPr>
            </w:pPr>
            <w:r>
              <w:rPr>
                <w:sz w:val="22"/>
              </w:rPr>
              <w:t>注册（</w:t>
            </w:r>
            <w:r>
              <w:rPr>
                <w:spacing w:val="-2"/>
                <w:sz w:val="22"/>
              </w:rPr>
              <w:t>办公</w:t>
            </w:r>
            <w:r>
              <w:rPr>
                <w:sz w:val="22"/>
              </w:rPr>
              <w:t>）</w:t>
            </w:r>
            <w:r>
              <w:rPr>
                <w:spacing w:val="-7"/>
                <w:sz w:val="22"/>
              </w:rPr>
              <w:t>地址：北京市西城区闹市口大街 </w:t>
            </w:r>
            <w:r>
              <w:rPr>
                <w:rFonts w:ascii="Arial" w:eastAsia="Arial"/>
                <w:sz w:val="22"/>
              </w:rPr>
              <w:t>9 </w:t>
            </w:r>
            <w:r>
              <w:rPr>
                <w:spacing w:val="-19"/>
                <w:sz w:val="22"/>
              </w:rPr>
              <w:t>号院 </w:t>
            </w:r>
            <w:r>
              <w:rPr>
                <w:rFonts w:ascii="Arial" w:eastAsia="Arial"/>
                <w:sz w:val="22"/>
              </w:rPr>
              <w:t>1</w:t>
            </w:r>
          </w:p>
          <w:p>
            <w:pPr>
              <w:pStyle w:val="TableParagraph"/>
              <w:spacing w:before="30"/>
              <w:ind w:left="108"/>
              <w:rPr>
                <w:sz w:val="22"/>
              </w:rPr>
            </w:pPr>
            <w:r>
              <w:rPr>
                <w:sz w:val="22"/>
              </w:rPr>
              <w:t>号楼</w:t>
            </w:r>
          </w:p>
          <w:p>
            <w:pPr>
              <w:pStyle w:val="TableParagraph"/>
              <w:spacing w:line="266" w:lineRule="auto" w:before="30"/>
              <w:ind w:left="108" w:right="3376"/>
              <w:rPr>
                <w:sz w:val="22"/>
              </w:rPr>
            </w:pPr>
            <w:r>
              <w:rPr>
                <w:sz w:val="22"/>
              </w:rPr>
              <w:t>法定代表人：张志刚联系人：唐静</w:t>
            </w:r>
          </w:p>
          <w:p>
            <w:pPr>
              <w:pStyle w:val="TableParagraph"/>
              <w:spacing w:line="266" w:lineRule="auto"/>
              <w:ind w:left="108" w:right="3278"/>
              <w:rPr>
                <w:rFonts w:ascii="Arial" w:eastAsia="Arial"/>
                <w:sz w:val="22"/>
              </w:rPr>
            </w:pPr>
            <w:r>
              <w:rPr>
                <w:sz w:val="22"/>
              </w:rPr>
              <w:t>电话：</w:t>
            </w:r>
            <w:r>
              <w:rPr>
                <w:rFonts w:ascii="Arial" w:eastAsia="Arial"/>
                <w:sz w:val="22"/>
              </w:rPr>
              <w:t>010-63081000 </w:t>
            </w:r>
            <w:r>
              <w:rPr>
                <w:sz w:val="22"/>
              </w:rPr>
              <w:t>传真：</w:t>
            </w:r>
            <w:r>
              <w:rPr>
                <w:rFonts w:ascii="Arial" w:eastAsia="Arial"/>
                <w:sz w:val="22"/>
              </w:rPr>
              <w:t>010-63080978</w:t>
            </w:r>
          </w:p>
          <w:p>
            <w:pPr>
              <w:pStyle w:val="TableParagraph"/>
              <w:spacing w:line="280" w:lineRule="exact"/>
              <w:ind w:left="108"/>
              <w:rPr>
                <w:rFonts w:ascii="Arial" w:eastAsia="Arial"/>
                <w:sz w:val="22"/>
              </w:rPr>
            </w:pPr>
            <w:r>
              <w:rPr>
                <w:sz w:val="22"/>
              </w:rPr>
              <w:t>客服热线：</w:t>
            </w:r>
            <w:r>
              <w:rPr>
                <w:rFonts w:ascii="Arial" w:eastAsia="Arial"/>
                <w:sz w:val="22"/>
              </w:rPr>
              <w:t>95321</w:t>
            </w:r>
          </w:p>
          <w:p>
            <w:pPr>
              <w:pStyle w:val="TableParagraph"/>
              <w:spacing w:line="277" w:lineRule="exact" w:before="28"/>
              <w:ind w:left="108"/>
              <w:rPr>
                <w:rFonts w:ascii="Arial" w:eastAsia="Arial"/>
                <w:sz w:val="22"/>
              </w:rPr>
            </w:pPr>
            <w:r>
              <w:rPr>
                <w:sz w:val="22"/>
              </w:rPr>
              <w:t>网址：</w:t>
            </w:r>
            <w:hyperlink r:id="rId66">
              <w:r>
                <w:rPr>
                  <w:rFonts w:ascii="Arial" w:eastAsia="Arial"/>
                  <w:sz w:val="22"/>
                </w:rPr>
                <w:t>www.cindasc.com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05"/>
              <w:jc w:val="right"/>
              <w:rPr>
                <w:rFonts w:ascii="Arial"/>
                <w:sz w:val="21"/>
              </w:rPr>
            </w:pPr>
            <w:r>
              <w:rPr>
                <w:rFonts w:ascii="Arial"/>
                <w:sz w:val="21"/>
              </w:rPr>
              <w:t>60</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英大证券有限责任公司</w:t>
            </w:r>
          </w:p>
        </w:tc>
        <w:tc>
          <w:tcPr>
            <w:tcW w:w="5480" w:type="dxa"/>
          </w:tcPr>
          <w:p>
            <w:pPr>
              <w:pStyle w:val="TableParagraph"/>
              <w:spacing w:line="266" w:lineRule="auto" w:before="15"/>
              <w:ind w:left="108" w:right="48"/>
              <w:rPr>
                <w:sz w:val="22"/>
              </w:rPr>
            </w:pPr>
            <w:r>
              <w:rPr>
                <w:sz w:val="22"/>
              </w:rPr>
              <w:t>注册（办公）地址：深圳市福田区深南中路华能大厦三十、三十一层</w:t>
            </w:r>
          </w:p>
          <w:p>
            <w:pPr>
              <w:pStyle w:val="TableParagraph"/>
              <w:spacing w:line="266" w:lineRule="auto"/>
              <w:ind w:left="108" w:right="3597"/>
              <w:rPr>
                <w:sz w:val="22"/>
              </w:rPr>
            </w:pPr>
            <w:r>
              <w:rPr>
                <w:sz w:val="22"/>
              </w:rPr>
              <w:t>法定代表人：吴骏联系人：杨洪飞</w:t>
            </w:r>
          </w:p>
          <w:p>
            <w:pPr>
              <w:pStyle w:val="TableParagraph"/>
              <w:spacing w:line="266" w:lineRule="auto"/>
              <w:ind w:left="108" w:right="3156"/>
              <w:rPr>
                <w:rFonts w:ascii="Arial" w:eastAsia="Arial"/>
                <w:sz w:val="22"/>
              </w:rPr>
            </w:pPr>
            <w:r>
              <w:rPr>
                <w:sz w:val="22"/>
              </w:rPr>
              <w:t>电话：</w:t>
            </w:r>
            <w:r>
              <w:rPr>
                <w:rFonts w:ascii="Arial" w:eastAsia="Arial"/>
                <w:sz w:val="22"/>
              </w:rPr>
              <w:t>0755-83007323 </w:t>
            </w:r>
            <w:r>
              <w:rPr>
                <w:sz w:val="22"/>
              </w:rPr>
              <w:t>传真：</w:t>
            </w:r>
            <w:r>
              <w:rPr>
                <w:rFonts w:ascii="Arial" w:eastAsia="Arial"/>
                <w:sz w:val="22"/>
              </w:rPr>
              <w:t>0755-83007034</w:t>
            </w:r>
          </w:p>
          <w:p>
            <w:pPr>
              <w:pStyle w:val="TableParagraph"/>
              <w:spacing w:line="280" w:lineRule="exact"/>
              <w:ind w:left="108"/>
              <w:rPr>
                <w:rFonts w:ascii="Arial" w:eastAsia="Arial"/>
                <w:sz w:val="22"/>
              </w:rPr>
            </w:pPr>
            <w:r>
              <w:rPr>
                <w:sz w:val="22"/>
              </w:rPr>
              <w:t>客服热线：</w:t>
            </w:r>
            <w:r>
              <w:rPr>
                <w:rFonts w:ascii="Arial" w:eastAsia="Arial"/>
                <w:sz w:val="22"/>
              </w:rPr>
              <w:t>4000 188 688</w:t>
            </w:r>
          </w:p>
          <w:p>
            <w:pPr>
              <w:pStyle w:val="TableParagraph"/>
              <w:spacing w:line="277" w:lineRule="exact" w:before="27"/>
              <w:ind w:left="108"/>
              <w:rPr>
                <w:rFonts w:ascii="Arial" w:eastAsia="Arial"/>
                <w:sz w:val="22"/>
              </w:rPr>
            </w:pPr>
            <w:r>
              <w:rPr>
                <w:sz w:val="22"/>
              </w:rPr>
              <w:t>网址： </w:t>
            </w:r>
            <w:hyperlink r:id="rId67">
              <w:r>
                <w:rPr>
                  <w:rFonts w:ascii="Arial" w:eastAsia="Arial"/>
                  <w:sz w:val="22"/>
                </w:rPr>
                <w:t>www.ydsc.com.cn</w:t>
              </w:r>
            </w:hyperlink>
          </w:p>
        </w:tc>
      </w:tr>
      <w:tr>
        <w:trPr>
          <w:trHeight w:val="1872"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05"/>
              <w:jc w:val="right"/>
              <w:rPr>
                <w:rFonts w:ascii="Arial"/>
                <w:sz w:val="21"/>
              </w:rPr>
            </w:pPr>
            <w:r>
              <w:rPr>
                <w:rFonts w:ascii="Arial"/>
                <w:sz w:val="21"/>
              </w:rPr>
              <w:t>61</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20" w:right="113"/>
              <w:jc w:val="center"/>
              <w:rPr>
                <w:sz w:val="22"/>
              </w:rPr>
            </w:pPr>
            <w:r>
              <w:rPr>
                <w:sz w:val="22"/>
              </w:rPr>
              <w:t>华泰证券股份有限公司</w:t>
            </w:r>
          </w:p>
        </w:tc>
        <w:tc>
          <w:tcPr>
            <w:tcW w:w="5480" w:type="dxa"/>
          </w:tcPr>
          <w:p>
            <w:pPr>
              <w:pStyle w:val="TableParagraph"/>
              <w:spacing w:line="266" w:lineRule="auto" w:before="15"/>
              <w:ind w:left="108" w:right="412"/>
              <w:rPr>
                <w:sz w:val="22"/>
              </w:rPr>
            </w:pPr>
            <w:r>
              <w:rPr>
                <w:sz w:val="22"/>
              </w:rPr>
              <w:t>注册（办公）地址：江苏省南京市江东中路 </w:t>
            </w:r>
            <w:r>
              <w:rPr>
                <w:rFonts w:ascii="Arial" w:eastAsia="Arial"/>
                <w:sz w:val="22"/>
              </w:rPr>
              <w:t>228 </w:t>
            </w:r>
            <w:r>
              <w:rPr>
                <w:sz w:val="22"/>
              </w:rPr>
              <w:t>号法定代表人：周易</w:t>
            </w:r>
          </w:p>
          <w:p>
            <w:pPr>
              <w:pStyle w:val="TableParagraph"/>
              <w:spacing w:line="280" w:lineRule="exact"/>
              <w:ind w:left="108"/>
              <w:rPr>
                <w:sz w:val="22"/>
              </w:rPr>
            </w:pPr>
            <w:r>
              <w:rPr>
                <w:sz w:val="22"/>
              </w:rPr>
              <w:t>联系人：庞晓芸</w:t>
            </w:r>
          </w:p>
          <w:p>
            <w:pPr>
              <w:pStyle w:val="TableParagraph"/>
              <w:spacing w:before="30"/>
              <w:ind w:left="108"/>
              <w:rPr>
                <w:rFonts w:ascii="Arial" w:eastAsia="Arial"/>
                <w:sz w:val="22"/>
              </w:rPr>
            </w:pPr>
            <w:r>
              <w:rPr>
                <w:sz w:val="22"/>
              </w:rPr>
              <w:t>电话：</w:t>
            </w:r>
            <w:r>
              <w:rPr>
                <w:rFonts w:ascii="Arial" w:eastAsia="Arial"/>
                <w:sz w:val="22"/>
              </w:rPr>
              <w:t>0755-82492193</w:t>
            </w:r>
          </w:p>
          <w:p>
            <w:pPr>
              <w:pStyle w:val="TableParagraph"/>
              <w:spacing w:line="310" w:lineRule="atLeast" w:before="2"/>
              <w:ind w:left="108" w:right="2985"/>
              <w:rPr>
                <w:rFonts w:ascii="Arial" w:eastAsia="Arial"/>
                <w:sz w:val="22"/>
              </w:rPr>
            </w:pPr>
            <w:r>
              <w:rPr>
                <w:spacing w:val="-1"/>
                <w:sz w:val="22"/>
              </w:rPr>
              <w:t>客户服务电话：</w:t>
            </w:r>
            <w:r>
              <w:rPr>
                <w:rFonts w:ascii="Arial" w:eastAsia="Arial"/>
                <w:sz w:val="22"/>
              </w:rPr>
              <w:t>95597 </w:t>
            </w:r>
            <w:r>
              <w:rPr>
                <w:spacing w:val="-1"/>
                <w:sz w:val="22"/>
              </w:rPr>
              <w:t>网址：</w:t>
            </w:r>
            <w:hyperlink r:id="rId68">
              <w:r>
                <w:rPr>
                  <w:rFonts w:ascii="Arial" w:eastAsia="Arial"/>
                  <w:spacing w:val="-1"/>
                  <w:sz w:val="22"/>
                </w:rPr>
                <w:t>www.htsc.com.cn</w:t>
              </w:r>
            </w:hyperlink>
          </w:p>
        </w:tc>
      </w:tr>
      <w:tr>
        <w:trPr>
          <w:trHeight w:val="218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right="105"/>
              <w:jc w:val="right"/>
              <w:rPr>
                <w:rFonts w:ascii="Arial"/>
                <w:sz w:val="21"/>
              </w:rPr>
            </w:pPr>
            <w:r>
              <w:rPr>
                <w:rFonts w:ascii="Arial"/>
                <w:sz w:val="21"/>
              </w:rPr>
              <w:t>62</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120" w:right="113"/>
              <w:jc w:val="center"/>
              <w:rPr>
                <w:sz w:val="22"/>
              </w:rPr>
            </w:pPr>
            <w:r>
              <w:rPr>
                <w:sz w:val="22"/>
              </w:rPr>
              <w:t>华龙证券股份有限公司</w:t>
            </w:r>
          </w:p>
        </w:tc>
        <w:tc>
          <w:tcPr>
            <w:tcW w:w="5480" w:type="dxa"/>
          </w:tcPr>
          <w:p>
            <w:pPr>
              <w:pStyle w:val="TableParagraph"/>
              <w:spacing w:line="266" w:lineRule="auto" w:before="17"/>
              <w:ind w:left="108" w:right="92"/>
              <w:rPr>
                <w:sz w:val="22"/>
              </w:rPr>
            </w:pPr>
            <w:r>
              <w:rPr>
                <w:spacing w:val="-9"/>
                <w:sz w:val="22"/>
              </w:rPr>
              <w:t>注册</w:t>
            </w:r>
            <w:r>
              <w:rPr>
                <w:spacing w:val="-3"/>
                <w:sz w:val="22"/>
              </w:rPr>
              <w:t>（</w:t>
            </w:r>
            <w:r>
              <w:rPr>
                <w:spacing w:val="-2"/>
                <w:sz w:val="22"/>
              </w:rPr>
              <w:t>办公</w:t>
            </w:r>
            <w:r>
              <w:rPr>
                <w:spacing w:val="-17"/>
                <w:sz w:val="22"/>
              </w:rPr>
              <w:t>）</w:t>
            </w:r>
            <w:r>
              <w:rPr>
                <w:spacing w:val="-8"/>
                <w:sz w:val="22"/>
              </w:rPr>
              <w:t>地址：兰州市城关区东岗西路 </w:t>
            </w:r>
            <w:r>
              <w:rPr>
                <w:rFonts w:ascii="Arial" w:eastAsia="Arial"/>
                <w:sz w:val="22"/>
              </w:rPr>
              <w:t>638 </w:t>
            </w:r>
            <w:r>
              <w:rPr>
                <w:spacing w:val="-4"/>
                <w:sz w:val="22"/>
              </w:rPr>
              <w:t>号兰州</w:t>
            </w:r>
            <w:r>
              <w:rPr>
                <w:sz w:val="22"/>
              </w:rPr>
              <w:t>财富中心</w:t>
            </w:r>
          </w:p>
          <w:p>
            <w:pPr>
              <w:pStyle w:val="TableParagraph"/>
              <w:spacing w:line="266" w:lineRule="auto"/>
              <w:ind w:left="108" w:right="3376"/>
              <w:rPr>
                <w:sz w:val="22"/>
              </w:rPr>
            </w:pPr>
            <w:r>
              <w:rPr>
                <w:sz w:val="22"/>
              </w:rPr>
              <w:t>法定代表人：李晓安联系人：李昕田</w:t>
            </w:r>
          </w:p>
          <w:p>
            <w:pPr>
              <w:pStyle w:val="TableParagraph"/>
              <w:spacing w:line="280" w:lineRule="exact"/>
              <w:ind w:left="108"/>
              <w:rPr>
                <w:rFonts w:ascii="Arial" w:eastAsia="Arial"/>
                <w:sz w:val="22"/>
              </w:rPr>
            </w:pPr>
            <w:r>
              <w:rPr>
                <w:sz w:val="22"/>
              </w:rPr>
              <w:t>电话：</w:t>
            </w:r>
            <w:r>
              <w:rPr>
                <w:rFonts w:ascii="Arial" w:eastAsia="Arial"/>
                <w:sz w:val="22"/>
              </w:rPr>
              <w:t>0931-4890208</w:t>
            </w:r>
          </w:p>
          <w:p>
            <w:pPr>
              <w:pStyle w:val="TableParagraph"/>
              <w:spacing w:before="28"/>
              <w:ind w:left="108"/>
              <w:rPr>
                <w:rFonts w:ascii="Arial" w:eastAsia="Arial"/>
                <w:sz w:val="22"/>
              </w:rPr>
            </w:pPr>
            <w:r>
              <w:rPr>
                <w:sz w:val="22"/>
              </w:rPr>
              <w:t>客户服务电话：</w:t>
            </w:r>
            <w:r>
              <w:rPr>
                <w:rFonts w:ascii="Arial" w:eastAsia="Arial"/>
                <w:sz w:val="22"/>
              </w:rPr>
              <w:t>0931-96668</w:t>
            </w:r>
            <w:r>
              <w:rPr>
                <w:sz w:val="22"/>
              </w:rPr>
              <w:t>，</w:t>
            </w:r>
            <w:r>
              <w:rPr>
                <w:rFonts w:ascii="Arial" w:eastAsia="Arial"/>
                <w:sz w:val="22"/>
              </w:rPr>
              <w:t>4006898888</w:t>
            </w:r>
          </w:p>
          <w:p>
            <w:pPr>
              <w:pStyle w:val="TableParagraph"/>
              <w:spacing w:line="277" w:lineRule="exact" w:before="31"/>
              <w:ind w:left="108"/>
              <w:rPr>
                <w:rFonts w:ascii="Arial" w:eastAsia="Arial"/>
                <w:sz w:val="22"/>
              </w:rPr>
            </w:pPr>
            <w:r>
              <w:rPr>
                <w:sz w:val="22"/>
              </w:rPr>
              <w:t>网址：</w:t>
            </w:r>
            <w:hyperlink r:id="rId69">
              <w:r>
                <w:rPr>
                  <w:rFonts w:ascii="Arial" w:eastAsia="Arial"/>
                  <w:sz w:val="22"/>
                </w:rPr>
                <w:t>www.hlzqgs.com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05"/>
              <w:jc w:val="right"/>
              <w:rPr>
                <w:rFonts w:ascii="Arial"/>
                <w:sz w:val="21"/>
              </w:rPr>
            </w:pPr>
            <w:r>
              <w:rPr>
                <w:rFonts w:ascii="Arial"/>
                <w:sz w:val="21"/>
              </w:rPr>
              <w:t>63</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国金证券股份有限公司</w:t>
            </w:r>
          </w:p>
        </w:tc>
        <w:tc>
          <w:tcPr>
            <w:tcW w:w="5480" w:type="dxa"/>
          </w:tcPr>
          <w:p>
            <w:pPr>
              <w:pStyle w:val="TableParagraph"/>
              <w:spacing w:before="15"/>
              <w:ind w:left="108"/>
              <w:rPr>
                <w:sz w:val="22"/>
              </w:rPr>
            </w:pPr>
            <w:r>
              <w:rPr>
                <w:sz w:val="22"/>
              </w:rPr>
              <w:t>注册地址：成都市东城根上街 </w:t>
            </w:r>
            <w:r>
              <w:rPr>
                <w:rFonts w:ascii="Arial" w:eastAsia="Arial"/>
                <w:sz w:val="22"/>
              </w:rPr>
              <w:t>95 </w:t>
            </w:r>
            <w:r>
              <w:rPr>
                <w:sz w:val="22"/>
              </w:rPr>
              <w:t>号</w:t>
            </w:r>
          </w:p>
          <w:p>
            <w:pPr>
              <w:pStyle w:val="TableParagraph"/>
              <w:spacing w:line="266" w:lineRule="auto" w:before="30"/>
              <w:ind w:left="108" w:right="1854"/>
              <w:rPr>
                <w:sz w:val="22"/>
              </w:rPr>
            </w:pPr>
            <w:r>
              <w:rPr>
                <w:sz w:val="22"/>
              </w:rPr>
              <w:t>办公地址：成都市东城根上街 </w:t>
            </w:r>
            <w:r>
              <w:rPr>
                <w:rFonts w:ascii="Arial" w:eastAsia="Arial"/>
                <w:sz w:val="22"/>
              </w:rPr>
              <w:t>95 </w:t>
            </w:r>
            <w:r>
              <w:rPr>
                <w:sz w:val="22"/>
              </w:rPr>
              <w:t>号法定代表人：冉云</w:t>
            </w:r>
          </w:p>
          <w:p>
            <w:pPr>
              <w:pStyle w:val="TableParagraph"/>
              <w:spacing w:line="280" w:lineRule="exact"/>
              <w:ind w:left="108"/>
              <w:rPr>
                <w:sz w:val="22"/>
              </w:rPr>
            </w:pPr>
            <w:r>
              <w:rPr>
                <w:sz w:val="22"/>
              </w:rPr>
              <w:t>联系人：刘婧漪、贾鹏</w:t>
            </w:r>
          </w:p>
          <w:p>
            <w:pPr>
              <w:pStyle w:val="TableParagraph"/>
              <w:spacing w:line="266" w:lineRule="auto" w:before="31"/>
              <w:ind w:left="108" w:right="1712"/>
              <w:rPr>
                <w:rFonts w:ascii="Arial" w:eastAsia="Arial"/>
                <w:sz w:val="22"/>
              </w:rPr>
            </w:pPr>
            <w:r>
              <w:rPr>
                <w:sz w:val="22"/>
              </w:rPr>
              <w:t>电话：</w:t>
            </w:r>
            <w:r>
              <w:rPr>
                <w:rFonts w:ascii="Arial" w:eastAsia="Arial"/>
                <w:sz w:val="22"/>
              </w:rPr>
              <w:t>028-86690057</w:t>
            </w:r>
            <w:r>
              <w:rPr>
                <w:sz w:val="22"/>
              </w:rPr>
              <w:t>、</w:t>
            </w:r>
            <w:r>
              <w:rPr>
                <w:rFonts w:ascii="Arial" w:eastAsia="Arial"/>
                <w:sz w:val="22"/>
              </w:rPr>
              <w:t>02886690058 </w:t>
            </w:r>
            <w:r>
              <w:rPr>
                <w:sz w:val="22"/>
              </w:rPr>
              <w:t>传真：</w:t>
            </w:r>
            <w:r>
              <w:rPr>
                <w:rFonts w:ascii="Arial" w:eastAsia="Arial"/>
                <w:sz w:val="22"/>
              </w:rPr>
              <w:t>028-86690126</w:t>
            </w:r>
          </w:p>
          <w:p>
            <w:pPr>
              <w:pStyle w:val="TableParagraph"/>
              <w:spacing w:line="280" w:lineRule="exact"/>
              <w:ind w:left="108"/>
              <w:rPr>
                <w:rFonts w:ascii="Arial" w:eastAsia="Arial"/>
                <w:sz w:val="22"/>
              </w:rPr>
            </w:pPr>
            <w:r>
              <w:rPr>
                <w:sz w:val="22"/>
              </w:rPr>
              <w:t>客服电话：</w:t>
            </w:r>
            <w:r>
              <w:rPr>
                <w:rFonts w:ascii="Arial" w:eastAsia="Arial"/>
                <w:sz w:val="22"/>
              </w:rPr>
              <w:t>95310</w:t>
            </w:r>
          </w:p>
          <w:p>
            <w:pPr>
              <w:pStyle w:val="TableParagraph"/>
              <w:spacing w:line="277" w:lineRule="exact" w:before="30"/>
              <w:ind w:left="108"/>
              <w:rPr>
                <w:rFonts w:ascii="Arial" w:eastAsia="Arial"/>
                <w:sz w:val="22"/>
              </w:rPr>
            </w:pPr>
            <w:r>
              <w:rPr>
                <w:sz w:val="22"/>
              </w:rPr>
              <w:t>公司网站：</w:t>
            </w:r>
            <w:hyperlink r:id="rId70">
              <w:r>
                <w:rPr>
                  <w:rFonts w:ascii="Arial" w:eastAsia="Arial"/>
                  <w:sz w:val="22"/>
                </w:rPr>
                <w:t>www.gjzq.com.cn</w:t>
              </w:r>
            </w:hyperlink>
          </w:p>
        </w:tc>
      </w:tr>
      <w:tr>
        <w:trPr>
          <w:trHeight w:val="1560" w:hRule="atLeast"/>
        </w:trPr>
        <w:tc>
          <w:tcPr>
            <w:tcW w:w="470" w:type="dxa"/>
          </w:tcPr>
          <w:p>
            <w:pPr>
              <w:pStyle w:val="TableParagraph"/>
              <w:rPr>
                <w:rFonts w:ascii="Times New Roman"/>
                <w:sz w:val="24"/>
              </w:rPr>
            </w:pPr>
          </w:p>
          <w:p>
            <w:pPr>
              <w:pStyle w:val="TableParagraph"/>
              <w:spacing w:before="1"/>
              <w:rPr>
                <w:rFonts w:ascii="Times New Roman"/>
                <w:sz w:val="33"/>
              </w:rPr>
            </w:pPr>
          </w:p>
          <w:p>
            <w:pPr>
              <w:pStyle w:val="TableParagraph"/>
              <w:ind w:right="105"/>
              <w:jc w:val="right"/>
              <w:rPr>
                <w:rFonts w:ascii="Arial"/>
                <w:sz w:val="21"/>
              </w:rPr>
            </w:pPr>
            <w:r>
              <w:rPr>
                <w:rFonts w:ascii="Arial"/>
                <w:sz w:val="21"/>
              </w:rPr>
              <w:t>64</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33"/>
              <w:ind w:left="120" w:right="113"/>
              <w:jc w:val="center"/>
              <w:rPr>
                <w:sz w:val="22"/>
              </w:rPr>
            </w:pPr>
            <w:r>
              <w:rPr>
                <w:sz w:val="22"/>
              </w:rPr>
              <w:t>浙商证券股份有限公司</w:t>
            </w:r>
          </w:p>
        </w:tc>
        <w:tc>
          <w:tcPr>
            <w:tcW w:w="5480" w:type="dxa"/>
          </w:tcPr>
          <w:p>
            <w:pPr>
              <w:pStyle w:val="TableParagraph"/>
              <w:spacing w:line="266" w:lineRule="auto" w:before="15"/>
              <w:ind w:left="108" w:right="90"/>
              <w:rPr>
                <w:sz w:val="22"/>
              </w:rPr>
            </w:pPr>
            <w:r>
              <w:rPr>
                <w:spacing w:val="-5"/>
                <w:sz w:val="22"/>
              </w:rPr>
              <w:t>注册</w:t>
            </w:r>
            <w:r>
              <w:rPr>
                <w:sz w:val="22"/>
              </w:rPr>
              <w:t>（</w:t>
            </w:r>
            <w:r>
              <w:rPr>
                <w:spacing w:val="-2"/>
                <w:sz w:val="22"/>
              </w:rPr>
              <w:t>办公</w:t>
            </w:r>
            <w:r>
              <w:rPr>
                <w:spacing w:val="-10"/>
                <w:sz w:val="22"/>
              </w:rPr>
              <w:t>）</w:t>
            </w:r>
            <w:r>
              <w:rPr>
                <w:spacing w:val="-8"/>
                <w:sz w:val="22"/>
              </w:rPr>
              <w:t>地址：浙江杭州市杭大路 </w:t>
            </w:r>
            <w:r>
              <w:rPr>
                <w:rFonts w:ascii="Arial" w:eastAsia="Arial"/>
                <w:sz w:val="22"/>
              </w:rPr>
              <w:t>1 </w:t>
            </w:r>
            <w:r>
              <w:rPr>
                <w:spacing w:val="-5"/>
                <w:sz w:val="22"/>
              </w:rPr>
              <w:t>号黄龙世纪广</w:t>
            </w:r>
            <w:r>
              <w:rPr>
                <w:spacing w:val="-32"/>
                <w:sz w:val="22"/>
              </w:rPr>
              <w:t>场 </w:t>
            </w:r>
            <w:r>
              <w:rPr>
                <w:rFonts w:ascii="Arial" w:eastAsia="Arial"/>
                <w:sz w:val="22"/>
              </w:rPr>
              <w:t>A-6/7 </w:t>
            </w:r>
            <w:r>
              <w:rPr>
                <w:sz w:val="22"/>
              </w:rPr>
              <w:t>楼</w:t>
            </w:r>
          </w:p>
          <w:p>
            <w:pPr>
              <w:pStyle w:val="TableParagraph"/>
              <w:spacing w:line="266" w:lineRule="auto"/>
              <w:ind w:left="108" w:right="3376"/>
              <w:rPr>
                <w:sz w:val="22"/>
              </w:rPr>
            </w:pPr>
            <w:r>
              <w:rPr>
                <w:sz w:val="22"/>
              </w:rPr>
              <w:t>法定代表人：吴承根联系人：许嘉行</w:t>
            </w:r>
          </w:p>
          <w:p>
            <w:pPr>
              <w:pStyle w:val="TableParagraph"/>
              <w:spacing w:line="275" w:lineRule="exact"/>
              <w:ind w:left="108"/>
              <w:rPr>
                <w:rFonts w:ascii="Arial" w:eastAsia="Arial"/>
                <w:sz w:val="22"/>
              </w:rPr>
            </w:pPr>
            <w:r>
              <w:rPr>
                <w:sz w:val="22"/>
              </w:rPr>
              <w:t>客服电话：</w:t>
            </w:r>
            <w:r>
              <w:rPr>
                <w:rFonts w:ascii="Arial" w:eastAsia="Arial"/>
                <w:sz w:val="22"/>
              </w:rPr>
              <w:t>0571-967777</w:t>
            </w:r>
          </w:p>
        </w:tc>
      </w:tr>
    </w:tbl>
    <w:p>
      <w:pPr>
        <w:spacing w:after="0" w:line="275" w:lineRule="exact"/>
        <w:rPr>
          <w:rFonts w:ascii="Arial" w:eastAsia="Arial"/>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312"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5"/>
              <w:ind w:left="108"/>
              <w:rPr>
                <w:rFonts w:ascii="Arial" w:eastAsia="Arial"/>
                <w:sz w:val="22"/>
              </w:rPr>
            </w:pPr>
            <w:r>
              <w:rPr>
                <w:sz w:val="22"/>
              </w:rPr>
              <w:t>网址：</w:t>
            </w:r>
            <w:hyperlink r:id="rId71">
              <w:r>
                <w:rPr>
                  <w:rFonts w:ascii="Arial" w:eastAsia="Arial"/>
                  <w:sz w:val="22"/>
                </w:rPr>
                <w:t>www.stocke.com.cn</w:t>
              </w:r>
            </w:hyperlink>
          </w:p>
        </w:tc>
      </w:tr>
      <w:tr>
        <w:trPr>
          <w:trHeight w:val="2183"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65</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20" w:right="113"/>
              <w:jc w:val="center"/>
              <w:rPr>
                <w:sz w:val="22"/>
              </w:rPr>
            </w:pPr>
            <w:r>
              <w:rPr>
                <w:sz w:val="22"/>
              </w:rPr>
              <w:t>中航证券有限公司</w:t>
            </w:r>
          </w:p>
        </w:tc>
        <w:tc>
          <w:tcPr>
            <w:tcW w:w="5480" w:type="dxa"/>
          </w:tcPr>
          <w:p>
            <w:pPr>
              <w:pStyle w:val="TableParagraph"/>
              <w:spacing w:before="15"/>
              <w:ind w:left="108"/>
              <w:rPr>
                <w:rFonts w:ascii="Arial" w:eastAsia="Arial"/>
                <w:sz w:val="22"/>
              </w:rPr>
            </w:pPr>
            <w:r>
              <w:rPr>
                <w:spacing w:val="-21"/>
                <w:sz w:val="22"/>
              </w:rPr>
              <w:t>注册</w:t>
            </w:r>
            <w:r>
              <w:rPr>
                <w:sz w:val="22"/>
              </w:rPr>
              <w:t>（办公</w:t>
            </w:r>
            <w:r>
              <w:rPr>
                <w:spacing w:val="-44"/>
                <w:sz w:val="22"/>
              </w:rPr>
              <w:t>）</w:t>
            </w:r>
            <w:r>
              <w:rPr>
                <w:spacing w:val="-11"/>
                <w:sz w:val="22"/>
              </w:rPr>
              <w:t>地址：南昌市红谷滩新区红谷中大道 </w:t>
            </w:r>
            <w:r>
              <w:rPr>
                <w:rFonts w:ascii="Arial" w:eastAsia="Arial"/>
                <w:sz w:val="22"/>
              </w:rPr>
              <w:t>1619</w:t>
            </w:r>
          </w:p>
          <w:p>
            <w:pPr>
              <w:pStyle w:val="TableParagraph"/>
              <w:spacing w:line="266" w:lineRule="auto" w:before="30"/>
              <w:ind w:left="108" w:right="2766"/>
              <w:rPr>
                <w:sz w:val="22"/>
              </w:rPr>
            </w:pPr>
            <w:r>
              <w:rPr>
                <w:spacing w:val="-8"/>
                <w:sz w:val="22"/>
              </w:rPr>
              <w:t>号国际金融大厦 </w:t>
            </w:r>
            <w:r>
              <w:rPr>
                <w:rFonts w:ascii="Arial" w:eastAsia="Arial"/>
                <w:sz w:val="22"/>
              </w:rPr>
              <w:t>A </w:t>
            </w:r>
            <w:r>
              <w:rPr>
                <w:spacing w:val="-27"/>
                <w:sz w:val="22"/>
              </w:rPr>
              <w:t>座 </w:t>
            </w:r>
            <w:r>
              <w:rPr>
                <w:rFonts w:ascii="Arial" w:eastAsia="Arial"/>
                <w:sz w:val="22"/>
              </w:rPr>
              <w:t>41 </w:t>
            </w:r>
            <w:r>
              <w:rPr>
                <w:spacing w:val="-14"/>
                <w:sz w:val="22"/>
              </w:rPr>
              <w:t>楼</w:t>
            </w:r>
            <w:r>
              <w:rPr>
                <w:spacing w:val="-2"/>
                <w:sz w:val="22"/>
              </w:rPr>
              <w:t>法定代表人：杜航</w:t>
            </w:r>
          </w:p>
          <w:p>
            <w:pPr>
              <w:pStyle w:val="TableParagraph"/>
              <w:spacing w:line="280" w:lineRule="exact"/>
              <w:ind w:left="108"/>
              <w:rPr>
                <w:sz w:val="22"/>
              </w:rPr>
            </w:pPr>
            <w:r>
              <w:rPr>
                <w:sz w:val="22"/>
              </w:rPr>
              <w:t>联系人：戴蕾</w:t>
            </w:r>
          </w:p>
          <w:p>
            <w:pPr>
              <w:pStyle w:val="TableParagraph"/>
              <w:spacing w:before="30"/>
              <w:ind w:left="108"/>
              <w:rPr>
                <w:rFonts w:ascii="Arial" w:eastAsia="Arial"/>
                <w:sz w:val="22"/>
              </w:rPr>
            </w:pPr>
            <w:r>
              <w:rPr>
                <w:sz w:val="22"/>
              </w:rPr>
              <w:t>联系电话：</w:t>
            </w:r>
            <w:r>
              <w:rPr>
                <w:rFonts w:ascii="Arial" w:eastAsia="Arial"/>
                <w:sz w:val="22"/>
              </w:rPr>
              <w:t>0791-86768681</w:t>
            </w:r>
          </w:p>
          <w:p>
            <w:pPr>
              <w:pStyle w:val="TableParagraph"/>
              <w:spacing w:line="310" w:lineRule="atLeast" w:before="2"/>
              <w:ind w:left="108" w:right="2447"/>
              <w:rPr>
                <w:rFonts w:ascii="Arial" w:eastAsia="Arial"/>
                <w:sz w:val="22"/>
              </w:rPr>
            </w:pPr>
            <w:r>
              <w:rPr>
                <w:sz w:val="22"/>
              </w:rPr>
              <w:t>客户服务电话：</w:t>
            </w:r>
            <w:r>
              <w:rPr>
                <w:rFonts w:ascii="Arial" w:eastAsia="Arial"/>
                <w:sz w:val="22"/>
              </w:rPr>
              <w:t>400-8866-567 </w:t>
            </w:r>
            <w:r>
              <w:rPr>
                <w:sz w:val="22"/>
              </w:rPr>
              <w:t>公司网址：</w:t>
            </w:r>
            <w:hyperlink r:id="rId72">
              <w:r>
                <w:rPr>
                  <w:rFonts w:ascii="Arial" w:eastAsia="Arial"/>
                  <w:sz w:val="22"/>
                </w:rPr>
                <w:t>www.avicsec.com</w:t>
              </w:r>
            </w:hyperlink>
          </w:p>
        </w:tc>
      </w:tr>
      <w:tr>
        <w:trPr>
          <w:trHeight w:val="280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05"/>
              <w:jc w:val="right"/>
              <w:rPr>
                <w:rFonts w:ascii="Arial"/>
                <w:sz w:val="21"/>
              </w:rPr>
            </w:pPr>
            <w:r>
              <w:rPr>
                <w:rFonts w:ascii="Arial"/>
                <w:sz w:val="21"/>
              </w:rPr>
              <w:t>66</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20" w:right="113"/>
              <w:jc w:val="center"/>
              <w:rPr>
                <w:sz w:val="22"/>
              </w:rPr>
            </w:pPr>
            <w:r>
              <w:rPr>
                <w:sz w:val="22"/>
              </w:rPr>
              <w:t>中信证券股份有限公司</w:t>
            </w:r>
          </w:p>
        </w:tc>
        <w:tc>
          <w:tcPr>
            <w:tcW w:w="5480" w:type="dxa"/>
          </w:tcPr>
          <w:p>
            <w:pPr>
              <w:pStyle w:val="TableParagraph"/>
              <w:spacing w:line="266" w:lineRule="auto" w:before="15"/>
              <w:ind w:left="108" w:right="90"/>
              <w:rPr>
                <w:sz w:val="22"/>
              </w:rPr>
            </w:pPr>
            <w:r>
              <w:rPr>
                <w:spacing w:val="-9"/>
                <w:sz w:val="22"/>
              </w:rPr>
              <w:t>注册地址：广东省深圳市福田区中心三路 </w:t>
            </w:r>
            <w:r>
              <w:rPr>
                <w:rFonts w:ascii="Arial" w:eastAsia="Arial"/>
                <w:sz w:val="22"/>
              </w:rPr>
              <w:t>8 </w:t>
            </w:r>
            <w:r>
              <w:rPr>
                <w:spacing w:val="-4"/>
                <w:sz w:val="22"/>
              </w:rPr>
              <w:t>号卓越时代</w:t>
            </w:r>
            <w:r>
              <w:rPr>
                <w:sz w:val="22"/>
              </w:rPr>
              <w:t>广场（</w:t>
            </w:r>
            <w:r>
              <w:rPr>
                <w:spacing w:val="-2"/>
                <w:sz w:val="22"/>
              </w:rPr>
              <w:t>二期</w:t>
            </w:r>
            <w:r>
              <w:rPr>
                <w:sz w:val="22"/>
              </w:rPr>
              <w:t>）</w:t>
            </w:r>
            <w:r>
              <w:rPr>
                <w:spacing w:val="-2"/>
                <w:sz w:val="22"/>
              </w:rPr>
              <w:t>北座</w:t>
            </w:r>
          </w:p>
          <w:p>
            <w:pPr>
              <w:pStyle w:val="TableParagraph"/>
              <w:spacing w:line="266" w:lineRule="auto"/>
              <w:ind w:left="108" w:right="94"/>
              <w:rPr>
                <w:sz w:val="22"/>
              </w:rPr>
            </w:pPr>
            <w:r>
              <w:rPr>
                <w:sz w:val="22"/>
              </w:rPr>
              <w:t>办公地址：北京市朝阳区亮马桥路 </w:t>
            </w:r>
            <w:r>
              <w:rPr>
                <w:rFonts w:ascii="Arial" w:eastAsia="Arial"/>
                <w:sz w:val="22"/>
              </w:rPr>
              <w:t>48 </w:t>
            </w:r>
            <w:r>
              <w:rPr>
                <w:sz w:val="22"/>
              </w:rPr>
              <w:t>号中信证券大厦法定代表人：张佑君</w:t>
            </w:r>
          </w:p>
          <w:p>
            <w:pPr>
              <w:pStyle w:val="TableParagraph"/>
              <w:spacing w:line="281" w:lineRule="exact"/>
              <w:ind w:left="108"/>
              <w:rPr>
                <w:sz w:val="22"/>
              </w:rPr>
            </w:pPr>
            <w:r>
              <w:rPr>
                <w:sz w:val="22"/>
              </w:rPr>
              <w:t>联系人：王一通</w:t>
            </w:r>
          </w:p>
          <w:p>
            <w:pPr>
              <w:pStyle w:val="TableParagraph"/>
              <w:spacing w:line="266" w:lineRule="auto" w:before="28"/>
              <w:ind w:left="108" w:right="3129"/>
              <w:rPr>
                <w:rFonts w:ascii="Arial" w:eastAsia="Arial"/>
                <w:sz w:val="22"/>
              </w:rPr>
            </w:pPr>
            <w:r>
              <w:rPr>
                <w:sz w:val="22"/>
              </w:rPr>
              <w:t>电话：</w:t>
            </w:r>
            <w:r>
              <w:rPr>
                <w:rFonts w:ascii="Arial" w:eastAsia="Arial"/>
                <w:sz w:val="22"/>
              </w:rPr>
              <w:t>010</w:t>
            </w:r>
            <w:r>
              <w:rPr>
                <w:sz w:val="22"/>
              </w:rPr>
              <w:t>－</w:t>
            </w:r>
            <w:r>
              <w:rPr>
                <w:rFonts w:ascii="Arial" w:eastAsia="Arial"/>
                <w:sz w:val="22"/>
              </w:rPr>
              <w:t>60838888 </w:t>
            </w:r>
            <w:r>
              <w:rPr>
                <w:sz w:val="22"/>
              </w:rPr>
              <w:t>传真：</w:t>
            </w:r>
            <w:r>
              <w:rPr>
                <w:rFonts w:ascii="Arial" w:eastAsia="Arial"/>
                <w:sz w:val="22"/>
              </w:rPr>
              <w:t>010</w:t>
            </w:r>
            <w:r>
              <w:rPr>
                <w:sz w:val="22"/>
              </w:rPr>
              <w:t>－</w:t>
            </w:r>
            <w:r>
              <w:rPr>
                <w:rFonts w:ascii="Arial" w:eastAsia="Arial"/>
                <w:sz w:val="22"/>
              </w:rPr>
              <w:t>60833739</w:t>
            </w:r>
          </w:p>
          <w:p>
            <w:pPr>
              <w:pStyle w:val="TableParagraph"/>
              <w:spacing w:line="280" w:lineRule="exact"/>
              <w:ind w:left="108"/>
              <w:rPr>
                <w:rFonts w:ascii="Arial" w:eastAsia="Arial"/>
                <w:sz w:val="22"/>
              </w:rPr>
            </w:pPr>
            <w:r>
              <w:rPr>
                <w:sz w:val="22"/>
              </w:rPr>
              <w:t>客服电话：</w:t>
            </w:r>
            <w:r>
              <w:rPr>
                <w:rFonts w:ascii="Arial" w:eastAsia="Arial"/>
                <w:sz w:val="22"/>
              </w:rPr>
              <w:t>95548</w:t>
            </w:r>
          </w:p>
          <w:p>
            <w:pPr>
              <w:pStyle w:val="TableParagraph"/>
              <w:spacing w:line="277" w:lineRule="exact" w:before="30"/>
              <w:ind w:left="108"/>
              <w:rPr>
                <w:rFonts w:ascii="Arial" w:eastAsia="Arial"/>
                <w:sz w:val="22"/>
              </w:rPr>
            </w:pPr>
            <w:r>
              <w:rPr>
                <w:sz w:val="22"/>
              </w:rPr>
              <w:t>网址： </w:t>
            </w:r>
            <w:hyperlink r:id="rId73">
              <w:r>
                <w:rPr>
                  <w:rFonts w:ascii="Arial" w:eastAsia="Arial"/>
                  <w:sz w:val="22"/>
                </w:rPr>
                <w:t>www.cs.ecitic.com</w:t>
              </w:r>
            </w:hyperlink>
          </w:p>
        </w:tc>
      </w:tr>
      <w:tr>
        <w:trPr>
          <w:trHeight w:val="2807"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05"/>
              <w:jc w:val="right"/>
              <w:rPr>
                <w:rFonts w:ascii="Arial"/>
                <w:sz w:val="21"/>
              </w:rPr>
            </w:pPr>
            <w:r>
              <w:rPr>
                <w:rFonts w:ascii="Arial"/>
                <w:sz w:val="21"/>
              </w:rPr>
              <w:t>67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1020" w:right="129" w:hanging="881"/>
              <w:rPr>
                <w:sz w:val="22"/>
              </w:rPr>
            </w:pPr>
            <w:r>
              <w:rPr>
                <w:sz w:val="22"/>
              </w:rPr>
              <w:t>中国中金财富证券有限公司</w:t>
            </w:r>
          </w:p>
        </w:tc>
        <w:tc>
          <w:tcPr>
            <w:tcW w:w="5480" w:type="dxa"/>
          </w:tcPr>
          <w:p>
            <w:pPr>
              <w:pStyle w:val="TableParagraph"/>
              <w:spacing w:line="266" w:lineRule="auto" w:before="15"/>
              <w:ind w:left="108" w:right="-29"/>
              <w:rPr>
                <w:sz w:val="22"/>
              </w:rPr>
            </w:pPr>
            <w:r>
              <w:rPr>
                <w:spacing w:val="-3"/>
                <w:sz w:val="22"/>
              </w:rPr>
              <w:t>注册（</w:t>
            </w:r>
            <w:r>
              <w:rPr>
                <w:sz w:val="22"/>
              </w:rPr>
              <w:t>办公</w:t>
            </w:r>
            <w:r>
              <w:rPr>
                <w:spacing w:val="-8"/>
                <w:sz w:val="22"/>
              </w:rPr>
              <w:t>）</w:t>
            </w:r>
            <w:r>
              <w:rPr>
                <w:spacing w:val="-3"/>
                <w:sz w:val="22"/>
              </w:rPr>
              <w:t>地址：深圳市福田区益田路与福中路交界</w:t>
            </w:r>
            <w:r>
              <w:rPr>
                <w:spacing w:val="-10"/>
                <w:sz w:val="22"/>
              </w:rPr>
              <w:t>处荣超商务中心 </w:t>
            </w:r>
            <w:r>
              <w:rPr>
                <w:rFonts w:ascii="Arial" w:eastAsia="Arial"/>
                <w:sz w:val="22"/>
              </w:rPr>
              <w:t>A</w:t>
            </w:r>
            <w:r>
              <w:rPr>
                <w:rFonts w:ascii="Arial" w:eastAsia="Arial"/>
                <w:spacing w:val="-9"/>
                <w:sz w:val="22"/>
              </w:rPr>
              <w:t> </w:t>
            </w:r>
            <w:r>
              <w:rPr>
                <w:spacing w:val="-18"/>
                <w:sz w:val="22"/>
              </w:rPr>
              <w:t>栋第 </w:t>
            </w:r>
            <w:r>
              <w:rPr>
                <w:rFonts w:ascii="Arial" w:eastAsia="Arial"/>
                <w:sz w:val="22"/>
              </w:rPr>
              <w:t>18</w:t>
            </w:r>
            <w:r>
              <w:rPr>
                <w:rFonts w:ascii="Arial" w:eastAsia="Arial"/>
                <w:spacing w:val="-6"/>
                <w:sz w:val="22"/>
              </w:rPr>
              <w:t> </w:t>
            </w:r>
            <w:r>
              <w:rPr>
                <w:sz w:val="22"/>
              </w:rPr>
              <w:t>层</w:t>
            </w:r>
            <w:r>
              <w:rPr>
                <w:rFonts w:ascii="Arial" w:eastAsia="Arial"/>
                <w:sz w:val="22"/>
              </w:rPr>
              <w:t>-21</w:t>
            </w:r>
            <w:r>
              <w:rPr>
                <w:rFonts w:ascii="Arial" w:eastAsia="Arial"/>
                <w:spacing w:val="-7"/>
                <w:sz w:val="22"/>
              </w:rPr>
              <w:t> </w:t>
            </w:r>
            <w:r>
              <w:rPr>
                <w:spacing w:val="-15"/>
                <w:sz w:val="22"/>
              </w:rPr>
              <w:t>层及第 </w:t>
            </w:r>
            <w:r>
              <w:rPr>
                <w:rFonts w:ascii="Arial" w:eastAsia="Arial"/>
                <w:sz w:val="22"/>
              </w:rPr>
              <w:t>04</w:t>
            </w:r>
            <w:r>
              <w:rPr>
                <w:rFonts w:ascii="Arial" w:eastAsia="Arial"/>
                <w:spacing w:val="-8"/>
                <w:sz w:val="22"/>
              </w:rPr>
              <w:t> </w:t>
            </w:r>
            <w:r>
              <w:rPr>
                <w:spacing w:val="-27"/>
                <w:sz w:val="22"/>
              </w:rPr>
              <w:t>层 </w:t>
            </w:r>
            <w:r>
              <w:rPr>
                <w:rFonts w:ascii="Arial" w:eastAsia="Arial"/>
                <w:sz w:val="22"/>
              </w:rPr>
              <w:t>01</w:t>
            </w:r>
            <w:r>
              <w:rPr>
                <w:spacing w:val="-29"/>
                <w:sz w:val="22"/>
              </w:rPr>
              <w:t>、</w:t>
            </w:r>
            <w:r>
              <w:rPr>
                <w:rFonts w:ascii="Arial" w:eastAsia="Arial"/>
                <w:sz w:val="22"/>
              </w:rPr>
              <w:t>02</w:t>
            </w:r>
            <w:r>
              <w:rPr>
                <w:sz w:val="22"/>
              </w:rPr>
              <w:t>、</w:t>
            </w:r>
            <w:r>
              <w:rPr>
                <w:rFonts w:ascii="Arial" w:eastAsia="Arial"/>
                <w:sz w:val="22"/>
              </w:rPr>
              <w:t>03</w:t>
            </w:r>
            <w:r>
              <w:rPr>
                <w:spacing w:val="-20"/>
                <w:sz w:val="22"/>
              </w:rPr>
              <w:t>、</w:t>
            </w:r>
            <w:r>
              <w:rPr>
                <w:rFonts w:ascii="Arial" w:eastAsia="Arial"/>
                <w:sz w:val="22"/>
              </w:rPr>
              <w:t>05</w:t>
            </w:r>
            <w:r>
              <w:rPr>
                <w:spacing w:val="-20"/>
                <w:sz w:val="22"/>
              </w:rPr>
              <w:t>、</w:t>
            </w:r>
            <w:r>
              <w:rPr>
                <w:rFonts w:ascii="Arial" w:eastAsia="Arial"/>
                <w:sz w:val="22"/>
              </w:rPr>
              <w:t>11</w:t>
            </w:r>
            <w:r>
              <w:rPr>
                <w:spacing w:val="-20"/>
                <w:sz w:val="22"/>
              </w:rPr>
              <w:t>、</w:t>
            </w:r>
            <w:r>
              <w:rPr>
                <w:rFonts w:ascii="Arial" w:eastAsia="Arial"/>
                <w:sz w:val="22"/>
              </w:rPr>
              <w:t>12</w:t>
            </w:r>
            <w:r>
              <w:rPr>
                <w:spacing w:val="-20"/>
                <w:sz w:val="22"/>
              </w:rPr>
              <w:t>、</w:t>
            </w:r>
            <w:r>
              <w:rPr>
                <w:rFonts w:ascii="Arial" w:eastAsia="Arial"/>
                <w:sz w:val="22"/>
              </w:rPr>
              <w:t>13</w:t>
            </w:r>
            <w:r>
              <w:rPr>
                <w:spacing w:val="-20"/>
                <w:sz w:val="22"/>
              </w:rPr>
              <w:t>、</w:t>
            </w:r>
            <w:r>
              <w:rPr>
                <w:rFonts w:ascii="Arial" w:eastAsia="Arial"/>
                <w:sz w:val="22"/>
              </w:rPr>
              <w:t>15</w:t>
            </w:r>
            <w:r>
              <w:rPr>
                <w:spacing w:val="-20"/>
                <w:sz w:val="22"/>
              </w:rPr>
              <w:t>、</w:t>
            </w:r>
            <w:r>
              <w:rPr>
                <w:rFonts w:ascii="Arial" w:eastAsia="Arial"/>
                <w:sz w:val="22"/>
              </w:rPr>
              <w:t>16</w:t>
            </w:r>
            <w:r>
              <w:rPr>
                <w:spacing w:val="-20"/>
                <w:sz w:val="22"/>
              </w:rPr>
              <w:t>、</w:t>
            </w:r>
            <w:r>
              <w:rPr>
                <w:rFonts w:ascii="Arial" w:eastAsia="Arial"/>
                <w:sz w:val="22"/>
              </w:rPr>
              <w:t>18</w:t>
            </w:r>
            <w:r>
              <w:rPr>
                <w:spacing w:val="-20"/>
                <w:sz w:val="22"/>
              </w:rPr>
              <w:t>、</w:t>
            </w:r>
            <w:r>
              <w:rPr>
                <w:rFonts w:ascii="Arial" w:eastAsia="Arial"/>
                <w:sz w:val="22"/>
              </w:rPr>
              <w:t>19</w:t>
            </w:r>
            <w:r>
              <w:rPr>
                <w:spacing w:val="-20"/>
                <w:sz w:val="22"/>
              </w:rPr>
              <w:t>、</w:t>
            </w:r>
            <w:r>
              <w:rPr>
                <w:rFonts w:ascii="Arial" w:eastAsia="Arial"/>
                <w:sz w:val="22"/>
              </w:rPr>
              <w:t>20</w:t>
            </w:r>
            <w:r>
              <w:rPr>
                <w:spacing w:val="-20"/>
                <w:sz w:val="22"/>
              </w:rPr>
              <w:t>、</w:t>
            </w:r>
            <w:r>
              <w:rPr>
                <w:rFonts w:ascii="Arial" w:eastAsia="Arial"/>
                <w:sz w:val="22"/>
              </w:rPr>
              <w:t>21</w:t>
            </w:r>
            <w:r>
              <w:rPr>
                <w:spacing w:val="-20"/>
                <w:sz w:val="22"/>
              </w:rPr>
              <w:t>、</w:t>
            </w:r>
            <w:r>
              <w:rPr>
                <w:rFonts w:ascii="Arial" w:eastAsia="Arial"/>
                <w:sz w:val="22"/>
              </w:rPr>
              <w:t>22</w:t>
            </w:r>
            <w:r>
              <w:rPr>
                <w:sz w:val="22"/>
              </w:rPr>
              <w:t>、</w:t>
            </w:r>
          </w:p>
          <w:p>
            <w:pPr>
              <w:pStyle w:val="TableParagraph"/>
              <w:spacing w:line="279" w:lineRule="exact"/>
              <w:ind w:left="108"/>
              <w:rPr>
                <w:sz w:val="22"/>
              </w:rPr>
            </w:pPr>
            <w:r>
              <w:rPr>
                <w:rFonts w:ascii="Arial" w:eastAsia="Arial"/>
                <w:sz w:val="22"/>
              </w:rPr>
              <w:t>23 </w:t>
            </w:r>
            <w:r>
              <w:rPr>
                <w:sz w:val="22"/>
              </w:rPr>
              <w:t>单元</w:t>
            </w:r>
          </w:p>
          <w:p>
            <w:pPr>
              <w:pStyle w:val="TableParagraph"/>
              <w:spacing w:before="30"/>
              <w:ind w:left="108"/>
              <w:rPr>
                <w:sz w:val="22"/>
              </w:rPr>
            </w:pPr>
            <w:r>
              <w:rPr>
                <w:sz w:val="22"/>
              </w:rPr>
              <w:t>联系人：刘毅</w:t>
            </w:r>
          </w:p>
          <w:p>
            <w:pPr>
              <w:pStyle w:val="TableParagraph"/>
              <w:spacing w:line="266" w:lineRule="auto" w:before="30"/>
              <w:ind w:left="108" w:right="2715"/>
              <w:rPr>
                <w:rFonts w:ascii="Arial" w:eastAsia="Arial"/>
                <w:sz w:val="22"/>
              </w:rPr>
            </w:pPr>
            <w:r>
              <w:rPr>
                <w:sz w:val="22"/>
              </w:rPr>
              <w:t>联系电话：</w:t>
            </w:r>
            <w:r>
              <w:rPr>
                <w:rFonts w:ascii="Arial" w:eastAsia="Arial"/>
                <w:sz w:val="22"/>
              </w:rPr>
              <w:t>0755-82023442 </w:t>
            </w:r>
            <w:r>
              <w:rPr>
                <w:sz w:val="22"/>
              </w:rPr>
              <w:t>传真：</w:t>
            </w:r>
            <w:r>
              <w:rPr>
                <w:rFonts w:ascii="Arial" w:eastAsia="Arial"/>
                <w:sz w:val="22"/>
              </w:rPr>
              <w:t>0755-82026539</w:t>
            </w:r>
          </w:p>
          <w:p>
            <w:pPr>
              <w:pStyle w:val="TableParagraph"/>
              <w:spacing w:line="280" w:lineRule="exact"/>
              <w:ind w:left="108"/>
              <w:rPr>
                <w:rFonts w:ascii="Arial" w:eastAsia="Arial"/>
                <w:sz w:val="22"/>
              </w:rPr>
            </w:pPr>
            <w:r>
              <w:rPr>
                <w:spacing w:val="-1"/>
                <w:sz w:val="22"/>
              </w:rPr>
              <w:t>客服电话：</w:t>
            </w:r>
            <w:r>
              <w:rPr>
                <w:rFonts w:ascii="Arial" w:eastAsia="Arial"/>
                <w:sz w:val="22"/>
              </w:rPr>
              <w:t>400</w:t>
            </w:r>
            <w:r>
              <w:rPr>
                <w:rFonts w:ascii="Arial" w:eastAsia="Arial"/>
                <w:spacing w:val="3"/>
                <w:sz w:val="22"/>
              </w:rPr>
              <w:t> </w:t>
            </w:r>
            <w:r>
              <w:rPr>
                <w:rFonts w:ascii="Arial" w:eastAsia="Arial"/>
                <w:sz w:val="22"/>
              </w:rPr>
              <w:t>600</w:t>
            </w:r>
            <w:r>
              <w:rPr>
                <w:rFonts w:ascii="Arial" w:eastAsia="Arial"/>
                <w:spacing w:val="1"/>
                <w:sz w:val="22"/>
              </w:rPr>
              <w:t> </w:t>
            </w:r>
            <w:r>
              <w:rPr>
                <w:rFonts w:ascii="Arial" w:eastAsia="Arial"/>
                <w:sz w:val="22"/>
              </w:rPr>
              <w:t>8008</w:t>
            </w:r>
          </w:p>
          <w:p>
            <w:pPr>
              <w:pStyle w:val="TableParagraph"/>
              <w:spacing w:line="277" w:lineRule="exact" w:before="30"/>
              <w:ind w:left="108"/>
              <w:rPr>
                <w:rFonts w:ascii="Arial" w:eastAsia="Arial"/>
                <w:sz w:val="22"/>
              </w:rPr>
            </w:pPr>
            <w:r>
              <w:rPr>
                <w:spacing w:val="-1"/>
                <w:sz w:val="22"/>
              </w:rPr>
              <w:t>网址：</w:t>
            </w:r>
            <w:hyperlink r:id="rId74">
              <w:r>
                <w:rPr>
                  <w:rFonts w:ascii="Arial" w:eastAsia="Arial"/>
                  <w:spacing w:val="-1"/>
                  <w:sz w:val="22"/>
                </w:rPr>
                <w:t>www.china-invs.cn</w:t>
              </w:r>
            </w:hyperlink>
          </w:p>
        </w:tc>
      </w:tr>
      <w:tr>
        <w:trPr>
          <w:trHeight w:val="218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right="105"/>
              <w:jc w:val="right"/>
              <w:rPr>
                <w:rFonts w:ascii="Arial"/>
                <w:sz w:val="21"/>
              </w:rPr>
            </w:pPr>
            <w:r>
              <w:rPr>
                <w:rFonts w:ascii="Arial"/>
                <w:sz w:val="21"/>
              </w:rPr>
              <w:t>68</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120" w:right="113"/>
              <w:jc w:val="center"/>
              <w:rPr>
                <w:sz w:val="22"/>
              </w:rPr>
            </w:pPr>
            <w:r>
              <w:rPr>
                <w:sz w:val="22"/>
              </w:rPr>
              <w:t>长江证券股份有限公司</w:t>
            </w:r>
          </w:p>
        </w:tc>
        <w:tc>
          <w:tcPr>
            <w:tcW w:w="5480" w:type="dxa"/>
          </w:tcPr>
          <w:p>
            <w:pPr>
              <w:pStyle w:val="TableParagraph"/>
              <w:spacing w:line="266" w:lineRule="auto" w:before="17"/>
              <w:ind w:left="108" w:right="93"/>
              <w:rPr>
                <w:sz w:val="22"/>
              </w:rPr>
            </w:pPr>
            <w:r>
              <w:rPr>
                <w:spacing w:val="-5"/>
                <w:sz w:val="22"/>
              </w:rPr>
              <w:t>注册</w:t>
            </w:r>
            <w:r>
              <w:rPr>
                <w:sz w:val="22"/>
              </w:rPr>
              <w:t>（</w:t>
            </w:r>
            <w:r>
              <w:rPr>
                <w:spacing w:val="-2"/>
                <w:sz w:val="22"/>
              </w:rPr>
              <w:t>办公</w:t>
            </w:r>
            <w:r>
              <w:rPr>
                <w:spacing w:val="-10"/>
                <w:sz w:val="22"/>
              </w:rPr>
              <w:t>）</w:t>
            </w:r>
            <w:r>
              <w:rPr>
                <w:spacing w:val="-8"/>
                <w:sz w:val="22"/>
              </w:rPr>
              <w:t>地址：武汉市新华路特 </w:t>
            </w:r>
            <w:r>
              <w:rPr>
                <w:rFonts w:ascii="Arial" w:eastAsia="Arial"/>
                <w:sz w:val="22"/>
              </w:rPr>
              <w:t>8 </w:t>
            </w:r>
            <w:r>
              <w:rPr>
                <w:spacing w:val="-5"/>
                <w:sz w:val="22"/>
              </w:rPr>
              <w:t>号长江证券大厦</w:t>
            </w:r>
            <w:r>
              <w:rPr>
                <w:spacing w:val="-2"/>
                <w:sz w:val="22"/>
              </w:rPr>
              <w:t>法定代表人：杨泽柱</w:t>
            </w:r>
          </w:p>
          <w:p>
            <w:pPr>
              <w:pStyle w:val="TableParagraph"/>
              <w:spacing w:line="280" w:lineRule="exact"/>
              <w:ind w:left="108"/>
              <w:rPr>
                <w:sz w:val="22"/>
              </w:rPr>
            </w:pPr>
            <w:r>
              <w:rPr>
                <w:sz w:val="22"/>
              </w:rPr>
              <w:t>联系人：奚博宇</w:t>
            </w:r>
          </w:p>
          <w:p>
            <w:pPr>
              <w:pStyle w:val="TableParagraph"/>
              <w:spacing w:line="266" w:lineRule="auto" w:before="30"/>
              <w:ind w:left="108" w:right="3278"/>
              <w:rPr>
                <w:rFonts w:ascii="Arial" w:eastAsia="Arial"/>
                <w:sz w:val="22"/>
              </w:rPr>
            </w:pPr>
            <w:r>
              <w:rPr>
                <w:sz w:val="22"/>
              </w:rPr>
              <w:t>电话：</w:t>
            </w:r>
            <w:r>
              <w:rPr>
                <w:rFonts w:ascii="Arial" w:eastAsia="Arial"/>
                <w:sz w:val="22"/>
              </w:rPr>
              <w:t>027-65799999 </w:t>
            </w:r>
            <w:r>
              <w:rPr>
                <w:sz w:val="22"/>
              </w:rPr>
              <w:t>传真：</w:t>
            </w:r>
            <w:r>
              <w:rPr>
                <w:rFonts w:ascii="Arial" w:eastAsia="Arial"/>
                <w:sz w:val="22"/>
              </w:rPr>
              <w:t>027-85481900</w:t>
            </w:r>
          </w:p>
          <w:p>
            <w:pPr>
              <w:pStyle w:val="TableParagraph"/>
              <w:spacing w:line="280" w:lineRule="exact"/>
              <w:ind w:left="108"/>
              <w:rPr>
                <w:rFonts w:ascii="Arial" w:eastAsia="Arial"/>
                <w:sz w:val="22"/>
              </w:rPr>
            </w:pPr>
            <w:r>
              <w:rPr>
                <w:sz w:val="22"/>
              </w:rPr>
              <w:t>客户服务电话：</w:t>
            </w:r>
            <w:r>
              <w:rPr>
                <w:rFonts w:ascii="Arial" w:eastAsia="Arial"/>
                <w:sz w:val="22"/>
              </w:rPr>
              <w:t>95579 </w:t>
            </w:r>
            <w:r>
              <w:rPr>
                <w:sz w:val="22"/>
              </w:rPr>
              <w:t>或 </w:t>
            </w:r>
            <w:r>
              <w:rPr>
                <w:rFonts w:ascii="Arial" w:eastAsia="Arial"/>
                <w:sz w:val="22"/>
              </w:rPr>
              <w:t>4008-888-999</w:t>
            </w:r>
          </w:p>
          <w:p>
            <w:pPr>
              <w:pStyle w:val="TableParagraph"/>
              <w:spacing w:line="277" w:lineRule="exact" w:before="31"/>
              <w:ind w:left="108"/>
              <w:rPr>
                <w:rFonts w:ascii="Arial" w:eastAsia="Arial"/>
                <w:sz w:val="22"/>
              </w:rPr>
            </w:pPr>
            <w:r>
              <w:rPr>
                <w:sz w:val="22"/>
              </w:rPr>
              <w:t>网址：</w:t>
            </w:r>
            <w:hyperlink r:id="rId75">
              <w:r>
                <w:rPr>
                  <w:rFonts w:ascii="Arial" w:eastAsia="Arial"/>
                  <w:sz w:val="22"/>
                </w:rPr>
                <w:t>www.95579.com</w:t>
              </w:r>
            </w:hyperlink>
          </w:p>
        </w:tc>
      </w:tr>
      <w:tr>
        <w:trPr>
          <w:trHeight w:val="2183"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69</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20" w:right="113"/>
              <w:jc w:val="center"/>
              <w:rPr>
                <w:sz w:val="22"/>
              </w:rPr>
            </w:pPr>
            <w:r>
              <w:rPr>
                <w:sz w:val="22"/>
              </w:rPr>
              <w:t>东莞证券有限责任公司</w:t>
            </w:r>
          </w:p>
        </w:tc>
        <w:tc>
          <w:tcPr>
            <w:tcW w:w="5480" w:type="dxa"/>
          </w:tcPr>
          <w:p>
            <w:pPr>
              <w:pStyle w:val="TableParagraph"/>
              <w:spacing w:line="266" w:lineRule="auto" w:before="15"/>
              <w:ind w:left="108" w:right="737"/>
              <w:rPr>
                <w:sz w:val="22"/>
              </w:rPr>
            </w:pPr>
            <w:r>
              <w:rPr>
                <w:sz w:val="22"/>
              </w:rPr>
              <w:t>注册（办公）地址：东莞市莞城区可园南路一号法定代表人：张运勇</w:t>
            </w:r>
          </w:p>
          <w:p>
            <w:pPr>
              <w:pStyle w:val="TableParagraph"/>
              <w:spacing w:line="280" w:lineRule="exact"/>
              <w:ind w:left="108"/>
              <w:rPr>
                <w:sz w:val="22"/>
              </w:rPr>
            </w:pPr>
            <w:r>
              <w:rPr>
                <w:sz w:val="22"/>
              </w:rPr>
              <w:t>联系人：张巧玲</w:t>
            </w:r>
          </w:p>
          <w:p>
            <w:pPr>
              <w:pStyle w:val="TableParagraph"/>
              <w:spacing w:line="266" w:lineRule="auto" w:before="30"/>
              <w:ind w:left="108" w:right="3156"/>
              <w:rPr>
                <w:rFonts w:ascii="Arial" w:eastAsia="Arial"/>
                <w:sz w:val="22"/>
              </w:rPr>
            </w:pPr>
            <w:r>
              <w:rPr>
                <w:spacing w:val="-1"/>
                <w:sz w:val="22"/>
              </w:rPr>
              <w:t>电话：</w:t>
            </w:r>
            <w:r>
              <w:rPr>
                <w:rFonts w:ascii="Arial" w:eastAsia="Arial"/>
                <w:spacing w:val="-1"/>
                <w:sz w:val="22"/>
              </w:rPr>
              <w:t>0769-22116572 </w:t>
            </w:r>
            <w:r>
              <w:rPr>
                <w:spacing w:val="-1"/>
                <w:sz w:val="22"/>
              </w:rPr>
              <w:t>传真：</w:t>
            </w:r>
            <w:r>
              <w:rPr>
                <w:rFonts w:ascii="Arial" w:eastAsia="Arial"/>
                <w:spacing w:val="-1"/>
                <w:sz w:val="22"/>
              </w:rPr>
              <w:t>0769-22119426</w:t>
            </w:r>
          </w:p>
          <w:p>
            <w:pPr>
              <w:pStyle w:val="TableParagraph"/>
              <w:spacing w:line="280" w:lineRule="exact"/>
              <w:ind w:left="108"/>
              <w:rPr>
                <w:rFonts w:ascii="Arial" w:eastAsia="Arial"/>
                <w:sz w:val="22"/>
              </w:rPr>
            </w:pPr>
            <w:r>
              <w:rPr>
                <w:spacing w:val="-2"/>
                <w:sz w:val="22"/>
              </w:rPr>
              <w:t>客户服务电话：</w:t>
            </w:r>
            <w:r>
              <w:rPr>
                <w:rFonts w:ascii="Arial" w:eastAsia="Arial"/>
                <w:spacing w:val="-1"/>
                <w:sz w:val="22"/>
              </w:rPr>
              <w:t>-95328</w:t>
            </w:r>
          </w:p>
          <w:p>
            <w:pPr>
              <w:pStyle w:val="TableParagraph"/>
              <w:spacing w:line="277" w:lineRule="exact" w:before="30"/>
              <w:ind w:left="108"/>
              <w:rPr>
                <w:rFonts w:ascii="Arial" w:eastAsia="Arial"/>
                <w:sz w:val="22"/>
              </w:rPr>
            </w:pPr>
            <w:r>
              <w:rPr>
                <w:sz w:val="22"/>
              </w:rPr>
              <w:t>网址：</w:t>
            </w:r>
            <w:hyperlink r:id="rId76">
              <w:r>
                <w:rPr>
                  <w:rFonts w:ascii="Arial" w:eastAsia="Arial"/>
                  <w:sz w:val="22"/>
                </w:rPr>
                <w:t>www.dgzq.com.cn</w:t>
              </w:r>
            </w:hyperlink>
          </w:p>
        </w:tc>
      </w:tr>
      <w:tr>
        <w:trPr>
          <w:trHeight w:val="1248" w:hRule="atLeast"/>
        </w:trPr>
        <w:tc>
          <w:tcPr>
            <w:tcW w:w="470" w:type="dxa"/>
          </w:tcPr>
          <w:p>
            <w:pPr>
              <w:pStyle w:val="TableParagraph"/>
              <w:rPr>
                <w:rFonts w:ascii="Times New Roman"/>
                <w:sz w:val="24"/>
              </w:rPr>
            </w:pPr>
          </w:p>
          <w:p>
            <w:pPr>
              <w:pStyle w:val="TableParagraph"/>
              <w:spacing w:before="7"/>
              <w:rPr>
                <w:rFonts w:ascii="Times New Roman"/>
                <w:sz w:val="19"/>
              </w:rPr>
            </w:pPr>
          </w:p>
          <w:p>
            <w:pPr>
              <w:pStyle w:val="TableParagraph"/>
              <w:ind w:right="105"/>
              <w:jc w:val="right"/>
              <w:rPr>
                <w:rFonts w:ascii="Arial"/>
                <w:sz w:val="21"/>
              </w:rPr>
            </w:pPr>
            <w:r>
              <w:rPr>
                <w:rFonts w:ascii="Arial"/>
                <w:sz w:val="21"/>
              </w:rPr>
              <w:t>70</w:t>
            </w:r>
          </w:p>
        </w:tc>
        <w:tc>
          <w:tcPr>
            <w:tcW w:w="2484" w:type="dxa"/>
          </w:tcPr>
          <w:p>
            <w:pPr>
              <w:pStyle w:val="TableParagraph"/>
              <w:rPr>
                <w:rFonts w:ascii="Times New Roman"/>
                <w:sz w:val="22"/>
              </w:rPr>
            </w:pPr>
          </w:p>
          <w:p>
            <w:pPr>
              <w:pStyle w:val="TableParagraph"/>
              <w:rPr>
                <w:rFonts w:ascii="Times New Roman"/>
                <w:sz w:val="20"/>
              </w:rPr>
            </w:pPr>
          </w:p>
          <w:p>
            <w:pPr>
              <w:pStyle w:val="TableParagraph"/>
              <w:ind w:left="120" w:right="113"/>
              <w:jc w:val="center"/>
              <w:rPr>
                <w:sz w:val="22"/>
              </w:rPr>
            </w:pPr>
            <w:r>
              <w:rPr>
                <w:sz w:val="22"/>
              </w:rPr>
              <w:t>东方证券股份有限公司</w:t>
            </w:r>
          </w:p>
        </w:tc>
        <w:tc>
          <w:tcPr>
            <w:tcW w:w="5480" w:type="dxa"/>
          </w:tcPr>
          <w:p>
            <w:pPr>
              <w:pStyle w:val="TableParagraph"/>
              <w:spacing w:before="15"/>
              <w:ind w:left="108"/>
              <w:rPr>
                <w:sz w:val="22"/>
              </w:rPr>
            </w:pPr>
            <w:r>
              <w:rPr>
                <w:sz w:val="22"/>
              </w:rPr>
              <w:t>法定代表人：潘鑫军</w:t>
            </w:r>
          </w:p>
          <w:p>
            <w:pPr>
              <w:pStyle w:val="TableParagraph"/>
              <w:spacing w:before="30"/>
              <w:ind w:left="108" w:right="-29"/>
              <w:rPr>
                <w:sz w:val="22"/>
              </w:rPr>
            </w:pPr>
            <w:r>
              <w:rPr>
                <w:spacing w:val="-15"/>
                <w:sz w:val="22"/>
              </w:rPr>
              <w:t>注册地址：上海市中山南路 </w:t>
            </w:r>
            <w:r>
              <w:rPr>
                <w:rFonts w:ascii="Arial" w:eastAsia="Arial"/>
                <w:sz w:val="22"/>
              </w:rPr>
              <w:t>318</w:t>
            </w:r>
            <w:r>
              <w:rPr>
                <w:rFonts w:ascii="Arial" w:eastAsia="Arial"/>
                <w:spacing w:val="-5"/>
                <w:sz w:val="22"/>
              </w:rPr>
              <w:t> </w:t>
            </w:r>
            <w:r>
              <w:rPr>
                <w:spacing w:val="-27"/>
                <w:sz w:val="22"/>
              </w:rPr>
              <w:t>号 </w:t>
            </w:r>
            <w:r>
              <w:rPr>
                <w:rFonts w:ascii="Arial" w:eastAsia="Arial"/>
                <w:sz w:val="22"/>
              </w:rPr>
              <w:t>2</w:t>
            </w:r>
            <w:r>
              <w:rPr>
                <w:rFonts w:ascii="Arial" w:eastAsia="Arial"/>
                <w:spacing w:val="-6"/>
                <w:sz w:val="22"/>
              </w:rPr>
              <w:t> </w:t>
            </w:r>
            <w:r>
              <w:rPr>
                <w:spacing w:val="-19"/>
                <w:sz w:val="22"/>
              </w:rPr>
              <w:t>号楼 </w:t>
            </w:r>
            <w:r>
              <w:rPr>
                <w:rFonts w:ascii="Arial" w:eastAsia="Arial"/>
                <w:sz w:val="22"/>
              </w:rPr>
              <w:t>22</w:t>
            </w:r>
            <w:r>
              <w:rPr>
                <w:rFonts w:ascii="Arial" w:eastAsia="Arial"/>
                <w:spacing w:val="-4"/>
                <w:sz w:val="22"/>
              </w:rPr>
              <w:t> </w:t>
            </w:r>
            <w:r>
              <w:rPr>
                <w:spacing w:val="-44"/>
                <w:sz w:val="22"/>
              </w:rPr>
              <w:t>层、</w:t>
            </w:r>
            <w:r>
              <w:rPr>
                <w:rFonts w:ascii="Arial" w:eastAsia="Arial"/>
                <w:sz w:val="22"/>
              </w:rPr>
              <w:t>23</w:t>
            </w:r>
            <w:r>
              <w:rPr>
                <w:rFonts w:ascii="Arial" w:eastAsia="Arial"/>
                <w:spacing w:val="-6"/>
                <w:sz w:val="22"/>
              </w:rPr>
              <w:t> </w:t>
            </w:r>
            <w:r>
              <w:rPr>
                <w:sz w:val="22"/>
              </w:rPr>
              <w:t>层、</w:t>
            </w:r>
          </w:p>
          <w:p>
            <w:pPr>
              <w:pStyle w:val="TableParagraph"/>
              <w:spacing w:before="30"/>
              <w:ind w:left="108"/>
              <w:rPr>
                <w:sz w:val="22"/>
              </w:rPr>
            </w:pPr>
            <w:r>
              <w:rPr>
                <w:rFonts w:ascii="Arial" w:eastAsia="Arial"/>
                <w:sz w:val="22"/>
              </w:rPr>
              <w:t>25 </w:t>
            </w:r>
            <w:r>
              <w:rPr>
                <w:sz w:val="22"/>
              </w:rPr>
              <w:t>层</w:t>
            </w:r>
            <w:r>
              <w:rPr>
                <w:rFonts w:ascii="Arial" w:eastAsia="Arial"/>
                <w:sz w:val="22"/>
              </w:rPr>
              <w:t>-29 </w:t>
            </w:r>
            <w:r>
              <w:rPr>
                <w:sz w:val="22"/>
              </w:rPr>
              <w:t>层</w:t>
            </w:r>
          </w:p>
          <w:p>
            <w:pPr>
              <w:pStyle w:val="TableParagraph"/>
              <w:spacing w:line="277" w:lineRule="exact" w:before="30"/>
              <w:ind w:left="108" w:right="-29"/>
              <w:rPr>
                <w:sz w:val="22"/>
              </w:rPr>
            </w:pPr>
            <w:r>
              <w:rPr>
                <w:spacing w:val="-9"/>
                <w:sz w:val="22"/>
              </w:rPr>
              <w:t>办公地址：上海市中山南路 </w:t>
            </w:r>
            <w:r>
              <w:rPr>
                <w:rFonts w:ascii="Arial" w:eastAsia="Arial"/>
                <w:sz w:val="22"/>
              </w:rPr>
              <w:t>318</w:t>
            </w:r>
            <w:r>
              <w:rPr>
                <w:rFonts w:ascii="Arial" w:eastAsia="Arial"/>
                <w:spacing w:val="-5"/>
                <w:sz w:val="22"/>
              </w:rPr>
              <w:t> </w:t>
            </w:r>
            <w:r>
              <w:rPr>
                <w:spacing w:val="-27"/>
                <w:sz w:val="22"/>
              </w:rPr>
              <w:t>号 </w:t>
            </w:r>
            <w:r>
              <w:rPr>
                <w:rFonts w:ascii="Arial" w:eastAsia="Arial"/>
                <w:sz w:val="22"/>
              </w:rPr>
              <w:t>2</w:t>
            </w:r>
            <w:r>
              <w:rPr>
                <w:rFonts w:ascii="Arial" w:eastAsia="Arial"/>
                <w:spacing w:val="-5"/>
                <w:sz w:val="22"/>
              </w:rPr>
              <w:t> </w:t>
            </w:r>
            <w:r>
              <w:rPr>
                <w:spacing w:val="-19"/>
                <w:sz w:val="22"/>
              </w:rPr>
              <w:t>号楼 </w:t>
            </w:r>
            <w:r>
              <w:rPr>
                <w:rFonts w:ascii="Arial" w:eastAsia="Arial"/>
                <w:sz w:val="22"/>
              </w:rPr>
              <w:t>21</w:t>
            </w:r>
            <w:r>
              <w:rPr>
                <w:rFonts w:ascii="Arial" w:eastAsia="Arial"/>
                <w:spacing w:val="-6"/>
                <w:sz w:val="22"/>
              </w:rPr>
              <w:t> </w:t>
            </w:r>
            <w:r>
              <w:rPr>
                <w:spacing w:val="-3"/>
                <w:sz w:val="22"/>
              </w:rPr>
              <w:t>层</w:t>
            </w:r>
            <w:r>
              <w:rPr>
                <w:rFonts w:ascii="Arial" w:eastAsia="Arial"/>
                <w:sz w:val="22"/>
              </w:rPr>
              <w:t>-23</w:t>
            </w:r>
            <w:r>
              <w:rPr>
                <w:rFonts w:ascii="Arial" w:eastAsia="Arial"/>
                <w:spacing w:val="-5"/>
                <w:sz w:val="22"/>
              </w:rPr>
              <w:t> </w:t>
            </w:r>
            <w:r>
              <w:rPr>
                <w:sz w:val="22"/>
              </w:rPr>
              <w:t>层、</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872"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sz w:val="22"/>
              </w:rPr>
            </w:pPr>
            <w:r>
              <w:rPr>
                <w:rFonts w:ascii="Arial" w:eastAsia="Arial"/>
                <w:sz w:val="22"/>
              </w:rPr>
              <w:t>25 </w:t>
            </w:r>
            <w:r>
              <w:rPr>
                <w:sz w:val="22"/>
              </w:rPr>
              <w:t>层</w:t>
            </w:r>
            <w:r>
              <w:rPr>
                <w:rFonts w:ascii="Arial" w:eastAsia="Arial"/>
                <w:sz w:val="22"/>
              </w:rPr>
              <w:t>-29 </w:t>
            </w:r>
            <w:r>
              <w:rPr>
                <w:sz w:val="22"/>
              </w:rPr>
              <w:t>层</w:t>
            </w:r>
          </w:p>
          <w:p>
            <w:pPr>
              <w:pStyle w:val="TableParagraph"/>
              <w:spacing w:before="31"/>
              <w:ind w:left="108"/>
              <w:rPr>
                <w:sz w:val="22"/>
              </w:rPr>
            </w:pPr>
            <w:r>
              <w:rPr>
                <w:sz w:val="22"/>
              </w:rPr>
              <w:t>联系人：胡月茹</w:t>
            </w:r>
          </w:p>
          <w:p>
            <w:pPr>
              <w:pStyle w:val="TableParagraph"/>
              <w:spacing w:line="266" w:lineRule="auto" w:before="30"/>
              <w:ind w:left="108" w:right="3278"/>
              <w:rPr>
                <w:rFonts w:ascii="Arial" w:eastAsia="Arial"/>
                <w:sz w:val="22"/>
              </w:rPr>
            </w:pPr>
            <w:r>
              <w:rPr>
                <w:sz w:val="22"/>
              </w:rPr>
              <w:t>电话：</w:t>
            </w:r>
            <w:r>
              <w:rPr>
                <w:rFonts w:ascii="Arial" w:eastAsia="Arial"/>
                <w:sz w:val="22"/>
              </w:rPr>
              <w:t>021-63325888 </w:t>
            </w:r>
            <w:r>
              <w:rPr>
                <w:sz w:val="22"/>
              </w:rPr>
              <w:t>传真：</w:t>
            </w:r>
            <w:r>
              <w:rPr>
                <w:rFonts w:ascii="Arial" w:eastAsia="Arial"/>
                <w:sz w:val="22"/>
              </w:rPr>
              <w:t>021-63326729</w:t>
            </w:r>
          </w:p>
          <w:p>
            <w:pPr>
              <w:pStyle w:val="TableParagraph"/>
              <w:spacing w:line="280" w:lineRule="exact"/>
              <w:ind w:left="108"/>
              <w:rPr>
                <w:rFonts w:ascii="Arial" w:eastAsia="Arial"/>
                <w:sz w:val="22"/>
              </w:rPr>
            </w:pPr>
            <w:r>
              <w:rPr>
                <w:sz w:val="22"/>
              </w:rPr>
              <w:t>客户服务热线：</w:t>
            </w:r>
            <w:r>
              <w:rPr>
                <w:rFonts w:ascii="Arial" w:eastAsia="Arial"/>
                <w:sz w:val="22"/>
              </w:rPr>
              <w:t>95503</w:t>
            </w:r>
          </w:p>
          <w:p>
            <w:pPr>
              <w:pStyle w:val="TableParagraph"/>
              <w:spacing w:line="277" w:lineRule="exact" w:before="30"/>
              <w:ind w:left="108"/>
              <w:rPr>
                <w:rFonts w:ascii="Arial" w:eastAsia="Arial"/>
                <w:sz w:val="22"/>
              </w:rPr>
            </w:pPr>
            <w:r>
              <w:rPr>
                <w:sz w:val="22"/>
              </w:rPr>
              <w:t>公司网站：</w:t>
            </w:r>
            <w:hyperlink r:id="rId77">
              <w:r>
                <w:rPr>
                  <w:rFonts w:ascii="Arial" w:eastAsia="Arial"/>
                  <w:sz w:val="22"/>
                </w:rPr>
                <w:t>http://www.dfzq.com.cn</w:t>
              </w:r>
            </w:hyperlink>
          </w:p>
        </w:tc>
      </w:tr>
      <w:tr>
        <w:trPr>
          <w:trHeight w:val="2184"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71</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20" w:right="113"/>
              <w:jc w:val="center"/>
              <w:rPr>
                <w:sz w:val="22"/>
              </w:rPr>
            </w:pPr>
            <w:r>
              <w:rPr>
                <w:sz w:val="22"/>
              </w:rPr>
              <w:t>中泰证券股份有限公司</w:t>
            </w:r>
          </w:p>
        </w:tc>
        <w:tc>
          <w:tcPr>
            <w:tcW w:w="5480" w:type="dxa"/>
          </w:tcPr>
          <w:p>
            <w:pPr>
              <w:pStyle w:val="TableParagraph"/>
              <w:spacing w:line="266" w:lineRule="auto" w:before="15"/>
              <w:ind w:left="108" w:right="754"/>
              <w:rPr>
                <w:sz w:val="22"/>
              </w:rPr>
            </w:pPr>
            <w:r>
              <w:rPr>
                <w:sz w:val="22"/>
              </w:rPr>
              <w:t>注册（办公）地址：济南市市中区经七路 </w:t>
            </w:r>
            <w:r>
              <w:rPr>
                <w:rFonts w:ascii="Arial" w:eastAsia="Arial"/>
                <w:sz w:val="22"/>
              </w:rPr>
              <w:t>86 </w:t>
            </w:r>
            <w:r>
              <w:rPr>
                <w:sz w:val="22"/>
              </w:rPr>
              <w:t>号法定代表人：李玮</w:t>
            </w:r>
          </w:p>
          <w:p>
            <w:pPr>
              <w:pStyle w:val="TableParagraph"/>
              <w:spacing w:line="280" w:lineRule="exact"/>
              <w:ind w:left="108"/>
              <w:rPr>
                <w:sz w:val="22"/>
              </w:rPr>
            </w:pPr>
            <w:r>
              <w:rPr>
                <w:sz w:val="22"/>
              </w:rPr>
              <w:t>联系人：许曼华</w:t>
            </w:r>
          </w:p>
          <w:p>
            <w:pPr>
              <w:pStyle w:val="TableParagraph"/>
              <w:spacing w:line="266" w:lineRule="auto" w:before="30"/>
              <w:ind w:left="108" w:right="3278"/>
              <w:rPr>
                <w:rFonts w:ascii="Arial" w:eastAsia="Arial"/>
                <w:sz w:val="22"/>
              </w:rPr>
            </w:pPr>
            <w:r>
              <w:rPr>
                <w:sz w:val="22"/>
              </w:rPr>
              <w:t>电话：</w:t>
            </w:r>
            <w:r>
              <w:rPr>
                <w:rFonts w:ascii="Arial" w:eastAsia="Arial"/>
                <w:sz w:val="22"/>
              </w:rPr>
              <w:t>021-20315290 </w:t>
            </w:r>
            <w:r>
              <w:rPr>
                <w:sz w:val="22"/>
              </w:rPr>
              <w:t>传真：</w:t>
            </w:r>
            <w:r>
              <w:rPr>
                <w:rFonts w:ascii="Arial" w:eastAsia="Arial"/>
                <w:sz w:val="22"/>
              </w:rPr>
              <w:t>021-20315125</w:t>
            </w:r>
          </w:p>
          <w:p>
            <w:pPr>
              <w:pStyle w:val="TableParagraph"/>
              <w:spacing w:line="281" w:lineRule="exact"/>
              <w:ind w:left="108"/>
              <w:rPr>
                <w:rFonts w:ascii="Arial" w:eastAsia="Arial"/>
                <w:sz w:val="22"/>
              </w:rPr>
            </w:pPr>
            <w:r>
              <w:rPr>
                <w:sz w:val="22"/>
              </w:rPr>
              <w:t>客户服务电话：</w:t>
            </w:r>
            <w:r>
              <w:rPr>
                <w:rFonts w:ascii="Arial" w:eastAsia="Arial"/>
                <w:sz w:val="22"/>
              </w:rPr>
              <w:t>95538</w:t>
            </w:r>
          </w:p>
          <w:p>
            <w:pPr>
              <w:pStyle w:val="TableParagraph"/>
              <w:spacing w:line="277" w:lineRule="exact" w:before="30"/>
              <w:ind w:left="108"/>
              <w:rPr>
                <w:rFonts w:ascii="Arial" w:eastAsia="Arial"/>
                <w:sz w:val="22"/>
              </w:rPr>
            </w:pPr>
            <w:r>
              <w:rPr>
                <w:sz w:val="22"/>
              </w:rPr>
              <w:t>网址：</w:t>
            </w:r>
            <w:hyperlink r:id="rId78">
              <w:r>
                <w:rPr>
                  <w:rFonts w:ascii="Arial" w:eastAsia="Arial"/>
                  <w:sz w:val="22"/>
                </w:rPr>
                <w:t>www.zts.com.cn</w:t>
              </w:r>
            </w:hyperlink>
          </w:p>
        </w:tc>
      </w:tr>
      <w:tr>
        <w:trPr>
          <w:trHeight w:val="249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05"/>
              <w:jc w:val="right"/>
              <w:rPr>
                <w:rFonts w:ascii="Arial"/>
                <w:sz w:val="21"/>
              </w:rPr>
            </w:pPr>
            <w:r>
              <w:rPr>
                <w:rFonts w:ascii="Arial"/>
                <w:sz w:val="21"/>
              </w:rPr>
              <w:t>72</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国盛证券有限责任公司</w:t>
            </w:r>
          </w:p>
        </w:tc>
        <w:tc>
          <w:tcPr>
            <w:tcW w:w="5480" w:type="dxa"/>
          </w:tcPr>
          <w:p>
            <w:pPr>
              <w:pStyle w:val="TableParagraph"/>
              <w:spacing w:before="15"/>
              <w:ind w:left="108"/>
              <w:rPr>
                <w:rFonts w:ascii="Arial" w:eastAsia="Arial"/>
                <w:sz w:val="22"/>
              </w:rPr>
            </w:pPr>
            <w:r>
              <w:rPr>
                <w:spacing w:val="-21"/>
                <w:sz w:val="22"/>
              </w:rPr>
              <w:t>注册</w:t>
            </w:r>
            <w:r>
              <w:rPr>
                <w:sz w:val="22"/>
              </w:rPr>
              <w:t>（办公</w:t>
            </w:r>
            <w:r>
              <w:rPr>
                <w:spacing w:val="-44"/>
                <w:sz w:val="22"/>
              </w:rPr>
              <w:t>）</w:t>
            </w:r>
            <w:r>
              <w:rPr>
                <w:spacing w:val="-11"/>
                <w:sz w:val="22"/>
              </w:rPr>
              <w:t>地址：南昌市红谷滩新区凤凰中大道 </w:t>
            </w:r>
            <w:r>
              <w:rPr>
                <w:rFonts w:ascii="Arial" w:eastAsia="Arial"/>
                <w:sz w:val="22"/>
              </w:rPr>
              <w:t>1115</w:t>
            </w:r>
          </w:p>
          <w:p>
            <w:pPr>
              <w:pStyle w:val="TableParagraph"/>
              <w:spacing w:before="30"/>
              <w:ind w:left="108"/>
              <w:rPr>
                <w:sz w:val="22"/>
              </w:rPr>
            </w:pPr>
            <w:r>
              <w:rPr>
                <w:spacing w:val="-1"/>
                <w:sz w:val="22"/>
              </w:rPr>
              <w:t>号北京银行大楼</w:t>
            </w:r>
          </w:p>
          <w:p>
            <w:pPr>
              <w:pStyle w:val="TableParagraph"/>
              <w:spacing w:line="266" w:lineRule="auto" w:before="30"/>
              <w:ind w:left="108" w:right="3376"/>
              <w:rPr>
                <w:sz w:val="22"/>
              </w:rPr>
            </w:pPr>
            <w:r>
              <w:rPr>
                <w:spacing w:val="-4"/>
                <w:sz w:val="22"/>
              </w:rPr>
              <w:t>法定代表人：徐丽峰</w:t>
            </w:r>
            <w:r>
              <w:rPr>
                <w:spacing w:val="-1"/>
                <w:sz w:val="22"/>
              </w:rPr>
              <w:t>联系人：占文驰</w:t>
            </w:r>
          </w:p>
          <w:p>
            <w:pPr>
              <w:pStyle w:val="TableParagraph"/>
              <w:spacing w:line="266" w:lineRule="auto"/>
              <w:ind w:left="108" w:right="3156"/>
              <w:rPr>
                <w:rFonts w:ascii="Arial" w:eastAsia="Arial"/>
                <w:sz w:val="22"/>
              </w:rPr>
            </w:pPr>
            <w:r>
              <w:rPr>
                <w:sz w:val="22"/>
              </w:rPr>
              <w:t>电话：</w:t>
            </w:r>
            <w:r>
              <w:rPr>
                <w:rFonts w:ascii="Arial" w:eastAsia="Arial"/>
                <w:sz w:val="22"/>
              </w:rPr>
              <w:t>0791-86283372 </w:t>
            </w:r>
            <w:r>
              <w:rPr>
                <w:sz w:val="22"/>
              </w:rPr>
              <w:t>传真：</w:t>
            </w:r>
            <w:r>
              <w:rPr>
                <w:rFonts w:ascii="Arial" w:eastAsia="Arial"/>
                <w:sz w:val="22"/>
              </w:rPr>
              <w:t>0791-86281305</w:t>
            </w:r>
          </w:p>
          <w:p>
            <w:pPr>
              <w:pStyle w:val="TableParagraph"/>
              <w:spacing w:line="280" w:lineRule="exact"/>
              <w:ind w:left="108"/>
              <w:rPr>
                <w:rFonts w:ascii="Arial" w:eastAsia="Arial"/>
                <w:sz w:val="22"/>
              </w:rPr>
            </w:pPr>
            <w:r>
              <w:rPr>
                <w:sz w:val="22"/>
              </w:rPr>
              <w:t>客户服务电话</w:t>
            </w:r>
            <w:r>
              <w:rPr>
                <w:rFonts w:ascii="Arial" w:eastAsia="Arial"/>
                <w:sz w:val="22"/>
              </w:rPr>
              <w:t>: 400 8222 111</w:t>
            </w:r>
          </w:p>
          <w:p>
            <w:pPr>
              <w:pStyle w:val="TableParagraph"/>
              <w:spacing w:line="277" w:lineRule="exact" w:before="28"/>
              <w:ind w:left="108"/>
              <w:rPr>
                <w:rFonts w:ascii="Arial" w:eastAsia="Arial"/>
                <w:sz w:val="22"/>
              </w:rPr>
            </w:pPr>
            <w:r>
              <w:rPr>
                <w:sz w:val="22"/>
              </w:rPr>
              <w:t>网址：</w:t>
            </w:r>
            <w:hyperlink r:id="rId79">
              <w:r>
                <w:rPr>
                  <w:rFonts w:ascii="Arial" w:eastAsia="Arial"/>
                  <w:sz w:val="22"/>
                </w:rPr>
                <w:t>www.gszq.com</w:t>
              </w:r>
            </w:hyperlink>
          </w:p>
        </w:tc>
      </w:tr>
      <w:tr>
        <w:trPr>
          <w:trHeight w:val="249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05"/>
              <w:jc w:val="right"/>
              <w:rPr>
                <w:rFonts w:ascii="Arial"/>
                <w:sz w:val="21"/>
              </w:rPr>
            </w:pPr>
            <w:r>
              <w:rPr>
                <w:rFonts w:ascii="Arial"/>
                <w:sz w:val="21"/>
              </w:rPr>
              <w:t>73</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国海证券股份有限公司</w:t>
            </w:r>
          </w:p>
        </w:tc>
        <w:tc>
          <w:tcPr>
            <w:tcW w:w="5480" w:type="dxa"/>
          </w:tcPr>
          <w:p>
            <w:pPr>
              <w:pStyle w:val="TableParagraph"/>
              <w:spacing w:before="15"/>
              <w:ind w:left="108"/>
              <w:rPr>
                <w:sz w:val="22"/>
              </w:rPr>
            </w:pPr>
            <w:r>
              <w:rPr>
                <w:sz w:val="22"/>
              </w:rPr>
              <w:t>注册地址：广西桂林市辅星路 </w:t>
            </w:r>
            <w:r>
              <w:rPr>
                <w:rFonts w:ascii="Arial" w:eastAsia="Arial"/>
                <w:sz w:val="22"/>
              </w:rPr>
              <w:t>13 </w:t>
            </w:r>
            <w:r>
              <w:rPr>
                <w:sz w:val="22"/>
              </w:rPr>
              <w:t>号</w:t>
            </w:r>
          </w:p>
          <w:p>
            <w:pPr>
              <w:pStyle w:val="TableParagraph"/>
              <w:spacing w:line="266" w:lineRule="auto" w:before="30"/>
              <w:ind w:left="108" w:right="92"/>
              <w:rPr>
                <w:sz w:val="22"/>
              </w:rPr>
            </w:pPr>
            <w:r>
              <w:rPr>
                <w:spacing w:val="-8"/>
                <w:sz w:val="22"/>
              </w:rPr>
              <w:t>办公地址：深圳市福田区竹子林四路光大银行大厦 </w:t>
            </w:r>
            <w:r>
              <w:rPr>
                <w:rFonts w:ascii="Arial" w:eastAsia="Arial"/>
                <w:sz w:val="22"/>
              </w:rPr>
              <w:t>3 </w:t>
            </w:r>
            <w:r>
              <w:rPr>
                <w:spacing w:val="-13"/>
                <w:sz w:val="22"/>
              </w:rPr>
              <w:t>楼</w:t>
            </w:r>
            <w:r>
              <w:rPr>
                <w:spacing w:val="-2"/>
                <w:sz w:val="22"/>
              </w:rPr>
              <w:t>法定代表人：张雅锋</w:t>
            </w:r>
          </w:p>
          <w:p>
            <w:pPr>
              <w:pStyle w:val="TableParagraph"/>
              <w:spacing w:line="280" w:lineRule="exact"/>
              <w:ind w:left="108"/>
              <w:rPr>
                <w:sz w:val="22"/>
              </w:rPr>
            </w:pPr>
            <w:r>
              <w:rPr>
                <w:sz w:val="22"/>
              </w:rPr>
              <w:t>联系人：牛孟宇</w:t>
            </w:r>
          </w:p>
          <w:p>
            <w:pPr>
              <w:pStyle w:val="TableParagraph"/>
              <w:spacing w:line="266" w:lineRule="auto" w:before="30"/>
              <w:ind w:left="108" w:right="2715"/>
              <w:rPr>
                <w:rFonts w:ascii="Arial" w:eastAsia="Arial"/>
                <w:sz w:val="22"/>
              </w:rPr>
            </w:pPr>
            <w:r>
              <w:rPr>
                <w:sz w:val="22"/>
              </w:rPr>
              <w:t>联系电话：</w:t>
            </w:r>
            <w:r>
              <w:rPr>
                <w:rFonts w:ascii="Arial" w:eastAsia="Arial"/>
                <w:sz w:val="22"/>
              </w:rPr>
              <w:t>0755-83709350 </w:t>
            </w:r>
            <w:r>
              <w:rPr>
                <w:sz w:val="22"/>
              </w:rPr>
              <w:t>传真：</w:t>
            </w:r>
            <w:r>
              <w:rPr>
                <w:rFonts w:ascii="Arial" w:eastAsia="Arial"/>
                <w:sz w:val="22"/>
              </w:rPr>
              <w:t>0755-83700205</w:t>
            </w:r>
          </w:p>
          <w:p>
            <w:pPr>
              <w:pStyle w:val="TableParagraph"/>
              <w:spacing w:line="280" w:lineRule="exact"/>
              <w:ind w:left="108"/>
              <w:rPr>
                <w:rFonts w:ascii="Arial" w:eastAsia="Arial"/>
                <w:sz w:val="22"/>
              </w:rPr>
            </w:pPr>
            <w:r>
              <w:rPr>
                <w:sz w:val="22"/>
              </w:rPr>
              <w:t>客户服务电话：</w:t>
            </w:r>
            <w:r>
              <w:rPr>
                <w:rFonts w:ascii="Arial" w:eastAsia="Arial"/>
                <w:sz w:val="22"/>
              </w:rPr>
              <w:t>95563</w:t>
            </w:r>
          </w:p>
          <w:p>
            <w:pPr>
              <w:pStyle w:val="TableParagraph"/>
              <w:spacing w:line="277" w:lineRule="exact" w:before="30"/>
              <w:ind w:left="108"/>
              <w:rPr>
                <w:rFonts w:ascii="Arial" w:eastAsia="Arial"/>
                <w:sz w:val="22"/>
              </w:rPr>
            </w:pPr>
            <w:r>
              <w:rPr>
                <w:sz w:val="22"/>
              </w:rPr>
              <w:t>公司网址：</w:t>
            </w:r>
            <w:hyperlink r:id="rId80">
              <w:r>
                <w:rPr>
                  <w:rFonts w:ascii="Arial" w:eastAsia="Arial"/>
                  <w:sz w:val="22"/>
                </w:rPr>
                <w:t>www.ghzq.com.cn</w:t>
              </w:r>
            </w:hyperlink>
          </w:p>
        </w:tc>
      </w:tr>
      <w:tr>
        <w:trPr>
          <w:trHeight w:val="249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right="105"/>
              <w:jc w:val="right"/>
              <w:rPr>
                <w:rFonts w:ascii="Arial"/>
                <w:sz w:val="21"/>
              </w:rPr>
            </w:pPr>
            <w:r>
              <w:rPr>
                <w:rFonts w:ascii="Arial"/>
                <w:sz w:val="21"/>
              </w:rPr>
              <w:t>74</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5"/>
              <w:ind w:left="799" w:right="129" w:hanging="660"/>
              <w:rPr>
                <w:sz w:val="22"/>
              </w:rPr>
            </w:pPr>
            <w:r>
              <w:rPr>
                <w:sz w:val="22"/>
              </w:rPr>
              <w:t>中信证券（山东）有限责任公司</w:t>
            </w:r>
          </w:p>
        </w:tc>
        <w:tc>
          <w:tcPr>
            <w:tcW w:w="5480" w:type="dxa"/>
          </w:tcPr>
          <w:p>
            <w:pPr>
              <w:pStyle w:val="TableParagraph"/>
              <w:spacing w:before="17"/>
              <w:ind w:left="108"/>
              <w:rPr>
                <w:sz w:val="22"/>
              </w:rPr>
            </w:pPr>
            <w:r>
              <w:rPr>
                <w:spacing w:val="-11"/>
                <w:sz w:val="22"/>
              </w:rPr>
              <w:t>注册</w:t>
            </w:r>
            <w:r>
              <w:rPr>
                <w:sz w:val="22"/>
              </w:rPr>
              <w:t>（</w:t>
            </w:r>
            <w:r>
              <w:rPr>
                <w:spacing w:val="-2"/>
                <w:sz w:val="22"/>
              </w:rPr>
              <w:t>办公</w:t>
            </w:r>
            <w:r>
              <w:rPr>
                <w:spacing w:val="-22"/>
                <w:sz w:val="22"/>
              </w:rPr>
              <w:t>）</w:t>
            </w:r>
            <w:r>
              <w:rPr>
                <w:spacing w:val="-10"/>
                <w:sz w:val="22"/>
              </w:rPr>
              <w:t>地址：青岛市崂山区深圳路 </w:t>
            </w:r>
            <w:r>
              <w:rPr>
                <w:rFonts w:ascii="Arial" w:eastAsia="Arial"/>
                <w:sz w:val="22"/>
              </w:rPr>
              <w:t>222 </w:t>
            </w:r>
            <w:r>
              <w:rPr>
                <w:spacing w:val="-28"/>
                <w:sz w:val="22"/>
              </w:rPr>
              <w:t>号 </w:t>
            </w:r>
            <w:r>
              <w:rPr>
                <w:rFonts w:ascii="Arial" w:eastAsia="Arial"/>
                <w:sz w:val="22"/>
              </w:rPr>
              <w:t>1 </w:t>
            </w:r>
            <w:r>
              <w:rPr>
                <w:sz w:val="22"/>
              </w:rPr>
              <w:t>号楼</w:t>
            </w:r>
          </w:p>
          <w:p>
            <w:pPr>
              <w:pStyle w:val="TableParagraph"/>
              <w:spacing w:before="44"/>
              <w:ind w:left="108"/>
              <w:rPr>
                <w:rFonts w:ascii="Arial"/>
                <w:sz w:val="22"/>
              </w:rPr>
            </w:pPr>
            <w:r>
              <w:rPr>
                <w:rFonts w:ascii="Arial"/>
                <w:sz w:val="22"/>
              </w:rPr>
              <w:t>2001</w:t>
            </w:r>
          </w:p>
          <w:p>
            <w:pPr>
              <w:pStyle w:val="TableParagraph"/>
              <w:spacing w:line="266" w:lineRule="auto" w:before="45"/>
              <w:ind w:left="108" w:right="3376"/>
              <w:rPr>
                <w:sz w:val="22"/>
              </w:rPr>
            </w:pPr>
            <w:r>
              <w:rPr>
                <w:sz w:val="22"/>
              </w:rPr>
              <w:t>法定代表人：姜晓林联系人：刘晓明</w:t>
            </w:r>
          </w:p>
          <w:p>
            <w:pPr>
              <w:pStyle w:val="TableParagraph"/>
              <w:spacing w:line="266" w:lineRule="auto"/>
              <w:ind w:left="108" w:right="2569"/>
              <w:rPr>
                <w:rFonts w:ascii="Arial" w:eastAsia="Arial"/>
                <w:sz w:val="22"/>
              </w:rPr>
            </w:pPr>
            <w:r>
              <w:rPr>
                <w:sz w:val="22"/>
              </w:rPr>
              <w:t>联系电话：</w:t>
            </w:r>
            <w:r>
              <w:rPr>
                <w:rFonts w:ascii="Arial" w:eastAsia="Arial"/>
                <w:sz w:val="22"/>
              </w:rPr>
              <w:t>0531</w:t>
            </w:r>
            <w:r>
              <w:rPr>
                <w:sz w:val="22"/>
              </w:rPr>
              <w:t>－</w:t>
            </w:r>
            <w:r>
              <w:rPr>
                <w:rFonts w:ascii="Arial" w:eastAsia="Arial"/>
                <w:sz w:val="22"/>
              </w:rPr>
              <w:t>89606165 </w:t>
            </w:r>
            <w:r>
              <w:rPr>
                <w:sz w:val="22"/>
              </w:rPr>
              <w:t>传真：</w:t>
            </w:r>
            <w:r>
              <w:rPr>
                <w:rFonts w:ascii="Arial" w:eastAsia="Arial"/>
                <w:sz w:val="22"/>
              </w:rPr>
              <w:t>0532-85022605</w:t>
            </w:r>
          </w:p>
          <w:p>
            <w:pPr>
              <w:pStyle w:val="TableParagraph"/>
              <w:spacing w:line="280" w:lineRule="exact"/>
              <w:ind w:left="108"/>
              <w:rPr>
                <w:rFonts w:ascii="Arial" w:eastAsia="Arial"/>
                <w:sz w:val="22"/>
              </w:rPr>
            </w:pPr>
            <w:r>
              <w:rPr>
                <w:sz w:val="22"/>
              </w:rPr>
              <w:t>客户服务电话：</w:t>
            </w:r>
            <w:r>
              <w:rPr>
                <w:rFonts w:ascii="Arial" w:eastAsia="Arial"/>
                <w:sz w:val="22"/>
              </w:rPr>
              <w:t>95548</w:t>
            </w:r>
          </w:p>
          <w:p>
            <w:pPr>
              <w:pStyle w:val="TableParagraph"/>
              <w:spacing w:line="277" w:lineRule="exact" w:before="29"/>
              <w:ind w:left="108"/>
              <w:rPr>
                <w:rFonts w:ascii="Arial" w:eastAsia="Arial"/>
                <w:sz w:val="22"/>
              </w:rPr>
            </w:pPr>
            <w:r>
              <w:rPr>
                <w:sz w:val="22"/>
              </w:rPr>
              <w:t>网址：</w:t>
            </w:r>
            <w:hyperlink r:id="rId81">
              <w:r>
                <w:rPr>
                  <w:rFonts w:ascii="Arial" w:eastAsia="Arial"/>
                  <w:sz w:val="22"/>
                </w:rPr>
                <w:t>www.zxwt.com.cn</w:t>
              </w:r>
            </w:hyperlink>
          </w:p>
        </w:tc>
      </w:tr>
      <w:tr>
        <w:trPr>
          <w:trHeight w:val="2183"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05"/>
              <w:jc w:val="right"/>
              <w:rPr>
                <w:rFonts w:ascii="Arial"/>
                <w:sz w:val="21"/>
              </w:rPr>
            </w:pPr>
            <w:r>
              <w:rPr>
                <w:rFonts w:ascii="Arial"/>
                <w:sz w:val="21"/>
              </w:rPr>
              <w:t>75</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20" w:right="113"/>
              <w:jc w:val="center"/>
              <w:rPr>
                <w:sz w:val="22"/>
              </w:rPr>
            </w:pPr>
            <w:r>
              <w:rPr>
                <w:sz w:val="22"/>
              </w:rPr>
              <w:t>西南证券股份有限公司</w:t>
            </w:r>
          </w:p>
        </w:tc>
        <w:tc>
          <w:tcPr>
            <w:tcW w:w="5480" w:type="dxa"/>
          </w:tcPr>
          <w:p>
            <w:pPr>
              <w:pStyle w:val="TableParagraph"/>
              <w:spacing w:line="266" w:lineRule="auto" w:before="15"/>
              <w:ind w:left="108" w:right="876"/>
              <w:rPr>
                <w:sz w:val="22"/>
              </w:rPr>
            </w:pPr>
            <w:r>
              <w:rPr>
                <w:sz w:val="22"/>
              </w:rPr>
              <w:t>注册（办公）地址：重庆市江北区桥北苑 </w:t>
            </w:r>
            <w:r>
              <w:rPr>
                <w:rFonts w:ascii="Arial" w:eastAsia="Arial"/>
                <w:sz w:val="22"/>
              </w:rPr>
              <w:t>8 </w:t>
            </w:r>
            <w:r>
              <w:rPr>
                <w:sz w:val="22"/>
              </w:rPr>
              <w:t>号法定代表人：吴坚</w:t>
            </w:r>
          </w:p>
          <w:p>
            <w:pPr>
              <w:pStyle w:val="TableParagraph"/>
              <w:spacing w:line="280" w:lineRule="exact"/>
              <w:ind w:left="108"/>
              <w:rPr>
                <w:sz w:val="22"/>
              </w:rPr>
            </w:pPr>
            <w:r>
              <w:rPr>
                <w:sz w:val="22"/>
              </w:rPr>
              <w:t>联系人：张煜</w:t>
            </w:r>
          </w:p>
          <w:p>
            <w:pPr>
              <w:pStyle w:val="TableParagraph"/>
              <w:spacing w:line="266" w:lineRule="auto" w:before="30"/>
              <w:ind w:left="108" w:right="3278"/>
              <w:rPr>
                <w:rFonts w:ascii="Arial" w:eastAsia="Arial"/>
                <w:sz w:val="22"/>
              </w:rPr>
            </w:pPr>
            <w:r>
              <w:rPr>
                <w:sz w:val="22"/>
              </w:rPr>
              <w:t>电话：</w:t>
            </w:r>
            <w:r>
              <w:rPr>
                <w:rFonts w:ascii="Arial" w:eastAsia="Arial"/>
                <w:sz w:val="22"/>
              </w:rPr>
              <w:t>023-63786141 </w:t>
            </w:r>
            <w:r>
              <w:rPr>
                <w:sz w:val="22"/>
              </w:rPr>
              <w:t>传真：</w:t>
            </w:r>
            <w:r>
              <w:rPr>
                <w:rFonts w:ascii="Arial" w:eastAsia="Arial"/>
                <w:sz w:val="22"/>
              </w:rPr>
              <w:t>023-63786212</w:t>
            </w:r>
          </w:p>
          <w:p>
            <w:pPr>
              <w:pStyle w:val="TableParagraph"/>
              <w:spacing w:line="281" w:lineRule="exact"/>
              <w:ind w:left="108"/>
              <w:rPr>
                <w:rFonts w:ascii="Arial" w:eastAsia="Arial"/>
                <w:sz w:val="22"/>
              </w:rPr>
            </w:pPr>
            <w:r>
              <w:rPr>
                <w:sz w:val="22"/>
              </w:rPr>
              <w:t>客服电话：</w:t>
            </w:r>
            <w:r>
              <w:rPr>
                <w:rFonts w:ascii="Arial" w:eastAsia="Arial"/>
                <w:sz w:val="22"/>
              </w:rPr>
              <w:t>400 809 6096</w:t>
            </w:r>
          </w:p>
          <w:p>
            <w:pPr>
              <w:pStyle w:val="TableParagraph"/>
              <w:spacing w:line="277" w:lineRule="exact" w:before="30"/>
              <w:ind w:left="108"/>
              <w:rPr>
                <w:rFonts w:ascii="Arial" w:eastAsia="Arial"/>
                <w:sz w:val="22"/>
              </w:rPr>
            </w:pPr>
            <w:r>
              <w:rPr>
                <w:sz w:val="22"/>
              </w:rPr>
              <w:t>公司网站： </w:t>
            </w:r>
            <w:hyperlink r:id="rId82">
              <w:r>
                <w:rPr>
                  <w:rFonts w:ascii="Arial" w:eastAsia="Arial"/>
                  <w:sz w:val="22"/>
                </w:rPr>
                <w:t>www.swsc.com.cn</w:t>
              </w:r>
            </w:hyperlink>
          </w:p>
        </w:tc>
      </w:tr>
    </w:tbl>
    <w:p>
      <w:pPr>
        <w:spacing w:after="0" w:line="277" w:lineRule="exact"/>
        <w:rPr>
          <w:rFonts w:ascii="Arial" w:eastAsia="Arial"/>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2808" w:hRule="atLeast"/>
        </w:trPr>
        <w:tc>
          <w:tcPr>
            <w:tcW w:w="470"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05"/>
              <w:jc w:val="right"/>
              <w:rPr>
                <w:rFonts w:ascii="Arial"/>
                <w:sz w:val="21"/>
              </w:rPr>
            </w:pPr>
            <w:r>
              <w:rPr>
                <w:rFonts w:ascii="Arial"/>
                <w:sz w:val="21"/>
              </w:rPr>
              <w:t>76</w:t>
            </w:r>
          </w:p>
        </w:tc>
        <w:tc>
          <w:tcPr>
            <w:tcW w:w="2484"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39"/>
              <w:rPr>
                <w:sz w:val="22"/>
              </w:rPr>
            </w:pPr>
            <w:r>
              <w:rPr>
                <w:sz w:val="22"/>
              </w:rPr>
              <w:t>东海证券股份有限公司</w:t>
            </w:r>
          </w:p>
        </w:tc>
        <w:tc>
          <w:tcPr>
            <w:tcW w:w="5480" w:type="dxa"/>
            <w:tcBorders>
              <w:top w:val="nil"/>
            </w:tcBorders>
          </w:tcPr>
          <w:p>
            <w:pPr>
              <w:pStyle w:val="TableParagraph"/>
              <w:spacing w:before="15"/>
              <w:ind w:left="108"/>
              <w:rPr>
                <w:sz w:val="22"/>
              </w:rPr>
            </w:pPr>
            <w:r>
              <w:rPr>
                <w:sz w:val="22"/>
              </w:rPr>
              <w:t>注册地址：江苏省常州延陵西路 </w:t>
            </w:r>
            <w:r>
              <w:rPr>
                <w:rFonts w:ascii="Arial" w:eastAsia="Arial"/>
                <w:sz w:val="22"/>
              </w:rPr>
              <w:t>23 </w:t>
            </w:r>
            <w:r>
              <w:rPr>
                <w:sz w:val="22"/>
              </w:rPr>
              <w:t>号投资广场 </w:t>
            </w:r>
            <w:r>
              <w:rPr>
                <w:rFonts w:ascii="Arial" w:eastAsia="Arial"/>
                <w:sz w:val="22"/>
              </w:rPr>
              <w:t>18 </w:t>
            </w:r>
            <w:r>
              <w:rPr>
                <w:sz w:val="22"/>
              </w:rPr>
              <w:t>层</w:t>
            </w:r>
          </w:p>
          <w:p>
            <w:pPr>
              <w:pStyle w:val="TableParagraph"/>
              <w:spacing w:line="266" w:lineRule="auto" w:before="30"/>
              <w:ind w:left="108" w:right="69"/>
              <w:rPr>
                <w:sz w:val="22"/>
              </w:rPr>
            </w:pPr>
            <w:r>
              <w:rPr>
                <w:sz w:val="22"/>
              </w:rPr>
              <w:t>办公地址：上海市浦东新区东方路 </w:t>
            </w:r>
            <w:r>
              <w:rPr>
                <w:rFonts w:ascii="Arial" w:eastAsia="Arial"/>
                <w:sz w:val="22"/>
              </w:rPr>
              <w:t>1928 </w:t>
            </w:r>
            <w:r>
              <w:rPr>
                <w:sz w:val="22"/>
              </w:rPr>
              <w:t>号东海证券大厦</w:t>
            </w:r>
          </w:p>
          <w:p>
            <w:pPr>
              <w:pStyle w:val="TableParagraph"/>
              <w:spacing w:line="266" w:lineRule="auto"/>
              <w:ind w:left="108" w:right="3278"/>
              <w:rPr>
                <w:rFonts w:ascii="Arial" w:eastAsia="Arial"/>
                <w:sz w:val="22"/>
              </w:rPr>
            </w:pPr>
            <w:r>
              <w:rPr>
                <w:spacing w:val="-2"/>
                <w:sz w:val="22"/>
              </w:rPr>
              <w:t>法定代表人：赵俊  </w:t>
            </w:r>
            <w:r>
              <w:rPr>
                <w:spacing w:val="-1"/>
                <w:sz w:val="22"/>
              </w:rPr>
              <w:t>电话：</w:t>
            </w:r>
            <w:r>
              <w:rPr>
                <w:rFonts w:ascii="Arial" w:eastAsia="Arial"/>
                <w:spacing w:val="-1"/>
                <w:sz w:val="22"/>
              </w:rPr>
              <w:t>021-20333333 </w:t>
            </w:r>
            <w:r>
              <w:rPr>
                <w:spacing w:val="-1"/>
                <w:sz w:val="22"/>
              </w:rPr>
              <w:t>传真：</w:t>
            </w:r>
            <w:r>
              <w:rPr>
                <w:rFonts w:ascii="Arial" w:eastAsia="Arial"/>
                <w:spacing w:val="-1"/>
                <w:sz w:val="22"/>
              </w:rPr>
              <w:t>021-50498825</w:t>
            </w:r>
          </w:p>
          <w:p>
            <w:pPr>
              <w:pStyle w:val="TableParagraph"/>
              <w:spacing w:line="279" w:lineRule="exact"/>
              <w:ind w:left="108"/>
              <w:rPr>
                <w:sz w:val="22"/>
              </w:rPr>
            </w:pPr>
            <w:r>
              <w:rPr>
                <w:sz w:val="22"/>
              </w:rPr>
              <w:t>联系人：王一彦</w:t>
            </w:r>
          </w:p>
          <w:p>
            <w:pPr>
              <w:pStyle w:val="TableParagraph"/>
              <w:spacing w:before="29"/>
              <w:ind w:left="108"/>
              <w:rPr>
                <w:rFonts w:ascii="Arial" w:eastAsia="Arial"/>
                <w:sz w:val="22"/>
              </w:rPr>
            </w:pPr>
            <w:r>
              <w:rPr>
                <w:sz w:val="22"/>
              </w:rPr>
              <w:t>客服电话：</w:t>
            </w:r>
            <w:r>
              <w:rPr>
                <w:rFonts w:ascii="Arial" w:eastAsia="Arial"/>
                <w:sz w:val="22"/>
              </w:rPr>
              <w:t>95531</w:t>
            </w:r>
            <w:r>
              <w:rPr>
                <w:sz w:val="22"/>
              </w:rPr>
              <w:t>；</w:t>
            </w:r>
            <w:r>
              <w:rPr>
                <w:rFonts w:ascii="Arial" w:eastAsia="Arial"/>
                <w:sz w:val="22"/>
              </w:rPr>
              <w:t>400-8888-588</w:t>
            </w:r>
          </w:p>
          <w:p>
            <w:pPr>
              <w:pStyle w:val="TableParagraph"/>
              <w:spacing w:line="277" w:lineRule="exact" w:before="30"/>
              <w:ind w:left="108"/>
              <w:rPr>
                <w:rFonts w:ascii="Arial" w:eastAsia="Arial"/>
                <w:sz w:val="22"/>
              </w:rPr>
            </w:pPr>
            <w:r>
              <w:rPr>
                <w:sz w:val="22"/>
              </w:rPr>
              <w:t>网址：</w:t>
            </w:r>
            <w:hyperlink r:id="rId83">
              <w:r>
                <w:rPr>
                  <w:rFonts w:ascii="Arial" w:eastAsia="Arial"/>
                  <w:sz w:val="22"/>
                </w:rPr>
                <w:t>www.longone.com.cn</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05"/>
              <w:jc w:val="right"/>
              <w:rPr>
                <w:rFonts w:ascii="Arial"/>
                <w:sz w:val="21"/>
              </w:rPr>
            </w:pPr>
            <w:r>
              <w:rPr>
                <w:rFonts w:ascii="Arial"/>
                <w:sz w:val="21"/>
              </w:rPr>
              <w:t>77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1020" w:right="129" w:hanging="881"/>
              <w:rPr>
                <w:sz w:val="22"/>
              </w:rPr>
            </w:pPr>
            <w:r>
              <w:rPr>
                <w:sz w:val="22"/>
              </w:rPr>
              <w:t>第一创业证券股份有限公司</w:t>
            </w:r>
          </w:p>
        </w:tc>
        <w:tc>
          <w:tcPr>
            <w:tcW w:w="5480" w:type="dxa"/>
          </w:tcPr>
          <w:p>
            <w:pPr>
              <w:pStyle w:val="TableParagraph"/>
              <w:spacing w:before="15"/>
              <w:ind w:left="108"/>
              <w:rPr>
                <w:sz w:val="22"/>
              </w:rPr>
            </w:pPr>
            <w:r>
              <w:rPr>
                <w:spacing w:val="-9"/>
                <w:sz w:val="22"/>
              </w:rPr>
              <w:t>注册</w:t>
            </w:r>
            <w:r>
              <w:rPr>
                <w:spacing w:val="-3"/>
                <w:sz w:val="22"/>
              </w:rPr>
              <w:t>（</w:t>
            </w:r>
            <w:r>
              <w:rPr>
                <w:spacing w:val="-2"/>
                <w:sz w:val="22"/>
              </w:rPr>
              <w:t>办公</w:t>
            </w:r>
            <w:r>
              <w:rPr>
                <w:spacing w:val="-17"/>
                <w:sz w:val="22"/>
              </w:rPr>
              <w:t>）</w:t>
            </w:r>
            <w:r>
              <w:rPr>
                <w:spacing w:val="-9"/>
                <w:sz w:val="22"/>
              </w:rPr>
              <w:t>地址：深圳市福田区福华一路 </w:t>
            </w:r>
            <w:r>
              <w:rPr>
                <w:rFonts w:ascii="Arial" w:eastAsia="Arial"/>
                <w:sz w:val="22"/>
              </w:rPr>
              <w:t>115 </w:t>
            </w:r>
            <w:r>
              <w:rPr>
                <w:sz w:val="22"/>
              </w:rPr>
              <w:t>号投行</w:t>
            </w:r>
          </w:p>
          <w:p>
            <w:pPr>
              <w:pStyle w:val="TableParagraph"/>
              <w:spacing w:before="30"/>
              <w:ind w:left="108"/>
              <w:rPr>
                <w:sz w:val="22"/>
              </w:rPr>
            </w:pPr>
            <w:r>
              <w:rPr>
                <w:sz w:val="22"/>
              </w:rPr>
              <w:t>大厦 </w:t>
            </w:r>
            <w:r>
              <w:rPr>
                <w:rFonts w:ascii="Arial" w:eastAsia="Arial"/>
                <w:sz w:val="22"/>
              </w:rPr>
              <w:t>20 </w:t>
            </w:r>
            <w:r>
              <w:rPr>
                <w:sz w:val="22"/>
              </w:rPr>
              <w:t>楼</w:t>
            </w:r>
          </w:p>
          <w:p>
            <w:pPr>
              <w:pStyle w:val="TableParagraph"/>
              <w:spacing w:line="266" w:lineRule="auto" w:before="31"/>
              <w:ind w:left="108" w:right="3376"/>
              <w:rPr>
                <w:sz w:val="22"/>
              </w:rPr>
            </w:pPr>
            <w:r>
              <w:rPr>
                <w:sz w:val="22"/>
              </w:rPr>
              <w:t>法定代表人：刘学民联系人：毛诗莉</w:t>
            </w:r>
          </w:p>
          <w:p>
            <w:pPr>
              <w:pStyle w:val="TableParagraph"/>
              <w:spacing w:line="266" w:lineRule="auto"/>
              <w:ind w:left="108" w:right="2888"/>
              <w:rPr>
                <w:rFonts w:ascii="Arial" w:eastAsia="Arial"/>
                <w:sz w:val="22"/>
              </w:rPr>
            </w:pPr>
            <w:r>
              <w:rPr>
                <w:sz w:val="22"/>
              </w:rPr>
              <w:t>电 话 ：</w:t>
            </w:r>
            <w:r>
              <w:rPr>
                <w:rFonts w:ascii="Arial" w:eastAsia="Arial"/>
                <w:sz w:val="22"/>
              </w:rPr>
              <w:t>0755-23838750 </w:t>
            </w:r>
            <w:r>
              <w:rPr>
                <w:sz w:val="22"/>
              </w:rPr>
              <w:t>传真：</w:t>
            </w:r>
            <w:r>
              <w:rPr>
                <w:rFonts w:ascii="Arial" w:eastAsia="Arial"/>
                <w:sz w:val="22"/>
              </w:rPr>
              <w:t>0755-23838750 </w:t>
            </w:r>
            <w:r>
              <w:rPr>
                <w:spacing w:val="-2"/>
                <w:sz w:val="22"/>
              </w:rPr>
              <w:t>客服电话：</w:t>
            </w:r>
            <w:r>
              <w:rPr>
                <w:rFonts w:ascii="Arial" w:eastAsia="Arial"/>
                <w:spacing w:val="-1"/>
                <w:sz w:val="22"/>
              </w:rPr>
              <w:t>400-888-1888</w:t>
            </w:r>
          </w:p>
          <w:p>
            <w:pPr>
              <w:pStyle w:val="TableParagraph"/>
              <w:spacing w:line="274" w:lineRule="exact"/>
              <w:ind w:left="108"/>
              <w:rPr>
                <w:rFonts w:ascii="Arial" w:eastAsia="Arial"/>
                <w:sz w:val="22"/>
              </w:rPr>
            </w:pPr>
            <w:r>
              <w:rPr>
                <w:sz w:val="22"/>
              </w:rPr>
              <w:t>网址：</w:t>
            </w:r>
            <w:hyperlink r:id="rId84">
              <w:r>
                <w:rPr>
                  <w:rFonts w:ascii="Arial" w:eastAsia="Arial"/>
                  <w:sz w:val="22"/>
                </w:rPr>
                <w:t>www.fcsc.com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05"/>
              <w:jc w:val="right"/>
              <w:rPr>
                <w:rFonts w:ascii="Arial"/>
                <w:sz w:val="21"/>
              </w:rPr>
            </w:pPr>
            <w:r>
              <w:rPr>
                <w:rFonts w:ascii="Arial"/>
                <w:sz w:val="21"/>
              </w:rPr>
              <w:t>78</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9"/>
              <w:rPr>
                <w:sz w:val="22"/>
              </w:rPr>
            </w:pPr>
            <w:r>
              <w:rPr>
                <w:sz w:val="22"/>
              </w:rPr>
              <w:t>川财证券有限责任公司</w:t>
            </w:r>
          </w:p>
        </w:tc>
        <w:tc>
          <w:tcPr>
            <w:tcW w:w="5480" w:type="dxa"/>
          </w:tcPr>
          <w:p>
            <w:pPr>
              <w:pStyle w:val="TableParagraph"/>
              <w:spacing w:line="266" w:lineRule="auto" w:before="15"/>
              <w:ind w:left="108" w:right="92"/>
              <w:rPr>
                <w:sz w:val="22"/>
              </w:rPr>
            </w:pPr>
            <w:r>
              <w:rPr>
                <w:spacing w:val="-9"/>
                <w:sz w:val="22"/>
              </w:rPr>
              <w:t>注册</w:t>
            </w:r>
            <w:r>
              <w:rPr>
                <w:spacing w:val="-3"/>
                <w:sz w:val="22"/>
              </w:rPr>
              <w:t>（</w:t>
            </w:r>
            <w:r>
              <w:rPr>
                <w:spacing w:val="-2"/>
                <w:sz w:val="22"/>
              </w:rPr>
              <w:t>办公</w:t>
            </w:r>
            <w:r>
              <w:rPr>
                <w:spacing w:val="-17"/>
                <w:sz w:val="22"/>
              </w:rPr>
              <w:t>）</w:t>
            </w:r>
            <w:r>
              <w:rPr>
                <w:spacing w:val="-8"/>
                <w:sz w:val="22"/>
              </w:rPr>
              <w:t>地址：成都市高新区交子大道 </w:t>
            </w:r>
            <w:r>
              <w:rPr>
                <w:rFonts w:ascii="Arial" w:eastAsia="Arial"/>
                <w:sz w:val="22"/>
              </w:rPr>
              <w:t>177 </w:t>
            </w:r>
            <w:r>
              <w:rPr>
                <w:spacing w:val="-4"/>
                <w:sz w:val="22"/>
              </w:rPr>
              <w:t>号中海</w:t>
            </w:r>
            <w:r>
              <w:rPr>
                <w:spacing w:val="-11"/>
                <w:sz w:val="22"/>
              </w:rPr>
              <w:t>国际中心 </w:t>
            </w:r>
            <w:r>
              <w:rPr>
                <w:rFonts w:ascii="Arial" w:eastAsia="Arial"/>
                <w:sz w:val="22"/>
              </w:rPr>
              <w:t>B </w:t>
            </w:r>
            <w:r>
              <w:rPr>
                <w:spacing w:val="-28"/>
                <w:sz w:val="22"/>
              </w:rPr>
              <w:t>座 </w:t>
            </w:r>
            <w:r>
              <w:rPr>
                <w:rFonts w:ascii="Arial" w:eastAsia="Arial"/>
                <w:sz w:val="22"/>
              </w:rPr>
              <w:t>17 </w:t>
            </w:r>
            <w:r>
              <w:rPr>
                <w:sz w:val="22"/>
              </w:rPr>
              <w:t>层</w:t>
            </w:r>
          </w:p>
          <w:p>
            <w:pPr>
              <w:pStyle w:val="TableParagraph"/>
              <w:spacing w:line="266" w:lineRule="auto"/>
              <w:ind w:left="108" w:right="3376"/>
              <w:rPr>
                <w:sz w:val="22"/>
              </w:rPr>
            </w:pPr>
            <w:r>
              <w:rPr>
                <w:sz w:val="22"/>
              </w:rPr>
              <w:t>法定代表人：孟建军联系人：匡婷</w:t>
            </w:r>
          </w:p>
          <w:p>
            <w:pPr>
              <w:pStyle w:val="TableParagraph"/>
              <w:spacing w:line="266" w:lineRule="auto"/>
              <w:ind w:left="108" w:right="3278"/>
              <w:rPr>
                <w:rFonts w:ascii="Arial" w:eastAsia="Arial"/>
                <w:sz w:val="22"/>
              </w:rPr>
            </w:pPr>
            <w:r>
              <w:rPr>
                <w:sz w:val="22"/>
              </w:rPr>
              <w:t>电话：</w:t>
            </w:r>
            <w:r>
              <w:rPr>
                <w:rFonts w:ascii="Arial" w:eastAsia="Arial"/>
                <w:sz w:val="22"/>
              </w:rPr>
              <w:t>028-86583053 </w:t>
            </w:r>
            <w:r>
              <w:rPr>
                <w:sz w:val="22"/>
              </w:rPr>
              <w:t>传真：</w:t>
            </w:r>
            <w:r>
              <w:rPr>
                <w:rFonts w:ascii="Arial" w:eastAsia="Arial"/>
                <w:sz w:val="22"/>
              </w:rPr>
              <w:t>028-86583053</w:t>
            </w:r>
          </w:p>
          <w:p>
            <w:pPr>
              <w:pStyle w:val="TableParagraph"/>
              <w:spacing w:line="280" w:lineRule="exact"/>
              <w:ind w:left="108"/>
              <w:rPr>
                <w:rFonts w:ascii="Arial" w:eastAsia="Arial"/>
                <w:sz w:val="22"/>
              </w:rPr>
            </w:pPr>
            <w:r>
              <w:rPr>
                <w:sz w:val="22"/>
              </w:rPr>
              <w:t>客户服务电话：</w:t>
            </w:r>
            <w:r>
              <w:rPr>
                <w:rFonts w:ascii="Arial" w:eastAsia="Arial"/>
                <w:sz w:val="22"/>
              </w:rPr>
              <w:t>028-95105118</w:t>
            </w:r>
          </w:p>
          <w:p>
            <w:pPr>
              <w:pStyle w:val="TableParagraph"/>
              <w:spacing w:line="277" w:lineRule="exact" w:before="27"/>
              <w:ind w:left="108"/>
              <w:rPr>
                <w:rFonts w:ascii="Arial" w:eastAsia="Arial"/>
                <w:sz w:val="22"/>
              </w:rPr>
            </w:pPr>
            <w:r>
              <w:rPr>
                <w:sz w:val="22"/>
              </w:rPr>
              <w:t>公司网址：</w:t>
            </w:r>
            <w:hyperlink r:id="rId85">
              <w:r>
                <w:rPr>
                  <w:rFonts w:ascii="Arial" w:eastAsia="Arial"/>
                  <w:sz w:val="22"/>
                </w:rPr>
                <w:t>http://www.cczq.com</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05"/>
              <w:jc w:val="right"/>
              <w:rPr>
                <w:rFonts w:ascii="Arial"/>
                <w:sz w:val="21"/>
              </w:rPr>
            </w:pPr>
            <w:r>
              <w:rPr>
                <w:rFonts w:ascii="Arial"/>
                <w:sz w:val="21"/>
              </w:rPr>
              <w:t>79</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9"/>
              <w:rPr>
                <w:sz w:val="22"/>
              </w:rPr>
            </w:pPr>
            <w:r>
              <w:rPr>
                <w:sz w:val="22"/>
              </w:rPr>
              <w:t>天风证券股份有限公司</w:t>
            </w:r>
          </w:p>
        </w:tc>
        <w:tc>
          <w:tcPr>
            <w:tcW w:w="5480" w:type="dxa"/>
          </w:tcPr>
          <w:p>
            <w:pPr>
              <w:pStyle w:val="TableParagraph"/>
              <w:spacing w:before="15"/>
              <w:ind w:left="108"/>
              <w:rPr>
                <w:rFonts w:ascii="Arial" w:eastAsia="Arial"/>
                <w:sz w:val="22"/>
              </w:rPr>
            </w:pPr>
            <w:r>
              <w:rPr>
                <w:sz w:val="22"/>
              </w:rPr>
              <w:t>注册地址：湖北省武汉市东湖新技术开发区关东园路 </w:t>
            </w:r>
            <w:r>
              <w:rPr>
                <w:rFonts w:ascii="Arial" w:eastAsia="Arial"/>
                <w:sz w:val="22"/>
              </w:rPr>
              <w:t>2</w:t>
            </w:r>
          </w:p>
          <w:p>
            <w:pPr>
              <w:pStyle w:val="TableParagraph"/>
              <w:spacing w:before="30"/>
              <w:ind w:left="108"/>
              <w:rPr>
                <w:sz w:val="22"/>
              </w:rPr>
            </w:pPr>
            <w:r>
              <w:rPr>
                <w:sz w:val="22"/>
              </w:rPr>
              <w:t>号高科大厦 </w:t>
            </w:r>
            <w:r>
              <w:rPr>
                <w:rFonts w:ascii="Arial" w:eastAsia="Arial"/>
                <w:sz w:val="22"/>
              </w:rPr>
              <w:t>4 </w:t>
            </w:r>
            <w:r>
              <w:rPr>
                <w:sz w:val="22"/>
              </w:rPr>
              <w:t>楼</w:t>
            </w:r>
          </w:p>
          <w:p>
            <w:pPr>
              <w:pStyle w:val="TableParagraph"/>
              <w:spacing w:before="30"/>
              <w:ind w:left="108"/>
              <w:rPr>
                <w:rFonts w:ascii="Arial" w:eastAsia="Arial"/>
                <w:sz w:val="22"/>
              </w:rPr>
            </w:pPr>
            <w:r>
              <w:rPr>
                <w:spacing w:val="-15"/>
                <w:sz w:val="22"/>
              </w:rPr>
              <w:t>办公地址：湖北省武汉市武昌区中南路 </w:t>
            </w:r>
            <w:r>
              <w:rPr>
                <w:rFonts w:ascii="Arial" w:eastAsia="Arial"/>
                <w:sz w:val="22"/>
              </w:rPr>
              <w:t>99 </w:t>
            </w:r>
            <w:r>
              <w:rPr>
                <w:spacing w:val="8"/>
                <w:sz w:val="22"/>
              </w:rPr>
              <w:t>号保利广场</w:t>
            </w:r>
            <w:r>
              <w:rPr>
                <w:rFonts w:ascii="Arial" w:eastAsia="Arial"/>
                <w:sz w:val="22"/>
              </w:rPr>
              <w:t>A</w:t>
            </w:r>
          </w:p>
          <w:p>
            <w:pPr>
              <w:pStyle w:val="TableParagraph"/>
              <w:spacing w:before="30"/>
              <w:ind w:left="108"/>
              <w:rPr>
                <w:sz w:val="22"/>
              </w:rPr>
            </w:pPr>
            <w:r>
              <w:rPr>
                <w:sz w:val="22"/>
              </w:rPr>
              <w:t>座 </w:t>
            </w:r>
            <w:r>
              <w:rPr>
                <w:rFonts w:ascii="Arial" w:eastAsia="Arial"/>
                <w:sz w:val="22"/>
              </w:rPr>
              <w:t>37 </w:t>
            </w:r>
            <w:r>
              <w:rPr>
                <w:sz w:val="22"/>
              </w:rPr>
              <w:t>楼</w:t>
            </w:r>
          </w:p>
          <w:p>
            <w:pPr>
              <w:pStyle w:val="TableParagraph"/>
              <w:spacing w:line="266" w:lineRule="auto" w:before="30"/>
              <w:ind w:left="108" w:right="3597"/>
              <w:rPr>
                <w:sz w:val="22"/>
              </w:rPr>
            </w:pPr>
            <w:r>
              <w:rPr>
                <w:sz w:val="22"/>
              </w:rPr>
              <w:t>法定代表人：余磊联系人：崔成</w:t>
            </w:r>
          </w:p>
          <w:p>
            <w:pPr>
              <w:pStyle w:val="TableParagraph"/>
              <w:spacing w:line="266" w:lineRule="auto"/>
              <w:ind w:left="108" w:right="3278"/>
              <w:rPr>
                <w:rFonts w:ascii="Arial" w:eastAsia="Arial"/>
                <w:sz w:val="22"/>
              </w:rPr>
            </w:pPr>
            <w:r>
              <w:rPr>
                <w:sz w:val="22"/>
              </w:rPr>
              <w:t>电话：</w:t>
            </w:r>
            <w:r>
              <w:rPr>
                <w:rFonts w:ascii="Arial" w:eastAsia="Arial"/>
                <w:sz w:val="22"/>
              </w:rPr>
              <w:t>027-87610052 </w:t>
            </w:r>
            <w:r>
              <w:rPr>
                <w:sz w:val="22"/>
              </w:rPr>
              <w:t>传真：</w:t>
            </w:r>
            <w:r>
              <w:rPr>
                <w:rFonts w:ascii="Arial" w:eastAsia="Arial"/>
                <w:sz w:val="22"/>
              </w:rPr>
              <w:t>027-87618863</w:t>
            </w:r>
          </w:p>
          <w:p>
            <w:pPr>
              <w:pStyle w:val="TableParagraph"/>
              <w:spacing w:line="281" w:lineRule="exact"/>
              <w:ind w:left="108"/>
              <w:rPr>
                <w:rFonts w:ascii="Arial" w:eastAsia="Arial"/>
                <w:sz w:val="22"/>
              </w:rPr>
            </w:pPr>
            <w:r>
              <w:rPr>
                <w:sz w:val="22"/>
              </w:rPr>
              <w:t>客户服务电话：</w:t>
            </w:r>
            <w:r>
              <w:rPr>
                <w:rFonts w:ascii="Arial" w:eastAsia="Arial"/>
                <w:sz w:val="22"/>
              </w:rPr>
              <w:t>4008005000</w:t>
            </w:r>
          </w:p>
          <w:p>
            <w:pPr>
              <w:pStyle w:val="TableParagraph"/>
              <w:spacing w:line="277" w:lineRule="exact" w:before="29"/>
              <w:ind w:left="108"/>
              <w:rPr>
                <w:rFonts w:ascii="Arial" w:eastAsia="Arial"/>
                <w:sz w:val="22"/>
              </w:rPr>
            </w:pPr>
            <w:r>
              <w:rPr>
                <w:sz w:val="22"/>
              </w:rPr>
              <w:t>网址：</w:t>
            </w:r>
            <w:hyperlink r:id="rId86">
              <w:r>
                <w:rPr>
                  <w:rFonts w:ascii="Arial" w:eastAsia="Arial"/>
                  <w:sz w:val="22"/>
                </w:rPr>
                <w:t>www.tfzq.com</w:t>
              </w:r>
            </w:hyperlink>
          </w:p>
        </w:tc>
      </w:tr>
      <w:tr>
        <w:trPr>
          <w:trHeight w:val="249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05"/>
              <w:jc w:val="right"/>
              <w:rPr>
                <w:rFonts w:ascii="Arial"/>
                <w:sz w:val="21"/>
              </w:rPr>
            </w:pPr>
            <w:r>
              <w:rPr>
                <w:rFonts w:ascii="Arial"/>
                <w:sz w:val="21"/>
              </w:rPr>
              <w:t>80</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273"/>
              <w:rPr>
                <w:sz w:val="22"/>
              </w:rPr>
            </w:pPr>
            <w:r>
              <w:rPr>
                <w:sz w:val="22"/>
              </w:rPr>
              <w:t>中信期货有限公司</w:t>
            </w:r>
          </w:p>
        </w:tc>
        <w:tc>
          <w:tcPr>
            <w:tcW w:w="5480" w:type="dxa"/>
          </w:tcPr>
          <w:p>
            <w:pPr>
              <w:pStyle w:val="TableParagraph"/>
              <w:spacing w:before="17"/>
              <w:ind w:left="108"/>
              <w:rPr>
                <w:sz w:val="22"/>
              </w:rPr>
            </w:pPr>
            <w:r>
              <w:rPr>
                <w:sz w:val="22"/>
              </w:rPr>
              <w:t>注册（办公）地址：深圳市福田区中心三路 </w:t>
            </w:r>
            <w:r>
              <w:rPr>
                <w:rFonts w:ascii="Arial" w:eastAsia="Arial"/>
                <w:sz w:val="22"/>
              </w:rPr>
              <w:t>8 </w:t>
            </w:r>
            <w:r>
              <w:rPr>
                <w:sz w:val="22"/>
              </w:rPr>
              <w:t>号卓越时</w:t>
            </w:r>
          </w:p>
          <w:p>
            <w:pPr>
              <w:pStyle w:val="TableParagraph"/>
              <w:spacing w:line="266" w:lineRule="auto" w:before="30"/>
              <w:ind w:left="108" w:right="636"/>
              <w:rPr>
                <w:sz w:val="22"/>
              </w:rPr>
            </w:pPr>
            <w:r>
              <w:rPr>
                <w:sz w:val="22"/>
              </w:rPr>
              <w:t>代广场</w:t>
            </w:r>
            <w:r>
              <w:rPr>
                <w:spacing w:val="-3"/>
                <w:sz w:val="22"/>
              </w:rPr>
              <w:t>（</w:t>
            </w:r>
            <w:r>
              <w:rPr>
                <w:sz w:val="22"/>
              </w:rPr>
              <w:t>二期</w:t>
            </w:r>
            <w:r>
              <w:rPr>
                <w:spacing w:val="-3"/>
                <w:sz w:val="22"/>
              </w:rPr>
              <w:t>）</w:t>
            </w:r>
            <w:r>
              <w:rPr>
                <w:spacing w:val="-18"/>
                <w:sz w:val="22"/>
              </w:rPr>
              <w:t>北座 </w:t>
            </w:r>
            <w:r>
              <w:rPr>
                <w:rFonts w:ascii="Arial" w:eastAsia="Arial"/>
                <w:sz w:val="22"/>
              </w:rPr>
              <w:t>13 </w:t>
            </w:r>
            <w:r>
              <w:rPr>
                <w:spacing w:val="-27"/>
                <w:sz w:val="22"/>
              </w:rPr>
              <w:t>层 </w:t>
            </w:r>
            <w:r>
              <w:rPr>
                <w:rFonts w:ascii="Arial" w:eastAsia="Arial"/>
                <w:sz w:val="22"/>
              </w:rPr>
              <w:t>1301-1305 </w:t>
            </w:r>
            <w:r>
              <w:rPr>
                <w:spacing w:val="-2"/>
                <w:sz w:val="22"/>
              </w:rPr>
              <w:t>室、</w:t>
            </w:r>
            <w:r>
              <w:rPr>
                <w:rFonts w:ascii="Arial" w:eastAsia="Arial"/>
                <w:sz w:val="22"/>
              </w:rPr>
              <w:t>14 </w:t>
            </w:r>
            <w:r>
              <w:rPr>
                <w:sz w:val="22"/>
              </w:rPr>
              <w:t>层</w:t>
            </w:r>
            <w:r>
              <w:rPr>
                <w:spacing w:val="-2"/>
                <w:sz w:val="22"/>
              </w:rPr>
              <w:t>法定代表人：张皓</w:t>
            </w:r>
          </w:p>
          <w:p>
            <w:pPr>
              <w:pStyle w:val="TableParagraph"/>
              <w:spacing w:line="280" w:lineRule="exact"/>
              <w:ind w:left="108"/>
              <w:rPr>
                <w:sz w:val="22"/>
              </w:rPr>
            </w:pPr>
            <w:r>
              <w:rPr>
                <w:sz w:val="22"/>
              </w:rPr>
              <w:t>联系人：洪诚</w:t>
            </w:r>
          </w:p>
          <w:p>
            <w:pPr>
              <w:pStyle w:val="TableParagraph"/>
              <w:spacing w:line="266" w:lineRule="auto" w:before="30"/>
              <w:ind w:left="108" w:right="3156"/>
              <w:rPr>
                <w:rFonts w:ascii="Arial" w:eastAsia="Arial"/>
                <w:sz w:val="22"/>
              </w:rPr>
            </w:pPr>
            <w:r>
              <w:rPr>
                <w:sz w:val="22"/>
              </w:rPr>
              <w:t>电话：</w:t>
            </w:r>
            <w:r>
              <w:rPr>
                <w:rFonts w:ascii="Arial" w:eastAsia="Arial"/>
                <w:sz w:val="22"/>
              </w:rPr>
              <w:t>0755-23953913 </w:t>
            </w:r>
            <w:r>
              <w:rPr>
                <w:sz w:val="22"/>
              </w:rPr>
              <w:t>传真：</w:t>
            </w:r>
            <w:r>
              <w:rPr>
                <w:rFonts w:ascii="Arial" w:eastAsia="Arial"/>
                <w:sz w:val="22"/>
              </w:rPr>
              <w:t>0755-83217421</w:t>
            </w:r>
          </w:p>
          <w:p>
            <w:pPr>
              <w:pStyle w:val="TableParagraph"/>
              <w:spacing w:line="280" w:lineRule="exact"/>
              <w:ind w:left="108"/>
              <w:rPr>
                <w:rFonts w:ascii="Arial" w:eastAsia="Arial"/>
                <w:sz w:val="22"/>
              </w:rPr>
            </w:pPr>
            <w:r>
              <w:rPr>
                <w:sz w:val="22"/>
              </w:rPr>
              <w:t>客户服务电话：</w:t>
            </w:r>
            <w:r>
              <w:rPr>
                <w:rFonts w:ascii="Arial" w:eastAsia="Arial"/>
                <w:sz w:val="22"/>
              </w:rPr>
              <w:t>400-990-8826</w:t>
            </w:r>
          </w:p>
          <w:p>
            <w:pPr>
              <w:pStyle w:val="TableParagraph"/>
              <w:spacing w:line="277" w:lineRule="exact" w:before="31"/>
              <w:ind w:left="108"/>
              <w:rPr>
                <w:rFonts w:ascii="Arial" w:eastAsia="Arial"/>
                <w:sz w:val="22"/>
              </w:rPr>
            </w:pPr>
            <w:r>
              <w:rPr>
                <w:sz w:val="22"/>
              </w:rPr>
              <w:t>网址：</w:t>
            </w:r>
            <w:hyperlink r:id="rId87">
              <w:r>
                <w:rPr>
                  <w:rFonts w:ascii="Arial" w:eastAsia="Arial"/>
                  <w:sz w:val="22"/>
                </w:rPr>
                <w:t>www.citicsf.com</w:t>
              </w:r>
            </w:hyperlink>
          </w:p>
        </w:tc>
      </w:tr>
      <w:tr>
        <w:trPr>
          <w:trHeight w:val="311" w:hRule="atLeast"/>
        </w:trPr>
        <w:tc>
          <w:tcPr>
            <w:tcW w:w="470" w:type="dxa"/>
          </w:tcPr>
          <w:p>
            <w:pPr>
              <w:pStyle w:val="TableParagraph"/>
              <w:spacing w:before="33"/>
              <w:ind w:right="105"/>
              <w:jc w:val="right"/>
              <w:rPr>
                <w:rFonts w:ascii="Arial"/>
                <w:sz w:val="21"/>
              </w:rPr>
            </w:pPr>
            <w:r>
              <w:rPr>
                <w:rFonts w:ascii="Arial"/>
                <w:sz w:val="21"/>
              </w:rPr>
              <w:t>81</w:t>
            </w:r>
          </w:p>
        </w:tc>
        <w:tc>
          <w:tcPr>
            <w:tcW w:w="2484" w:type="dxa"/>
          </w:tcPr>
          <w:p>
            <w:pPr>
              <w:pStyle w:val="TableParagraph"/>
              <w:spacing w:line="277" w:lineRule="exact" w:before="15"/>
              <w:ind w:left="139"/>
              <w:rPr>
                <w:sz w:val="22"/>
              </w:rPr>
            </w:pPr>
            <w:r>
              <w:rPr>
                <w:sz w:val="22"/>
              </w:rPr>
              <w:t>上海证券有限责任公司</w:t>
            </w:r>
          </w:p>
        </w:tc>
        <w:tc>
          <w:tcPr>
            <w:tcW w:w="5480" w:type="dxa"/>
          </w:tcPr>
          <w:p>
            <w:pPr>
              <w:pStyle w:val="TableParagraph"/>
              <w:spacing w:line="277" w:lineRule="exact" w:before="15"/>
              <w:ind w:left="108"/>
              <w:rPr>
                <w:sz w:val="22"/>
              </w:rPr>
            </w:pPr>
            <w:r>
              <w:rPr>
                <w:sz w:val="22"/>
              </w:rPr>
              <w:t>注册地址：上海市黄浦区四川中路 </w:t>
            </w:r>
            <w:r>
              <w:rPr>
                <w:rFonts w:ascii="Arial" w:eastAsia="Arial"/>
                <w:sz w:val="22"/>
              </w:rPr>
              <w:t>213 </w:t>
            </w:r>
            <w:r>
              <w:rPr>
                <w:sz w:val="22"/>
              </w:rPr>
              <w:t>号 </w:t>
            </w:r>
            <w:r>
              <w:rPr>
                <w:rFonts w:ascii="Arial" w:eastAsia="Arial"/>
                <w:sz w:val="22"/>
              </w:rPr>
              <w:t>7 </w:t>
            </w:r>
            <w:r>
              <w:rPr>
                <w:sz w:val="22"/>
              </w:rPr>
              <w:t>楼</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872"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66" w:lineRule="auto" w:before="15"/>
              <w:ind w:left="108" w:right="906"/>
              <w:rPr>
                <w:sz w:val="22"/>
              </w:rPr>
            </w:pPr>
            <w:r>
              <w:rPr>
                <w:spacing w:val="-7"/>
                <w:sz w:val="22"/>
              </w:rPr>
              <w:t>办公地址：上海市黄浦区四川中路 </w:t>
            </w:r>
            <w:r>
              <w:rPr>
                <w:rFonts w:ascii="Arial" w:eastAsia="Arial"/>
                <w:sz w:val="22"/>
              </w:rPr>
              <w:t>213 </w:t>
            </w:r>
            <w:r>
              <w:rPr>
                <w:spacing w:val="-27"/>
                <w:sz w:val="22"/>
              </w:rPr>
              <w:t>号 </w:t>
            </w:r>
            <w:r>
              <w:rPr>
                <w:rFonts w:ascii="Arial" w:eastAsia="Arial"/>
                <w:sz w:val="22"/>
              </w:rPr>
              <w:t>7 </w:t>
            </w:r>
            <w:r>
              <w:rPr>
                <w:spacing w:val="-11"/>
                <w:sz w:val="22"/>
              </w:rPr>
              <w:t>楼</w:t>
            </w:r>
            <w:r>
              <w:rPr>
                <w:spacing w:val="-2"/>
                <w:sz w:val="22"/>
              </w:rPr>
              <w:t>法定代表人：李俊杰</w:t>
            </w:r>
          </w:p>
          <w:p>
            <w:pPr>
              <w:pStyle w:val="TableParagraph"/>
              <w:spacing w:line="280" w:lineRule="exact"/>
              <w:ind w:left="108"/>
              <w:rPr>
                <w:sz w:val="22"/>
              </w:rPr>
            </w:pPr>
            <w:r>
              <w:rPr>
                <w:sz w:val="22"/>
              </w:rPr>
              <w:t>联系人：邵珍珍</w:t>
            </w:r>
          </w:p>
          <w:p>
            <w:pPr>
              <w:pStyle w:val="TableParagraph"/>
              <w:spacing w:before="31"/>
              <w:ind w:left="108"/>
              <w:rPr>
                <w:rFonts w:ascii="Arial" w:eastAsia="Arial"/>
                <w:sz w:val="22"/>
              </w:rPr>
            </w:pPr>
            <w:r>
              <w:rPr>
                <w:sz w:val="22"/>
              </w:rPr>
              <w:t>电话：</w:t>
            </w:r>
            <w:r>
              <w:rPr>
                <w:rFonts w:ascii="Arial" w:eastAsia="Arial"/>
                <w:sz w:val="22"/>
              </w:rPr>
              <w:t>021-53686888</w:t>
            </w:r>
          </w:p>
          <w:p>
            <w:pPr>
              <w:pStyle w:val="TableParagraph"/>
              <w:spacing w:before="30"/>
              <w:ind w:left="108"/>
              <w:rPr>
                <w:rFonts w:ascii="Arial" w:eastAsia="Arial"/>
                <w:sz w:val="22"/>
              </w:rPr>
            </w:pPr>
            <w:r>
              <w:rPr>
                <w:sz w:val="22"/>
              </w:rPr>
              <w:t>传真：</w:t>
            </w:r>
            <w:r>
              <w:rPr>
                <w:rFonts w:ascii="Arial" w:eastAsia="Arial"/>
                <w:sz w:val="22"/>
              </w:rPr>
              <w:t>021-53686100-7008</w:t>
            </w:r>
            <w:r>
              <w:rPr>
                <w:sz w:val="22"/>
              </w:rPr>
              <w:t>，</w:t>
            </w:r>
            <w:r>
              <w:rPr>
                <w:rFonts w:ascii="Arial" w:eastAsia="Arial"/>
                <w:sz w:val="22"/>
              </w:rPr>
              <w:t>021-53686200-7008</w:t>
            </w:r>
          </w:p>
          <w:p>
            <w:pPr>
              <w:pStyle w:val="TableParagraph"/>
              <w:spacing w:line="277" w:lineRule="exact" w:before="30"/>
              <w:ind w:left="108"/>
              <w:rPr>
                <w:rFonts w:ascii="Arial" w:eastAsia="Arial"/>
                <w:sz w:val="22"/>
              </w:rPr>
            </w:pPr>
            <w:r>
              <w:rPr>
                <w:sz w:val="22"/>
              </w:rPr>
              <w:t>客户服务热线：</w:t>
            </w:r>
            <w:r>
              <w:rPr>
                <w:rFonts w:ascii="Arial" w:eastAsia="Arial"/>
                <w:sz w:val="22"/>
              </w:rPr>
              <w:t>4008918918</w:t>
            </w:r>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05"/>
              <w:jc w:val="right"/>
              <w:rPr>
                <w:rFonts w:ascii="Arial"/>
                <w:sz w:val="21"/>
              </w:rPr>
            </w:pPr>
            <w:r>
              <w:rPr>
                <w:rFonts w:ascii="Arial"/>
                <w:sz w:val="21"/>
              </w:rPr>
              <w:t>82</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20" w:right="113"/>
              <w:jc w:val="center"/>
              <w:rPr>
                <w:sz w:val="22"/>
              </w:rPr>
            </w:pPr>
            <w:r>
              <w:rPr>
                <w:sz w:val="22"/>
              </w:rPr>
              <w:t>开源证券股份有限公司</w:t>
            </w:r>
          </w:p>
        </w:tc>
        <w:tc>
          <w:tcPr>
            <w:tcW w:w="5480" w:type="dxa"/>
          </w:tcPr>
          <w:p>
            <w:pPr>
              <w:pStyle w:val="TableParagraph"/>
              <w:spacing w:line="266" w:lineRule="auto" w:before="15"/>
              <w:ind w:left="108" w:right="92"/>
              <w:jc w:val="both"/>
              <w:rPr>
                <w:sz w:val="22"/>
              </w:rPr>
            </w:pPr>
            <w:r>
              <w:rPr>
                <w:spacing w:val="-13"/>
                <w:sz w:val="22"/>
              </w:rPr>
              <w:t>注册地址：西安市高新区锦业路 </w:t>
            </w:r>
            <w:r>
              <w:rPr>
                <w:rFonts w:ascii="Arial" w:eastAsia="Arial"/>
                <w:sz w:val="22"/>
              </w:rPr>
              <w:t>1 </w:t>
            </w:r>
            <w:r>
              <w:rPr>
                <w:spacing w:val="-12"/>
                <w:sz w:val="22"/>
              </w:rPr>
              <w:t>号都市之门 </w:t>
            </w:r>
            <w:r>
              <w:rPr>
                <w:rFonts w:ascii="Arial" w:eastAsia="Arial"/>
                <w:sz w:val="22"/>
              </w:rPr>
              <w:t>B </w:t>
            </w:r>
            <w:r>
              <w:rPr>
                <w:spacing w:val="-26"/>
                <w:sz w:val="22"/>
              </w:rPr>
              <w:t>座 </w:t>
            </w:r>
            <w:r>
              <w:rPr>
                <w:rFonts w:ascii="Arial" w:eastAsia="Arial"/>
                <w:sz w:val="22"/>
              </w:rPr>
              <w:t>5 </w:t>
            </w:r>
            <w:r>
              <w:rPr>
                <w:sz w:val="22"/>
              </w:rPr>
              <w:t>层</w:t>
            </w:r>
            <w:r>
              <w:rPr>
                <w:spacing w:val="-13"/>
                <w:sz w:val="22"/>
              </w:rPr>
              <w:t>办公地址：西安市高新区锦业路 </w:t>
            </w:r>
            <w:r>
              <w:rPr>
                <w:rFonts w:ascii="Arial" w:eastAsia="Arial"/>
                <w:sz w:val="22"/>
              </w:rPr>
              <w:t>1 </w:t>
            </w:r>
            <w:r>
              <w:rPr>
                <w:spacing w:val="-12"/>
                <w:sz w:val="22"/>
              </w:rPr>
              <w:t>号都市之门 </w:t>
            </w:r>
            <w:r>
              <w:rPr>
                <w:rFonts w:ascii="Arial" w:eastAsia="Arial"/>
                <w:sz w:val="22"/>
              </w:rPr>
              <w:t>B </w:t>
            </w:r>
            <w:r>
              <w:rPr>
                <w:spacing w:val="-26"/>
                <w:sz w:val="22"/>
              </w:rPr>
              <w:t>座 </w:t>
            </w:r>
            <w:r>
              <w:rPr>
                <w:rFonts w:ascii="Arial" w:eastAsia="Arial"/>
                <w:sz w:val="22"/>
              </w:rPr>
              <w:t>5 </w:t>
            </w:r>
            <w:r>
              <w:rPr>
                <w:sz w:val="22"/>
              </w:rPr>
              <w:t>层</w:t>
            </w:r>
            <w:r>
              <w:rPr>
                <w:spacing w:val="-2"/>
                <w:sz w:val="22"/>
              </w:rPr>
              <w:t>法定代表人：李刚</w:t>
            </w:r>
          </w:p>
          <w:p>
            <w:pPr>
              <w:pStyle w:val="TableParagraph"/>
              <w:spacing w:line="279" w:lineRule="exact"/>
              <w:ind w:left="108"/>
              <w:rPr>
                <w:sz w:val="22"/>
              </w:rPr>
            </w:pPr>
            <w:r>
              <w:rPr>
                <w:sz w:val="22"/>
              </w:rPr>
              <w:t>联系人：黄芳</w:t>
            </w:r>
          </w:p>
          <w:p>
            <w:pPr>
              <w:pStyle w:val="TableParagraph"/>
              <w:spacing w:line="266" w:lineRule="auto" w:before="30"/>
              <w:ind w:left="108" w:right="3278"/>
              <w:rPr>
                <w:rFonts w:ascii="Arial" w:eastAsia="Arial"/>
                <w:sz w:val="22"/>
              </w:rPr>
            </w:pPr>
            <w:r>
              <w:rPr>
                <w:sz w:val="22"/>
              </w:rPr>
              <w:t>电话：</w:t>
            </w:r>
            <w:r>
              <w:rPr>
                <w:rFonts w:ascii="Arial" w:eastAsia="Arial"/>
                <w:sz w:val="22"/>
              </w:rPr>
              <w:t>029-63387256 </w:t>
            </w:r>
            <w:r>
              <w:rPr>
                <w:sz w:val="22"/>
              </w:rPr>
              <w:t>传真：</w:t>
            </w:r>
            <w:r>
              <w:rPr>
                <w:rFonts w:ascii="Arial" w:eastAsia="Arial"/>
                <w:sz w:val="22"/>
              </w:rPr>
              <w:t>029-81887256</w:t>
            </w:r>
          </w:p>
          <w:p>
            <w:pPr>
              <w:pStyle w:val="TableParagraph"/>
              <w:spacing w:line="281" w:lineRule="exact"/>
              <w:ind w:left="108"/>
              <w:rPr>
                <w:rFonts w:ascii="Arial" w:eastAsia="Arial"/>
                <w:sz w:val="22"/>
              </w:rPr>
            </w:pPr>
            <w:r>
              <w:rPr>
                <w:sz w:val="22"/>
              </w:rPr>
              <w:t>客户服务电话：</w:t>
            </w:r>
            <w:r>
              <w:rPr>
                <w:rFonts w:ascii="Arial" w:eastAsia="Arial"/>
                <w:sz w:val="22"/>
              </w:rPr>
              <w:t>400-860-8866 </w:t>
            </w:r>
            <w:r>
              <w:rPr>
                <w:sz w:val="22"/>
              </w:rPr>
              <w:t>或 </w:t>
            </w:r>
            <w:r>
              <w:rPr>
                <w:rFonts w:ascii="Arial" w:eastAsia="Arial"/>
                <w:sz w:val="22"/>
              </w:rPr>
              <w:t>95325</w:t>
            </w:r>
          </w:p>
          <w:p>
            <w:pPr>
              <w:pStyle w:val="TableParagraph"/>
              <w:spacing w:line="277" w:lineRule="exact" w:before="30"/>
              <w:ind w:left="108"/>
              <w:rPr>
                <w:rFonts w:ascii="Arial" w:eastAsia="Arial"/>
                <w:sz w:val="22"/>
              </w:rPr>
            </w:pPr>
            <w:r>
              <w:rPr>
                <w:sz w:val="22"/>
              </w:rPr>
              <w:t>网址： </w:t>
            </w:r>
            <w:hyperlink r:id="rId88">
              <w:r>
                <w:rPr>
                  <w:rFonts w:ascii="Arial" w:eastAsia="Arial"/>
                  <w:sz w:val="22"/>
                </w:rPr>
                <w:t>www.kysec.cn</w:t>
              </w:r>
            </w:hyperlink>
          </w:p>
        </w:tc>
      </w:tr>
      <w:tr>
        <w:trPr>
          <w:trHeight w:val="2807"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05"/>
              <w:jc w:val="right"/>
              <w:rPr>
                <w:rFonts w:ascii="Arial"/>
                <w:sz w:val="21"/>
              </w:rPr>
            </w:pPr>
            <w:r>
              <w:rPr>
                <w:rFonts w:ascii="Arial"/>
                <w:sz w:val="21"/>
              </w:rPr>
              <w:t>83</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1020" w:right="129" w:hanging="881"/>
              <w:rPr>
                <w:sz w:val="22"/>
              </w:rPr>
            </w:pPr>
            <w:r>
              <w:rPr>
                <w:sz w:val="22"/>
              </w:rPr>
              <w:t>中国民族证券有限责任公司</w:t>
            </w:r>
          </w:p>
        </w:tc>
        <w:tc>
          <w:tcPr>
            <w:tcW w:w="5480" w:type="dxa"/>
          </w:tcPr>
          <w:p>
            <w:pPr>
              <w:pStyle w:val="TableParagraph"/>
              <w:spacing w:line="266" w:lineRule="auto" w:before="15"/>
              <w:ind w:left="108" w:right="181"/>
              <w:rPr>
                <w:rFonts w:ascii="Arial" w:eastAsia="Arial"/>
                <w:sz w:val="22"/>
              </w:rPr>
            </w:pPr>
            <w:r>
              <w:rPr>
                <w:spacing w:val="-6"/>
                <w:sz w:val="22"/>
              </w:rPr>
              <w:t>注册地址：北京市朝阳区北四环中路 </w:t>
            </w:r>
            <w:r>
              <w:rPr>
                <w:rFonts w:ascii="Arial" w:eastAsia="Arial"/>
                <w:sz w:val="22"/>
              </w:rPr>
              <w:t>27 </w:t>
            </w:r>
            <w:r>
              <w:rPr>
                <w:spacing w:val="-19"/>
                <w:sz w:val="22"/>
              </w:rPr>
              <w:t>号院 </w:t>
            </w:r>
            <w:r>
              <w:rPr>
                <w:rFonts w:ascii="Arial" w:eastAsia="Arial"/>
                <w:sz w:val="22"/>
              </w:rPr>
              <w:t>5 </w:t>
            </w:r>
            <w:r>
              <w:rPr>
                <w:spacing w:val="-3"/>
                <w:sz w:val="22"/>
              </w:rPr>
              <w:t>号楼</w:t>
            </w:r>
            <w:r>
              <w:rPr>
                <w:spacing w:val="-6"/>
                <w:sz w:val="22"/>
              </w:rPr>
              <w:t>办公地址：北京市朝阳五北四环中路盘古大观 </w:t>
            </w:r>
            <w:r>
              <w:rPr>
                <w:rFonts w:ascii="Arial" w:eastAsia="Arial"/>
                <w:sz w:val="22"/>
              </w:rPr>
              <w:t>A </w:t>
            </w:r>
            <w:r>
              <w:rPr>
                <w:spacing w:val="-25"/>
                <w:sz w:val="22"/>
              </w:rPr>
              <w:t>座 </w:t>
            </w:r>
            <w:r>
              <w:rPr>
                <w:rFonts w:ascii="Arial" w:eastAsia="Arial"/>
                <w:spacing w:val="-7"/>
                <w:sz w:val="22"/>
              </w:rPr>
              <w:t>40</w:t>
            </w:r>
          </w:p>
          <w:p>
            <w:pPr>
              <w:pStyle w:val="TableParagraph"/>
              <w:spacing w:line="280" w:lineRule="exact"/>
              <w:ind w:left="108"/>
              <w:rPr>
                <w:rFonts w:ascii="Arial" w:eastAsia="Arial"/>
                <w:sz w:val="22"/>
              </w:rPr>
            </w:pPr>
            <w:r>
              <w:rPr>
                <w:sz w:val="22"/>
              </w:rPr>
              <w:t>－</w:t>
            </w:r>
            <w:r>
              <w:rPr>
                <w:rFonts w:ascii="Arial" w:eastAsia="Arial"/>
                <w:sz w:val="22"/>
              </w:rPr>
              <w:t>43F</w:t>
            </w:r>
          </w:p>
          <w:p>
            <w:pPr>
              <w:pStyle w:val="TableParagraph"/>
              <w:spacing w:line="266" w:lineRule="auto" w:before="30"/>
              <w:ind w:left="108" w:right="3376"/>
              <w:rPr>
                <w:sz w:val="22"/>
              </w:rPr>
            </w:pPr>
            <w:r>
              <w:rPr>
                <w:sz w:val="22"/>
              </w:rPr>
              <w:t>法定代表人：何亚刚联系人：齐冬妮</w:t>
            </w:r>
          </w:p>
          <w:p>
            <w:pPr>
              <w:pStyle w:val="TableParagraph"/>
              <w:spacing w:line="266" w:lineRule="auto"/>
              <w:ind w:left="108" w:right="1872"/>
              <w:rPr>
                <w:rFonts w:ascii="Arial" w:eastAsia="Arial"/>
                <w:sz w:val="22"/>
              </w:rPr>
            </w:pPr>
            <w:r>
              <w:rPr>
                <w:sz w:val="22"/>
              </w:rPr>
              <w:t>电话：</w:t>
            </w:r>
            <w:r>
              <w:rPr>
                <w:rFonts w:ascii="Arial" w:eastAsia="Arial"/>
                <w:sz w:val="22"/>
              </w:rPr>
              <w:t>010-59355807/13811475559 </w:t>
            </w:r>
            <w:r>
              <w:rPr>
                <w:sz w:val="22"/>
              </w:rPr>
              <w:t>传真：</w:t>
            </w:r>
            <w:r>
              <w:rPr>
                <w:rFonts w:ascii="Arial" w:eastAsia="Arial"/>
                <w:sz w:val="22"/>
              </w:rPr>
              <w:t>010-56437013</w:t>
            </w:r>
          </w:p>
          <w:p>
            <w:pPr>
              <w:pStyle w:val="TableParagraph"/>
              <w:spacing w:line="281" w:lineRule="exact"/>
              <w:ind w:left="108"/>
              <w:rPr>
                <w:rFonts w:ascii="Arial" w:eastAsia="Arial"/>
                <w:sz w:val="22"/>
              </w:rPr>
            </w:pPr>
            <w:r>
              <w:rPr>
                <w:sz w:val="22"/>
              </w:rPr>
              <w:t>客户服务电话：</w:t>
            </w:r>
            <w:r>
              <w:rPr>
                <w:rFonts w:ascii="Arial" w:eastAsia="Arial"/>
                <w:sz w:val="22"/>
              </w:rPr>
              <w:t>4008895618</w:t>
            </w:r>
          </w:p>
          <w:p>
            <w:pPr>
              <w:pStyle w:val="TableParagraph"/>
              <w:spacing w:line="277" w:lineRule="exact" w:before="28"/>
              <w:ind w:left="108"/>
              <w:rPr>
                <w:rFonts w:ascii="Arial" w:eastAsia="Arial"/>
                <w:sz w:val="22"/>
              </w:rPr>
            </w:pPr>
            <w:r>
              <w:rPr>
                <w:sz w:val="22"/>
              </w:rPr>
              <w:t>网址：</w:t>
            </w:r>
            <w:hyperlink r:id="rId89">
              <w:r>
                <w:rPr>
                  <w:rFonts w:ascii="Arial" w:eastAsia="Arial"/>
                  <w:sz w:val="22"/>
                </w:rPr>
                <w:t>http://www.e5618.com</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05"/>
              <w:jc w:val="right"/>
              <w:rPr>
                <w:rFonts w:ascii="Arial"/>
                <w:sz w:val="21"/>
              </w:rPr>
            </w:pPr>
            <w:r>
              <w:rPr>
                <w:rFonts w:ascii="Arial"/>
                <w:sz w:val="21"/>
              </w:rPr>
              <w:t>84</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ind w:left="1020" w:right="129" w:hanging="881"/>
              <w:rPr>
                <w:sz w:val="22"/>
              </w:rPr>
            </w:pPr>
            <w:r>
              <w:rPr>
                <w:sz w:val="22"/>
              </w:rPr>
              <w:t>上海华信证券有限责任公司</w:t>
            </w:r>
          </w:p>
        </w:tc>
        <w:tc>
          <w:tcPr>
            <w:tcW w:w="5480" w:type="dxa"/>
          </w:tcPr>
          <w:p>
            <w:pPr>
              <w:pStyle w:val="TableParagraph"/>
              <w:spacing w:before="15"/>
              <w:ind w:left="108"/>
              <w:rPr>
                <w:sz w:val="22"/>
              </w:rPr>
            </w:pPr>
            <w:r>
              <w:rPr>
                <w:spacing w:val="-11"/>
                <w:sz w:val="22"/>
              </w:rPr>
              <w:t>注册地址：上海浦东新区世纪大道 </w:t>
            </w:r>
            <w:r>
              <w:rPr>
                <w:rFonts w:ascii="Arial" w:eastAsia="Arial"/>
                <w:sz w:val="22"/>
              </w:rPr>
              <w:t>100 </w:t>
            </w:r>
            <w:r>
              <w:rPr>
                <w:spacing w:val="-2"/>
                <w:sz w:val="22"/>
              </w:rPr>
              <w:t>号环球金融中心</w:t>
            </w:r>
          </w:p>
          <w:p>
            <w:pPr>
              <w:pStyle w:val="TableParagraph"/>
              <w:spacing w:before="30"/>
              <w:ind w:left="108"/>
              <w:rPr>
                <w:sz w:val="22"/>
              </w:rPr>
            </w:pPr>
            <w:r>
              <w:rPr>
                <w:rFonts w:ascii="Arial" w:eastAsia="Arial"/>
                <w:sz w:val="22"/>
              </w:rPr>
              <w:t>9 </w:t>
            </w:r>
            <w:r>
              <w:rPr>
                <w:sz w:val="22"/>
              </w:rPr>
              <w:t>楼</w:t>
            </w:r>
          </w:p>
          <w:p>
            <w:pPr>
              <w:pStyle w:val="TableParagraph"/>
              <w:spacing w:before="30"/>
              <w:ind w:left="108"/>
              <w:rPr>
                <w:rFonts w:ascii="Arial" w:eastAsia="Arial"/>
                <w:sz w:val="22"/>
              </w:rPr>
            </w:pPr>
            <w:r>
              <w:rPr>
                <w:sz w:val="22"/>
              </w:rPr>
              <w:t>办公地址：上海市黄浦区南京西路 </w:t>
            </w:r>
            <w:r>
              <w:rPr>
                <w:rFonts w:ascii="Arial" w:eastAsia="Arial"/>
                <w:sz w:val="22"/>
              </w:rPr>
              <w:t>399 </w:t>
            </w:r>
            <w:r>
              <w:rPr>
                <w:sz w:val="22"/>
              </w:rPr>
              <w:t>号明天广场 </w:t>
            </w:r>
            <w:r>
              <w:rPr>
                <w:rFonts w:ascii="Arial" w:eastAsia="Arial"/>
                <w:sz w:val="22"/>
              </w:rPr>
              <w:t>22</w:t>
            </w:r>
          </w:p>
          <w:p>
            <w:pPr>
              <w:pStyle w:val="TableParagraph"/>
              <w:spacing w:before="30"/>
              <w:ind w:left="108"/>
              <w:rPr>
                <w:sz w:val="22"/>
              </w:rPr>
            </w:pPr>
            <w:r>
              <w:rPr>
                <w:w w:val="100"/>
                <w:sz w:val="22"/>
              </w:rPr>
              <w:t>楼</w:t>
            </w:r>
          </w:p>
          <w:p>
            <w:pPr>
              <w:pStyle w:val="TableParagraph"/>
              <w:spacing w:line="266" w:lineRule="auto" w:before="30"/>
              <w:ind w:left="108" w:right="3376"/>
              <w:rPr>
                <w:sz w:val="22"/>
              </w:rPr>
            </w:pPr>
            <w:r>
              <w:rPr>
                <w:sz w:val="22"/>
              </w:rPr>
              <w:t>法定代表人：陈灿辉联系人：徐璐</w:t>
            </w:r>
          </w:p>
          <w:p>
            <w:pPr>
              <w:pStyle w:val="TableParagraph"/>
              <w:spacing w:line="280" w:lineRule="exact"/>
              <w:ind w:left="108"/>
              <w:rPr>
                <w:rFonts w:ascii="Arial" w:eastAsia="Arial"/>
                <w:sz w:val="22"/>
              </w:rPr>
            </w:pPr>
            <w:r>
              <w:rPr>
                <w:sz w:val="22"/>
              </w:rPr>
              <w:t>电话：</w:t>
            </w:r>
            <w:r>
              <w:rPr>
                <w:rFonts w:ascii="Arial" w:eastAsia="Arial"/>
                <w:sz w:val="22"/>
              </w:rPr>
              <w:t>021-63898952</w:t>
            </w:r>
          </w:p>
          <w:p>
            <w:pPr>
              <w:pStyle w:val="TableParagraph"/>
              <w:spacing w:before="30"/>
              <w:ind w:left="108"/>
              <w:rPr>
                <w:rFonts w:ascii="Arial" w:eastAsia="Arial"/>
                <w:sz w:val="22"/>
              </w:rPr>
            </w:pPr>
            <w:r>
              <w:rPr>
                <w:sz w:val="22"/>
              </w:rPr>
              <w:t>传真：</w:t>
            </w:r>
            <w:r>
              <w:rPr>
                <w:rFonts w:ascii="Arial" w:eastAsia="Arial"/>
                <w:sz w:val="22"/>
              </w:rPr>
              <w:t>021-68776977 </w:t>
            </w:r>
            <w:r>
              <w:rPr>
                <w:sz w:val="22"/>
              </w:rPr>
              <w:t>转 </w:t>
            </w:r>
            <w:r>
              <w:rPr>
                <w:rFonts w:ascii="Arial" w:eastAsia="Arial"/>
                <w:sz w:val="22"/>
              </w:rPr>
              <w:t>8952</w:t>
            </w:r>
          </w:p>
          <w:p>
            <w:pPr>
              <w:pStyle w:val="TableParagraph"/>
              <w:spacing w:line="312" w:lineRule="exact" w:before="1"/>
              <w:ind w:left="108" w:right="2593"/>
              <w:rPr>
                <w:rFonts w:ascii="Arial" w:eastAsia="Arial"/>
                <w:sz w:val="22"/>
              </w:rPr>
            </w:pPr>
            <w:r>
              <w:rPr>
                <w:sz w:val="22"/>
              </w:rPr>
              <w:t>客户服务电话：</w:t>
            </w:r>
            <w:r>
              <w:rPr>
                <w:rFonts w:ascii="Arial" w:eastAsia="Arial"/>
                <w:sz w:val="22"/>
              </w:rPr>
              <w:t>4008205999 </w:t>
            </w:r>
            <w:r>
              <w:rPr>
                <w:sz w:val="22"/>
              </w:rPr>
              <w:t>网址：</w:t>
            </w:r>
            <w:hyperlink r:id="rId90">
              <w:r>
                <w:rPr>
                  <w:rFonts w:ascii="Arial" w:eastAsia="Arial"/>
                  <w:sz w:val="22"/>
                </w:rPr>
                <w:t>www.shhxzq.com</w:t>
              </w:r>
            </w:hyperlink>
          </w:p>
        </w:tc>
      </w:tr>
      <w:tr>
        <w:trPr>
          <w:trHeight w:val="281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right="105"/>
              <w:jc w:val="right"/>
              <w:rPr>
                <w:rFonts w:ascii="Arial"/>
                <w:sz w:val="21"/>
              </w:rPr>
            </w:pPr>
            <w:r>
              <w:rPr>
                <w:rFonts w:ascii="Arial"/>
                <w:sz w:val="21"/>
              </w:rPr>
              <w:t>85</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120" w:right="113"/>
              <w:jc w:val="center"/>
              <w:rPr>
                <w:sz w:val="22"/>
              </w:rPr>
            </w:pPr>
            <w:r>
              <w:rPr>
                <w:sz w:val="22"/>
              </w:rPr>
              <w:t>华鑫证券有限责任公司</w:t>
            </w:r>
          </w:p>
        </w:tc>
        <w:tc>
          <w:tcPr>
            <w:tcW w:w="5480" w:type="dxa"/>
          </w:tcPr>
          <w:p>
            <w:pPr>
              <w:pStyle w:val="TableParagraph"/>
              <w:spacing w:line="266" w:lineRule="auto" w:before="17"/>
              <w:ind w:left="108" w:right="69"/>
              <w:rPr>
                <w:sz w:val="22"/>
              </w:rPr>
            </w:pPr>
            <w:r>
              <w:rPr>
                <w:sz w:val="22"/>
              </w:rPr>
              <w:t>注册（办公）地址：深圳市福田区金田路 </w:t>
            </w:r>
            <w:r>
              <w:rPr>
                <w:rFonts w:ascii="Arial" w:eastAsia="Arial"/>
                <w:sz w:val="22"/>
              </w:rPr>
              <w:t>4018 </w:t>
            </w:r>
            <w:r>
              <w:rPr>
                <w:sz w:val="22"/>
              </w:rPr>
              <w:t>号安联大厦 </w:t>
            </w:r>
            <w:r>
              <w:rPr>
                <w:rFonts w:ascii="Arial" w:eastAsia="Arial"/>
                <w:sz w:val="22"/>
              </w:rPr>
              <w:t>28 </w:t>
            </w:r>
            <w:r>
              <w:rPr>
                <w:sz w:val="22"/>
              </w:rPr>
              <w:t>层 </w:t>
            </w:r>
            <w:r>
              <w:rPr>
                <w:rFonts w:ascii="Arial" w:eastAsia="Arial"/>
                <w:sz w:val="22"/>
              </w:rPr>
              <w:t>A01</w:t>
            </w:r>
            <w:r>
              <w:rPr>
                <w:sz w:val="22"/>
              </w:rPr>
              <w:t>、</w:t>
            </w:r>
            <w:r>
              <w:rPr>
                <w:rFonts w:ascii="Arial" w:eastAsia="Arial"/>
                <w:sz w:val="22"/>
              </w:rPr>
              <w:t>B01</w:t>
            </w:r>
            <w:r>
              <w:rPr>
                <w:sz w:val="22"/>
              </w:rPr>
              <w:t>（</w:t>
            </w:r>
            <w:r>
              <w:rPr>
                <w:rFonts w:ascii="Arial" w:eastAsia="Arial"/>
                <w:sz w:val="22"/>
              </w:rPr>
              <w:t>b</w:t>
            </w:r>
            <w:r>
              <w:rPr>
                <w:sz w:val="22"/>
              </w:rPr>
              <w:t>）单元</w:t>
            </w:r>
          </w:p>
          <w:p>
            <w:pPr>
              <w:pStyle w:val="TableParagraph"/>
              <w:spacing w:line="266" w:lineRule="auto"/>
              <w:ind w:left="108" w:right="3597"/>
              <w:rPr>
                <w:sz w:val="22"/>
              </w:rPr>
            </w:pPr>
            <w:r>
              <w:rPr>
                <w:sz w:val="22"/>
              </w:rPr>
              <w:t>法定代表人：俞洋联系人：朱泽乾</w:t>
            </w:r>
          </w:p>
          <w:p>
            <w:pPr>
              <w:pStyle w:val="TableParagraph"/>
              <w:spacing w:line="266" w:lineRule="auto"/>
              <w:ind w:left="108" w:right="3278"/>
              <w:rPr>
                <w:rFonts w:ascii="Arial" w:eastAsia="Arial"/>
                <w:sz w:val="22"/>
              </w:rPr>
            </w:pPr>
            <w:r>
              <w:rPr>
                <w:sz w:val="22"/>
              </w:rPr>
              <w:t>电话：</w:t>
            </w:r>
            <w:r>
              <w:rPr>
                <w:rFonts w:ascii="Arial" w:eastAsia="Arial"/>
                <w:sz w:val="22"/>
              </w:rPr>
              <w:t>021-54967367 </w:t>
            </w:r>
            <w:r>
              <w:rPr>
                <w:sz w:val="22"/>
              </w:rPr>
              <w:t>传真：</w:t>
            </w:r>
            <w:r>
              <w:rPr>
                <w:rFonts w:ascii="Arial" w:eastAsia="Arial"/>
                <w:sz w:val="22"/>
              </w:rPr>
              <w:t>021-54967032</w:t>
            </w:r>
          </w:p>
          <w:p>
            <w:pPr>
              <w:pStyle w:val="TableParagraph"/>
              <w:spacing w:line="266" w:lineRule="auto"/>
              <w:ind w:left="108" w:right="169"/>
              <w:rPr>
                <w:rFonts w:ascii="Arial" w:eastAsia="Arial"/>
                <w:sz w:val="22"/>
              </w:rPr>
            </w:pPr>
            <w:r>
              <w:rPr>
                <w:sz w:val="22"/>
              </w:rPr>
              <w:t>客户服务电话：</w:t>
            </w:r>
            <w:r>
              <w:rPr>
                <w:rFonts w:ascii="Arial" w:eastAsia="Arial"/>
                <w:sz w:val="22"/>
              </w:rPr>
              <w:t>95323</w:t>
            </w:r>
            <w:r>
              <w:rPr>
                <w:sz w:val="22"/>
              </w:rPr>
              <w:t>，</w:t>
            </w:r>
            <w:r>
              <w:rPr>
                <w:rFonts w:ascii="Arial" w:eastAsia="Arial"/>
                <w:sz w:val="22"/>
              </w:rPr>
              <w:t>4001099918</w:t>
            </w:r>
            <w:r>
              <w:rPr>
                <w:sz w:val="22"/>
              </w:rPr>
              <w:t>（全国） </w:t>
            </w:r>
            <w:r>
              <w:rPr>
                <w:rFonts w:ascii="Arial" w:eastAsia="Arial"/>
                <w:sz w:val="22"/>
              </w:rPr>
              <w:t>021</w:t>
            </w:r>
            <w:r>
              <w:rPr>
                <w:sz w:val="22"/>
              </w:rPr>
              <w:t>－ </w:t>
            </w:r>
            <w:r>
              <w:rPr>
                <w:rFonts w:ascii="Arial" w:eastAsia="Arial"/>
                <w:sz w:val="22"/>
              </w:rPr>
              <w:t>32109999</w:t>
            </w:r>
            <w:r>
              <w:rPr>
                <w:sz w:val="22"/>
              </w:rPr>
              <w:t>； </w:t>
            </w:r>
            <w:r>
              <w:rPr>
                <w:rFonts w:ascii="Arial" w:eastAsia="Arial"/>
                <w:sz w:val="22"/>
              </w:rPr>
              <w:t>029-68918888</w:t>
            </w:r>
          </w:p>
          <w:p>
            <w:pPr>
              <w:pStyle w:val="TableParagraph"/>
              <w:spacing w:line="275" w:lineRule="exact"/>
              <w:ind w:left="108"/>
              <w:rPr>
                <w:rFonts w:ascii="Arial" w:eastAsia="Arial"/>
                <w:sz w:val="22"/>
              </w:rPr>
            </w:pPr>
            <w:r>
              <w:rPr>
                <w:sz w:val="22"/>
              </w:rPr>
              <w:t>网址：</w:t>
            </w:r>
            <w:hyperlink r:id="rId91">
              <w:r>
                <w:rPr>
                  <w:rFonts w:ascii="Arial" w:eastAsia="Arial"/>
                  <w:sz w:val="22"/>
                </w:rPr>
                <w:t>www.cfsc.com.cn</w:t>
              </w:r>
            </w:hyperlink>
          </w:p>
        </w:tc>
      </w:tr>
      <w:tr>
        <w:trPr>
          <w:trHeight w:val="623" w:hRule="atLeast"/>
        </w:trPr>
        <w:tc>
          <w:tcPr>
            <w:tcW w:w="470" w:type="dxa"/>
          </w:tcPr>
          <w:p>
            <w:pPr>
              <w:pStyle w:val="TableParagraph"/>
              <w:spacing w:before="189"/>
              <w:ind w:right="105"/>
              <w:jc w:val="right"/>
              <w:rPr>
                <w:rFonts w:ascii="Arial"/>
                <w:sz w:val="21"/>
              </w:rPr>
            </w:pPr>
            <w:r>
              <w:rPr>
                <w:rFonts w:ascii="Arial"/>
                <w:sz w:val="21"/>
              </w:rPr>
              <w:t>86</w:t>
            </w:r>
          </w:p>
        </w:tc>
        <w:tc>
          <w:tcPr>
            <w:tcW w:w="2484" w:type="dxa"/>
          </w:tcPr>
          <w:p>
            <w:pPr>
              <w:pStyle w:val="TableParagraph"/>
              <w:spacing w:before="171"/>
              <w:ind w:left="120" w:right="113"/>
              <w:jc w:val="center"/>
              <w:rPr>
                <w:sz w:val="22"/>
              </w:rPr>
            </w:pPr>
            <w:r>
              <w:rPr>
                <w:sz w:val="22"/>
              </w:rPr>
              <w:t>财通证券股份有限公司</w:t>
            </w:r>
          </w:p>
        </w:tc>
        <w:tc>
          <w:tcPr>
            <w:tcW w:w="5480" w:type="dxa"/>
          </w:tcPr>
          <w:p>
            <w:pPr>
              <w:pStyle w:val="TableParagraph"/>
              <w:spacing w:before="15"/>
              <w:ind w:left="108"/>
              <w:rPr>
                <w:sz w:val="22"/>
              </w:rPr>
            </w:pPr>
            <w:r>
              <w:rPr>
                <w:sz w:val="22"/>
              </w:rPr>
              <w:t>注册（办公）地址：杭州市杭大路 </w:t>
            </w:r>
            <w:r>
              <w:rPr>
                <w:rFonts w:ascii="Arial" w:eastAsia="Arial"/>
                <w:sz w:val="22"/>
              </w:rPr>
              <w:t>15 </w:t>
            </w:r>
            <w:r>
              <w:rPr>
                <w:sz w:val="22"/>
              </w:rPr>
              <w:t>号嘉华国际商务</w:t>
            </w:r>
          </w:p>
          <w:p>
            <w:pPr>
              <w:pStyle w:val="TableParagraph"/>
              <w:spacing w:line="277" w:lineRule="exact" w:before="30"/>
              <w:ind w:left="108"/>
              <w:rPr>
                <w:rFonts w:ascii="Arial" w:eastAsia="Arial"/>
                <w:sz w:val="22"/>
              </w:rPr>
            </w:pPr>
            <w:r>
              <w:rPr>
                <w:sz w:val="22"/>
              </w:rPr>
              <w:t>中心 </w:t>
            </w:r>
            <w:r>
              <w:rPr>
                <w:rFonts w:ascii="Arial" w:eastAsia="Arial"/>
                <w:sz w:val="22"/>
              </w:rPr>
              <w:t>201</w:t>
            </w:r>
            <w:r>
              <w:rPr>
                <w:sz w:val="22"/>
              </w:rPr>
              <w:t>、</w:t>
            </w:r>
            <w:r>
              <w:rPr>
                <w:rFonts w:ascii="Arial" w:eastAsia="Arial"/>
                <w:sz w:val="22"/>
              </w:rPr>
              <w:t>501</w:t>
            </w:r>
            <w:r>
              <w:rPr>
                <w:sz w:val="22"/>
              </w:rPr>
              <w:t>、</w:t>
            </w:r>
            <w:r>
              <w:rPr>
                <w:rFonts w:ascii="Arial" w:eastAsia="Arial"/>
                <w:sz w:val="22"/>
              </w:rPr>
              <w:t>502</w:t>
            </w:r>
            <w:r>
              <w:rPr>
                <w:sz w:val="22"/>
              </w:rPr>
              <w:t>、</w:t>
            </w:r>
            <w:r>
              <w:rPr>
                <w:rFonts w:ascii="Arial" w:eastAsia="Arial"/>
                <w:sz w:val="22"/>
              </w:rPr>
              <w:t>1103</w:t>
            </w:r>
            <w:r>
              <w:rPr>
                <w:sz w:val="22"/>
              </w:rPr>
              <w:t>、</w:t>
            </w:r>
            <w:r>
              <w:rPr>
                <w:rFonts w:ascii="Arial" w:eastAsia="Arial"/>
                <w:sz w:val="22"/>
              </w:rPr>
              <w:t>1601-1615</w:t>
            </w:r>
            <w:r>
              <w:rPr>
                <w:sz w:val="22"/>
              </w:rPr>
              <w:t>、</w:t>
            </w:r>
            <w:r>
              <w:rPr>
                <w:rFonts w:ascii="Arial" w:eastAsia="Arial"/>
                <w:sz w:val="22"/>
              </w:rPr>
              <w:t>1701-1716</w:t>
            </w:r>
          </w:p>
        </w:tc>
      </w:tr>
    </w:tbl>
    <w:p>
      <w:pPr>
        <w:spacing w:after="0" w:line="277" w:lineRule="exact"/>
        <w:rPr>
          <w:rFonts w:ascii="Arial" w:eastAsia="Arial"/>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936"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sz w:val="22"/>
              </w:rPr>
            </w:pPr>
            <w:r>
              <w:rPr>
                <w:sz w:val="22"/>
              </w:rPr>
              <w:t>法定代表人：陆建强</w:t>
            </w:r>
          </w:p>
          <w:p>
            <w:pPr>
              <w:pStyle w:val="TableParagraph"/>
              <w:spacing w:before="31"/>
              <w:ind w:left="108"/>
              <w:rPr>
                <w:rFonts w:ascii="Arial" w:eastAsia="Arial"/>
                <w:sz w:val="22"/>
              </w:rPr>
            </w:pPr>
            <w:r>
              <w:rPr>
                <w:sz w:val="22"/>
              </w:rPr>
              <w:t>客户服务电话： </w:t>
            </w:r>
            <w:r>
              <w:rPr>
                <w:rFonts w:ascii="Arial" w:eastAsia="Arial"/>
                <w:sz w:val="22"/>
              </w:rPr>
              <w:t>95336</w:t>
            </w:r>
            <w:r>
              <w:rPr>
                <w:sz w:val="22"/>
              </w:rPr>
              <w:t>、</w:t>
            </w:r>
            <w:r>
              <w:rPr>
                <w:rFonts w:ascii="Arial" w:eastAsia="Arial"/>
                <w:sz w:val="22"/>
              </w:rPr>
              <w:t>4008696336</w:t>
            </w:r>
          </w:p>
          <w:p>
            <w:pPr>
              <w:pStyle w:val="TableParagraph"/>
              <w:spacing w:line="277" w:lineRule="exact" w:before="30"/>
              <w:ind w:left="108"/>
              <w:rPr>
                <w:rFonts w:ascii="Arial" w:eastAsia="Arial"/>
                <w:sz w:val="22"/>
              </w:rPr>
            </w:pPr>
            <w:r>
              <w:rPr>
                <w:sz w:val="22"/>
              </w:rPr>
              <w:t>网址： </w:t>
            </w:r>
            <w:hyperlink r:id="rId92">
              <w:r>
                <w:rPr>
                  <w:rFonts w:ascii="Arial" w:eastAsia="Arial"/>
                  <w:sz w:val="22"/>
                </w:rPr>
                <w:t>www.ctsec.com</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05"/>
              <w:jc w:val="right"/>
              <w:rPr>
                <w:rFonts w:ascii="Arial"/>
                <w:sz w:val="21"/>
              </w:rPr>
            </w:pPr>
            <w:r>
              <w:rPr>
                <w:rFonts w:ascii="Arial"/>
                <w:sz w:val="21"/>
              </w:rPr>
              <w:t>87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9"/>
              <w:rPr>
                <w:sz w:val="22"/>
              </w:rPr>
            </w:pPr>
            <w:r>
              <w:rPr>
                <w:sz w:val="22"/>
              </w:rPr>
              <w:t>广州证券股份有限公司</w:t>
            </w:r>
          </w:p>
        </w:tc>
        <w:tc>
          <w:tcPr>
            <w:tcW w:w="5480" w:type="dxa"/>
          </w:tcPr>
          <w:p>
            <w:pPr>
              <w:pStyle w:val="TableParagraph"/>
              <w:spacing w:line="266" w:lineRule="auto" w:before="15"/>
              <w:ind w:left="108" w:right="186"/>
              <w:rPr>
                <w:sz w:val="22"/>
              </w:rPr>
            </w:pPr>
            <w:r>
              <w:rPr>
                <w:spacing w:val="-6"/>
                <w:sz w:val="22"/>
              </w:rPr>
              <w:t>注册地址： 广州市天河区珠江西路 </w:t>
            </w:r>
            <w:r>
              <w:rPr>
                <w:sz w:val="22"/>
              </w:rPr>
              <w:t>5</w:t>
            </w:r>
            <w:r>
              <w:rPr>
                <w:spacing w:val="-11"/>
                <w:sz w:val="22"/>
              </w:rPr>
              <w:t> 号广州国际金融</w:t>
            </w:r>
            <w:r>
              <w:rPr>
                <w:spacing w:val="-12"/>
                <w:sz w:val="22"/>
              </w:rPr>
              <w:t>中心主塔 </w:t>
            </w:r>
            <w:r>
              <w:rPr>
                <w:sz w:val="22"/>
              </w:rPr>
              <w:t>19</w:t>
            </w:r>
            <w:r>
              <w:rPr>
                <w:spacing w:val="-19"/>
                <w:sz w:val="22"/>
              </w:rPr>
              <w:t> 层、</w:t>
            </w:r>
            <w:r>
              <w:rPr>
                <w:sz w:val="22"/>
              </w:rPr>
              <w:t>20</w:t>
            </w:r>
            <w:r>
              <w:rPr>
                <w:spacing w:val="-28"/>
                <w:sz w:val="22"/>
              </w:rPr>
              <w:t> 层</w:t>
            </w:r>
          </w:p>
          <w:p>
            <w:pPr>
              <w:pStyle w:val="TableParagraph"/>
              <w:spacing w:line="266" w:lineRule="auto"/>
              <w:ind w:left="108" w:right="186"/>
              <w:rPr>
                <w:sz w:val="22"/>
              </w:rPr>
            </w:pPr>
            <w:r>
              <w:rPr>
                <w:spacing w:val="-6"/>
                <w:sz w:val="22"/>
              </w:rPr>
              <w:t>办公地址： 广州市天河区珠江西路 </w:t>
            </w:r>
            <w:r>
              <w:rPr>
                <w:sz w:val="22"/>
              </w:rPr>
              <w:t>5</w:t>
            </w:r>
            <w:r>
              <w:rPr>
                <w:spacing w:val="-11"/>
                <w:sz w:val="22"/>
              </w:rPr>
              <w:t> 号广州国际金融</w:t>
            </w:r>
            <w:r>
              <w:rPr>
                <w:spacing w:val="-12"/>
                <w:sz w:val="22"/>
              </w:rPr>
              <w:t>中心主塔 </w:t>
            </w:r>
            <w:r>
              <w:rPr>
                <w:sz w:val="22"/>
              </w:rPr>
              <w:t>19</w:t>
            </w:r>
            <w:r>
              <w:rPr>
                <w:spacing w:val="-19"/>
                <w:sz w:val="22"/>
              </w:rPr>
              <w:t> 层、</w:t>
            </w:r>
            <w:r>
              <w:rPr>
                <w:sz w:val="22"/>
              </w:rPr>
              <w:t>20</w:t>
            </w:r>
            <w:r>
              <w:rPr>
                <w:spacing w:val="-28"/>
                <w:sz w:val="22"/>
              </w:rPr>
              <w:t> 层</w:t>
            </w:r>
          </w:p>
          <w:p>
            <w:pPr>
              <w:pStyle w:val="TableParagraph"/>
              <w:spacing w:line="266" w:lineRule="auto"/>
              <w:ind w:left="108" w:right="3266"/>
              <w:rPr>
                <w:sz w:val="22"/>
              </w:rPr>
            </w:pPr>
            <w:r>
              <w:rPr>
                <w:sz w:val="22"/>
              </w:rPr>
              <w:t>法定代表人： 胡伏云联系人： 梁微</w:t>
            </w:r>
          </w:p>
          <w:p>
            <w:pPr>
              <w:pStyle w:val="TableParagraph"/>
              <w:spacing w:line="266" w:lineRule="auto"/>
              <w:ind w:left="108" w:right="3376"/>
              <w:rPr>
                <w:sz w:val="22"/>
              </w:rPr>
            </w:pPr>
            <w:r>
              <w:rPr>
                <w:sz w:val="22"/>
              </w:rPr>
              <w:t>电话：020-88836999 传真：020-88836984</w:t>
            </w:r>
          </w:p>
          <w:p>
            <w:pPr>
              <w:pStyle w:val="TableParagraph"/>
              <w:spacing w:line="281" w:lineRule="exact"/>
              <w:ind w:left="108"/>
              <w:rPr>
                <w:sz w:val="22"/>
              </w:rPr>
            </w:pPr>
            <w:r>
              <w:rPr>
                <w:sz w:val="22"/>
              </w:rPr>
              <w:t>客户服务电话：95396</w:t>
            </w:r>
          </w:p>
          <w:p>
            <w:pPr>
              <w:pStyle w:val="TableParagraph"/>
              <w:spacing w:line="277" w:lineRule="exact" w:before="25"/>
              <w:ind w:left="108"/>
              <w:rPr>
                <w:sz w:val="22"/>
              </w:rPr>
            </w:pPr>
            <w:hyperlink r:id="rId93">
              <w:r>
                <w:rPr>
                  <w:sz w:val="22"/>
                </w:rPr>
                <w:t>网址：www.gzs.com.cn</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05"/>
              <w:jc w:val="right"/>
              <w:rPr>
                <w:rFonts w:ascii="Arial"/>
                <w:sz w:val="21"/>
              </w:rPr>
            </w:pPr>
            <w:r>
              <w:rPr>
                <w:rFonts w:ascii="Arial"/>
                <w:sz w:val="21"/>
              </w:rPr>
              <w:t>88</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20" w:right="113"/>
              <w:jc w:val="center"/>
              <w:rPr>
                <w:sz w:val="22"/>
              </w:rPr>
            </w:pPr>
            <w:r>
              <w:rPr>
                <w:sz w:val="22"/>
              </w:rPr>
              <w:t>联储证券有限责任公司</w:t>
            </w:r>
          </w:p>
          <w:p>
            <w:pPr>
              <w:pStyle w:val="TableParagraph"/>
              <w:spacing w:line="266" w:lineRule="auto" w:before="30"/>
              <w:ind w:left="139" w:right="129"/>
              <w:jc w:val="center"/>
              <w:rPr>
                <w:sz w:val="22"/>
              </w:rPr>
            </w:pPr>
            <w:r>
              <w:rPr>
                <w:sz w:val="22"/>
              </w:rPr>
              <w:t>（注：仅代销景系列之优选混合型证券投资基金、动力平衡证券投资基金）</w:t>
            </w:r>
          </w:p>
        </w:tc>
        <w:tc>
          <w:tcPr>
            <w:tcW w:w="5480" w:type="dxa"/>
          </w:tcPr>
          <w:p>
            <w:pPr>
              <w:pStyle w:val="TableParagraph"/>
              <w:spacing w:line="266" w:lineRule="auto" w:before="15"/>
              <w:ind w:left="108" w:right="47"/>
              <w:rPr>
                <w:sz w:val="22"/>
              </w:rPr>
            </w:pPr>
            <w:r>
              <w:rPr>
                <w:sz w:val="22"/>
              </w:rPr>
              <w:t>注册地址：深圳市福田区福田街道岗厦社区深南大道南侧金地中心大厦 9 楼</w:t>
            </w:r>
          </w:p>
          <w:p>
            <w:pPr>
              <w:pStyle w:val="TableParagraph"/>
              <w:spacing w:line="280" w:lineRule="exact"/>
              <w:ind w:left="108"/>
              <w:rPr>
                <w:sz w:val="22"/>
              </w:rPr>
            </w:pPr>
            <w:r>
              <w:rPr>
                <w:spacing w:val="-8"/>
                <w:sz w:val="22"/>
              </w:rPr>
              <w:t>办公地址：北京市朝阳区安定路 </w:t>
            </w:r>
            <w:r>
              <w:rPr>
                <w:sz w:val="22"/>
              </w:rPr>
              <w:t>5</w:t>
            </w:r>
            <w:r>
              <w:rPr>
                <w:spacing w:val="-28"/>
                <w:sz w:val="22"/>
              </w:rPr>
              <w:t> 号院 </w:t>
            </w:r>
            <w:r>
              <w:rPr>
                <w:sz w:val="22"/>
              </w:rPr>
              <w:t>3</w:t>
            </w:r>
            <w:r>
              <w:rPr>
                <w:spacing w:val="-10"/>
                <w:sz w:val="22"/>
              </w:rPr>
              <w:t> 号楼中建财富</w:t>
            </w:r>
          </w:p>
          <w:p>
            <w:pPr>
              <w:pStyle w:val="TableParagraph"/>
              <w:spacing w:before="30"/>
              <w:ind w:left="108"/>
              <w:rPr>
                <w:sz w:val="22"/>
              </w:rPr>
            </w:pPr>
            <w:r>
              <w:rPr>
                <w:sz w:val="22"/>
              </w:rPr>
              <w:t>国际中心 27 层</w:t>
            </w:r>
          </w:p>
          <w:p>
            <w:pPr>
              <w:pStyle w:val="TableParagraph"/>
              <w:spacing w:line="266" w:lineRule="auto" w:before="30"/>
              <w:ind w:left="108" w:right="3376"/>
              <w:rPr>
                <w:sz w:val="22"/>
              </w:rPr>
            </w:pPr>
            <w:r>
              <w:rPr>
                <w:sz w:val="22"/>
              </w:rPr>
              <w:t>法定代表人：吕春卫联系人：丁倩云</w:t>
            </w:r>
          </w:p>
          <w:p>
            <w:pPr>
              <w:pStyle w:val="TableParagraph"/>
              <w:spacing w:line="266" w:lineRule="auto"/>
              <w:ind w:left="108" w:right="3376"/>
              <w:rPr>
                <w:sz w:val="22"/>
              </w:rPr>
            </w:pPr>
            <w:r>
              <w:rPr>
                <w:sz w:val="22"/>
              </w:rPr>
              <w:t>电话：010-86499427 传真：010-86499401</w:t>
            </w:r>
          </w:p>
          <w:p>
            <w:pPr>
              <w:pStyle w:val="TableParagraph"/>
              <w:spacing w:line="281" w:lineRule="exact"/>
              <w:ind w:left="108"/>
              <w:rPr>
                <w:sz w:val="22"/>
              </w:rPr>
            </w:pPr>
            <w:r>
              <w:rPr>
                <w:sz w:val="22"/>
              </w:rPr>
              <w:t>客户服务电话：400-620-6868</w:t>
            </w:r>
          </w:p>
          <w:p>
            <w:pPr>
              <w:pStyle w:val="TableParagraph"/>
              <w:spacing w:line="277" w:lineRule="exact" w:before="28"/>
              <w:ind w:left="108"/>
              <w:rPr>
                <w:sz w:val="22"/>
              </w:rPr>
            </w:pPr>
            <w:hyperlink r:id="rId94">
              <w:r>
                <w:rPr>
                  <w:sz w:val="22"/>
                </w:rPr>
                <w:t>网址：www.lczq.com</w:t>
              </w:r>
            </w:hyperlink>
          </w:p>
        </w:tc>
      </w:tr>
      <w:tr>
        <w:trPr>
          <w:trHeight w:val="280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05"/>
              <w:jc w:val="right"/>
              <w:rPr>
                <w:rFonts w:ascii="Arial"/>
                <w:sz w:val="21"/>
              </w:rPr>
            </w:pPr>
            <w:r>
              <w:rPr>
                <w:rFonts w:ascii="Arial"/>
                <w:sz w:val="21"/>
              </w:rPr>
              <w:t>89</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799" w:right="129" w:hanging="660"/>
              <w:rPr>
                <w:sz w:val="22"/>
              </w:rPr>
            </w:pPr>
            <w:r>
              <w:rPr>
                <w:sz w:val="22"/>
              </w:rPr>
              <w:t>深圳众禄基金销售股份有限公司</w:t>
            </w:r>
          </w:p>
        </w:tc>
        <w:tc>
          <w:tcPr>
            <w:tcW w:w="5480" w:type="dxa"/>
          </w:tcPr>
          <w:p>
            <w:pPr>
              <w:pStyle w:val="TableParagraph"/>
              <w:spacing w:line="266" w:lineRule="auto" w:before="15"/>
              <w:ind w:left="108" w:right="48"/>
              <w:rPr>
                <w:sz w:val="22"/>
              </w:rPr>
            </w:pPr>
            <w:r>
              <w:rPr>
                <w:sz w:val="22"/>
              </w:rPr>
              <w:t>注册（办公）地址：深圳市罗湖区梨园路物资控股置地大厦 </w:t>
            </w:r>
            <w:r>
              <w:rPr>
                <w:rFonts w:ascii="Arial" w:eastAsia="Arial"/>
                <w:sz w:val="22"/>
              </w:rPr>
              <w:t>8 </w:t>
            </w:r>
            <w:r>
              <w:rPr>
                <w:sz w:val="22"/>
              </w:rPr>
              <w:t>楼</w:t>
            </w:r>
          </w:p>
          <w:p>
            <w:pPr>
              <w:pStyle w:val="TableParagraph"/>
              <w:spacing w:line="266" w:lineRule="auto"/>
              <w:ind w:left="108" w:right="3597"/>
              <w:rPr>
                <w:sz w:val="22"/>
              </w:rPr>
            </w:pPr>
            <w:r>
              <w:rPr>
                <w:sz w:val="22"/>
              </w:rPr>
              <w:t>法定代表人：薛峰联系人：童彩平</w:t>
            </w:r>
          </w:p>
          <w:p>
            <w:pPr>
              <w:pStyle w:val="TableParagraph"/>
              <w:spacing w:line="266" w:lineRule="auto"/>
              <w:ind w:left="108" w:right="3156"/>
              <w:rPr>
                <w:rFonts w:ascii="Arial" w:eastAsia="Arial"/>
                <w:sz w:val="22"/>
              </w:rPr>
            </w:pPr>
            <w:r>
              <w:rPr>
                <w:sz w:val="22"/>
              </w:rPr>
              <w:t>电话：</w:t>
            </w:r>
            <w:r>
              <w:rPr>
                <w:rFonts w:ascii="Arial" w:eastAsia="Arial"/>
                <w:sz w:val="22"/>
              </w:rPr>
              <w:t>0755-33227950 </w:t>
            </w:r>
            <w:r>
              <w:rPr>
                <w:sz w:val="22"/>
              </w:rPr>
              <w:t>传真：</w:t>
            </w:r>
            <w:r>
              <w:rPr>
                <w:rFonts w:ascii="Arial" w:eastAsia="Arial"/>
                <w:sz w:val="22"/>
              </w:rPr>
              <w:t>0755-33227951</w:t>
            </w:r>
          </w:p>
          <w:p>
            <w:pPr>
              <w:pStyle w:val="TableParagraph"/>
              <w:spacing w:line="280" w:lineRule="exact"/>
              <w:ind w:left="108"/>
              <w:rPr>
                <w:rFonts w:ascii="Arial" w:eastAsia="Arial"/>
                <w:sz w:val="22"/>
              </w:rPr>
            </w:pPr>
            <w:r>
              <w:rPr>
                <w:sz w:val="22"/>
              </w:rPr>
              <w:t>客户服务电话：</w:t>
            </w:r>
            <w:r>
              <w:rPr>
                <w:rFonts w:ascii="Arial" w:eastAsia="Arial"/>
                <w:sz w:val="22"/>
              </w:rPr>
              <w:t>4006-788-887</w:t>
            </w:r>
          </w:p>
          <w:p>
            <w:pPr>
              <w:pStyle w:val="TableParagraph"/>
              <w:spacing w:before="26"/>
              <w:ind w:left="108"/>
              <w:rPr>
                <w:rFonts w:ascii="Arial" w:eastAsia="Arial"/>
                <w:sz w:val="22"/>
              </w:rPr>
            </w:pPr>
            <w:r>
              <w:rPr>
                <w:sz w:val="22"/>
              </w:rPr>
              <w:t>网址：众禄基金网 </w:t>
            </w:r>
            <w:hyperlink r:id="rId95">
              <w:r>
                <w:rPr>
                  <w:rFonts w:ascii="Arial" w:eastAsia="Arial"/>
                  <w:sz w:val="22"/>
                </w:rPr>
                <w:t>www.zlfund.cn</w:t>
              </w:r>
            </w:hyperlink>
          </w:p>
          <w:p>
            <w:pPr>
              <w:pStyle w:val="TableParagraph"/>
              <w:spacing w:line="277" w:lineRule="exact" w:before="30"/>
              <w:ind w:left="108"/>
              <w:rPr>
                <w:rFonts w:ascii="Arial" w:eastAsia="Arial"/>
                <w:sz w:val="22"/>
              </w:rPr>
            </w:pPr>
            <w:r>
              <w:rPr>
                <w:sz w:val="22"/>
              </w:rPr>
              <w:t>基金买卖网 </w:t>
            </w:r>
            <w:hyperlink r:id="rId96">
              <w:r>
                <w:rPr>
                  <w:rFonts w:ascii="Arial" w:eastAsia="Arial"/>
                  <w:sz w:val="22"/>
                </w:rPr>
                <w:t>www.jjmmw.com</w:t>
              </w:r>
            </w:hyperlink>
          </w:p>
        </w:tc>
      </w:tr>
      <w:tr>
        <w:trPr>
          <w:trHeight w:val="2497"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05"/>
              <w:jc w:val="right"/>
              <w:rPr>
                <w:rFonts w:ascii="Arial"/>
                <w:sz w:val="21"/>
              </w:rPr>
            </w:pPr>
            <w:r>
              <w:rPr>
                <w:rFonts w:ascii="Arial"/>
                <w:sz w:val="21"/>
              </w:rPr>
              <w:t>90</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4"/>
              <w:ind w:left="799" w:right="129" w:hanging="660"/>
              <w:rPr>
                <w:sz w:val="22"/>
              </w:rPr>
            </w:pPr>
            <w:r>
              <w:rPr>
                <w:sz w:val="22"/>
              </w:rPr>
              <w:t>蚂蚁（杭州）基金销售有限公司</w:t>
            </w:r>
          </w:p>
        </w:tc>
        <w:tc>
          <w:tcPr>
            <w:tcW w:w="5480" w:type="dxa"/>
          </w:tcPr>
          <w:p>
            <w:pPr>
              <w:pStyle w:val="TableParagraph"/>
              <w:spacing w:before="17"/>
              <w:ind w:left="108"/>
              <w:rPr>
                <w:rFonts w:ascii="Arial" w:eastAsia="Arial"/>
                <w:sz w:val="22"/>
              </w:rPr>
            </w:pPr>
            <w:r>
              <w:rPr>
                <w:sz w:val="22"/>
              </w:rPr>
              <w:t>注册地址：浙江省杭州市余杭区五常街道文一西路 </w:t>
            </w:r>
            <w:r>
              <w:rPr>
                <w:rFonts w:ascii="Arial" w:eastAsia="Arial"/>
                <w:sz w:val="22"/>
              </w:rPr>
              <w:t>969</w:t>
            </w:r>
          </w:p>
          <w:p>
            <w:pPr>
              <w:pStyle w:val="TableParagraph"/>
              <w:spacing w:before="30"/>
              <w:ind w:left="108"/>
              <w:rPr>
                <w:sz w:val="22"/>
              </w:rPr>
            </w:pPr>
            <w:r>
              <w:rPr>
                <w:sz w:val="22"/>
              </w:rPr>
              <w:t>号 </w:t>
            </w:r>
            <w:r>
              <w:rPr>
                <w:rFonts w:ascii="Arial" w:eastAsia="Arial"/>
                <w:sz w:val="22"/>
              </w:rPr>
              <w:t>3 </w:t>
            </w:r>
            <w:r>
              <w:rPr>
                <w:sz w:val="22"/>
              </w:rPr>
              <w:t>幢 </w:t>
            </w:r>
            <w:r>
              <w:rPr>
                <w:rFonts w:ascii="Arial" w:eastAsia="Arial"/>
                <w:sz w:val="22"/>
              </w:rPr>
              <w:t>5 </w:t>
            </w:r>
            <w:r>
              <w:rPr>
                <w:sz w:val="22"/>
              </w:rPr>
              <w:t>层 </w:t>
            </w:r>
            <w:r>
              <w:rPr>
                <w:rFonts w:ascii="Arial" w:eastAsia="Arial"/>
                <w:sz w:val="22"/>
              </w:rPr>
              <w:t>599 </w:t>
            </w:r>
            <w:r>
              <w:rPr>
                <w:sz w:val="22"/>
              </w:rPr>
              <w:t>室</w:t>
            </w:r>
          </w:p>
          <w:p>
            <w:pPr>
              <w:pStyle w:val="TableParagraph"/>
              <w:spacing w:line="266" w:lineRule="auto" w:before="30"/>
              <w:ind w:left="108" w:right="94"/>
              <w:rPr>
                <w:rFonts w:ascii="Arial" w:eastAsia="Arial"/>
                <w:sz w:val="22"/>
              </w:rPr>
            </w:pPr>
            <w:r>
              <w:rPr>
                <w:sz w:val="22"/>
              </w:rPr>
              <w:t>办公地址：浙江省杭州市西湖区万塘路 </w:t>
            </w:r>
            <w:r>
              <w:rPr>
                <w:rFonts w:ascii="Arial" w:eastAsia="Arial"/>
                <w:sz w:val="22"/>
              </w:rPr>
              <w:t>18 </w:t>
            </w:r>
            <w:r>
              <w:rPr>
                <w:sz w:val="22"/>
              </w:rPr>
              <w:t>号黄龙时代广场 </w:t>
            </w:r>
            <w:r>
              <w:rPr>
                <w:rFonts w:ascii="Arial" w:eastAsia="Arial"/>
                <w:sz w:val="22"/>
              </w:rPr>
              <w:t>B </w:t>
            </w:r>
            <w:r>
              <w:rPr>
                <w:sz w:val="22"/>
              </w:rPr>
              <w:t>座 </w:t>
            </w:r>
            <w:r>
              <w:rPr>
                <w:rFonts w:ascii="Arial" w:eastAsia="Arial"/>
                <w:sz w:val="22"/>
              </w:rPr>
              <w:t>6F</w:t>
            </w:r>
          </w:p>
          <w:p>
            <w:pPr>
              <w:pStyle w:val="TableParagraph"/>
              <w:spacing w:line="266" w:lineRule="auto"/>
              <w:ind w:left="108" w:right="3376"/>
              <w:rPr>
                <w:sz w:val="22"/>
              </w:rPr>
            </w:pPr>
            <w:r>
              <w:rPr>
                <w:sz w:val="22"/>
              </w:rPr>
              <w:t>法定代表人：祖国明联系人：韩爱彬</w:t>
            </w:r>
          </w:p>
          <w:p>
            <w:pPr>
              <w:pStyle w:val="TableParagraph"/>
              <w:spacing w:line="280" w:lineRule="exact"/>
              <w:ind w:left="108"/>
              <w:rPr>
                <w:rFonts w:ascii="Arial" w:eastAsia="Arial"/>
                <w:sz w:val="22"/>
              </w:rPr>
            </w:pPr>
            <w:r>
              <w:rPr>
                <w:sz w:val="22"/>
              </w:rPr>
              <w:t>客服电话：</w:t>
            </w:r>
            <w:r>
              <w:rPr>
                <w:rFonts w:ascii="Arial" w:eastAsia="Arial"/>
                <w:sz w:val="22"/>
              </w:rPr>
              <w:t>4000-766-123</w:t>
            </w:r>
          </w:p>
          <w:p>
            <w:pPr>
              <w:pStyle w:val="TableParagraph"/>
              <w:spacing w:line="277" w:lineRule="exact" w:before="29"/>
              <w:ind w:left="108"/>
              <w:rPr>
                <w:rFonts w:ascii="Arial" w:eastAsia="Arial"/>
                <w:sz w:val="22"/>
              </w:rPr>
            </w:pPr>
            <w:r>
              <w:rPr>
                <w:sz w:val="22"/>
              </w:rPr>
              <w:t>公司网址： </w:t>
            </w:r>
            <w:hyperlink r:id="rId97">
              <w:r>
                <w:rPr>
                  <w:rFonts w:ascii="Arial" w:eastAsia="Arial"/>
                  <w:sz w:val="22"/>
                </w:rPr>
                <w:t>www.fund123.cn</w:t>
              </w:r>
            </w:hyperlink>
          </w:p>
        </w:tc>
      </w:tr>
      <w:tr>
        <w:trPr>
          <w:trHeight w:val="1248" w:hRule="atLeast"/>
        </w:trPr>
        <w:tc>
          <w:tcPr>
            <w:tcW w:w="470" w:type="dxa"/>
          </w:tcPr>
          <w:p>
            <w:pPr>
              <w:pStyle w:val="TableParagraph"/>
              <w:rPr>
                <w:rFonts w:ascii="Times New Roman"/>
                <w:sz w:val="24"/>
              </w:rPr>
            </w:pPr>
          </w:p>
          <w:p>
            <w:pPr>
              <w:pStyle w:val="TableParagraph"/>
              <w:spacing w:before="7"/>
              <w:rPr>
                <w:rFonts w:ascii="Times New Roman"/>
                <w:sz w:val="19"/>
              </w:rPr>
            </w:pPr>
          </w:p>
          <w:p>
            <w:pPr>
              <w:pStyle w:val="TableParagraph"/>
              <w:ind w:right="105"/>
              <w:jc w:val="right"/>
              <w:rPr>
                <w:rFonts w:ascii="Arial"/>
                <w:sz w:val="21"/>
              </w:rPr>
            </w:pPr>
            <w:r>
              <w:rPr>
                <w:rFonts w:ascii="Arial"/>
                <w:sz w:val="21"/>
              </w:rPr>
              <w:t>91</w:t>
            </w:r>
          </w:p>
        </w:tc>
        <w:tc>
          <w:tcPr>
            <w:tcW w:w="2484" w:type="dxa"/>
          </w:tcPr>
          <w:p>
            <w:pPr>
              <w:pStyle w:val="TableParagraph"/>
              <w:spacing w:before="5"/>
              <w:rPr>
                <w:rFonts w:ascii="Times New Roman"/>
                <w:sz w:val="28"/>
              </w:rPr>
            </w:pPr>
          </w:p>
          <w:p>
            <w:pPr>
              <w:pStyle w:val="TableParagraph"/>
              <w:spacing w:line="266" w:lineRule="auto"/>
              <w:ind w:left="1020" w:right="129" w:hanging="881"/>
              <w:rPr>
                <w:sz w:val="22"/>
              </w:rPr>
            </w:pPr>
            <w:r>
              <w:rPr>
                <w:sz w:val="22"/>
              </w:rPr>
              <w:t>诺亚正行基金销售有限公司</w:t>
            </w:r>
          </w:p>
        </w:tc>
        <w:tc>
          <w:tcPr>
            <w:tcW w:w="5480" w:type="dxa"/>
          </w:tcPr>
          <w:p>
            <w:pPr>
              <w:pStyle w:val="TableParagraph"/>
              <w:spacing w:line="266" w:lineRule="auto" w:before="15"/>
              <w:ind w:left="108" w:right="241"/>
              <w:rPr>
                <w:sz w:val="22"/>
              </w:rPr>
            </w:pPr>
            <w:r>
              <w:rPr>
                <w:spacing w:val="-7"/>
                <w:sz w:val="22"/>
              </w:rPr>
              <w:t>注册地址：上海市虹口区飞虹路 </w:t>
            </w:r>
            <w:r>
              <w:rPr>
                <w:sz w:val="22"/>
              </w:rPr>
              <w:t>360</w:t>
            </w:r>
            <w:r>
              <w:rPr>
                <w:spacing w:val="-36"/>
                <w:sz w:val="22"/>
              </w:rPr>
              <w:t> 弄 </w:t>
            </w:r>
            <w:r>
              <w:rPr>
                <w:sz w:val="22"/>
              </w:rPr>
              <w:t>9</w:t>
            </w:r>
            <w:r>
              <w:rPr>
                <w:spacing w:val="-37"/>
                <w:sz w:val="22"/>
              </w:rPr>
              <w:t> 号 </w:t>
            </w:r>
            <w:r>
              <w:rPr>
                <w:sz w:val="22"/>
              </w:rPr>
              <w:t>3724</w:t>
            </w:r>
            <w:r>
              <w:rPr>
                <w:spacing w:val="-29"/>
                <w:sz w:val="22"/>
              </w:rPr>
              <w:t> 室</w:t>
            </w:r>
            <w:r>
              <w:rPr>
                <w:spacing w:val="-14"/>
                <w:sz w:val="22"/>
              </w:rPr>
              <w:t>办公地址：上海市杨浦区秦皇岛路 </w:t>
            </w:r>
            <w:r>
              <w:rPr>
                <w:sz w:val="22"/>
              </w:rPr>
              <w:t>32</w:t>
            </w:r>
            <w:r>
              <w:rPr>
                <w:spacing w:val="-15"/>
                <w:sz w:val="22"/>
              </w:rPr>
              <w:t> 号东码头园区 </w:t>
            </w:r>
            <w:r>
              <w:rPr>
                <w:spacing w:val="-13"/>
                <w:sz w:val="22"/>
              </w:rPr>
              <w:t>C </w:t>
            </w:r>
            <w:r>
              <w:rPr>
                <w:sz w:val="22"/>
              </w:rPr>
              <w:t>栋</w:t>
            </w:r>
          </w:p>
          <w:p>
            <w:pPr>
              <w:pStyle w:val="TableParagraph"/>
              <w:spacing w:line="274" w:lineRule="exact"/>
              <w:ind w:left="108"/>
              <w:rPr>
                <w:sz w:val="22"/>
              </w:rPr>
            </w:pPr>
            <w:r>
              <w:rPr>
                <w:sz w:val="22"/>
              </w:rPr>
              <w:t>法定代表人：汪静波</w:t>
            </w:r>
          </w:p>
        </w:tc>
      </w:tr>
    </w:tbl>
    <w:p>
      <w:pPr>
        <w:spacing w:after="0" w:line="274"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560"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sz w:val="22"/>
              </w:rPr>
            </w:pPr>
            <w:r>
              <w:rPr>
                <w:sz w:val="22"/>
              </w:rPr>
              <w:t>联系人：李娟</w:t>
            </w:r>
          </w:p>
          <w:p>
            <w:pPr>
              <w:pStyle w:val="TableParagraph"/>
              <w:spacing w:line="266" w:lineRule="auto" w:before="31"/>
              <w:ind w:left="108" w:right="3376"/>
              <w:rPr>
                <w:sz w:val="22"/>
              </w:rPr>
            </w:pPr>
            <w:r>
              <w:rPr>
                <w:sz w:val="22"/>
              </w:rPr>
              <w:t>电话：021-80358236 传真：021-80358749</w:t>
            </w:r>
          </w:p>
          <w:p>
            <w:pPr>
              <w:pStyle w:val="TableParagraph"/>
              <w:spacing w:line="280" w:lineRule="exact"/>
              <w:ind w:left="108"/>
              <w:rPr>
                <w:sz w:val="22"/>
              </w:rPr>
            </w:pPr>
            <w:r>
              <w:rPr>
                <w:sz w:val="22"/>
              </w:rPr>
              <w:t>客户服务电话：400－821－5399</w:t>
            </w:r>
          </w:p>
          <w:p>
            <w:pPr>
              <w:pStyle w:val="TableParagraph"/>
              <w:spacing w:line="277" w:lineRule="exact" w:before="30"/>
              <w:ind w:left="108"/>
              <w:rPr>
                <w:sz w:val="22"/>
              </w:rPr>
            </w:pPr>
            <w:hyperlink r:id="rId98">
              <w:r>
                <w:rPr>
                  <w:sz w:val="22"/>
                </w:rPr>
                <w:t>网址：www.noah-fund.com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05"/>
              <w:jc w:val="right"/>
              <w:rPr>
                <w:rFonts w:ascii="Arial"/>
                <w:sz w:val="21"/>
              </w:rPr>
            </w:pPr>
            <w:r>
              <w:rPr>
                <w:rFonts w:ascii="Arial"/>
                <w:sz w:val="21"/>
              </w:rPr>
              <w:t>92</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1020" w:right="129" w:hanging="881"/>
              <w:rPr>
                <w:sz w:val="22"/>
              </w:rPr>
            </w:pPr>
            <w:r>
              <w:rPr>
                <w:sz w:val="22"/>
              </w:rPr>
              <w:t>上海长量基金销售有限公司</w:t>
            </w:r>
          </w:p>
        </w:tc>
        <w:tc>
          <w:tcPr>
            <w:tcW w:w="5480" w:type="dxa"/>
          </w:tcPr>
          <w:p>
            <w:pPr>
              <w:pStyle w:val="TableParagraph"/>
              <w:spacing w:before="15"/>
              <w:ind w:left="108"/>
              <w:rPr>
                <w:sz w:val="22"/>
              </w:rPr>
            </w:pPr>
            <w:r>
              <w:rPr>
                <w:sz w:val="22"/>
              </w:rPr>
              <w:t>注册地址：上海市浦东新区高翔路 </w:t>
            </w:r>
            <w:r>
              <w:rPr>
                <w:rFonts w:ascii="Arial" w:eastAsia="Arial"/>
                <w:sz w:val="22"/>
              </w:rPr>
              <w:t>526 </w:t>
            </w:r>
            <w:r>
              <w:rPr>
                <w:sz w:val="22"/>
              </w:rPr>
              <w:t>号 </w:t>
            </w:r>
            <w:r>
              <w:rPr>
                <w:rFonts w:ascii="Arial" w:eastAsia="Arial"/>
                <w:sz w:val="22"/>
              </w:rPr>
              <w:t>2 </w:t>
            </w:r>
            <w:r>
              <w:rPr>
                <w:sz w:val="22"/>
              </w:rPr>
              <w:t>幢 </w:t>
            </w:r>
            <w:r>
              <w:rPr>
                <w:rFonts w:ascii="Arial" w:eastAsia="Arial"/>
                <w:sz w:val="22"/>
              </w:rPr>
              <w:t>220 </w:t>
            </w:r>
            <w:r>
              <w:rPr>
                <w:sz w:val="22"/>
              </w:rPr>
              <w:t>室</w:t>
            </w:r>
          </w:p>
          <w:p>
            <w:pPr>
              <w:pStyle w:val="TableParagraph"/>
              <w:spacing w:line="266" w:lineRule="auto" w:before="30"/>
              <w:ind w:left="108" w:right="661"/>
              <w:rPr>
                <w:sz w:val="22"/>
              </w:rPr>
            </w:pPr>
            <w:r>
              <w:rPr>
                <w:spacing w:val="-7"/>
                <w:sz w:val="22"/>
              </w:rPr>
              <w:t>办公地址：上海市浦东新区东方路 </w:t>
            </w:r>
            <w:r>
              <w:rPr>
                <w:rFonts w:ascii="Arial" w:eastAsia="Arial"/>
                <w:sz w:val="22"/>
              </w:rPr>
              <w:t>1267 </w:t>
            </w:r>
            <w:r>
              <w:rPr>
                <w:spacing w:val="-26"/>
                <w:sz w:val="22"/>
              </w:rPr>
              <w:t>号 </w:t>
            </w:r>
            <w:r>
              <w:rPr>
                <w:rFonts w:ascii="Arial" w:eastAsia="Arial"/>
                <w:sz w:val="22"/>
              </w:rPr>
              <w:t>11 </w:t>
            </w:r>
            <w:r>
              <w:rPr>
                <w:spacing w:val="-11"/>
                <w:sz w:val="22"/>
              </w:rPr>
              <w:t>层</w:t>
            </w:r>
            <w:r>
              <w:rPr>
                <w:spacing w:val="-2"/>
                <w:sz w:val="22"/>
              </w:rPr>
              <w:t>法定代表人：张跃伟</w:t>
            </w:r>
          </w:p>
          <w:p>
            <w:pPr>
              <w:pStyle w:val="TableParagraph"/>
              <w:spacing w:line="280" w:lineRule="exact"/>
              <w:ind w:left="108"/>
              <w:rPr>
                <w:sz w:val="22"/>
              </w:rPr>
            </w:pPr>
            <w:r>
              <w:rPr>
                <w:sz w:val="22"/>
              </w:rPr>
              <w:t>联系人：单丙烨</w:t>
            </w:r>
          </w:p>
          <w:p>
            <w:pPr>
              <w:pStyle w:val="TableParagraph"/>
              <w:spacing w:line="266" w:lineRule="auto" w:before="30"/>
              <w:ind w:left="108" w:right="3278"/>
              <w:rPr>
                <w:rFonts w:ascii="Arial" w:eastAsia="Arial"/>
                <w:sz w:val="22"/>
              </w:rPr>
            </w:pPr>
            <w:r>
              <w:rPr>
                <w:sz w:val="22"/>
              </w:rPr>
              <w:t>电话：</w:t>
            </w:r>
            <w:r>
              <w:rPr>
                <w:rFonts w:ascii="Arial" w:eastAsia="Arial"/>
                <w:sz w:val="22"/>
              </w:rPr>
              <w:t>021-20691832 </w:t>
            </w:r>
            <w:r>
              <w:rPr>
                <w:sz w:val="22"/>
              </w:rPr>
              <w:t>传真：</w:t>
            </w:r>
            <w:r>
              <w:rPr>
                <w:rFonts w:ascii="Arial" w:eastAsia="Arial"/>
                <w:sz w:val="22"/>
              </w:rPr>
              <w:t>021-20691861</w:t>
            </w:r>
          </w:p>
          <w:p>
            <w:pPr>
              <w:pStyle w:val="TableParagraph"/>
              <w:spacing w:line="281" w:lineRule="exact"/>
              <w:ind w:left="108"/>
              <w:rPr>
                <w:rFonts w:ascii="Arial" w:eastAsia="Arial"/>
                <w:sz w:val="22"/>
              </w:rPr>
            </w:pPr>
            <w:r>
              <w:rPr>
                <w:sz w:val="22"/>
              </w:rPr>
              <w:t>客服电话：</w:t>
            </w:r>
            <w:r>
              <w:rPr>
                <w:rFonts w:ascii="Arial" w:eastAsia="Arial"/>
                <w:sz w:val="22"/>
              </w:rPr>
              <w:t>400-820-2899</w:t>
            </w:r>
          </w:p>
          <w:p>
            <w:pPr>
              <w:pStyle w:val="TableParagraph"/>
              <w:spacing w:line="277" w:lineRule="exact" w:before="30"/>
              <w:ind w:left="108"/>
              <w:rPr>
                <w:rFonts w:ascii="Arial" w:eastAsia="Arial"/>
                <w:sz w:val="22"/>
              </w:rPr>
            </w:pPr>
            <w:r>
              <w:rPr>
                <w:sz w:val="22"/>
              </w:rPr>
              <w:t>公司网站： </w:t>
            </w:r>
            <w:hyperlink r:id="rId99">
              <w:r>
                <w:rPr>
                  <w:rFonts w:ascii="Arial" w:eastAsia="Arial"/>
                  <w:sz w:val="22"/>
                </w:rPr>
                <w:t>www.erichfund.com</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05"/>
              <w:jc w:val="right"/>
              <w:rPr>
                <w:rFonts w:ascii="Arial"/>
                <w:sz w:val="21"/>
              </w:rPr>
            </w:pPr>
            <w:r>
              <w:rPr>
                <w:rFonts w:ascii="Arial"/>
                <w:sz w:val="21"/>
              </w:rPr>
              <w:t>93</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ind w:left="1020" w:right="129" w:hanging="881"/>
              <w:rPr>
                <w:sz w:val="22"/>
              </w:rPr>
            </w:pPr>
            <w:r>
              <w:rPr>
                <w:sz w:val="22"/>
              </w:rPr>
              <w:t>上海好买基金销售有限公司</w:t>
            </w:r>
          </w:p>
        </w:tc>
        <w:tc>
          <w:tcPr>
            <w:tcW w:w="5480" w:type="dxa"/>
          </w:tcPr>
          <w:p>
            <w:pPr>
              <w:pStyle w:val="TableParagraph"/>
              <w:spacing w:before="15"/>
              <w:ind w:left="108"/>
              <w:rPr>
                <w:sz w:val="22"/>
              </w:rPr>
            </w:pPr>
            <w:r>
              <w:rPr>
                <w:sz w:val="22"/>
              </w:rPr>
              <w:t>注册地址：上海市虹口区场中路 </w:t>
            </w:r>
            <w:r>
              <w:rPr>
                <w:rFonts w:ascii="Arial" w:eastAsia="Arial"/>
                <w:sz w:val="22"/>
              </w:rPr>
              <w:t>685 </w:t>
            </w:r>
            <w:r>
              <w:rPr>
                <w:sz w:val="22"/>
              </w:rPr>
              <w:t>弄 </w:t>
            </w:r>
            <w:r>
              <w:rPr>
                <w:rFonts w:ascii="Arial" w:eastAsia="Arial"/>
                <w:sz w:val="22"/>
              </w:rPr>
              <w:t>37 </w:t>
            </w:r>
            <w:r>
              <w:rPr>
                <w:sz w:val="22"/>
              </w:rPr>
              <w:t>号 </w:t>
            </w:r>
            <w:r>
              <w:rPr>
                <w:rFonts w:ascii="Arial" w:eastAsia="Arial"/>
                <w:sz w:val="22"/>
              </w:rPr>
              <w:t>4 </w:t>
            </w:r>
            <w:r>
              <w:rPr>
                <w:sz w:val="22"/>
              </w:rPr>
              <w:t>号楼</w:t>
            </w:r>
          </w:p>
          <w:p>
            <w:pPr>
              <w:pStyle w:val="TableParagraph"/>
              <w:spacing w:before="43"/>
              <w:ind w:left="108"/>
              <w:rPr>
                <w:rFonts w:ascii="Arial"/>
                <w:sz w:val="22"/>
              </w:rPr>
            </w:pPr>
            <w:r>
              <w:rPr>
                <w:rFonts w:ascii="Arial"/>
                <w:sz w:val="22"/>
              </w:rPr>
              <w:t>4494</w:t>
            </w:r>
          </w:p>
          <w:p>
            <w:pPr>
              <w:pStyle w:val="TableParagraph"/>
              <w:spacing w:before="46"/>
              <w:ind w:left="108"/>
              <w:rPr>
                <w:sz w:val="22"/>
              </w:rPr>
            </w:pPr>
            <w:r>
              <w:rPr>
                <w:sz w:val="22"/>
              </w:rPr>
              <w:t>办公地址：上海市浦东南路 </w:t>
            </w:r>
            <w:r>
              <w:rPr>
                <w:rFonts w:ascii="Arial" w:eastAsia="Arial"/>
                <w:sz w:val="22"/>
              </w:rPr>
              <w:t>1118 </w:t>
            </w:r>
            <w:r>
              <w:rPr>
                <w:sz w:val="22"/>
              </w:rPr>
              <w:t>号鄂尔多斯国际大厦</w:t>
            </w:r>
          </w:p>
          <w:p>
            <w:pPr>
              <w:pStyle w:val="TableParagraph"/>
              <w:spacing w:before="30"/>
              <w:ind w:left="108"/>
              <w:rPr>
                <w:sz w:val="22"/>
              </w:rPr>
            </w:pPr>
            <w:r>
              <w:rPr>
                <w:rFonts w:ascii="Arial" w:eastAsia="Arial"/>
                <w:sz w:val="22"/>
              </w:rPr>
              <w:t>9 </w:t>
            </w:r>
            <w:r>
              <w:rPr>
                <w:sz w:val="22"/>
              </w:rPr>
              <w:t>楼</w:t>
            </w:r>
          </w:p>
          <w:p>
            <w:pPr>
              <w:pStyle w:val="TableParagraph"/>
              <w:spacing w:line="266" w:lineRule="auto" w:before="30"/>
              <w:ind w:left="108" w:right="3376"/>
              <w:rPr>
                <w:sz w:val="22"/>
              </w:rPr>
            </w:pPr>
            <w:r>
              <w:rPr>
                <w:sz w:val="22"/>
              </w:rPr>
              <w:t>法定代表人：杨文斌联系人：张茹</w:t>
            </w:r>
          </w:p>
          <w:p>
            <w:pPr>
              <w:pStyle w:val="TableParagraph"/>
              <w:spacing w:line="266" w:lineRule="auto"/>
              <w:ind w:left="108" w:right="3278"/>
              <w:rPr>
                <w:rFonts w:ascii="Arial" w:eastAsia="Arial"/>
                <w:sz w:val="22"/>
              </w:rPr>
            </w:pPr>
            <w:r>
              <w:rPr>
                <w:sz w:val="22"/>
              </w:rPr>
              <w:t>电话：</w:t>
            </w:r>
            <w:r>
              <w:rPr>
                <w:rFonts w:ascii="Arial" w:eastAsia="Arial"/>
                <w:sz w:val="22"/>
              </w:rPr>
              <w:t>021-58870011 </w:t>
            </w:r>
            <w:r>
              <w:rPr>
                <w:sz w:val="22"/>
              </w:rPr>
              <w:t>传真：</w:t>
            </w:r>
            <w:r>
              <w:rPr>
                <w:rFonts w:ascii="Arial" w:eastAsia="Arial"/>
                <w:sz w:val="22"/>
              </w:rPr>
              <w:t>021-68596916</w:t>
            </w:r>
          </w:p>
          <w:p>
            <w:pPr>
              <w:pStyle w:val="TableParagraph"/>
              <w:spacing w:line="281" w:lineRule="exact"/>
              <w:ind w:left="108"/>
              <w:rPr>
                <w:rFonts w:ascii="Arial" w:eastAsia="Arial"/>
                <w:sz w:val="22"/>
              </w:rPr>
            </w:pPr>
            <w:r>
              <w:rPr>
                <w:sz w:val="22"/>
              </w:rPr>
              <w:t>客户服务电话：</w:t>
            </w:r>
            <w:r>
              <w:rPr>
                <w:rFonts w:ascii="Arial" w:eastAsia="Arial"/>
                <w:sz w:val="22"/>
              </w:rPr>
              <w:t>400 700 9665</w:t>
            </w:r>
          </w:p>
          <w:p>
            <w:pPr>
              <w:pStyle w:val="TableParagraph"/>
              <w:spacing w:line="277" w:lineRule="exact" w:before="28"/>
              <w:ind w:left="108"/>
              <w:rPr>
                <w:rFonts w:ascii="Arial" w:eastAsia="Arial"/>
                <w:sz w:val="22"/>
              </w:rPr>
            </w:pPr>
            <w:r>
              <w:rPr>
                <w:sz w:val="22"/>
              </w:rPr>
              <w:t>网址：</w:t>
            </w:r>
            <w:hyperlink r:id="rId100">
              <w:r>
                <w:rPr>
                  <w:rFonts w:ascii="Arial" w:eastAsia="Arial"/>
                  <w:sz w:val="22"/>
                </w:rPr>
                <w:t>www.ehowbuy.com</w:t>
              </w:r>
            </w:hyperlink>
          </w:p>
        </w:tc>
      </w:tr>
      <w:tr>
        <w:trPr>
          <w:trHeight w:val="249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05"/>
              <w:jc w:val="right"/>
              <w:rPr>
                <w:rFonts w:ascii="Arial"/>
                <w:sz w:val="21"/>
              </w:rPr>
            </w:pPr>
            <w:r>
              <w:rPr>
                <w:rFonts w:ascii="Arial"/>
                <w:sz w:val="21"/>
              </w:rPr>
              <w:t>94</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799" w:right="129" w:hanging="660"/>
              <w:rPr>
                <w:sz w:val="22"/>
              </w:rPr>
            </w:pPr>
            <w:r>
              <w:rPr>
                <w:sz w:val="22"/>
              </w:rPr>
              <w:t>北京展恒基金销售股份有限公司</w:t>
            </w:r>
          </w:p>
        </w:tc>
        <w:tc>
          <w:tcPr>
            <w:tcW w:w="5480" w:type="dxa"/>
          </w:tcPr>
          <w:p>
            <w:pPr>
              <w:pStyle w:val="TableParagraph"/>
              <w:spacing w:before="15"/>
              <w:ind w:left="108"/>
              <w:rPr>
                <w:sz w:val="22"/>
              </w:rPr>
            </w:pPr>
            <w:r>
              <w:rPr>
                <w:sz w:val="22"/>
              </w:rPr>
              <w:t>注册地址：北京市顺义区后沙峪镇安富街 </w:t>
            </w:r>
            <w:r>
              <w:rPr>
                <w:rFonts w:ascii="Arial" w:eastAsia="Arial"/>
                <w:sz w:val="22"/>
              </w:rPr>
              <w:t>6 </w:t>
            </w:r>
            <w:r>
              <w:rPr>
                <w:sz w:val="22"/>
              </w:rPr>
              <w:t>号</w:t>
            </w:r>
          </w:p>
          <w:p>
            <w:pPr>
              <w:pStyle w:val="TableParagraph"/>
              <w:spacing w:before="30"/>
              <w:ind w:left="108"/>
              <w:rPr>
                <w:rFonts w:ascii="Arial" w:eastAsia="Arial"/>
                <w:sz w:val="22"/>
              </w:rPr>
            </w:pPr>
            <w:r>
              <w:rPr>
                <w:spacing w:val="-13"/>
                <w:sz w:val="22"/>
              </w:rPr>
              <w:t>办公地址：北京市朝阳区安苑路 </w:t>
            </w:r>
            <w:r>
              <w:rPr>
                <w:rFonts w:ascii="Arial" w:eastAsia="Arial"/>
                <w:sz w:val="22"/>
              </w:rPr>
              <w:t>15-1 </w:t>
            </w:r>
            <w:r>
              <w:rPr>
                <w:spacing w:val="-10"/>
                <w:sz w:val="22"/>
              </w:rPr>
              <w:t>号邮电新闻大厦 </w:t>
            </w:r>
            <w:r>
              <w:rPr>
                <w:rFonts w:ascii="Arial" w:eastAsia="Arial"/>
                <w:sz w:val="22"/>
              </w:rPr>
              <w:t>6</w:t>
            </w:r>
          </w:p>
          <w:p>
            <w:pPr>
              <w:pStyle w:val="TableParagraph"/>
              <w:spacing w:before="30"/>
              <w:ind w:left="108"/>
              <w:rPr>
                <w:sz w:val="22"/>
              </w:rPr>
            </w:pPr>
            <w:r>
              <w:rPr>
                <w:w w:val="100"/>
                <w:sz w:val="22"/>
              </w:rPr>
              <w:t>层</w:t>
            </w:r>
          </w:p>
          <w:p>
            <w:pPr>
              <w:pStyle w:val="TableParagraph"/>
              <w:spacing w:line="266" w:lineRule="auto" w:before="30"/>
              <w:ind w:left="108" w:right="3376"/>
              <w:rPr>
                <w:sz w:val="22"/>
              </w:rPr>
            </w:pPr>
            <w:r>
              <w:rPr>
                <w:sz w:val="22"/>
              </w:rPr>
              <w:t>法定代表人：闫振杰联系人：李晓芳</w:t>
            </w:r>
          </w:p>
          <w:p>
            <w:pPr>
              <w:pStyle w:val="TableParagraph"/>
              <w:spacing w:line="280" w:lineRule="exact"/>
              <w:ind w:left="108"/>
              <w:rPr>
                <w:rFonts w:ascii="Arial" w:eastAsia="Arial"/>
                <w:sz w:val="22"/>
              </w:rPr>
            </w:pPr>
            <w:r>
              <w:rPr>
                <w:sz w:val="22"/>
              </w:rPr>
              <w:t>联系电话：</w:t>
            </w:r>
            <w:r>
              <w:rPr>
                <w:rFonts w:ascii="Arial" w:eastAsia="Arial"/>
                <w:sz w:val="22"/>
              </w:rPr>
              <w:t>010-59601366 </w:t>
            </w:r>
            <w:r>
              <w:rPr>
                <w:sz w:val="22"/>
              </w:rPr>
              <w:t>转 </w:t>
            </w:r>
            <w:r>
              <w:rPr>
                <w:rFonts w:ascii="Arial" w:eastAsia="Arial"/>
                <w:sz w:val="22"/>
              </w:rPr>
              <w:t>7167</w:t>
            </w:r>
          </w:p>
          <w:p>
            <w:pPr>
              <w:pStyle w:val="TableParagraph"/>
              <w:spacing w:before="30"/>
              <w:ind w:left="108"/>
              <w:rPr>
                <w:rFonts w:ascii="Arial" w:eastAsia="Arial"/>
                <w:sz w:val="22"/>
              </w:rPr>
            </w:pPr>
            <w:r>
              <w:rPr>
                <w:sz w:val="22"/>
              </w:rPr>
              <w:t>客服电话：</w:t>
            </w:r>
            <w:r>
              <w:rPr>
                <w:rFonts w:ascii="Arial" w:eastAsia="Arial"/>
                <w:sz w:val="22"/>
              </w:rPr>
              <w:t>400-818-8000</w:t>
            </w:r>
          </w:p>
          <w:p>
            <w:pPr>
              <w:pStyle w:val="TableParagraph"/>
              <w:spacing w:line="277" w:lineRule="exact" w:before="30"/>
              <w:ind w:left="108"/>
              <w:rPr>
                <w:rFonts w:ascii="Arial" w:eastAsia="Arial"/>
                <w:sz w:val="22"/>
              </w:rPr>
            </w:pPr>
            <w:r>
              <w:rPr>
                <w:sz w:val="22"/>
              </w:rPr>
              <w:t>公司网站：</w:t>
            </w:r>
            <w:hyperlink r:id="rId101">
              <w:r>
                <w:rPr>
                  <w:rFonts w:ascii="Arial" w:eastAsia="Arial"/>
                  <w:sz w:val="22"/>
                </w:rPr>
                <w:t>www.myfund.com</w:t>
              </w:r>
            </w:hyperlink>
          </w:p>
        </w:tc>
      </w:tr>
      <w:tr>
        <w:trPr>
          <w:trHeight w:val="249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right="105"/>
              <w:jc w:val="right"/>
              <w:rPr>
                <w:rFonts w:ascii="Arial"/>
                <w:sz w:val="21"/>
              </w:rPr>
            </w:pPr>
            <w:r>
              <w:rPr>
                <w:rFonts w:ascii="Arial"/>
                <w:sz w:val="21"/>
              </w:rPr>
              <w:t>95</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139"/>
              <w:rPr>
                <w:sz w:val="22"/>
              </w:rPr>
            </w:pPr>
            <w:r>
              <w:rPr>
                <w:sz w:val="22"/>
              </w:rPr>
              <w:t>和讯信息科技有限公司</w:t>
            </w:r>
          </w:p>
        </w:tc>
        <w:tc>
          <w:tcPr>
            <w:tcW w:w="5480" w:type="dxa"/>
          </w:tcPr>
          <w:p>
            <w:pPr>
              <w:pStyle w:val="TableParagraph"/>
              <w:spacing w:before="17"/>
              <w:ind w:left="108"/>
              <w:rPr>
                <w:rFonts w:ascii="Arial" w:eastAsia="Arial"/>
                <w:sz w:val="22"/>
              </w:rPr>
            </w:pPr>
            <w:r>
              <w:rPr>
                <w:spacing w:val="-2"/>
                <w:sz w:val="22"/>
              </w:rPr>
              <w:t>注册</w:t>
            </w:r>
            <w:r>
              <w:rPr>
                <w:spacing w:val="-3"/>
                <w:sz w:val="22"/>
              </w:rPr>
              <w:t>（</w:t>
            </w:r>
            <w:r>
              <w:rPr>
                <w:spacing w:val="-2"/>
                <w:sz w:val="22"/>
              </w:rPr>
              <w:t>办公</w:t>
            </w:r>
            <w:r>
              <w:rPr>
                <w:spacing w:val="-3"/>
                <w:sz w:val="22"/>
              </w:rPr>
              <w:t>）</w:t>
            </w:r>
            <w:r>
              <w:rPr>
                <w:spacing w:val="-8"/>
                <w:sz w:val="22"/>
              </w:rPr>
              <w:t>地址：北京市朝外大街 </w:t>
            </w:r>
            <w:r>
              <w:rPr>
                <w:rFonts w:ascii="Arial" w:eastAsia="Arial"/>
                <w:sz w:val="22"/>
              </w:rPr>
              <w:t>22 </w:t>
            </w:r>
            <w:r>
              <w:rPr>
                <w:spacing w:val="-12"/>
                <w:sz w:val="22"/>
              </w:rPr>
              <w:t>号泛利大厦 </w:t>
            </w:r>
            <w:r>
              <w:rPr>
                <w:rFonts w:ascii="Arial" w:eastAsia="Arial"/>
                <w:sz w:val="22"/>
              </w:rPr>
              <w:t>10</w:t>
            </w:r>
          </w:p>
          <w:p>
            <w:pPr>
              <w:pStyle w:val="TableParagraph"/>
              <w:spacing w:before="31"/>
              <w:ind w:left="108"/>
              <w:rPr>
                <w:sz w:val="22"/>
              </w:rPr>
            </w:pPr>
            <w:r>
              <w:rPr>
                <w:w w:val="100"/>
                <w:sz w:val="22"/>
              </w:rPr>
              <w:t>层</w:t>
            </w:r>
          </w:p>
          <w:p>
            <w:pPr>
              <w:pStyle w:val="TableParagraph"/>
              <w:spacing w:line="266" w:lineRule="auto" w:before="30"/>
              <w:ind w:left="108" w:right="3597"/>
              <w:rPr>
                <w:sz w:val="22"/>
              </w:rPr>
            </w:pPr>
            <w:r>
              <w:rPr>
                <w:sz w:val="22"/>
              </w:rPr>
              <w:t>法定代表人：王莉联系人：习甜</w:t>
            </w:r>
          </w:p>
          <w:p>
            <w:pPr>
              <w:pStyle w:val="TableParagraph"/>
              <w:spacing w:line="266" w:lineRule="auto"/>
              <w:ind w:left="108" w:right="2838"/>
              <w:rPr>
                <w:rFonts w:ascii="Arial" w:eastAsia="Arial"/>
                <w:sz w:val="22"/>
              </w:rPr>
            </w:pPr>
            <w:r>
              <w:rPr>
                <w:sz w:val="22"/>
              </w:rPr>
              <w:t>联系电话：</w:t>
            </w:r>
            <w:r>
              <w:rPr>
                <w:rFonts w:ascii="Arial" w:eastAsia="Arial"/>
                <w:sz w:val="22"/>
              </w:rPr>
              <w:t>010-85650920 </w:t>
            </w:r>
            <w:r>
              <w:rPr>
                <w:sz w:val="22"/>
              </w:rPr>
              <w:t>传真号码：</w:t>
            </w:r>
            <w:r>
              <w:rPr>
                <w:rFonts w:ascii="Arial" w:eastAsia="Arial"/>
                <w:sz w:val="22"/>
              </w:rPr>
              <w:t>010-85657357</w:t>
            </w:r>
          </w:p>
          <w:p>
            <w:pPr>
              <w:pStyle w:val="TableParagraph"/>
              <w:spacing w:line="280" w:lineRule="exact"/>
              <w:ind w:left="108"/>
              <w:rPr>
                <w:rFonts w:ascii="Arial" w:eastAsia="Arial"/>
                <w:sz w:val="22"/>
              </w:rPr>
            </w:pPr>
            <w:r>
              <w:rPr>
                <w:sz w:val="22"/>
              </w:rPr>
              <w:t>全国统一客服热线：</w:t>
            </w:r>
            <w:r>
              <w:rPr>
                <w:rFonts w:ascii="Arial" w:eastAsia="Arial"/>
                <w:sz w:val="22"/>
              </w:rPr>
              <w:t>400-920-0022/ 021-20835588</w:t>
            </w:r>
          </w:p>
          <w:p>
            <w:pPr>
              <w:pStyle w:val="TableParagraph"/>
              <w:spacing w:line="277" w:lineRule="exact" w:before="28"/>
              <w:ind w:left="108"/>
              <w:rPr>
                <w:rFonts w:ascii="Arial" w:eastAsia="Arial"/>
                <w:sz w:val="22"/>
              </w:rPr>
            </w:pPr>
            <w:r>
              <w:rPr>
                <w:sz w:val="22"/>
              </w:rPr>
              <w:t>公司网址：</w:t>
            </w:r>
            <w:r>
              <w:rPr>
                <w:rFonts w:ascii="Arial" w:eastAsia="Arial"/>
                <w:sz w:val="22"/>
              </w:rPr>
              <w:t>licaike.hexun.com</w:t>
            </w:r>
          </w:p>
        </w:tc>
      </w:tr>
      <w:tr>
        <w:trPr>
          <w:trHeight w:val="1559" w:hRule="atLeast"/>
        </w:trPr>
        <w:tc>
          <w:tcPr>
            <w:tcW w:w="470" w:type="dxa"/>
          </w:tcPr>
          <w:p>
            <w:pPr>
              <w:pStyle w:val="TableParagraph"/>
              <w:rPr>
                <w:rFonts w:ascii="Times New Roman"/>
                <w:sz w:val="24"/>
              </w:rPr>
            </w:pPr>
          </w:p>
          <w:p>
            <w:pPr>
              <w:pStyle w:val="TableParagraph"/>
              <w:spacing w:before="1"/>
              <w:rPr>
                <w:rFonts w:ascii="Times New Roman"/>
                <w:sz w:val="33"/>
              </w:rPr>
            </w:pPr>
          </w:p>
          <w:p>
            <w:pPr>
              <w:pStyle w:val="TableParagraph"/>
              <w:ind w:right="105"/>
              <w:jc w:val="right"/>
              <w:rPr>
                <w:rFonts w:ascii="Arial"/>
                <w:sz w:val="21"/>
              </w:rPr>
            </w:pPr>
            <w:r>
              <w:rPr>
                <w:rFonts w:ascii="Arial"/>
                <w:sz w:val="21"/>
              </w:rPr>
              <w:t>96</w:t>
            </w:r>
          </w:p>
        </w:tc>
        <w:tc>
          <w:tcPr>
            <w:tcW w:w="2484" w:type="dxa"/>
          </w:tcPr>
          <w:p>
            <w:pPr>
              <w:pStyle w:val="TableParagraph"/>
              <w:rPr>
                <w:rFonts w:ascii="Times New Roman"/>
                <w:sz w:val="22"/>
              </w:rPr>
            </w:pPr>
          </w:p>
          <w:p>
            <w:pPr>
              <w:pStyle w:val="TableParagraph"/>
              <w:rPr>
                <w:rFonts w:ascii="Times New Roman"/>
                <w:sz w:val="20"/>
              </w:rPr>
            </w:pPr>
          </w:p>
          <w:p>
            <w:pPr>
              <w:pStyle w:val="TableParagraph"/>
              <w:spacing w:line="266" w:lineRule="auto"/>
              <w:ind w:left="1020" w:right="129" w:hanging="881"/>
              <w:rPr>
                <w:sz w:val="22"/>
              </w:rPr>
            </w:pPr>
            <w:r>
              <w:rPr>
                <w:sz w:val="22"/>
              </w:rPr>
              <w:t>上海天天基金销售有限公司</w:t>
            </w:r>
          </w:p>
        </w:tc>
        <w:tc>
          <w:tcPr>
            <w:tcW w:w="5480" w:type="dxa"/>
          </w:tcPr>
          <w:p>
            <w:pPr>
              <w:pStyle w:val="TableParagraph"/>
              <w:spacing w:before="15"/>
              <w:ind w:left="108"/>
              <w:rPr>
                <w:rFonts w:ascii="Arial" w:eastAsia="Arial"/>
                <w:sz w:val="22"/>
              </w:rPr>
            </w:pPr>
            <w:r>
              <w:rPr>
                <w:spacing w:val="-7"/>
                <w:sz w:val="22"/>
              </w:rPr>
              <w:t>注册地址：上海市徐汇区龙田路 </w:t>
            </w:r>
            <w:r>
              <w:rPr>
                <w:rFonts w:ascii="Arial" w:eastAsia="Arial"/>
                <w:sz w:val="22"/>
              </w:rPr>
              <w:t>190 </w:t>
            </w:r>
            <w:r>
              <w:rPr>
                <w:spacing w:val="-9"/>
                <w:sz w:val="22"/>
              </w:rPr>
              <w:t>号东方财富大厦 </w:t>
            </w:r>
            <w:r>
              <w:rPr>
                <w:rFonts w:ascii="Arial" w:eastAsia="Arial"/>
                <w:sz w:val="22"/>
              </w:rPr>
              <w:t>2</w:t>
            </w:r>
          </w:p>
          <w:p>
            <w:pPr>
              <w:pStyle w:val="TableParagraph"/>
              <w:spacing w:before="30"/>
              <w:ind w:left="108"/>
              <w:rPr>
                <w:sz w:val="22"/>
              </w:rPr>
            </w:pPr>
            <w:r>
              <w:rPr>
                <w:w w:val="100"/>
                <w:sz w:val="22"/>
              </w:rPr>
              <w:t>楼</w:t>
            </w:r>
          </w:p>
          <w:p>
            <w:pPr>
              <w:pStyle w:val="TableParagraph"/>
              <w:spacing w:before="30"/>
              <w:ind w:left="108"/>
              <w:rPr>
                <w:sz w:val="22"/>
              </w:rPr>
            </w:pPr>
            <w:r>
              <w:rPr>
                <w:sz w:val="22"/>
              </w:rPr>
              <w:t>办公地址：上海市徐汇区宛平南路 </w:t>
            </w:r>
            <w:r>
              <w:rPr>
                <w:rFonts w:ascii="Arial" w:eastAsia="Arial"/>
                <w:sz w:val="22"/>
              </w:rPr>
              <w:t>88 </w:t>
            </w:r>
            <w:r>
              <w:rPr>
                <w:sz w:val="22"/>
              </w:rPr>
              <w:t>号金座（北楼）</w:t>
            </w:r>
          </w:p>
          <w:p>
            <w:pPr>
              <w:pStyle w:val="TableParagraph"/>
              <w:spacing w:before="30"/>
              <w:ind w:left="108"/>
              <w:rPr>
                <w:sz w:val="22"/>
              </w:rPr>
            </w:pPr>
            <w:r>
              <w:rPr>
                <w:rFonts w:ascii="Arial" w:eastAsia="Arial"/>
                <w:sz w:val="22"/>
              </w:rPr>
              <w:t>25 </w:t>
            </w:r>
            <w:r>
              <w:rPr>
                <w:sz w:val="22"/>
              </w:rPr>
              <w:t>层</w:t>
            </w:r>
          </w:p>
          <w:p>
            <w:pPr>
              <w:pStyle w:val="TableParagraph"/>
              <w:spacing w:line="277" w:lineRule="exact" w:before="31"/>
              <w:ind w:left="108"/>
              <w:rPr>
                <w:sz w:val="22"/>
              </w:rPr>
            </w:pPr>
            <w:r>
              <w:rPr>
                <w:sz w:val="22"/>
              </w:rPr>
              <w:t>法定代表人：其实</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560"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sz w:val="22"/>
              </w:rPr>
            </w:pPr>
            <w:r>
              <w:rPr>
                <w:sz w:val="22"/>
              </w:rPr>
              <w:t>联系人：潘世友</w:t>
            </w:r>
          </w:p>
          <w:p>
            <w:pPr>
              <w:pStyle w:val="TableParagraph"/>
              <w:spacing w:line="266" w:lineRule="auto" w:before="31"/>
              <w:ind w:left="108" w:right="2715"/>
              <w:rPr>
                <w:rFonts w:ascii="Arial" w:eastAsia="Arial"/>
                <w:sz w:val="22"/>
              </w:rPr>
            </w:pPr>
            <w:r>
              <w:rPr>
                <w:sz w:val="22"/>
              </w:rPr>
              <w:t>电话：</w:t>
            </w:r>
            <w:r>
              <w:rPr>
                <w:rFonts w:ascii="Arial" w:eastAsia="Arial"/>
                <w:sz w:val="22"/>
              </w:rPr>
              <w:t>021-54509977-8400 </w:t>
            </w:r>
            <w:r>
              <w:rPr>
                <w:sz w:val="22"/>
              </w:rPr>
              <w:t>传真：</w:t>
            </w:r>
            <w:r>
              <w:rPr>
                <w:rFonts w:ascii="Arial" w:eastAsia="Arial"/>
                <w:sz w:val="22"/>
              </w:rPr>
              <w:t>021-54509953</w:t>
            </w:r>
          </w:p>
          <w:p>
            <w:pPr>
              <w:pStyle w:val="TableParagraph"/>
              <w:spacing w:line="280" w:lineRule="exact"/>
              <w:ind w:left="108"/>
              <w:rPr>
                <w:rFonts w:ascii="Arial" w:eastAsia="Arial"/>
                <w:sz w:val="22"/>
              </w:rPr>
            </w:pPr>
            <w:r>
              <w:rPr>
                <w:sz w:val="22"/>
              </w:rPr>
              <w:t>客服电话：</w:t>
            </w:r>
            <w:r>
              <w:rPr>
                <w:rFonts w:ascii="Arial" w:eastAsia="Arial"/>
                <w:sz w:val="22"/>
              </w:rPr>
              <w:t>400-1818-188</w:t>
            </w:r>
          </w:p>
          <w:p>
            <w:pPr>
              <w:pStyle w:val="TableParagraph"/>
              <w:spacing w:line="277" w:lineRule="exact" w:before="30"/>
              <w:ind w:left="108"/>
              <w:rPr>
                <w:rFonts w:ascii="Arial" w:eastAsia="Arial"/>
                <w:sz w:val="22"/>
              </w:rPr>
            </w:pPr>
            <w:r>
              <w:rPr>
                <w:sz w:val="22"/>
              </w:rPr>
              <w:t>网址：</w:t>
            </w:r>
            <w:hyperlink r:id="rId102">
              <w:r>
                <w:rPr>
                  <w:rFonts w:ascii="Arial" w:eastAsia="Arial"/>
                  <w:sz w:val="22"/>
                </w:rPr>
                <w:t>http://www.1234567.com.cn</w:t>
              </w:r>
            </w:hyperlink>
          </w:p>
        </w:tc>
      </w:tr>
      <w:tr>
        <w:trPr>
          <w:trHeight w:val="280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05"/>
              <w:jc w:val="right"/>
              <w:rPr>
                <w:rFonts w:ascii="Arial"/>
                <w:sz w:val="21"/>
              </w:rPr>
            </w:pPr>
            <w:r>
              <w:rPr>
                <w:rFonts w:ascii="Arial"/>
                <w:sz w:val="21"/>
              </w:rPr>
              <w:t>97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909" w:right="129" w:hanging="771"/>
              <w:rPr>
                <w:sz w:val="22"/>
              </w:rPr>
            </w:pPr>
            <w:r>
              <w:rPr>
                <w:sz w:val="22"/>
              </w:rPr>
              <w:t>浙江同花顺基金销售有限公司</w:t>
            </w:r>
          </w:p>
        </w:tc>
        <w:tc>
          <w:tcPr>
            <w:tcW w:w="5480" w:type="dxa"/>
          </w:tcPr>
          <w:p>
            <w:pPr>
              <w:pStyle w:val="TableParagraph"/>
              <w:spacing w:before="15"/>
              <w:ind w:left="108"/>
              <w:rPr>
                <w:sz w:val="22"/>
              </w:rPr>
            </w:pPr>
            <w:r>
              <w:rPr>
                <w:spacing w:val="-10"/>
                <w:sz w:val="22"/>
              </w:rPr>
              <w:t>注册地址：浙江省杭州市文二西路一号元茂大厦 </w:t>
            </w:r>
            <w:r>
              <w:rPr>
                <w:rFonts w:ascii="Arial" w:eastAsia="Arial"/>
                <w:sz w:val="22"/>
              </w:rPr>
              <w:t>903 </w:t>
            </w:r>
            <w:r>
              <w:rPr>
                <w:sz w:val="22"/>
              </w:rPr>
              <w:t>室</w:t>
            </w:r>
          </w:p>
          <w:p>
            <w:pPr>
              <w:pStyle w:val="TableParagraph"/>
              <w:spacing w:before="30"/>
              <w:ind w:left="108"/>
              <w:rPr>
                <w:sz w:val="22"/>
              </w:rPr>
            </w:pPr>
            <w:r>
              <w:rPr>
                <w:spacing w:val="-9"/>
                <w:sz w:val="22"/>
              </w:rPr>
              <w:t>办公地址：浙江省杭州市翠柏路 </w:t>
            </w:r>
            <w:r>
              <w:rPr>
                <w:rFonts w:ascii="Arial" w:eastAsia="Arial"/>
                <w:sz w:val="22"/>
              </w:rPr>
              <w:t>7</w:t>
            </w:r>
            <w:r>
              <w:rPr>
                <w:rFonts w:ascii="Arial" w:eastAsia="Arial"/>
                <w:spacing w:val="2"/>
                <w:sz w:val="22"/>
              </w:rPr>
              <w:t> </w:t>
            </w:r>
            <w:r>
              <w:rPr>
                <w:spacing w:val="-3"/>
                <w:sz w:val="22"/>
              </w:rPr>
              <w:t>号杭州电子商务产业</w:t>
            </w:r>
          </w:p>
          <w:p>
            <w:pPr>
              <w:pStyle w:val="TableParagraph"/>
              <w:spacing w:before="30"/>
              <w:ind w:left="108"/>
              <w:rPr>
                <w:sz w:val="22"/>
              </w:rPr>
            </w:pPr>
            <w:r>
              <w:rPr>
                <w:sz w:val="22"/>
              </w:rPr>
              <w:t>园 </w:t>
            </w:r>
            <w:r>
              <w:rPr>
                <w:rFonts w:ascii="Arial" w:eastAsia="Arial"/>
                <w:sz w:val="22"/>
              </w:rPr>
              <w:t>2 </w:t>
            </w:r>
            <w:r>
              <w:rPr>
                <w:sz w:val="22"/>
              </w:rPr>
              <w:t>楼</w:t>
            </w:r>
          </w:p>
          <w:p>
            <w:pPr>
              <w:pStyle w:val="TableParagraph"/>
              <w:spacing w:line="266" w:lineRule="auto" w:before="30"/>
              <w:ind w:left="108" w:right="3376"/>
              <w:rPr>
                <w:sz w:val="22"/>
              </w:rPr>
            </w:pPr>
            <w:r>
              <w:rPr>
                <w:sz w:val="22"/>
              </w:rPr>
              <w:t>法定代表人：凌顺平联系人：杨翼</w:t>
            </w:r>
          </w:p>
          <w:p>
            <w:pPr>
              <w:pStyle w:val="TableParagraph"/>
              <w:spacing w:line="266" w:lineRule="auto"/>
              <w:ind w:left="108" w:right="2152"/>
              <w:rPr>
                <w:rFonts w:ascii="Arial" w:eastAsia="Arial"/>
                <w:sz w:val="22"/>
              </w:rPr>
            </w:pPr>
            <w:r>
              <w:rPr>
                <w:sz w:val="22"/>
              </w:rPr>
              <w:t>联系电话：</w:t>
            </w:r>
            <w:r>
              <w:rPr>
                <w:rFonts w:ascii="Arial" w:eastAsia="Arial"/>
                <w:sz w:val="22"/>
              </w:rPr>
              <w:t>0571-88911818-8565 </w:t>
            </w:r>
            <w:r>
              <w:rPr>
                <w:sz w:val="22"/>
              </w:rPr>
              <w:t>传真：</w:t>
            </w:r>
            <w:r>
              <w:rPr>
                <w:rFonts w:ascii="Arial" w:eastAsia="Arial"/>
                <w:sz w:val="22"/>
              </w:rPr>
              <w:t>0571-86800423</w:t>
            </w:r>
          </w:p>
          <w:p>
            <w:pPr>
              <w:pStyle w:val="TableParagraph"/>
              <w:spacing w:line="281" w:lineRule="exact"/>
              <w:ind w:left="108"/>
              <w:rPr>
                <w:rFonts w:ascii="Arial" w:eastAsia="Arial"/>
                <w:sz w:val="22"/>
              </w:rPr>
            </w:pPr>
            <w:r>
              <w:rPr>
                <w:sz w:val="22"/>
              </w:rPr>
              <w:t>客服电话：</w:t>
            </w:r>
            <w:r>
              <w:rPr>
                <w:rFonts w:ascii="Arial" w:eastAsia="Arial"/>
                <w:sz w:val="22"/>
              </w:rPr>
              <w:t>4008-773-772</w:t>
            </w:r>
          </w:p>
          <w:p>
            <w:pPr>
              <w:pStyle w:val="TableParagraph"/>
              <w:spacing w:line="277" w:lineRule="exact" w:before="28"/>
              <w:ind w:left="108"/>
              <w:rPr>
                <w:rFonts w:ascii="Arial" w:eastAsia="Arial"/>
                <w:sz w:val="22"/>
              </w:rPr>
            </w:pPr>
            <w:r>
              <w:rPr>
                <w:sz w:val="22"/>
              </w:rPr>
              <w:t>网址：</w:t>
            </w:r>
            <w:hyperlink r:id="rId103">
              <w:r>
                <w:rPr>
                  <w:rFonts w:ascii="Arial" w:eastAsia="Arial"/>
                  <w:sz w:val="22"/>
                </w:rPr>
                <w:t>www.5ifund.com</w:t>
              </w:r>
            </w:hyperlink>
          </w:p>
        </w:tc>
      </w:tr>
      <w:tr>
        <w:trPr>
          <w:trHeight w:val="2807"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05"/>
              <w:jc w:val="right"/>
              <w:rPr>
                <w:rFonts w:ascii="Arial"/>
                <w:sz w:val="21"/>
              </w:rPr>
            </w:pPr>
            <w:r>
              <w:rPr>
                <w:rFonts w:ascii="Arial"/>
                <w:sz w:val="21"/>
              </w:rPr>
              <w:t>98</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39"/>
              <w:rPr>
                <w:sz w:val="22"/>
              </w:rPr>
            </w:pPr>
            <w:r>
              <w:rPr>
                <w:sz w:val="22"/>
              </w:rPr>
              <w:t>浦领基金销售有限公司</w:t>
            </w:r>
          </w:p>
        </w:tc>
        <w:tc>
          <w:tcPr>
            <w:tcW w:w="5480" w:type="dxa"/>
          </w:tcPr>
          <w:p>
            <w:pPr>
              <w:pStyle w:val="TableParagraph"/>
              <w:spacing w:before="15"/>
              <w:ind w:left="108"/>
              <w:rPr>
                <w:sz w:val="22"/>
              </w:rPr>
            </w:pPr>
            <w:r>
              <w:rPr>
                <w:spacing w:val="-3"/>
                <w:sz w:val="22"/>
              </w:rPr>
              <w:t>注册地址：北京市朝阳区望京东园四区 </w:t>
            </w:r>
            <w:r>
              <w:rPr>
                <w:rFonts w:ascii="Arial" w:eastAsia="Arial"/>
                <w:sz w:val="22"/>
              </w:rPr>
              <w:t>13 </w:t>
            </w:r>
            <w:r>
              <w:rPr>
                <w:sz w:val="22"/>
              </w:rPr>
              <w:t>号楼 </w:t>
            </w:r>
            <w:r>
              <w:rPr>
                <w:rFonts w:ascii="Arial" w:eastAsia="Arial"/>
                <w:sz w:val="22"/>
              </w:rPr>
              <w:t>A</w:t>
            </w:r>
            <w:r>
              <w:rPr>
                <w:rFonts w:ascii="Arial" w:eastAsia="Arial"/>
                <w:spacing w:val="51"/>
                <w:sz w:val="22"/>
              </w:rPr>
              <w:t> </w:t>
            </w:r>
            <w:r>
              <w:rPr>
                <w:sz w:val="22"/>
              </w:rPr>
              <w:t>座</w:t>
            </w:r>
          </w:p>
          <w:p>
            <w:pPr>
              <w:pStyle w:val="TableParagraph"/>
              <w:spacing w:before="30"/>
              <w:ind w:left="108"/>
              <w:rPr>
                <w:sz w:val="22"/>
              </w:rPr>
            </w:pPr>
            <w:r>
              <w:rPr>
                <w:rFonts w:ascii="Arial" w:eastAsia="Arial"/>
                <w:sz w:val="22"/>
              </w:rPr>
              <w:t>9 </w:t>
            </w:r>
            <w:r>
              <w:rPr>
                <w:sz w:val="22"/>
              </w:rPr>
              <w:t>层 </w:t>
            </w:r>
            <w:r>
              <w:rPr>
                <w:rFonts w:ascii="Arial" w:eastAsia="Arial"/>
                <w:sz w:val="22"/>
              </w:rPr>
              <w:t>908 </w:t>
            </w:r>
            <w:r>
              <w:rPr>
                <w:sz w:val="22"/>
              </w:rPr>
              <w:t>室</w:t>
            </w:r>
          </w:p>
          <w:p>
            <w:pPr>
              <w:pStyle w:val="TableParagraph"/>
              <w:spacing w:before="30"/>
              <w:ind w:left="108"/>
              <w:rPr>
                <w:rFonts w:ascii="Arial" w:eastAsia="Arial"/>
                <w:sz w:val="22"/>
              </w:rPr>
            </w:pPr>
            <w:r>
              <w:rPr>
                <w:spacing w:val="-9"/>
                <w:sz w:val="22"/>
              </w:rPr>
              <w:t>办公地址：北京市朝阳区望京浦项中心 </w:t>
            </w:r>
            <w:r>
              <w:rPr>
                <w:rFonts w:ascii="Arial" w:eastAsia="Arial"/>
                <w:sz w:val="22"/>
              </w:rPr>
              <w:t>A </w:t>
            </w:r>
            <w:r>
              <w:rPr>
                <w:spacing w:val="-27"/>
                <w:sz w:val="22"/>
              </w:rPr>
              <w:t>座 </w:t>
            </w:r>
            <w:r>
              <w:rPr>
                <w:rFonts w:ascii="Arial" w:eastAsia="Arial"/>
                <w:sz w:val="22"/>
              </w:rPr>
              <w:t>9 </w:t>
            </w:r>
            <w:r>
              <w:rPr>
                <w:spacing w:val="-27"/>
                <w:sz w:val="22"/>
              </w:rPr>
              <w:t>层 </w:t>
            </w:r>
            <w:r>
              <w:rPr>
                <w:rFonts w:ascii="Arial" w:eastAsia="Arial"/>
                <w:sz w:val="22"/>
              </w:rPr>
              <w:t>04-08</w:t>
            </w:r>
          </w:p>
          <w:p>
            <w:pPr>
              <w:pStyle w:val="TableParagraph"/>
              <w:spacing w:line="266" w:lineRule="auto" w:before="30"/>
              <w:ind w:left="108" w:right="3376"/>
              <w:rPr>
                <w:sz w:val="22"/>
              </w:rPr>
            </w:pPr>
            <w:r>
              <w:rPr>
                <w:sz w:val="22"/>
              </w:rPr>
              <w:t>法定代表人：李招弟联系人：高晓芳</w:t>
            </w:r>
          </w:p>
          <w:p>
            <w:pPr>
              <w:pStyle w:val="TableParagraph"/>
              <w:spacing w:line="266" w:lineRule="auto"/>
              <w:ind w:left="108" w:right="3278"/>
              <w:rPr>
                <w:rFonts w:ascii="Arial" w:eastAsia="Arial"/>
                <w:sz w:val="22"/>
              </w:rPr>
            </w:pPr>
            <w:r>
              <w:rPr>
                <w:sz w:val="22"/>
              </w:rPr>
              <w:t>电话：</w:t>
            </w:r>
            <w:r>
              <w:rPr>
                <w:rFonts w:ascii="Arial" w:eastAsia="Arial"/>
                <w:sz w:val="22"/>
              </w:rPr>
              <w:t>010-59393923 </w:t>
            </w:r>
            <w:r>
              <w:rPr>
                <w:sz w:val="22"/>
              </w:rPr>
              <w:t>传真：</w:t>
            </w:r>
            <w:r>
              <w:rPr>
                <w:rFonts w:ascii="Arial" w:eastAsia="Arial"/>
                <w:sz w:val="22"/>
              </w:rPr>
              <w:t>010-64788105</w:t>
            </w:r>
          </w:p>
          <w:p>
            <w:pPr>
              <w:pStyle w:val="TableParagraph"/>
              <w:spacing w:line="281" w:lineRule="exact"/>
              <w:ind w:left="108"/>
              <w:rPr>
                <w:rFonts w:ascii="Arial" w:eastAsia="Arial"/>
                <w:sz w:val="22"/>
              </w:rPr>
            </w:pPr>
            <w:r>
              <w:rPr>
                <w:sz w:val="22"/>
              </w:rPr>
              <w:t>客户服务电话：</w:t>
            </w:r>
            <w:r>
              <w:rPr>
                <w:rFonts w:ascii="Arial" w:eastAsia="Arial"/>
                <w:sz w:val="22"/>
              </w:rPr>
              <w:t>400-059-8888</w:t>
            </w:r>
          </w:p>
          <w:p>
            <w:pPr>
              <w:pStyle w:val="TableParagraph"/>
              <w:spacing w:line="277" w:lineRule="exact" w:before="28"/>
              <w:ind w:left="108"/>
              <w:rPr>
                <w:rFonts w:ascii="Arial" w:eastAsia="Arial"/>
                <w:sz w:val="22"/>
              </w:rPr>
            </w:pPr>
            <w:r>
              <w:rPr>
                <w:sz w:val="22"/>
              </w:rPr>
              <w:t>网址：</w:t>
            </w:r>
            <w:hyperlink r:id="rId104">
              <w:r>
                <w:rPr>
                  <w:rFonts w:ascii="Arial" w:eastAsia="Arial"/>
                  <w:sz w:val="22"/>
                </w:rPr>
                <w:t>www.zscffund.com</w:t>
              </w:r>
            </w:hyperlink>
          </w:p>
        </w:tc>
      </w:tr>
      <w:tr>
        <w:trPr>
          <w:trHeight w:val="280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05"/>
              <w:jc w:val="right"/>
              <w:rPr>
                <w:rFonts w:ascii="Arial"/>
                <w:sz w:val="21"/>
              </w:rPr>
            </w:pPr>
            <w:r>
              <w:rPr>
                <w:rFonts w:ascii="Arial"/>
                <w:sz w:val="21"/>
              </w:rPr>
              <w:t>99</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578" w:right="129" w:hanging="440"/>
              <w:rPr>
                <w:sz w:val="22"/>
              </w:rPr>
            </w:pPr>
            <w:r>
              <w:rPr>
                <w:sz w:val="22"/>
              </w:rPr>
              <w:t>宜信普泽（北京）基金销售有限公司</w:t>
            </w:r>
          </w:p>
        </w:tc>
        <w:tc>
          <w:tcPr>
            <w:tcW w:w="5480" w:type="dxa"/>
          </w:tcPr>
          <w:p>
            <w:pPr>
              <w:pStyle w:val="TableParagraph"/>
              <w:spacing w:line="266" w:lineRule="auto" w:before="15"/>
              <w:ind w:left="108" w:right="91"/>
              <w:jc w:val="both"/>
              <w:rPr>
                <w:sz w:val="22"/>
              </w:rPr>
            </w:pPr>
            <w:r>
              <w:rPr>
                <w:spacing w:val="-16"/>
                <w:sz w:val="22"/>
              </w:rPr>
              <w:t>注册地址：北京市朝阳区建国路 </w:t>
            </w:r>
            <w:r>
              <w:rPr>
                <w:rFonts w:ascii="Arial" w:eastAsia="Arial"/>
                <w:sz w:val="22"/>
              </w:rPr>
              <w:t>88 </w:t>
            </w:r>
            <w:r>
              <w:rPr>
                <w:spacing w:val="-33"/>
                <w:sz w:val="22"/>
              </w:rPr>
              <w:t>号 </w:t>
            </w:r>
            <w:r>
              <w:rPr>
                <w:rFonts w:ascii="Arial" w:eastAsia="Arial"/>
                <w:sz w:val="22"/>
              </w:rPr>
              <w:t>9 </w:t>
            </w:r>
            <w:r>
              <w:rPr>
                <w:spacing w:val="-22"/>
                <w:sz w:val="22"/>
              </w:rPr>
              <w:t>号楼 </w:t>
            </w:r>
            <w:r>
              <w:rPr>
                <w:rFonts w:ascii="Arial" w:eastAsia="Arial"/>
                <w:sz w:val="22"/>
              </w:rPr>
              <w:t>15 </w:t>
            </w:r>
            <w:r>
              <w:rPr>
                <w:spacing w:val="-32"/>
                <w:sz w:val="22"/>
              </w:rPr>
              <w:t>层 </w:t>
            </w:r>
            <w:r>
              <w:rPr>
                <w:rFonts w:ascii="Arial" w:eastAsia="Arial"/>
                <w:spacing w:val="-4"/>
                <w:sz w:val="22"/>
              </w:rPr>
              <w:t>1809 </w:t>
            </w:r>
            <w:r>
              <w:rPr>
                <w:spacing w:val="-10"/>
                <w:sz w:val="22"/>
              </w:rPr>
              <w:t>办公地址：北京市朝阳区建国路 </w:t>
            </w:r>
            <w:r>
              <w:rPr>
                <w:rFonts w:ascii="Arial" w:eastAsia="Arial"/>
                <w:sz w:val="22"/>
              </w:rPr>
              <w:t>88 </w:t>
            </w:r>
            <w:r>
              <w:rPr>
                <w:spacing w:val="-27"/>
                <w:sz w:val="22"/>
              </w:rPr>
              <w:t>号 </w:t>
            </w:r>
            <w:r>
              <w:rPr>
                <w:rFonts w:ascii="Arial" w:eastAsia="Arial"/>
                <w:sz w:val="22"/>
              </w:rPr>
              <w:t>SOHO </w:t>
            </w:r>
            <w:r>
              <w:rPr>
                <w:spacing w:val="-15"/>
                <w:sz w:val="22"/>
              </w:rPr>
              <w:t>现代城 </w:t>
            </w:r>
            <w:r>
              <w:rPr>
                <w:rFonts w:ascii="Arial" w:eastAsia="Arial"/>
                <w:sz w:val="22"/>
              </w:rPr>
              <w:t>C </w:t>
            </w:r>
            <w:r>
              <w:rPr>
                <w:spacing w:val="-31"/>
                <w:sz w:val="22"/>
              </w:rPr>
              <w:t>座 </w:t>
            </w:r>
            <w:r>
              <w:rPr>
                <w:rFonts w:ascii="Arial" w:eastAsia="Arial"/>
                <w:sz w:val="22"/>
              </w:rPr>
              <w:t>1809 </w:t>
            </w:r>
            <w:r>
              <w:rPr>
                <w:sz w:val="22"/>
              </w:rPr>
              <w:t>室</w:t>
            </w:r>
          </w:p>
          <w:p>
            <w:pPr>
              <w:pStyle w:val="TableParagraph"/>
              <w:spacing w:line="266" w:lineRule="auto"/>
              <w:ind w:left="108" w:right="3597"/>
              <w:rPr>
                <w:sz w:val="22"/>
              </w:rPr>
            </w:pPr>
            <w:r>
              <w:rPr>
                <w:sz w:val="22"/>
              </w:rPr>
              <w:t>法定代表人：戎兵联系人：魏晨</w:t>
            </w:r>
          </w:p>
          <w:p>
            <w:pPr>
              <w:pStyle w:val="TableParagraph"/>
              <w:spacing w:line="266" w:lineRule="auto"/>
              <w:ind w:left="108" w:right="3278"/>
              <w:rPr>
                <w:rFonts w:ascii="Arial" w:eastAsia="Arial"/>
                <w:sz w:val="22"/>
              </w:rPr>
            </w:pPr>
            <w:r>
              <w:rPr>
                <w:sz w:val="22"/>
              </w:rPr>
              <w:t>电话：</w:t>
            </w:r>
            <w:r>
              <w:rPr>
                <w:rFonts w:ascii="Arial" w:eastAsia="Arial"/>
                <w:sz w:val="22"/>
              </w:rPr>
              <w:t>010-52858244 </w:t>
            </w:r>
            <w:r>
              <w:rPr>
                <w:sz w:val="22"/>
              </w:rPr>
              <w:t>传真：</w:t>
            </w:r>
            <w:r>
              <w:rPr>
                <w:rFonts w:ascii="Arial" w:eastAsia="Arial"/>
                <w:sz w:val="22"/>
              </w:rPr>
              <w:t>010-59644496</w:t>
            </w:r>
          </w:p>
          <w:p>
            <w:pPr>
              <w:pStyle w:val="TableParagraph"/>
              <w:spacing w:line="280" w:lineRule="exact"/>
              <w:ind w:left="108"/>
              <w:rPr>
                <w:rFonts w:ascii="Arial" w:eastAsia="Arial"/>
                <w:sz w:val="22"/>
              </w:rPr>
            </w:pPr>
            <w:r>
              <w:rPr>
                <w:sz w:val="22"/>
              </w:rPr>
              <w:t>客户服务电话：</w:t>
            </w:r>
            <w:r>
              <w:rPr>
                <w:rFonts w:ascii="Arial" w:eastAsia="Arial"/>
                <w:sz w:val="22"/>
              </w:rPr>
              <w:t>400-609-9200</w:t>
            </w:r>
          </w:p>
          <w:p>
            <w:pPr>
              <w:pStyle w:val="TableParagraph"/>
              <w:spacing w:line="277" w:lineRule="exact" w:before="25"/>
              <w:ind w:left="108"/>
              <w:rPr>
                <w:rFonts w:ascii="Arial" w:eastAsia="Arial"/>
                <w:sz w:val="22"/>
              </w:rPr>
            </w:pPr>
            <w:r>
              <w:rPr>
                <w:sz w:val="22"/>
              </w:rPr>
              <w:t>网址：</w:t>
            </w:r>
            <w:hyperlink r:id="rId105">
              <w:r>
                <w:rPr>
                  <w:rFonts w:ascii="Arial" w:eastAsia="Arial"/>
                  <w:sz w:val="22"/>
                </w:rPr>
                <w:t>www.yixinfund.com</w:t>
              </w:r>
            </w:hyperlink>
          </w:p>
        </w:tc>
      </w:tr>
      <w:tr>
        <w:trPr>
          <w:trHeight w:val="3121"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98" w:right="88"/>
              <w:jc w:val="center"/>
              <w:rPr>
                <w:rFonts w:ascii="Arial"/>
                <w:sz w:val="21"/>
              </w:rPr>
            </w:pPr>
            <w:r>
              <w:rPr>
                <w:rFonts w:ascii="Arial"/>
                <w:sz w:val="21"/>
              </w:rPr>
              <w:t>10</w:t>
            </w:r>
          </w:p>
          <w:p>
            <w:pPr>
              <w:pStyle w:val="TableParagraph"/>
              <w:spacing w:before="71"/>
              <w:ind w:left="7"/>
              <w:jc w:val="center"/>
              <w:rPr>
                <w:rFonts w:ascii="Arial"/>
                <w:sz w:val="21"/>
              </w:rPr>
            </w:pPr>
            <w:r>
              <w:rPr>
                <w:rFonts w:ascii="Arial"/>
                <w:w w:val="100"/>
                <w:sz w:val="21"/>
              </w:rPr>
              <w:t>0</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ind w:left="1020" w:right="129" w:hanging="881"/>
              <w:rPr>
                <w:sz w:val="22"/>
              </w:rPr>
            </w:pPr>
            <w:r>
              <w:rPr>
                <w:sz w:val="22"/>
              </w:rPr>
              <w:t>北京增财基金销售有限公司</w:t>
            </w:r>
          </w:p>
        </w:tc>
        <w:tc>
          <w:tcPr>
            <w:tcW w:w="5480" w:type="dxa"/>
          </w:tcPr>
          <w:p>
            <w:pPr>
              <w:pStyle w:val="TableParagraph"/>
              <w:spacing w:before="17"/>
              <w:ind w:left="108"/>
              <w:rPr>
                <w:rFonts w:ascii="Arial" w:eastAsia="Arial"/>
                <w:sz w:val="22"/>
              </w:rPr>
            </w:pPr>
            <w:r>
              <w:rPr>
                <w:spacing w:val="-9"/>
                <w:sz w:val="22"/>
              </w:rPr>
              <w:t>注册地址：北京市西城区南礼士路 </w:t>
            </w:r>
            <w:r>
              <w:rPr>
                <w:rFonts w:ascii="Arial" w:eastAsia="Arial"/>
                <w:sz w:val="22"/>
              </w:rPr>
              <w:t>66 </w:t>
            </w:r>
            <w:r>
              <w:rPr>
                <w:spacing w:val="-10"/>
                <w:sz w:val="22"/>
              </w:rPr>
              <w:t>号建威大厦 </w:t>
            </w:r>
            <w:r>
              <w:rPr>
                <w:rFonts w:ascii="Arial" w:eastAsia="Arial"/>
                <w:sz w:val="22"/>
              </w:rPr>
              <w:t>1208</w:t>
            </w:r>
          </w:p>
          <w:p>
            <w:pPr>
              <w:pStyle w:val="TableParagraph"/>
              <w:spacing w:before="30"/>
              <w:ind w:left="108"/>
              <w:rPr>
                <w:sz w:val="22"/>
              </w:rPr>
            </w:pPr>
            <w:r>
              <w:rPr>
                <w:w w:val="100"/>
                <w:sz w:val="22"/>
              </w:rPr>
              <w:t>室</w:t>
            </w:r>
          </w:p>
          <w:p>
            <w:pPr>
              <w:pStyle w:val="TableParagraph"/>
              <w:spacing w:before="30"/>
              <w:ind w:left="108"/>
              <w:rPr>
                <w:sz w:val="22"/>
              </w:rPr>
            </w:pPr>
            <w:r>
              <w:rPr>
                <w:sz w:val="22"/>
              </w:rPr>
              <w:t>办公地址：北京市西城区南礼士路 </w:t>
            </w:r>
            <w:r>
              <w:rPr>
                <w:rFonts w:ascii="Arial" w:eastAsia="Arial"/>
                <w:sz w:val="22"/>
              </w:rPr>
              <w:t>66 </w:t>
            </w:r>
            <w:r>
              <w:rPr>
                <w:sz w:val="22"/>
              </w:rPr>
              <w:t>号建威大厦</w:t>
            </w:r>
          </w:p>
          <w:p>
            <w:pPr>
              <w:pStyle w:val="TableParagraph"/>
              <w:spacing w:before="30"/>
              <w:ind w:left="108"/>
              <w:rPr>
                <w:sz w:val="22"/>
              </w:rPr>
            </w:pPr>
            <w:r>
              <w:rPr>
                <w:rFonts w:ascii="Arial" w:eastAsia="Arial"/>
                <w:sz w:val="22"/>
              </w:rPr>
              <w:t>1208-1209 </w:t>
            </w:r>
            <w:r>
              <w:rPr>
                <w:sz w:val="22"/>
              </w:rPr>
              <w:t>室</w:t>
            </w:r>
          </w:p>
          <w:p>
            <w:pPr>
              <w:pStyle w:val="TableParagraph"/>
              <w:spacing w:line="266" w:lineRule="auto" w:before="31"/>
              <w:ind w:left="108" w:right="3376"/>
              <w:rPr>
                <w:sz w:val="22"/>
              </w:rPr>
            </w:pPr>
            <w:r>
              <w:rPr>
                <w:sz w:val="22"/>
              </w:rPr>
              <w:t>法定代表人：罗细安联系人：孙晋峰</w:t>
            </w:r>
          </w:p>
          <w:p>
            <w:pPr>
              <w:pStyle w:val="TableParagraph"/>
              <w:spacing w:line="280" w:lineRule="exact"/>
              <w:ind w:left="108"/>
              <w:rPr>
                <w:rFonts w:ascii="Arial" w:eastAsia="Arial"/>
                <w:sz w:val="22"/>
              </w:rPr>
            </w:pPr>
            <w:r>
              <w:rPr>
                <w:sz w:val="22"/>
              </w:rPr>
              <w:t>电话：</w:t>
            </w:r>
            <w:r>
              <w:rPr>
                <w:rFonts w:ascii="Arial" w:eastAsia="Arial"/>
                <w:sz w:val="22"/>
              </w:rPr>
              <w:t>010-67000988</w:t>
            </w:r>
          </w:p>
          <w:p>
            <w:pPr>
              <w:pStyle w:val="TableParagraph"/>
              <w:spacing w:before="30"/>
              <w:ind w:left="108"/>
              <w:rPr>
                <w:rFonts w:ascii="Arial" w:eastAsia="Arial"/>
                <w:sz w:val="22"/>
              </w:rPr>
            </w:pPr>
            <w:r>
              <w:rPr>
                <w:sz w:val="22"/>
              </w:rPr>
              <w:t>传真：</w:t>
            </w:r>
            <w:r>
              <w:rPr>
                <w:rFonts w:ascii="Arial" w:eastAsia="Arial"/>
                <w:sz w:val="22"/>
              </w:rPr>
              <w:t>010-67000988-6000</w:t>
            </w:r>
          </w:p>
          <w:p>
            <w:pPr>
              <w:pStyle w:val="TableParagraph"/>
              <w:spacing w:line="310" w:lineRule="atLeast" w:before="2"/>
              <w:ind w:left="108" w:right="2154"/>
              <w:rPr>
                <w:rFonts w:ascii="Arial" w:eastAsia="Arial"/>
                <w:sz w:val="22"/>
              </w:rPr>
            </w:pPr>
            <w:r>
              <w:rPr>
                <w:sz w:val="22"/>
              </w:rPr>
              <w:t>客户服务电话：</w:t>
            </w:r>
            <w:r>
              <w:rPr>
                <w:rFonts w:ascii="Arial" w:eastAsia="Arial"/>
                <w:sz w:val="22"/>
              </w:rPr>
              <w:t>400</w:t>
            </w:r>
            <w:r>
              <w:rPr>
                <w:sz w:val="22"/>
              </w:rPr>
              <w:t>－</w:t>
            </w:r>
            <w:r>
              <w:rPr>
                <w:rFonts w:ascii="Arial" w:eastAsia="Arial"/>
                <w:sz w:val="22"/>
              </w:rPr>
              <w:t>001</w:t>
            </w:r>
            <w:r>
              <w:rPr>
                <w:sz w:val="22"/>
              </w:rPr>
              <w:t>－</w:t>
            </w:r>
            <w:r>
              <w:rPr>
                <w:rFonts w:ascii="Arial" w:eastAsia="Arial"/>
                <w:sz w:val="22"/>
              </w:rPr>
              <w:t>8811 </w:t>
            </w:r>
            <w:r>
              <w:rPr>
                <w:sz w:val="22"/>
              </w:rPr>
              <w:t>网址：</w:t>
            </w:r>
            <w:hyperlink r:id="rId106">
              <w:r>
                <w:rPr>
                  <w:rFonts w:ascii="Arial" w:eastAsia="Arial"/>
                  <w:sz w:val="22"/>
                </w:rPr>
                <w:t>www.zcvc.com.cn</w:t>
              </w:r>
            </w:hyperlink>
          </w:p>
        </w:tc>
      </w:tr>
      <w:tr>
        <w:trPr>
          <w:trHeight w:val="623" w:hRule="atLeast"/>
        </w:trPr>
        <w:tc>
          <w:tcPr>
            <w:tcW w:w="470" w:type="dxa"/>
          </w:tcPr>
          <w:p>
            <w:pPr>
              <w:pStyle w:val="TableParagraph"/>
              <w:spacing w:before="33"/>
              <w:ind w:left="98" w:right="88"/>
              <w:jc w:val="center"/>
              <w:rPr>
                <w:rFonts w:ascii="Arial"/>
                <w:sz w:val="21"/>
              </w:rPr>
            </w:pPr>
            <w:r>
              <w:rPr>
                <w:rFonts w:ascii="Arial"/>
                <w:sz w:val="21"/>
              </w:rPr>
              <w:t>10</w:t>
            </w:r>
          </w:p>
          <w:p>
            <w:pPr>
              <w:pStyle w:val="TableParagraph"/>
              <w:spacing w:before="71"/>
              <w:ind w:left="7"/>
              <w:jc w:val="center"/>
              <w:rPr>
                <w:rFonts w:ascii="Arial"/>
                <w:sz w:val="21"/>
              </w:rPr>
            </w:pPr>
            <w:r>
              <w:rPr>
                <w:rFonts w:ascii="Arial"/>
                <w:w w:val="100"/>
                <w:sz w:val="21"/>
              </w:rPr>
              <w:t>1</w:t>
            </w:r>
          </w:p>
        </w:tc>
        <w:tc>
          <w:tcPr>
            <w:tcW w:w="2484" w:type="dxa"/>
          </w:tcPr>
          <w:p>
            <w:pPr>
              <w:pStyle w:val="TableParagraph"/>
              <w:spacing w:before="15"/>
              <w:ind w:left="120" w:right="113"/>
              <w:jc w:val="center"/>
              <w:rPr>
                <w:sz w:val="22"/>
              </w:rPr>
            </w:pPr>
            <w:r>
              <w:rPr>
                <w:sz w:val="22"/>
              </w:rPr>
              <w:t>厦门市鑫鼎盛控股有限</w:t>
            </w:r>
          </w:p>
          <w:p>
            <w:pPr>
              <w:pStyle w:val="TableParagraph"/>
              <w:spacing w:line="277" w:lineRule="exact" w:before="30"/>
              <w:ind w:left="120" w:right="113"/>
              <w:jc w:val="center"/>
              <w:rPr>
                <w:sz w:val="22"/>
              </w:rPr>
            </w:pPr>
            <w:r>
              <w:rPr>
                <w:sz w:val="22"/>
              </w:rPr>
              <w:t>公司</w:t>
            </w:r>
          </w:p>
        </w:tc>
        <w:tc>
          <w:tcPr>
            <w:tcW w:w="5480" w:type="dxa"/>
          </w:tcPr>
          <w:p>
            <w:pPr>
              <w:pStyle w:val="TableParagraph"/>
              <w:spacing w:before="15"/>
              <w:ind w:left="108"/>
              <w:rPr>
                <w:sz w:val="22"/>
              </w:rPr>
            </w:pPr>
            <w:r>
              <w:rPr>
                <w:sz w:val="22"/>
              </w:rPr>
              <w:t>注册（办公）地址：厦门市思明区鹭江道 </w:t>
            </w:r>
            <w:r>
              <w:rPr>
                <w:rFonts w:ascii="Arial" w:eastAsia="Arial"/>
                <w:sz w:val="22"/>
              </w:rPr>
              <w:t>2 </w:t>
            </w:r>
            <w:r>
              <w:rPr>
                <w:sz w:val="22"/>
              </w:rPr>
              <w:t>号厦门第一</w:t>
            </w:r>
          </w:p>
          <w:p>
            <w:pPr>
              <w:pStyle w:val="TableParagraph"/>
              <w:spacing w:line="277" w:lineRule="exact" w:before="30"/>
              <w:ind w:left="108"/>
              <w:rPr>
                <w:sz w:val="22"/>
              </w:rPr>
            </w:pPr>
            <w:r>
              <w:rPr>
                <w:sz w:val="22"/>
              </w:rPr>
              <w:t>广场西座 </w:t>
            </w:r>
            <w:r>
              <w:rPr>
                <w:rFonts w:ascii="Arial" w:eastAsia="Arial"/>
                <w:sz w:val="22"/>
              </w:rPr>
              <w:t>1501-1504 </w:t>
            </w:r>
            <w:r>
              <w:rPr>
                <w:sz w:val="22"/>
              </w:rPr>
              <w:t>室</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560"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66" w:lineRule="auto" w:before="15"/>
              <w:ind w:left="108" w:right="3376"/>
              <w:rPr>
                <w:sz w:val="22"/>
              </w:rPr>
            </w:pPr>
            <w:r>
              <w:rPr>
                <w:sz w:val="22"/>
              </w:rPr>
              <w:t>法定代表人：陈洪生联系人：梁云波</w:t>
            </w:r>
          </w:p>
          <w:p>
            <w:pPr>
              <w:pStyle w:val="TableParagraph"/>
              <w:spacing w:line="280" w:lineRule="exact"/>
              <w:ind w:left="108"/>
              <w:rPr>
                <w:rFonts w:ascii="Arial" w:eastAsia="Arial"/>
                <w:sz w:val="22"/>
              </w:rPr>
            </w:pPr>
            <w:r>
              <w:rPr>
                <w:sz w:val="22"/>
              </w:rPr>
              <w:t>联系电话：</w:t>
            </w:r>
            <w:r>
              <w:rPr>
                <w:rFonts w:ascii="Arial" w:eastAsia="Arial"/>
                <w:sz w:val="22"/>
              </w:rPr>
              <w:t>0592-3122757</w:t>
            </w:r>
          </w:p>
          <w:p>
            <w:pPr>
              <w:pStyle w:val="TableParagraph"/>
              <w:spacing w:before="31"/>
              <w:ind w:left="108"/>
              <w:rPr>
                <w:rFonts w:ascii="Arial" w:eastAsia="Arial"/>
                <w:sz w:val="22"/>
              </w:rPr>
            </w:pPr>
            <w:r>
              <w:rPr>
                <w:sz w:val="22"/>
              </w:rPr>
              <w:t>客服电话：</w:t>
            </w:r>
            <w:r>
              <w:rPr>
                <w:rFonts w:ascii="Arial" w:eastAsia="Arial"/>
                <w:sz w:val="22"/>
              </w:rPr>
              <w:t>400-9180808</w:t>
            </w:r>
          </w:p>
          <w:p>
            <w:pPr>
              <w:pStyle w:val="TableParagraph"/>
              <w:spacing w:line="277" w:lineRule="exact" w:before="30"/>
              <w:ind w:left="108"/>
              <w:rPr>
                <w:rFonts w:ascii="Arial" w:eastAsia="Arial"/>
                <w:sz w:val="22"/>
              </w:rPr>
            </w:pPr>
            <w:r>
              <w:rPr>
                <w:sz w:val="22"/>
              </w:rPr>
              <w:t>公司网站：</w:t>
            </w:r>
            <w:hyperlink r:id="rId107">
              <w:r>
                <w:rPr>
                  <w:rFonts w:ascii="Arial" w:eastAsia="Arial"/>
                  <w:sz w:val="22"/>
                </w:rPr>
                <w:t>www.xds.com.cn</w:t>
              </w:r>
            </w:hyperlink>
          </w:p>
        </w:tc>
      </w:tr>
      <w:tr>
        <w:trPr>
          <w:trHeight w:val="280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98" w:right="88"/>
              <w:jc w:val="center"/>
              <w:rPr>
                <w:rFonts w:ascii="Arial"/>
                <w:sz w:val="21"/>
              </w:rPr>
            </w:pPr>
            <w:r>
              <w:rPr>
                <w:rFonts w:ascii="Arial"/>
                <w:sz w:val="21"/>
              </w:rPr>
              <w:t>10</w:t>
            </w:r>
          </w:p>
          <w:p>
            <w:pPr>
              <w:pStyle w:val="TableParagraph"/>
              <w:spacing w:before="70"/>
              <w:ind w:left="7"/>
              <w:jc w:val="center"/>
              <w:rPr>
                <w:rFonts w:ascii="Arial"/>
                <w:sz w:val="21"/>
              </w:rPr>
            </w:pPr>
            <w:r>
              <w:rPr>
                <w:rFonts w:ascii="Arial"/>
                <w:w w:val="100"/>
                <w:sz w:val="21"/>
              </w:rPr>
              <w:t>2</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799" w:right="129" w:hanging="660"/>
              <w:rPr>
                <w:sz w:val="22"/>
              </w:rPr>
            </w:pPr>
            <w:r>
              <w:rPr>
                <w:sz w:val="22"/>
              </w:rPr>
              <w:t>北京晟视天下基金销售有限公司</w:t>
            </w:r>
          </w:p>
        </w:tc>
        <w:tc>
          <w:tcPr>
            <w:tcW w:w="5480" w:type="dxa"/>
          </w:tcPr>
          <w:p>
            <w:pPr>
              <w:pStyle w:val="TableParagraph"/>
              <w:spacing w:line="266" w:lineRule="auto" w:before="15"/>
              <w:ind w:left="108" w:right="92"/>
              <w:jc w:val="both"/>
              <w:rPr>
                <w:sz w:val="22"/>
              </w:rPr>
            </w:pPr>
            <w:r>
              <w:rPr>
                <w:spacing w:val="-6"/>
                <w:sz w:val="22"/>
              </w:rPr>
              <w:t>注册地址：北京市怀柔区九渡河镇黄坎村 </w:t>
            </w:r>
            <w:r>
              <w:rPr>
                <w:rFonts w:ascii="Arial" w:eastAsia="Arial"/>
                <w:sz w:val="22"/>
              </w:rPr>
              <w:t>735 </w:t>
            </w:r>
            <w:r>
              <w:rPr>
                <w:spacing w:val="-26"/>
                <w:sz w:val="22"/>
              </w:rPr>
              <w:t>号 </w:t>
            </w:r>
            <w:r>
              <w:rPr>
                <w:rFonts w:ascii="Arial" w:eastAsia="Arial"/>
                <w:sz w:val="22"/>
              </w:rPr>
              <w:t>03 </w:t>
            </w:r>
            <w:r>
              <w:rPr>
                <w:sz w:val="22"/>
              </w:rPr>
              <w:t>室</w:t>
            </w:r>
            <w:r>
              <w:rPr>
                <w:spacing w:val="-14"/>
                <w:sz w:val="22"/>
              </w:rPr>
              <w:t>办公地址：北京市朝阳区朝外大街甲 </w:t>
            </w:r>
            <w:r>
              <w:rPr>
                <w:rFonts w:ascii="Arial" w:eastAsia="Arial"/>
                <w:sz w:val="22"/>
              </w:rPr>
              <w:t>6 </w:t>
            </w:r>
            <w:r>
              <w:rPr>
                <w:spacing w:val="-11"/>
                <w:sz w:val="22"/>
              </w:rPr>
              <w:t>号万通中心 </w:t>
            </w:r>
            <w:r>
              <w:rPr>
                <w:rFonts w:ascii="Arial" w:eastAsia="Arial"/>
                <w:sz w:val="22"/>
              </w:rPr>
              <w:t>D </w:t>
            </w:r>
            <w:r>
              <w:rPr>
                <w:spacing w:val="-11"/>
                <w:sz w:val="22"/>
              </w:rPr>
              <w:t>座</w:t>
            </w:r>
            <w:r>
              <w:rPr>
                <w:rFonts w:ascii="Arial" w:eastAsia="Arial"/>
                <w:sz w:val="22"/>
              </w:rPr>
              <w:t>28 </w:t>
            </w:r>
            <w:r>
              <w:rPr>
                <w:sz w:val="22"/>
              </w:rPr>
              <w:t>层</w:t>
            </w:r>
          </w:p>
          <w:p>
            <w:pPr>
              <w:pStyle w:val="TableParagraph"/>
              <w:spacing w:line="279" w:lineRule="exact"/>
              <w:ind w:left="108"/>
              <w:rPr>
                <w:sz w:val="22"/>
              </w:rPr>
            </w:pPr>
            <w:r>
              <w:rPr>
                <w:sz w:val="22"/>
              </w:rPr>
              <w:t>法定代表人：蒋煜</w:t>
            </w:r>
          </w:p>
          <w:p>
            <w:pPr>
              <w:pStyle w:val="TableParagraph"/>
              <w:spacing w:before="30"/>
              <w:ind w:left="108"/>
              <w:rPr>
                <w:sz w:val="22"/>
              </w:rPr>
            </w:pPr>
            <w:r>
              <w:rPr>
                <w:sz w:val="22"/>
              </w:rPr>
              <w:t>联系人：徐长征、林凌</w:t>
            </w:r>
          </w:p>
          <w:p>
            <w:pPr>
              <w:pStyle w:val="TableParagraph"/>
              <w:spacing w:line="266" w:lineRule="auto" w:before="30"/>
              <w:ind w:left="108" w:right="1638"/>
              <w:rPr>
                <w:rFonts w:ascii="Arial" w:eastAsia="Arial"/>
                <w:sz w:val="22"/>
              </w:rPr>
            </w:pPr>
            <w:r>
              <w:rPr>
                <w:sz w:val="22"/>
              </w:rPr>
              <w:t>电话：</w:t>
            </w:r>
            <w:r>
              <w:rPr>
                <w:rFonts w:ascii="Arial" w:eastAsia="Arial"/>
                <w:sz w:val="22"/>
              </w:rPr>
              <w:t>010-58170943</w:t>
            </w:r>
            <w:r>
              <w:rPr>
                <w:sz w:val="22"/>
              </w:rPr>
              <w:t>，</w:t>
            </w:r>
            <w:r>
              <w:rPr>
                <w:rFonts w:ascii="Arial" w:eastAsia="Arial"/>
                <w:sz w:val="22"/>
              </w:rPr>
              <w:t>010-58170918 </w:t>
            </w:r>
            <w:r>
              <w:rPr>
                <w:sz w:val="22"/>
              </w:rPr>
              <w:t>传真：</w:t>
            </w:r>
            <w:r>
              <w:rPr>
                <w:rFonts w:ascii="Arial" w:eastAsia="Arial"/>
                <w:sz w:val="22"/>
              </w:rPr>
              <w:t>010-58170800</w:t>
            </w:r>
          </w:p>
          <w:p>
            <w:pPr>
              <w:pStyle w:val="TableParagraph"/>
              <w:spacing w:line="281" w:lineRule="exact"/>
              <w:ind w:left="108"/>
              <w:rPr>
                <w:rFonts w:ascii="Arial" w:eastAsia="Arial"/>
                <w:sz w:val="22"/>
              </w:rPr>
            </w:pPr>
            <w:r>
              <w:rPr>
                <w:sz w:val="22"/>
              </w:rPr>
              <w:t>客户服务电话：</w:t>
            </w:r>
            <w:r>
              <w:rPr>
                <w:rFonts w:ascii="Arial" w:eastAsia="Arial"/>
                <w:sz w:val="22"/>
              </w:rPr>
              <w:t>400-818-8866</w:t>
            </w:r>
          </w:p>
          <w:p>
            <w:pPr>
              <w:pStyle w:val="TableParagraph"/>
              <w:spacing w:line="277" w:lineRule="exact" w:before="30"/>
              <w:ind w:left="108"/>
              <w:rPr>
                <w:rFonts w:ascii="Arial" w:eastAsia="Arial"/>
                <w:sz w:val="22"/>
              </w:rPr>
            </w:pPr>
            <w:r>
              <w:rPr>
                <w:sz w:val="22"/>
              </w:rPr>
              <w:t>网址：</w:t>
            </w:r>
            <w:hyperlink r:id="rId108">
              <w:r>
                <w:rPr>
                  <w:rFonts w:ascii="Arial" w:eastAsia="Arial"/>
                  <w:sz w:val="22"/>
                </w:rPr>
                <w:t>www.shengshiview.com</w:t>
              </w:r>
            </w:hyperlink>
          </w:p>
        </w:tc>
      </w:tr>
      <w:tr>
        <w:trPr>
          <w:trHeight w:val="249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98" w:right="88"/>
              <w:jc w:val="center"/>
              <w:rPr>
                <w:rFonts w:ascii="Arial"/>
                <w:sz w:val="21"/>
              </w:rPr>
            </w:pPr>
            <w:r>
              <w:rPr>
                <w:rFonts w:ascii="Arial"/>
                <w:sz w:val="21"/>
              </w:rPr>
              <w:t>10</w:t>
            </w:r>
          </w:p>
          <w:p>
            <w:pPr>
              <w:pStyle w:val="TableParagraph"/>
              <w:spacing w:before="71"/>
              <w:ind w:left="7"/>
              <w:jc w:val="center"/>
              <w:rPr>
                <w:rFonts w:ascii="Arial"/>
                <w:sz w:val="21"/>
              </w:rPr>
            </w:pPr>
            <w:r>
              <w:rPr>
                <w:rFonts w:ascii="Arial"/>
                <w:w w:val="100"/>
                <w:sz w:val="21"/>
              </w:rPr>
              <w:t>3</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9"/>
              <w:rPr>
                <w:sz w:val="22"/>
              </w:rPr>
            </w:pPr>
            <w:r>
              <w:rPr>
                <w:sz w:val="22"/>
              </w:rPr>
              <w:t>嘉实财富管理有限公司</w:t>
            </w:r>
          </w:p>
        </w:tc>
        <w:tc>
          <w:tcPr>
            <w:tcW w:w="5480" w:type="dxa"/>
          </w:tcPr>
          <w:p>
            <w:pPr>
              <w:pStyle w:val="TableParagraph"/>
              <w:spacing w:before="15"/>
              <w:ind w:left="108"/>
              <w:rPr>
                <w:sz w:val="22"/>
              </w:rPr>
            </w:pPr>
            <w:r>
              <w:rPr>
                <w:sz w:val="22"/>
              </w:rPr>
              <w:t>注册（办公）地址：上海市浦东新区世纪大道 </w:t>
            </w:r>
            <w:r>
              <w:rPr>
                <w:rFonts w:ascii="Arial" w:eastAsia="Arial"/>
                <w:sz w:val="22"/>
              </w:rPr>
              <w:t>8 </w:t>
            </w:r>
            <w:r>
              <w:rPr>
                <w:sz w:val="22"/>
              </w:rPr>
              <w:t>号国金</w:t>
            </w:r>
          </w:p>
          <w:p>
            <w:pPr>
              <w:pStyle w:val="TableParagraph"/>
              <w:spacing w:line="266" w:lineRule="auto" w:before="30"/>
              <w:ind w:left="108" w:right="3122"/>
              <w:rPr>
                <w:sz w:val="22"/>
              </w:rPr>
            </w:pPr>
            <w:r>
              <w:rPr>
                <w:spacing w:val="-11"/>
                <w:sz w:val="22"/>
              </w:rPr>
              <w:t>中心二期 </w:t>
            </w:r>
            <w:r>
              <w:rPr>
                <w:rFonts w:ascii="Arial" w:eastAsia="Arial"/>
                <w:sz w:val="22"/>
              </w:rPr>
              <w:t>4606-10</w:t>
            </w:r>
            <w:r>
              <w:rPr>
                <w:rFonts w:ascii="Arial" w:eastAsia="Arial"/>
                <w:spacing w:val="-6"/>
                <w:sz w:val="22"/>
              </w:rPr>
              <w:t> </w:t>
            </w:r>
            <w:r>
              <w:rPr>
                <w:spacing w:val="-10"/>
                <w:sz w:val="22"/>
              </w:rPr>
              <w:t>单元</w:t>
            </w:r>
            <w:r>
              <w:rPr>
                <w:spacing w:val="-2"/>
                <w:sz w:val="22"/>
              </w:rPr>
              <w:t>法定代表人：赵学军 </w:t>
            </w:r>
            <w:r>
              <w:rPr>
                <w:spacing w:val="-3"/>
                <w:sz w:val="22"/>
              </w:rPr>
              <w:t>联系人：景琪</w:t>
            </w:r>
          </w:p>
          <w:p>
            <w:pPr>
              <w:pStyle w:val="TableParagraph"/>
              <w:spacing w:line="266" w:lineRule="auto"/>
              <w:ind w:left="108" w:right="3278"/>
              <w:rPr>
                <w:rFonts w:ascii="Arial" w:eastAsia="Arial"/>
                <w:sz w:val="22"/>
              </w:rPr>
            </w:pPr>
            <w:r>
              <w:rPr>
                <w:sz w:val="22"/>
              </w:rPr>
              <w:t>电话：</w:t>
            </w:r>
            <w:r>
              <w:rPr>
                <w:rFonts w:ascii="Arial" w:eastAsia="Arial"/>
                <w:sz w:val="22"/>
              </w:rPr>
              <w:t>021-20289890 </w:t>
            </w:r>
            <w:r>
              <w:rPr>
                <w:sz w:val="22"/>
              </w:rPr>
              <w:t>传真：</w:t>
            </w:r>
            <w:r>
              <w:rPr>
                <w:rFonts w:ascii="Arial" w:eastAsia="Arial"/>
                <w:sz w:val="22"/>
              </w:rPr>
              <w:t>010-85097308</w:t>
            </w:r>
          </w:p>
          <w:p>
            <w:pPr>
              <w:pStyle w:val="TableParagraph"/>
              <w:spacing w:line="280" w:lineRule="exact"/>
              <w:ind w:left="108"/>
              <w:rPr>
                <w:rFonts w:ascii="Arial" w:eastAsia="Arial"/>
                <w:sz w:val="22"/>
              </w:rPr>
            </w:pPr>
            <w:r>
              <w:rPr>
                <w:sz w:val="22"/>
              </w:rPr>
              <w:t>客户服务电话：</w:t>
            </w:r>
            <w:r>
              <w:rPr>
                <w:rFonts w:ascii="Arial" w:eastAsia="Arial"/>
                <w:sz w:val="22"/>
              </w:rPr>
              <w:t>400-021-8850</w:t>
            </w:r>
          </w:p>
          <w:p>
            <w:pPr>
              <w:pStyle w:val="TableParagraph"/>
              <w:spacing w:line="277" w:lineRule="exact" w:before="28"/>
              <w:ind w:left="108"/>
              <w:rPr>
                <w:rFonts w:ascii="Arial" w:eastAsia="Arial"/>
                <w:sz w:val="22"/>
              </w:rPr>
            </w:pPr>
            <w:r>
              <w:rPr>
                <w:sz w:val="22"/>
              </w:rPr>
              <w:t>网址：</w:t>
            </w:r>
            <w:hyperlink r:id="rId109">
              <w:r>
                <w:rPr>
                  <w:rFonts w:ascii="Arial" w:eastAsia="Arial"/>
                  <w:sz w:val="22"/>
                </w:rPr>
                <w:t>www.harvestwm.cn</w:t>
              </w:r>
            </w:hyperlink>
          </w:p>
        </w:tc>
      </w:tr>
      <w:tr>
        <w:trPr>
          <w:trHeight w:val="2807"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98" w:right="88"/>
              <w:jc w:val="center"/>
              <w:rPr>
                <w:rFonts w:ascii="Arial"/>
                <w:sz w:val="21"/>
              </w:rPr>
            </w:pPr>
            <w:r>
              <w:rPr>
                <w:rFonts w:ascii="Arial"/>
                <w:sz w:val="21"/>
              </w:rPr>
              <w:t>10</w:t>
            </w:r>
          </w:p>
          <w:p>
            <w:pPr>
              <w:pStyle w:val="TableParagraph"/>
              <w:spacing w:before="70"/>
              <w:ind w:left="7"/>
              <w:jc w:val="center"/>
              <w:rPr>
                <w:rFonts w:ascii="Arial"/>
                <w:sz w:val="21"/>
              </w:rPr>
            </w:pPr>
            <w:r>
              <w:rPr>
                <w:rFonts w:ascii="Arial"/>
                <w:w w:val="100"/>
                <w:sz w:val="21"/>
              </w:rPr>
              <w:t>4</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578" w:right="129" w:hanging="440"/>
              <w:rPr>
                <w:sz w:val="22"/>
              </w:rPr>
            </w:pPr>
            <w:r>
              <w:rPr>
                <w:sz w:val="22"/>
              </w:rPr>
              <w:t>深圳市新兰德证券投资咨询有限公司</w:t>
            </w:r>
          </w:p>
        </w:tc>
        <w:tc>
          <w:tcPr>
            <w:tcW w:w="5480" w:type="dxa"/>
          </w:tcPr>
          <w:p>
            <w:pPr>
              <w:pStyle w:val="TableParagraph"/>
              <w:spacing w:before="15"/>
              <w:ind w:left="108"/>
              <w:rPr>
                <w:rFonts w:ascii="Arial" w:eastAsia="Arial"/>
                <w:sz w:val="22"/>
              </w:rPr>
            </w:pPr>
            <w:r>
              <w:rPr>
                <w:sz w:val="22"/>
              </w:rPr>
              <w:t>注册地址：深圳市福田区华强北路赛格科技园 </w:t>
            </w:r>
            <w:r>
              <w:rPr>
                <w:rFonts w:ascii="Arial" w:eastAsia="Arial"/>
                <w:sz w:val="22"/>
              </w:rPr>
              <w:t>4 </w:t>
            </w:r>
            <w:r>
              <w:rPr>
                <w:sz w:val="22"/>
              </w:rPr>
              <w:t>栋 </w:t>
            </w:r>
            <w:r>
              <w:rPr>
                <w:rFonts w:ascii="Arial" w:eastAsia="Arial"/>
                <w:sz w:val="22"/>
              </w:rPr>
              <w:t>10</w:t>
            </w:r>
          </w:p>
          <w:p>
            <w:pPr>
              <w:pStyle w:val="TableParagraph"/>
              <w:spacing w:before="30"/>
              <w:ind w:left="108"/>
              <w:rPr>
                <w:rFonts w:ascii="Arial" w:eastAsia="Arial"/>
                <w:sz w:val="22"/>
              </w:rPr>
            </w:pPr>
            <w:r>
              <w:rPr>
                <w:sz w:val="22"/>
              </w:rPr>
              <w:t>层 </w:t>
            </w:r>
            <w:r>
              <w:rPr>
                <w:rFonts w:ascii="Arial" w:eastAsia="Arial"/>
                <w:sz w:val="22"/>
              </w:rPr>
              <w:t>1006#</w:t>
            </w:r>
          </w:p>
          <w:p>
            <w:pPr>
              <w:pStyle w:val="TableParagraph"/>
              <w:spacing w:before="30"/>
              <w:ind w:left="108"/>
              <w:rPr>
                <w:sz w:val="22"/>
              </w:rPr>
            </w:pPr>
            <w:r>
              <w:rPr>
                <w:sz w:val="22"/>
              </w:rPr>
              <w:t>办公地址：北京市西城区宣武门外大街 </w:t>
            </w:r>
            <w:r>
              <w:rPr>
                <w:rFonts w:ascii="Arial" w:eastAsia="Arial"/>
                <w:sz w:val="22"/>
              </w:rPr>
              <w:t>10 </w:t>
            </w:r>
            <w:r>
              <w:rPr>
                <w:sz w:val="22"/>
              </w:rPr>
              <w:t>号庄胜广场</w:t>
            </w:r>
          </w:p>
          <w:p>
            <w:pPr>
              <w:pStyle w:val="TableParagraph"/>
              <w:spacing w:line="266" w:lineRule="auto" w:before="30"/>
              <w:ind w:left="108" w:right="3296"/>
              <w:rPr>
                <w:sz w:val="22"/>
              </w:rPr>
            </w:pPr>
            <w:r>
              <w:rPr>
                <w:sz w:val="22"/>
              </w:rPr>
              <w:t>中央办公楼东翼 </w:t>
            </w:r>
            <w:r>
              <w:rPr>
                <w:rFonts w:ascii="Arial" w:eastAsia="Arial"/>
                <w:sz w:val="22"/>
              </w:rPr>
              <w:t>7 </w:t>
            </w:r>
            <w:r>
              <w:rPr>
                <w:sz w:val="22"/>
              </w:rPr>
              <w:t>层法定代表人：马勇</w:t>
            </w:r>
          </w:p>
          <w:p>
            <w:pPr>
              <w:pStyle w:val="TableParagraph"/>
              <w:spacing w:line="266" w:lineRule="auto"/>
              <w:ind w:left="108" w:right="3156"/>
              <w:rPr>
                <w:rFonts w:ascii="Arial" w:eastAsia="Arial"/>
                <w:sz w:val="22"/>
              </w:rPr>
            </w:pPr>
            <w:r>
              <w:rPr>
                <w:sz w:val="22"/>
              </w:rPr>
              <w:t>电话：</w:t>
            </w:r>
            <w:r>
              <w:rPr>
                <w:rFonts w:ascii="Arial" w:eastAsia="Arial"/>
                <w:sz w:val="22"/>
              </w:rPr>
              <w:t>0755-88394666 </w:t>
            </w:r>
            <w:r>
              <w:rPr>
                <w:sz w:val="22"/>
              </w:rPr>
              <w:t>传真：</w:t>
            </w:r>
            <w:r>
              <w:rPr>
                <w:rFonts w:ascii="Arial" w:eastAsia="Arial"/>
                <w:sz w:val="22"/>
              </w:rPr>
              <w:t>0755-88394677</w:t>
            </w:r>
          </w:p>
          <w:p>
            <w:pPr>
              <w:pStyle w:val="TableParagraph"/>
              <w:spacing w:line="280" w:lineRule="exact"/>
              <w:ind w:left="108"/>
              <w:rPr>
                <w:rFonts w:ascii="Arial" w:eastAsia="Arial"/>
                <w:sz w:val="22"/>
              </w:rPr>
            </w:pPr>
            <w:r>
              <w:rPr>
                <w:sz w:val="22"/>
              </w:rPr>
              <w:t>客户服务电话：</w:t>
            </w:r>
            <w:r>
              <w:rPr>
                <w:rFonts w:ascii="Arial" w:eastAsia="Arial"/>
                <w:sz w:val="22"/>
              </w:rPr>
              <w:t>400-166-1188</w:t>
            </w:r>
          </w:p>
          <w:p>
            <w:pPr>
              <w:pStyle w:val="TableParagraph"/>
              <w:spacing w:line="277" w:lineRule="exact" w:before="28"/>
              <w:ind w:left="108"/>
              <w:rPr>
                <w:rFonts w:ascii="Arial" w:eastAsia="Arial"/>
                <w:sz w:val="22"/>
              </w:rPr>
            </w:pPr>
            <w:r>
              <w:rPr>
                <w:sz w:val="22"/>
              </w:rPr>
              <w:t>网址：</w:t>
            </w:r>
            <w:hyperlink r:id="rId110">
              <w:r>
                <w:rPr>
                  <w:rFonts w:ascii="Arial" w:eastAsia="Arial"/>
                  <w:sz w:val="22"/>
                </w:rPr>
                <w:t>http://8.jrj.com.cn/</w:t>
              </w:r>
            </w:hyperlink>
          </w:p>
        </w:tc>
      </w:tr>
      <w:tr>
        <w:trPr>
          <w:trHeight w:val="3122"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0"/>
              <w:ind w:left="98" w:right="88"/>
              <w:jc w:val="center"/>
              <w:rPr>
                <w:rFonts w:ascii="Arial"/>
                <w:sz w:val="21"/>
              </w:rPr>
            </w:pPr>
            <w:r>
              <w:rPr>
                <w:rFonts w:ascii="Arial"/>
                <w:sz w:val="21"/>
              </w:rPr>
              <w:t>10</w:t>
            </w:r>
          </w:p>
          <w:p>
            <w:pPr>
              <w:pStyle w:val="TableParagraph"/>
              <w:spacing w:before="71"/>
              <w:ind w:left="7"/>
              <w:jc w:val="center"/>
              <w:rPr>
                <w:rFonts w:ascii="Arial"/>
                <w:sz w:val="21"/>
              </w:rPr>
            </w:pPr>
            <w:r>
              <w:rPr>
                <w:rFonts w:ascii="Arial"/>
                <w:w w:val="100"/>
                <w:sz w:val="21"/>
              </w:rPr>
              <w:t>5</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2"/>
              </w:rPr>
            </w:pPr>
          </w:p>
          <w:p>
            <w:pPr>
              <w:pStyle w:val="TableParagraph"/>
              <w:spacing w:line="266" w:lineRule="auto"/>
              <w:ind w:left="578" w:right="129" w:hanging="440"/>
              <w:rPr>
                <w:sz w:val="22"/>
              </w:rPr>
            </w:pPr>
            <w:r>
              <w:rPr>
                <w:sz w:val="22"/>
              </w:rPr>
              <w:t>一路财富（北京）信息科技有限公司</w:t>
            </w:r>
          </w:p>
        </w:tc>
        <w:tc>
          <w:tcPr>
            <w:tcW w:w="5480" w:type="dxa"/>
          </w:tcPr>
          <w:p>
            <w:pPr>
              <w:pStyle w:val="TableParagraph"/>
              <w:spacing w:before="17"/>
              <w:ind w:left="108"/>
              <w:rPr>
                <w:sz w:val="22"/>
              </w:rPr>
            </w:pPr>
            <w:r>
              <w:rPr>
                <w:spacing w:val="-14"/>
                <w:sz w:val="22"/>
              </w:rPr>
              <w:t>注册地址：北京市西城区车公庄大街 </w:t>
            </w:r>
            <w:r>
              <w:rPr>
                <w:rFonts w:ascii="Arial" w:eastAsia="Arial"/>
                <w:sz w:val="22"/>
              </w:rPr>
              <w:t>9 </w:t>
            </w:r>
            <w:r>
              <w:rPr>
                <w:spacing w:val="-12"/>
                <w:sz w:val="22"/>
              </w:rPr>
              <w:t>号五栋大楼 </w:t>
            </w:r>
            <w:r>
              <w:rPr>
                <w:rFonts w:ascii="Arial" w:eastAsia="Arial"/>
                <w:sz w:val="22"/>
              </w:rPr>
              <w:t>C </w:t>
            </w:r>
            <w:r>
              <w:rPr>
                <w:sz w:val="22"/>
              </w:rPr>
              <w:t>座</w:t>
            </w:r>
          </w:p>
          <w:p>
            <w:pPr>
              <w:pStyle w:val="TableParagraph"/>
              <w:spacing w:before="44"/>
              <w:ind w:left="108"/>
              <w:rPr>
                <w:rFonts w:ascii="Arial"/>
                <w:sz w:val="22"/>
              </w:rPr>
            </w:pPr>
            <w:r>
              <w:rPr>
                <w:rFonts w:ascii="Arial"/>
                <w:sz w:val="22"/>
              </w:rPr>
              <w:t>702</w:t>
            </w:r>
          </w:p>
          <w:p>
            <w:pPr>
              <w:pStyle w:val="TableParagraph"/>
              <w:spacing w:line="266" w:lineRule="auto" w:before="46"/>
              <w:ind w:left="108" w:right="90"/>
              <w:rPr>
                <w:rFonts w:ascii="Arial" w:eastAsia="Arial"/>
                <w:sz w:val="22"/>
              </w:rPr>
            </w:pPr>
            <w:r>
              <w:rPr>
                <w:spacing w:val="-9"/>
                <w:sz w:val="22"/>
              </w:rPr>
              <w:t>办公地址：北京市西城区阜成门大街 </w:t>
            </w:r>
            <w:r>
              <w:rPr>
                <w:rFonts w:ascii="Arial" w:eastAsia="Arial"/>
                <w:sz w:val="22"/>
              </w:rPr>
              <w:t>2 </w:t>
            </w:r>
            <w:r>
              <w:rPr>
                <w:spacing w:val="-5"/>
                <w:sz w:val="22"/>
              </w:rPr>
              <w:t>号万通新世界广</w:t>
            </w:r>
            <w:r>
              <w:rPr>
                <w:spacing w:val="-28"/>
                <w:sz w:val="22"/>
              </w:rPr>
              <w:t>场 </w:t>
            </w:r>
            <w:r>
              <w:rPr>
                <w:rFonts w:ascii="Arial" w:eastAsia="Arial"/>
                <w:sz w:val="22"/>
              </w:rPr>
              <w:t>A </w:t>
            </w:r>
            <w:r>
              <w:rPr>
                <w:spacing w:val="-28"/>
                <w:sz w:val="22"/>
              </w:rPr>
              <w:t>座 </w:t>
            </w:r>
            <w:r>
              <w:rPr>
                <w:rFonts w:ascii="Arial" w:eastAsia="Arial"/>
                <w:sz w:val="22"/>
              </w:rPr>
              <w:t>2208</w:t>
            </w:r>
          </w:p>
          <w:p>
            <w:pPr>
              <w:pStyle w:val="TableParagraph"/>
              <w:spacing w:line="266" w:lineRule="auto"/>
              <w:ind w:left="108" w:right="3376"/>
              <w:rPr>
                <w:sz w:val="22"/>
              </w:rPr>
            </w:pPr>
            <w:r>
              <w:rPr>
                <w:sz w:val="22"/>
              </w:rPr>
              <w:t>法定代表人：吴雪秀联系人：段京璐</w:t>
            </w:r>
          </w:p>
          <w:p>
            <w:pPr>
              <w:pStyle w:val="TableParagraph"/>
              <w:spacing w:line="266" w:lineRule="auto"/>
              <w:ind w:left="108" w:right="3278"/>
              <w:rPr>
                <w:rFonts w:ascii="Arial" w:eastAsia="Arial"/>
                <w:sz w:val="22"/>
              </w:rPr>
            </w:pPr>
            <w:r>
              <w:rPr>
                <w:sz w:val="22"/>
              </w:rPr>
              <w:t>电话：</w:t>
            </w:r>
            <w:r>
              <w:rPr>
                <w:rFonts w:ascii="Arial" w:eastAsia="Arial"/>
                <w:sz w:val="22"/>
              </w:rPr>
              <w:t>010-88312877 </w:t>
            </w:r>
            <w:r>
              <w:rPr>
                <w:sz w:val="22"/>
              </w:rPr>
              <w:t>传真：</w:t>
            </w:r>
            <w:r>
              <w:rPr>
                <w:rFonts w:ascii="Arial" w:eastAsia="Arial"/>
                <w:sz w:val="22"/>
              </w:rPr>
              <w:t>010-88312885</w:t>
            </w:r>
          </w:p>
          <w:p>
            <w:pPr>
              <w:pStyle w:val="TableParagraph"/>
              <w:spacing w:line="280" w:lineRule="exact"/>
              <w:ind w:left="108"/>
              <w:rPr>
                <w:rFonts w:ascii="Arial" w:eastAsia="Arial"/>
                <w:sz w:val="22"/>
              </w:rPr>
            </w:pPr>
            <w:r>
              <w:rPr>
                <w:sz w:val="22"/>
              </w:rPr>
              <w:t>客户服务电话：</w:t>
            </w:r>
            <w:r>
              <w:rPr>
                <w:rFonts w:ascii="Arial" w:eastAsia="Arial"/>
                <w:sz w:val="22"/>
              </w:rPr>
              <w:t>400-001-1566</w:t>
            </w:r>
          </w:p>
          <w:p>
            <w:pPr>
              <w:pStyle w:val="TableParagraph"/>
              <w:spacing w:line="277" w:lineRule="exact" w:before="26"/>
              <w:ind w:left="108"/>
              <w:rPr>
                <w:rFonts w:ascii="Arial" w:eastAsia="Arial"/>
                <w:sz w:val="22"/>
              </w:rPr>
            </w:pPr>
            <w:r>
              <w:rPr>
                <w:sz w:val="22"/>
              </w:rPr>
              <w:t>网址：</w:t>
            </w:r>
            <w:hyperlink r:id="rId111">
              <w:r>
                <w:rPr>
                  <w:rFonts w:ascii="Arial" w:eastAsia="Arial"/>
                  <w:sz w:val="22"/>
                </w:rPr>
                <w:t>www.yilucaifu.com</w:t>
              </w:r>
            </w:hyperlink>
          </w:p>
        </w:tc>
      </w:tr>
      <w:tr>
        <w:trPr>
          <w:trHeight w:val="935" w:hRule="atLeast"/>
        </w:trPr>
        <w:tc>
          <w:tcPr>
            <w:tcW w:w="470" w:type="dxa"/>
          </w:tcPr>
          <w:p>
            <w:pPr>
              <w:pStyle w:val="TableParagraph"/>
              <w:spacing w:before="189"/>
              <w:ind w:left="98" w:right="88"/>
              <w:jc w:val="center"/>
              <w:rPr>
                <w:rFonts w:ascii="Arial"/>
                <w:sz w:val="21"/>
              </w:rPr>
            </w:pPr>
            <w:r>
              <w:rPr>
                <w:rFonts w:ascii="Arial"/>
                <w:sz w:val="21"/>
              </w:rPr>
              <w:t>10</w:t>
            </w:r>
          </w:p>
          <w:p>
            <w:pPr>
              <w:pStyle w:val="TableParagraph"/>
              <w:spacing w:before="71"/>
              <w:ind w:left="7"/>
              <w:jc w:val="center"/>
              <w:rPr>
                <w:rFonts w:ascii="Arial"/>
                <w:sz w:val="21"/>
              </w:rPr>
            </w:pPr>
            <w:r>
              <w:rPr>
                <w:rFonts w:ascii="Arial"/>
                <w:w w:val="100"/>
                <w:sz w:val="21"/>
              </w:rPr>
              <w:t>6</w:t>
            </w:r>
          </w:p>
        </w:tc>
        <w:tc>
          <w:tcPr>
            <w:tcW w:w="2484" w:type="dxa"/>
          </w:tcPr>
          <w:p>
            <w:pPr>
              <w:pStyle w:val="TableParagraph"/>
              <w:spacing w:line="266" w:lineRule="auto" w:before="171"/>
              <w:ind w:left="799" w:right="129" w:hanging="660"/>
              <w:rPr>
                <w:sz w:val="22"/>
              </w:rPr>
            </w:pPr>
            <w:r>
              <w:rPr>
                <w:sz w:val="22"/>
              </w:rPr>
              <w:t>北京恒天明泽基金销售有限公司</w:t>
            </w:r>
          </w:p>
        </w:tc>
        <w:tc>
          <w:tcPr>
            <w:tcW w:w="5480" w:type="dxa"/>
          </w:tcPr>
          <w:p>
            <w:pPr>
              <w:pStyle w:val="TableParagraph"/>
              <w:spacing w:before="15"/>
              <w:ind w:left="108"/>
              <w:rPr>
                <w:sz w:val="22"/>
              </w:rPr>
            </w:pPr>
            <w:r>
              <w:rPr>
                <w:sz w:val="22"/>
              </w:rPr>
              <w:t>注册地址：北京市经济技术开发区宏达北路 </w:t>
            </w:r>
            <w:r>
              <w:rPr>
                <w:rFonts w:ascii="Arial" w:eastAsia="Arial"/>
                <w:sz w:val="22"/>
              </w:rPr>
              <w:t>10 </w:t>
            </w:r>
            <w:r>
              <w:rPr>
                <w:sz w:val="22"/>
              </w:rPr>
              <w:t>号五层</w:t>
            </w:r>
          </w:p>
          <w:p>
            <w:pPr>
              <w:pStyle w:val="TableParagraph"/>
              <w:spacing w:before="30"/>
              <w:ind w:left="108"/>
              <w:rPr>
                <w:sz w:val="22"/>
              </w:rPr>
            </w:pPr>
            <w:r>
              <w:rPr>
                <w:rFonts w:ascii="Arial" w:eastAsia="Arial"/>
                <w:sz w:val="22"/>
              </w:rPr>
              <w:t>5122 </w:t>
            </w:r>
            <w:r>
              <w:rPr>
                <w:sz w:val="22"/>
              </w:rPr>
              <w:t>室</w:t>
            </w:r>
          </w:p>
          <w:p>
            <w:pPr>
              <w:pStyle w:val="TableParagraph"/>
              <w:spacing w:line="277" w:lineRule="exact" w:before="30"/>
              <w:ind w:left="108"/>
              <w:rPr>
                <w:sz w:val="22"/>
              </w:rPr>
            </w:pPr>
            <w:r>
              <w:rPr>
                <w:spacing w:val="-9"/>
                <w:sz w:val="22"/>
              </w:rPr>
              <w:t>办公地址：北京市朝阳区东三环北路甲 </w:t>
            </w:r>
            <w:r>
              <w:rPr>
                <w:rFonts w:ascii="Arial" w:eastAsia="Arial"/>
                <w:sz w:val="22"/>
              </w:rPr>
              <w:t>19 </w:t>
            </w:r>
            <w:r>
              <w:rPr>
                <w:spacing w:val="-27"/>
                <w:sz w:val="22"/>
              </w:rPr>
              <w:t>号 </w:t>
            </w:r>
            <w:r>
              <w:rPr>
                <w:rFonts w:ascii="Arial" w:eastAsia="Arial"/>
                <w:sz w:val="22"/>
              </w:rPr>
              <w:t>SOHO </w:t>
            </w:r>
            <w:r>
              <w:rPr>
                <w:sz w:val="22"/>
              </w:rPr>
              <w:t>嘉</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872"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66" w:lineRule="auto" w:before="15"/>
              <w:ind w:left="108" w:right="3278"/>
              <w:rPr>
                <w:rFonts w:ascii="Arial" w:eastAsia="Arial"/>
                <w:sz w:val="22"/>
              </w:rPr>
            </w:pPr>
            <w:r>
              <w:rPr>
                <w:spacing w:val="-14"/>
                <w:sz w:val="22"/>
              </w:rPr>
              <w:t>盛中心 </w:t>
            </w:r>
            <w:r>
              <w:rPr>
                <w:rFonts w:ascii="Arial" w:eastAsia="Arial"/>
                <w:sz w:val="22"/>
              </w:rPr>
              <w:t>30</w:t>
            </w:r>
            <w:r>
              <w:rPr>
                <w:rFonts w:ascii="Arial" w:eastAsia="Arial"/>
                <w:spacing w:val="-8"/>
                <w:sz w:val="22"/>
              </w:rPr>
              <w:t> </w:t>
            </w:r>
            <w:r>
              <w:rPr>
                <w:spacing w:val="-28"/>
                <w:sz w:val="22"/>
              </w:rPr>
              <w:t>层 </w:t>
            </w:r>
            <w:r>
              <w:rPr>
                <w:rFonts w:ascii="Arial" w:eastAsia="Arial"/>
                <w:sz w:val="22"/>
              </w:rPr>
              <w:t>3001</w:t>
            </w:r>
            <w:r>
              <w:rPr>
                <w:rFonts w:ascii="Arial" w:eastAsia="Arial"/>
                <w:spacing w:val="-5"/>
                <w:sz w:val="22"/>
              </w:rPr>
              <w:t> </w:t>
            </w:r>
            <w:r>
              <w:rPr>
                <w:sz w:val="22"/>
              </w:rPr>
              <w:t>室</w:t>
            </w:r>
            <w:r>
              <w:rPr>
                <w:spacing w:val="-2"/>
                <w:sz w:val="22"/>
              </w:rPr>
              <w:t>法定代表人：周斌  </w:t>
            </w:r>
            <w:r>
              <w:rPr>
                <w:spacing w:val="-1"/>
                <w:sz w:val="22"/>
              </w:rPr>
              <w:t>电话：</w:t>
            </w:r>
            <w:r>
              <w:rPr>
                <w:rFonts w:ascii="Arial" w:eastAsia="Arial"/>
                <w:spacing w:val="-1"/>
                <w:sz w:val="22"/>
              </w:rPr>
              <w:t>010-59313555 </w:t>
            </w:r>
            <w:r>
              <w:rPr>
                <w:spacing w:val="-1"/>
                <w:sz w:val="22"/>
              </w:rPr>
              <w:t>传真：</w:t>
            </w:r>
            <w:r>
              <w:rPr>
                <w:rFonts w:ascii="Arial" w:eastAsia="Arial"/>
                <w:spacing w:val="-1"/>
                <w:sz w:val="22"/>
              </w:rPr>
              <w:t>010-53509643</w:t>
            </w:r>
          </w:p>
          <w:p>
            <w:pPr>
              <w:pStyle w:val="TableParagraph"/>
              <w:spacing w:line="278" w:lineRule="exact"/>
              <w:ind w:left="108"/>
              <w:rPr>
                <w:rFonts w:ascii="Arial" w:eastAsia="Arial"/>
                <w:sz w:val="22"/>
              </w:rPr>
            </w:pPr>
            <w:r>
              <w:rPr>
                <w:sz w:val="22"/>
              </w:rPr>
              <w:t>客户服务电话：</w:t>
            </w:r>
            <w:r>
              <w:rPr>
                <w:rFonts w:ascii="Arial" w:eastAsia="Arial"/>
                <w:sz w:val="22"/>
              </w:rPr>
              <w:t>400-8980-618</w:t>
            </w:r>
          </w:p>
          <w:p>
            <w:pPr>
              <w:pStyle w:val="TableParagraph"/>
              <w:spacing w:line="277" w:lineRule="exact" w:before="31"/>
              <w:ind w:left="108"/>
              <w:rPr>
                <w:rFonts w:ascii="Arial" w:eastAsia="Arial"/>
                <w:sz w:val="22"/>
              </w:rPr>
            </w:pPr>
            <w:r>
              <w:rPr>
                <w:sz w:val="22"/>
              </w:rPr>
              <w:t>网址</w:t>
            </w:r>
            <w:r>
              <w:rPr>
                <w:rFonts w:ascii="Arial" w:eastAsia="Arial"/>
                <w:sz w:val="22"/>
              </w:rPr>
              <w:t>: </w:t>
            </w:r>
            <w:hyperlink r:id="rId112">
              <w:r>
                <w:rPr>
                  <w:rFonts w:ascii="Arial" w:eastAsia="Arial"/>
                  <w:sz w:val="22"/>
                </w:rPr>
                <w:t>www.chtwm.com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98" w:right="88"/>
              <w:jc w:val="center"/>
              <w:rPr>
                <w:rFonts w:ascii="Arial"/>
                <w:sz w:val="21"/>
              </w:rPr>
            </w:pPr>
            <w:r>
              <w:rPr>
                <w:rFonts w:ascii="Arial"/>
                <w:sz w:val="21"/>
              </w:rPr>
              <w:t>10</w:t>
            </w:r>
          </w:p>
          <w:p>
            <w:pPr>
              <w:pStyle w:val="TableParagraph"/>
              <w:spacing w:before="71"/>
              <w:ind w:left="7"/>
              <w:jc w:val="center"/>
              <w:rPr>
                <w:rFonts w:ascii="Arial"/>
                <w:sz w:val="21"/>
              </w:rPr>
            </w:pPr>
            <w:r>
              <w:rPr>
                <w:rFonts w:ascii="Arial"/>
                <w:w w:val="100"/>
                <w:sz w:val="21"/>
              </w:rPr>
              <w:t>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1020" w:right="129" w:hanging="881"/>
              <w:rPr>
                <w:sz w:val="22"/>
              </w:rPr>
            </w:pPr>
            <w:r>
              <w:rPr>
                <w:sz w:val="22"/>
              </w:rPr>
              <w:t>北京钱景基金销售有限公司</w:t>
            </w:r>
          </w:p>
        </w:tc>
        <w:tc>
          <w:tcPr>
            <w:tcW w:w="5480" w:type="dxa"/>
          </w:tcPr>
          <w:p>
            <w:pPr>
              <w:pStyle w:val="TableParagraph"/>
              <w:spacing w:before="15"/>
              <w:ind w:left="108"/>
              <w:rPr>
                <w:sz w:val="22"/>
              </w:rPr>
            </w:pPr>
            <w:r>
              <w:rPr>
                <w:spacing w:val="-9"/>
                <w:sz w:val="22"/>
              </w:rPr>
              <w:t>注册</w:t>
            </w:r>
            <w:r>
              <w:rPr>
                <w:spacing w:val="-3"/>
                <w:sz w:val="22"/>
              </w:rPr>
              <w:t>（</w:t>
            </w:r>
            <w:r>
              <w:rPr>
                <w:spacing w:val="-2"/>
                <w:sz w:val="22"/>
              </w:rPr>
              <w:t>办公</w:t>
            </w:r>
            <w:r>
              <w:rPr>
                <w:spacing w:val="-17"/>
                <w:sz w:val="22"/>
              </w:rPr>
              <w:t>）</w:t>
            </w:r>
            <w:r>
              <w:rPr>
                <w:spacing w:val="-9"/>
                <w:sz w:val="22"/>
              </w:rPr>
              <w:t>地址：北京市海淀区丹棱街 </w:t>
            </w:r>
            <w:r>
              <w:rPr>
                <w:rFonts w:ascii="Arial" w:eastAsia="Arial"/>
                <w:sz w:val="22"/>
              </w:rPr>
              <w:t>6 </w:t>
            </w:r>
            <w:r>
              <w:rPr>
                <w:spacing w:val="-27"/>
                <w:sz w:val="22"/>
              </w:rPr>
              <w:t>号 </w:t>
            </w:r>
            <w:r>
              <w:rPr>
                <w:rFonts w:ascii="Arial" w:eastAsia="Arial"/>
                <w:sz w:val="22"/>
              </w:rPr>
              <w:t>1 </w:t>
            </w:r>
            <w:r>
              <w:rPr>
                <w:spacing w:val="-27"/>
                <w:sz w:val="22"/>
              </w:rPr>
              <w:t>幢 </w:t>
            </w:r>
            <w:r>
              <w:rPr>
                <w:rFonts w:ascii="Arial" w:eastAsia="Arial"/>
                <w:sz w:val="22"/>
              </w:rPr>
              <w:t>9 </w:t>
            </w:r>
            <w:r>
              <w:rPr>
                <w:sz w:val="22"/>
              </w:rPr>
              <w:t>层</w:t>
            </w:r>
          </w:p>
          <w:p>
            <w:pPr>
              <w:pStyle w:val="TableParagraph"/>
              <w:spacing w:before="43"/>
              <w:ind w:left="108"/>
              <w:rPr>
                <w:rFonts w:ascii="Arial"/>
                <w:sz w:val="22"/>
              </w:rPr>
            </w:pPr>
            <w:r>
              <w:rPr>
                <w:rFonts w:ascii="Arial"/>
                <w:sz w:val="22"/>
              </w:rPr>
              <w:t>1008-1012</w:t>
            </w:r>
          </w:p>
          <w:p>
            <w:pPr>
              <w:pStyle w:val="TableParagraph"/>
              <w:spacing w:line="266" w:lineRule="auto" w:before="46"/>
              <w:ind w:left="108" w:right="3376"/>
              <w:rPr>
                <w:sz w:val="22"/>
              </w:rPr>
            </w:pPr>
            <w:r>
              <w:rPr>
                <w:sz w:val="22"/>
              </w:rPr>
              <w:t>法定代表人：赵荣春联系人：陈剑炜</w:t>
            </w:r>
          </w:p>
          <w:p>
            <w:pPr>
              <w:pStyle w:val="TableParagraph"/>
              <w:spacing w:line="266" w:lineRule="auto"/>
              <w:ind w:left="108" w:right="3278"/>
              <w:rPr>
                <w:rFonts w:ascii="Arial" w:eastAsia="Arial"/>
                <w:sz w:val="22"/>
              </w:rPr>
            </w:pPr>
            <w:r>
              <w:rPr>
                <w:sz w:val="22"/>
              </w:rPr>
              <w:t>电话：</w:t>
            </w:r>
            <w:r>
              <w:rPr>
                <w:rFonts w:ascii="Arial" w:eastAsia="Arial"/>
                <w:sz w:val="22"/>
              </w:rPr>
              <w:t>010-57418813 </w:t>
            </w:r>
            <w:r>
              <w:rPr>
                <w:sz w:val="22"/>
              </w:rPr>
              <w:t>传真：</w:t>
            </w:r>
            <w:r>
              <w:rPr>
                <w:rFonts w:ascii="Arial" w:eastAsia="Arial"/>
                <w:sz w:val="22"/>
              </w:rPr>
              <w:t>010-57569671</w:t>
            </w:r>
          </w:p>
          <w:p>
            <w:pPr>
              <w:pStyle w:val="TableParagraph"/>
              <w:spacing w:line="281" w:lineRule="exact"/>
              <w:ind w:left="108"/>
              <w:rPr>
                <w:rFonts w:ascii="Arial" w:eastAsia="Arial"/>
                <w:sz w:val="22"/>
              </w:rPr>
            </w:pPr>
            <w:r>
              <w:rPr>
                <w:sz w:val="22"/>
              </w:rPr>
              <w:t>客户服务电话：</w:t>
            </w:r>
            <w:r>
              <w:rPr>
                <w:rFonts w:ascii="Arial" w:eastAsia="Arial"/>
                <w:sz w:val="22"/>
              </w:rPr>
              <w:t>400-875-9885</w:t>
            </w:r>
          </w:p>
          <w:p>
            <w:pPr>
              <w:pStyle w:val="TableParagraph"/>
              <w:spacing w:line="277" w:lineRule="exact" w:before="28"/>
              <w:ind w:left="108"/>
              <w:rPr>
                <w:rFonts w:ascii="Arial" w:eastAsia="Arial"/>
                <w:sz w:val="22"/>
              </w:rPr>
            </w:pPr>
            <w:r>
              <w:rPr>
                <w:sz w:val="22"/>
              </w:rPr>
              <w:t>网址：</w:t>
            </w:r>
            <w:hyperlink r:id="rId113">
              <w:r>
                <w:rPr>
                  <w:rFonts w:ascii="Arial" w:eastAsia="Arial"/>
                  <w:sz w:val="22"/>
                </w:rPr>
                <w:t>www.qianjing.com</w:t>
              </w:r>
            </w:hyperlink>
          </w:p>
        </w:tc>
      </w:tr>
      <w:tr>
        <w:trPr>
          <w:trHeight w:val="3119"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98" w:right="88"/>
              <w:jc w:val="center"/>
              <w:rPr>
                <w:rFonts w:ascii="Arial"/>
                <w:sz w:val="21"/>
              </w:rPr>
            </w:pPr>
            <w:r>
              <w:rPr>
                <w:rFonts w:ascii="Arial"/>
                <w:sz w:val="21"/>
              </w:rPr>
              <w:t>10</w:t>
            </w:r>
          </w:p>
          <w:p>
            <w:pPr>
              <w:pStyle w:val="TableParagraph"/>
              <w:spacing w:before="71"/>
              <w:ind w:left="7"/>
              <w:jc w:val="center"/>
              <w:rPr>
                <w:rFonts w:ascii="Arial"/>
                <w:sz w:val="21"/>
              </w:rPr>
            </w:pPr>
            <w:r>
              <w:rPr>
                <w:rFonts w:ascii="Arial"/>
                <w:w w:val="100"/>
                <w:sz w:val="21"/>
              </w:rPr>
              <w:t>8</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ind w:left="1020" w:right="129" w:hanging="881"/>
              <w:rPr>
                <w:sz w:val="22"/>
              </w:rPr>
            </w:pPr>
            <w:r>
              <w:rPr>
                <w:sz w:val="22"/>
              </w:rPr>
              <w:t>深圳腾元基金销售有限公司</w:t>
            </w:r>
          </w:p>
        </w:tc>
        <w:tc>
          <w:tcPr>
            <w:tcW w:w="5480" w:type="dxa"/>
          </w:tcPr>
          <w:p>
            <w:pPr>
              <w:pStyle w:val="TableParagraph"/>
              <w:spacing w:before="15"/>
              <w:ind w:left="108"/>
              <w:rPr>
                <w:sz w:val="22"/>
              </w:rPr>
            </w:pPr>
            <w:r>
              <w:rPr>
                <w:sz w:val="22"/>
              </w:rPr>
              <w:t>注册地址：深圳市福田区金田路 </w:t>
            </w:r>
            <w:r>
              <w:rPr>
                <w:rFonts w:ascii="Arial" w:eastAsia="Arial"/>
                <w:sz w:val="22"/>
              </w:rPr>
              <w:t>2028 </w:t>
            </w:r>
            <w:r>
              <w:rPr>
                <w:sz w:val="22"/>
              </w:rPr>
              <w:t>号卓越世纪中心</w:t>
            </w:r>
          </w:p>
          <w:p>
            <w:pPr>
              <w:pStyle w:val="TableParagraph"/>
              <w:spacing w:before="30"/>
              <w:ind w:left="108"/>
              <w:rPr>
                <w:sz w:val="22"/>
              </w:rPr>
            </w:pPr>
            <w:r>
              <w:rPr>
                <w:rFonts w:ascii="Arial" w:eastAsia="Arial"/>
                <w:sz w:val="22"/>
              </w:rPr>
              <w:t>1 </w:t>
            </w:r>
            <w:r>
              <w:rPr>
                <w:sz w:val="22"/>
              </w:rPr>
              <w:t>号楼 </w:t>
            </w:r>
            <w:r>
              <w:rPr>
                <w:rFonts w:ascii="Arial" w:eastAsia="Arial"/>
                <w:sz w:val="22"/>
              </w:rPr>
              <w:t>1806 </w:t>
            </w:r>
            <w:r>
              <w:rPr>
                <w:sz w:val="22"/>
              </w:rPr>
              <w:t>单元</w:t>
            </w:r>
          </w:p>
          <w:p>
            <w:pPr>
              <w:pStyle w:val="TableParagraph"/>
              <w:spacing w:line="266" w:lineRule="auto" w:before="30"/>
              <w:ind w:left="108" w:right="69"/>
              <w:rPr>
                <w:rFonts w:ascii="Arial" w:eastAsia="Arial"/>
                <w:sz w:val="22"/>
              </w:rPr>
            </w:pPr>
            <w:r>
              <w:rPr>
                <w:sz w:val="22"/>
              </w:rPr>
              <w:t>办公地址：深圳市福田区深南中路 </w:t>
            </w:r>
            <w:r>
              <w:rPr>
                <w:rFonts w:ascii="Arial" w:eastAsia="Arial"/>
                <w:sz w:val="22"/>
              </w:rPr>
              <w:t>4026 </w:t>
            </w:r>
            <w:r>
              <w:rPr>
                <w:sz w:val="22"/>
              </w:rPr>
              <w:t>号田面城市大厦 </w:t>
            </w:r>
            <w:r>
              <w:rPr>
                <w:rFonts w:ascii="Arial" w:eastAsia="Arial"/>
                <w:sz w:val="22"/>
              </w:rPr>
              <w:t>18A</w:t>
            </w:r>
          </w:p>
          <w:p>
            <w:pPr>
              <w:pStyle w:val="TableParagraph"/>
              <w:spacing w:line="266" w:lineRule="auto"/>
              <w:ind w:left="108" w:right="3597"/>
              <w:rPr>
                <w:sz w:val="22"/>
              </w:rPr>
            </w:pPr>
            <w:r>
              <w:rPr>
                <w:sz w:val="22"/>
              </w:rPr>
              <w:t>法定代表人：曾革联系人：叶健</w:t>
            </w:r>
          </w:p>
          <w:p>
            <w:pPr>
              <w:pStyle w:val="TableParagraph"/>
              <w:spacing w:line="266" w:lineRule="auto"/>
              <w:ind w:left="108" w:right="3156"/>
              <w:rPr>
                <w:rFonts w:ascii="Arial" w:eastAsia="Arial"/>
                <w:sz w:val="22"/>
              </w:rPr>
            </w:pPr>
            <w:r>
              <w:rPr>
                <w:sz w:val="22"/>
              </w:rPr>
              <w:t>电话：</w:t>
            </w:r>
            <w:r>
              <w:rPr>
                <w:rFonts w:ascii="Arial" w:eastAsia="Arial"/>
                <w:sz w:val="22"/>
              </w:rPr>
              <w:t>0755-33376853 </w:t>
            </w:r>
            <w:r>
              <w:rPr>
                <w:sz w:val="22"/>
              </w:rPr>
              <w:t>传真：</w:t>
            </w:r>
            <w:r>
              <w:rPr>
                <w:rFonts w:ascii="Arial" w:eastAsia="Arial"/>
                <w:sz w:val="22"/>
              </w:rPr>
              <w:t>0755-33065516</w:t>
            </w:r>
          </w:p>
          <w:p>
            <w:pPr>
              <w:pStyle w:val="TableParagraph"/>
              <w:spacing w:line="281" w:lineRule="exact"/>
              <w:ind w:left="108"/>
              <w:rPr>
                <w:rFonts w:ascii="Arial" w:eastAsia="Arial"/>
                <w:sz w:val="22"/>
              </w:rPr>
            </w:pPr>
            <w:r>
              <w:rPr>
                <w:spacing w:val="-2"/>
                <w:sz w:val="22"/>
              </w:rPr>
              <w:t>客户服务电话：</w:t>
            </w:r>
            <w:r>
              <w:rPr>
                <w:rFonts w:ascii="Arial" w:eastAsia="Arial"/>
                <w:spacing w:val="-1"/>
                <w:sz w:val="22"/>
              </w:rPr>
              <w:t>400-990-8600</w:t>
            </w:r>
          </w:p>
          <w:p>
            <w:pPr>
              <w:pStyle w:val="TableParagraph"/>
              <w:spacing w:line="277" w:lineRule="exact" w:before="27"/>
              <w:ind w:left="108"/>
              <w:rPr>
                <w:rFonts w:ascii="Arial" w:eastAsia="Arial"/>
                <w:sz w:val="22"/>
              </w:rPr>
            </w:pPr>
            <w:r>
              <w:rPr>
                <w:spacing w:val="-1"/>
                <w:sz w:val="22"/>
              </w:rPr>
              <w:t>网址：</w:t>
            </w:r>
            <w:hyperlink r:id="rId114">
              <w:r>
                <w:rPr>
                  <w:rFonts w:ascii="Arial" w:eastAsia="Arial"/>
                  <w:spacing w:val="-1"/>
                  <w:sz w:val="22"/>
                </w:rPr>
                <w:t>www.tenyuanfund.com</w:t>
              </w:r>
            </w:hyperlink>
          </w:p>
        </w:tc>
      </w:tr>
      <w:tr>
        <w:trPr>
          <w:trHeight w:val="280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98" w:right="88"/>
              <w:jc w:val="center"/>
              <w:rPr>
                <w:rFonts w:ascii="Arial"/>
                <w:sz w:val="21"/>
              </w:rPr>
            </w:pPr>
            <w:r>
              <w:rPr>
                <w:rFonts w:ascii="Arial"/>
                <w:sz w:val="21"/>
              </w:rPr>
              <w:t>10</w:t>
            </w:r>
          </w:p>
          <w:p>
            <w:pPr>
              <w:pStyle w:val="TableParagraph"/>
              <w:spacing w:before="70"/>
              <w:ind w:left="7"/>
              <w:jc w:val="center"/>
              <w:rPr>
                <w:rFonts w:ascii="Arial"/>
                <w:sz w:val="21"/>
              </w:rPr>
            </w:pPr>
            <w:r>
              <w:rPr>
                <w:rFonts w:ascii="Arial"/>
                <w:w w:val="100"/>
                <w:sz w:val="21"/>
              </w:rPr>
              <w:t>9</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799" w:right="129" w:hanging="660"/>
              <w:rPr>
                <w:sz w:val="22"/>
              </w:rPr>
            </w:pPr>
            <w:r>
              <w:rPr>
                <w:sz w:val="22"/>
              </w:rPr>
              <w:t>北京创金启富投资管理有限公司</w:t>
            </w:r>
          </w:p>
        </w:tc>
        <w:tc>
          <w:tcPr>
            <w:tcW w:w="5480" w:type="dxa"/>
          </w:tcPr>
          <w:p>
            <w:pPr>
              <w:pStyle w:val="TableParagraph"/>
              <w:spacing w:before="15"/>
              <w:ind w:left="108"/>
              <w:rPr>
                <w:rFonts w:ascii="Arial" w:eastAsia="Arial"/>
                <w:sz w:val="22"/>
              </w:rPr>
            </w:pPr>
            <w:r>
              <w:rPr>
                <w:sz w:val="22"/>
              </w:rPr>
              <w:t>注册地址：北京市西城区民丰胡同 </w:t>
            </w:r>
            <w:r>
              <w:rPr>
                <w:rFonts w:ascii="Arial" w:eastAsia="Arial"/>
                <w:sz w:val="22"/>
              </w:rPr>
              <w:t>31 </w:t>
            </w:r>
            <w:r>
              <w:rPr>
                <w:sz w:val="22"/>
              </w:rPr>
              <w:t>号 </w:t>
            </w:r>
            <w:r>
              <w:rPr>
                <w:rFonts w:ascii="Arial" w:eastAsia="Arial"/>
                <w:sz w:val="22"/>
              </w:rPr>
              <w:t>5 </w:t>
            </w:r>
            <w:r>
              <w:rPr>
                <w:sz w:val="22"/>
              </w:rPr>
              <w:t>号楼 </w:t>
            </w:r>
            <w:r>
              <w:rPr>
                <w:rFonts w:ascii="Arial" w:eastAsia="Arial"/>
                <w:sz w:val="22"/>
              </w:rPr>
              <w:t>215A</w:t>
            </w:r>
          </w:p>
          <w:p>
            <w:pPr>
              <w:pStyle w:val="TableParagraph"/>
              <w:spacing w:line="266" w:lineRule="auto" w:before="30"/>
              <w:ind w:left="108" w:right="90"/>
              <w:rPr>
                <w:sz w:val="22"/>
              </w:rPr>
            </w:pPr>
            <w:r>
              <w:rPr>
                <w:spacing w:val="-9"/>
                <w:sz w:val="22"/>
              </w:rPr>
              <w:t>办公地址：北京市西城区民白纸坊东街 </w:t>
            </w:r>
            <w:r>
              <w:rPr>
                <w:rFonts w:ascii="Arial" w:eastAsia="Arial"/>
                <w:sz w:val="22"/>
              </w:rPr>
              <w:t>2 </w:t>
            </w:r>
            <w:r>
              <w:rPr>
                <w:spacing w:val="-5"/>
                <w:sz w:val="22"/>
              </w:rPr>
              <w:t>号经济日报社</w:t>
            </w:r>
            <w:r>
              <w:rPr>
                <w:spacing w:val="-14"/>
                <w:sz w:val="22"/>
              </w:rPr>
              <w:t>综合楼 </w:t>
            </w:r>
            <w:r>
              <w:rPr>
                <w:rFonts w:ascii="Arial" w:eastAsia="Arial"/>
                <w:sz w:val="22"/>
              </w:rPr>
              <w:t>A </w:t>
            </w:r>
            <w:r>
              <w:rPr>
                <w:spacing w:val="-28"/>
                <w:sz w:val="22"/>
              </w:rPr>
              <w:t>座 </w:t>
            </w:r>
            <w:r>
              <w:rPr>
                <w:rFonts w:ascii="Arial" w:eastAsia="Arial"/>
                <w:sz w:val="22"/>
              </w:rPr>
              <w:t>712 </w:t>
            </w:r>
            <w:r>
              <w:rPr>
                <w:sz w:val="22"/>
              </w:rPr>
              <w:t>室</w:t>
            </w:r>
          </w:p>
          <w:p>
            <w:pPr>
              <w:pStyle w:val="TableParagraph"/>
              <w:spacing w:line="266" w:lineRule="auto"/>
              <w:ind w:left="108" w:right="3597"/>
              <w:rPr>
                <w:sz w:val="22"/>
              </w:rPr>
            </w:pPr>
            <w:r>
              <w:rPr>
                <w:sz w:val="22"/>
              </w:rPr>
              <w:t>法定代表人：梁蓉联系人：魏素清</w:t>
            </w:r>
          </w:p>
          <w:p>
            <w:pPr>
              <w:pStyle w:val="TableParagraph"/>
              <w:spacing w:line="266" w:lineRule="auto"/>
              <w:ind w:left="108" w:right="3278"/>
              <w:rPr>
                <w:rFonts w:ascii="Arial" w:eastAsia="Arial"/>
                <w:sz w:val="22"/>
              </w:rPr>
            </w:pPr>
            <w:r>
              <w:rPr>
                <w:sz w:val="22"/>
              </w:rPr>
              <w:t>电话：</w:t>
            </w:r>
            <w:r>
              <w:rPr>
                <w:rFonts w:ascii="Arial" w:eastAsia="Arial"/>
                <w:sz w:val="22"/>
              </w:rPr>
              <w:t>010-66154828 </w:t>
            </w:r>
            <w:r>
              <w:rPr>
                <w:sz w:val="22"/>
              </w:rPr>
              <w:t>传真：</w:t>
            </w:r>
            <w:r>
              <w:rPr>
                <w:rFonts w:ascii="Arial" w:eastAsia="Arial"/>
                <w:sz w:val="22"/>
              </w:rPr>
              <w:t>010-63583991</w:t>
            </w:r>
          </w:p>
          <w:p>
            <w:pPr>
              <w:pStyle w:val="TableParagraph"/>
              <w:spacing w:line="280" w:lineRule="exact"/>
              <w:ind w:left="108"/>
              <w:rPr>
                <w:rFonts w:ascii="Arial" w:eastAsia="Arial"/>
                <w:sz w:val="22"/>
              </w:rPr>
            </w:pPr>
            <w:r>
              <w:rPr>
                <w:sz w:val="22"/>
              </w:rPr>
              <w:t>客户服务电话：</w:t>
            </w:r>
            <w:r>
              <w:rPr>
                <w:rFonts w:ascii="Arial" w:eastAsia="Arial"/>
                <w:sz w:val="22"/>
              </w:rPr>
              <w:t>400-6262-1818</w:t>
            </w:r>
          </w:p>
          <w:p>
            <w:pPr>
              <w:pStyle w:val="TableParagraph"/>
              <w:spacing w:line="277" w:lineRule="exact" w:before="27"/>
              <w:ind w:left="108"/>
              <w:rPr>
                <w:rFonts w:ascii="Arial" w:eastAsia="Arial"/>
                <w:sz w:val="22"/>
              </w:rPr>
            </w:pPr>
            <w:r>
              <w:rPr>
                <w:sz w:val="22"/>
              </w:rPr>
              <w:t>网址：</w:t>
            </w:r>
            <w:hyperlink r:id="rId115">
              <w:r>
                <w:rPr>
                  <w:rFonts w:ascii="Arial" w:eastAsia="Arial"/>
                  <w:sz w:val="22"/>
                </w:rPr>
                <w:t>www.5irich.com</w:t>
              </w:r>
            </w:hyperlink>
          </w:p>
        </w:tc>
      </w:tr>
      <w:tr>
        <w:trPr>
          <w:trHeight w:val="3122"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98" w:right="88"/>
              <w:jc w:val="center"/>
              <w:rPr>
                <w:rFonts w:ascii="Arial"/>
                <w:sz w:val="21"/>
              </w:rPr>
            </w:pPr>
            <w:r>
              <w:rPr>
                <w:rFonts w:ascii="Arial"/>
                <w:sz w:val="21"/>
              </w:rPr>
              <w:t>11</w:t>
            </w:r>
          </w:p>
          <w:p>
            <w:pPr>
              <w:pStyle w:val="TableParagraph"/>
              <w:spacing w:before="71"/>
              <w:ind w:left="7"/>
              <w:jc w:val="center"/>
              <w:rPr>
                <w:rFonts w:ascii="Arial"/>
                <w:sz w:val="21"/>
              </w:rPr>
            </w:pPr>
            <w:r>
              <w:rPr>
                <w:rFonts w:ascii="Arial"/>
                <w:w w:val="100"/>
                <w:sz w:val="21"/>
              </w:rPr>
              <w:t>0</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ind w:left="799" w:right="129" w:hanging="660"/>
              <w:rPr>
                <w:sz w:val="22"/>
              </w:rPr>
            </w:pPr>
            <w:r>
              <w:rPr>
                <w:sz w:val="22"/>
              </w:rPr>
              <w:t>北京唐鼎耀华基金销售有限公司</w:t>
            </w:r>
          </w:p>
        </w:tc>
        <w:tc>
          <w:tcPr>
            <w:tcW w:w="5480" w:type="dxa"/>
          </w:tcPr>
          <w:p>
            <w:pPr>
              <w:pStyle w:val="TableParagraph"/>
              <w:spacing w:before="17"/>
              <w:ind w:left="108"/>
              <w:rPr>
                <w:rFonts w:ascii="Arial" w:eastAsia="Arial"/>
                <w:sz w:val="22"/>
              </w:rPr>
            </w:pPr>
            <w:r>
              <w:rPr>
                <w:spacing w:val="-14"/>
                <w:sz w:val="22"/>
              </w:rPr>
              <w:t>注册地址：北京市延庆县延庆经济开发区百泉街 </w:t>
            </w:r>
            <w:r>
              <w:rPr>
                <w:rFonts w:ascii="Arial" w:eastAsia="Arial"/>
                <w:sz w:val="22"/>
              </w:rPr>
              <w:t>10 </w:t>
            </w:r>
            <w:r>
              <w:rPr>
                <w:spacing w:val="-26"/>
                <w:sz w:val="22"/>
              </w:rPr>
              <w:t>号 </w:t>
            </w:r>
            <w:r>
              <w:rPr>
                <w:rFonts w:ascii="Arial" w:eastAsia="Arial"/>
                <w:sz w:val="22"/>
              </w:rPr>
              <w:t>2</w:t>
            </w:r>
          </w:p>
          <w:p>
            <w:pPr>
              <w:pStyle w:val="TableParagraph"/>
              <w:spacing w:before="30"/>
              <w:ind w:left="108"/>
              <w:rPr>
                <w:sz w:val="22"/>
              </w:rPr>
            </w:pPr>
            <w:r>
              <w:rPr>
                <w:sz w:val="22"/>
              </w:rPr>
              <w:t>栋 </w:t>
            </w:r>
            <w:r>
              <w:rPr>
                <w:rFonts w:ascii="Arial" w:eastAsia="Arial"/>
                <w:sz w:val="22"/>
              </w:rPr>
              <w:t>236 </w:t>
            </w:r>
            <w:r>
              <w:rPr>
                <w:sz w:val="22"/>
              </w:rPr>
              <w:t>室</w:t>
            </w:r>
          </w:p>
          <w:p>
            <w:pPr>
              <w:pStyle w:val="TableParagraph"/>
              <w:spacing w:before="30"/>
              <w:ind w:left="108"/>
              <w:rPr>
                <w:rFonts w:ascii="Arial" w:eastAsia="Arial"/>
                <w:sz w:val="22"/>
              </w:rPr>
            </w:pPr>
            <w:r>
              <w:rPr>
                <w:spacing w:val="-14"/>
                <w:sz w:val="22"/>
              </w:rPr>
              <w:t>办公地址：北京市朝阳区建国门外大街 </w:t>
            </w:r>
            <w:r>
              <w:rPr>
                <w:rFonts w:ascii="Arial" w:eastAsia="Arial"/>
                <w:sz w:val="22"/>
              </w:rPr>
              <w:t>19 </w:t>
            </w:r>
            <w:r>
              <w:rPr>
                <w:spacing w:val="-27"/>
                <w:sz w:val="22"/>
              </w:rPr>
              <w:t>号 </w:t>
            </w:r>
            <w:r>
              <w:rPr>
                <w:rFonts w:ascii="Arial" w:eastAsia="Arial"/>
                <w:sz w:val="22"/>
              </w:rPr>
              <w:t>A </w:t>
            </w:r>
            <w:r>
              <w:rPr>
                <w:spacing w:val="-28"/>
                <w:sz w:val="22"/>
              </w:rPr>
              <w:t>座 </w:t>
            </w:r>
            <w:r>
              <w:rPr>
                <w:rFonts w:ascii="Arial" w:eastAsia="Arial"/>
                <w:sz w:val="22"/>
              </w:rPr>
              <w:t>1505</w:t>
            </w:r>
          </w:p>
          <w:p>
            <w:pPr>
              <w:pStyle w:val="TableParagraph"/>
              <w:spacing w:before="30"/>
              <w:ind w:left="108"/>
              <w:rPr>
                <w:sz w:val="22"/>
              </w:rPr>
            </w:pPr>
            <w:r>
              <w:rPr>
                <w:w w:val="100"/>
                <w:sz w:val="22"/>
              </w:rPr>
              <w:t>室</w:t>
            </w:r>
          </w:p>
          <w:p>
            <w:pPr>
              <w:pStyle w:val="TableParagraph"/>
              <w:spacing w:line="266" w:lineRule="auto" w:before="31"/>
              <w:ind w:left="108" w:right="3376"/>
              <w:rPr>
                <w:sz w:val="22"/>
              </w:rPr>
            </w:pPr>
            <w:r>
              <w:rPr>
                <w:sz w:val="22"/>
              </w:rPr>
              <w:t>法定代表人：张冠宇联系人：王丽敏</w:t>
            </w:r>
          </w:p>
          <w:p>
            <w:pPr>
              <w:pStyle w:val="TableParagraph"/>
              <w:spacing w:line="266" w:lineRule="auto"/>
              <w:ind w:left="108" w:right="3278"/>
              <w:rPr>
                <w:rFonts w:ascii="Arial" w:eastAsia="Arial"/>
                <w:sz w:val="22"/>
              </w:rPr>
            </w:pPr>
            <w:r>
              <w:rPr>
                <w:sz w:val="22"/>
              </w:rPr>
              <w:t>电话：</w:t>
            </w:r>
            <w:r>
              <w:rPr>
                <w:rFonts w:ascii="Arial" w:eastAsia="Arial"/>
                <w:sz w:val="22"/>
              </w:rPr>
              <w:t>010-85932810 </w:t>
            </w:r>
            <w:r>
              <w:rPr>
                <w:sz w:val="22"/>
              </w:rPr>
              <w:t>传真：</w:t>
            </w:r>
            <w:r>
              <w:rPr>
                <w:rFonts w:ascii="Arial" w:eastAsia="Arial"/>
                <w:sz w:val="22"/>
              </w:rPr>
              <w:t>010-85932880</w:t>
            </w:r>
          </w:p>
          <w:p>
            <w:pPr>
              <w:pStyle w:val="TableParagraph"/>
              <w:spacing w:line="280" w:lineRule="exact"/>
              <w:ind w:left="108"/>
              <w:rPr>
                <w:rFonts w:ascii="Arial" w:eastAsia="Arial"/>
                <w:sz w:val="22"/>
              </w:rPr>
            </w:pPr>
            <w:r>
              <w:rPr>
                <w:sz w:val="22"/>
              </w:rPr>
              <w:t>客户服务电话：</w:t>
            </w:r>
            <w:r>
              <w:rPr>
                <w:rFonts w:ascii="Arial" w:eastAsia="Arial"/>
                <w:sz w:val="22"/>
              </w:rPr>
              <w:t>400-819-9868</w:t>
            </w:r>
          </w:p>
          <w:p>
            <w:pPr>
              <w:pStyle w:val="TableParagraph"/>
              <w:spacing w:line="277" w:lineRule="exact" w:before="28"/>
              <w:ind w:left="108"/>
              <w:rPr>
                <w:rFonts w:ascii="Arial" w:eastAsia="Arial"/>
                <w:sz w:val="22"/>
              </w:rPr>
            </w:pPr>
            <w:r>
              <w:rPr>
                <w:sz w:val="22"/>
              </w:rPr>
              <w:t>网址：</w:t>
            </w:r>
            <w:hyperlink r:id="rId116">
              <w:r>
                <w:rPr>
                  <w:rFonts w:ascii="Arial" w:eastAsia="Arial"/>
                  <w:sz w:val="22"/>
                </w:rPr>
                <w:t>www.tdyhfund.com</w:t>
              </w:r>
            </w:hyperlink>
          </w:p>
        </w:tc>
      </w:tr>
      <w:tr>
        <w:trPr>
          <w:trHeight w:val="311" w:hRule="atLeast"/>
        </w:trPr>
        <w:tc>
          <w:tcPr>
            <w:tcW w:w="470" w:type="dxa"/>
          </w:tcPr>
          <w:p>
            <w:pPr>
              <w:pStyle w:val="TableParagraph"/>
              <w:spacing w:before="33"/>
              <w:ind w:left="117"/>
              <w:rPr>
                <w:rFonts w:ascii="Arial"/>
                <w:sz w:val="21"/>
              </w:rPr>
            </w:pPr>
            <w:r>
              <w:rPr>
                <w:rFonts w:ascii="Arial"/>
                <w:sz w:val="21"/>
              </w:rPr>
              <w:t>11</w:t>
            </w:r>
          </w:p>
        </w:tc>
        <w:tc>
          <w:tcPr>
            <w:tcW w:w="2484" w:type="dxa"/>
          </w:tcPr>
          <w:p>
            <w:pPr>
              <w:pStyle w:val="TableParagraph"/>
              <w:spacing w:line="277" w:lineRule="exact" w:before="15"/>
              <w:ind w:left="139"/>
              <w:rPr>
                <w:sz w:val="22"/>
              </w:rPr>
            </w:pPr>
            <w:r>
              <w:rPr>
                <w:sz w:val="22"/>
              </w:rPr>
              <w:t>上海联泰基金销售有限</w:t>
            </w:r>
          </w:p>
        </w:tc>
        <w:tc>
          <w:tcPr>
            <w:tcW w:w="5480" w:type="dxa"/>
          </w:tcPr>
          <w:p>
            <w:pPr>
              <w:pStyle w:val="TableParagraph"/>
              <w:spacing w:line="277" w:lineRule="exact" w:before="15"/>
              <w:ind w:left="108"/>
              <w:rPr>
                <w:sz w:val="22"/>
              </w:rPr>
            </w:pPr>
            <w:r>
              <w:rPr>
                <w:spacing w:val="-7"/>
                <w:sz w:val="22"/>
              </w:rPr>
              <w:t>注册地址：上海自由贸易区富特北路 </w:t>
            </w:r>
            <w:r>
              <w:rPr>
                <w:sz w:val="22"/>
              </w:rPr>
              <w:t>277</w:t>
            </w:r>
            <w:r>
              <w:rPr>
                <w:spacing w:val="-37"/>
                <w:sz w:val="22"/>
              </w:rPr>
              <w:t> 号 </w:t>
            </w:r>
            <w:r>
              <w:rPr>
                <w:sz w:val="22"/>
              </w:rPr>
              <w:t>3</w:t>
            </w:r>
            <w:r>
              <w:rPr>
                <w:spacing w:val="-37"/>
                <w:sz w:val="22"/>
              </w:rPr>
              <w:t> 层 </w:t>
            </w:r>
            <w:r>
              <w:rPr>
                <w:sz w:val="22"/>
              </w:rPr>
              <w:t>310</w:t>
            </w:r>
            <w:r>
              <w:rPr>
                <w:spacing w:val="-27"/>
                <w:sz w:val="22"/>
              </w:rPr>
              <w:t> 室</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872" w:hRule="atLeast"/>
        </w:trPr>
        <w:tc>
          <w:tcPr>
            <w:tcW w:w="470" w:type="dxa"/>
            <w:tcBorders>
              <w:top w:val="nil"/>
            </w:tcBorders>
          </w:tcPr>
          <w:p>
            <w:pPr>
              <w:pStyle w:val="TableParagraph"/>
              <w:spacing w:before="34"/>
              <w:ind w:left="7"/>
              <w:jc w:val="center"/>
              <w:rPr>
                <w:rFonts w:ascii="Arial"/>
                <w:sz w:val="21"/>
              </w:rPr>
            </w:pPr>
            <w:r>
              <w:rPr>
                <w:rFonts w:ascii="Arial"/>
                <w:w w:val="100"/>
                <w:sz w:val="21"/>
              </w:rPr>
              <w:t>1</w:t>
            </w:r>
          </w:p>
        </w:tc>
        <w:tc>
          <w:tcPr>
            <w:tcW w:w="2484" w:type="dxa"/>
            <w:tcBorders>
              <w:top w:val="nil"/>
            </w:tcBorders>
          </w:tcPr>
          <w:p>
            <w:pPr>
              <w:pStyle w:val="TableParagraph"/>
              <w:spacing w:before="15"/>
              <w:ind w:left="120" w:right="113"/>
              <w:jc w:val="center"/>
              <w:rPr>
                <w:sz w:val="22"/>
              </w:rPr>
            </w:pPr>
            <w:r>
              <w:rPr>
                <w:sz w:val="22"/>
              </w:rPr>
              <w:t>公司</w:t>
            </w:r>
          </w:p>
        </w:tc>
        <w:tc>
          <w:tcPr>
            <w:tcW w:w="5480" w:type="dxa"/>
            <w:tcBorders>
              <w:top w:val="nil"/>
            </w:tcBorders>
          </w:tcPr>
          <w:p>
            <w:pPr>
              <w:pStyle w:val="TableParagraph"/>
              <w:spacing w:line="266" w:lineRule="auto" w:before="15"/>
              <w:ind w:left="108" w:right="3376"/>
              <w:rPr>
                <w:sz w:val="22"/>
              </w:rPr>
            </w:pPr>
            <w:r>
              <w:rPr>
                <w:sz w:val="22"/>
              </w:rPr>
              <w:t>法定代表人：尹彬彬联系人：兰敏</w:t>
            </w:r>
          </w:p>
          <w:p>
            <w:pPr>
              <w:pStyle w:val="TableParagraph"/>
              <w:spacing w:line="266" w:lineRule="auto"/>
              <w:ind w:left="108" w:right="3376"/>
              <w:rPr>
                <w:sz w:val="22"/>
              </w:rPr>
            </w:pPr>
            <w:r>
              <w:rPr>
                <w:sz w:val="22"/>
              </w:rPr>
              <w:t>电话：021-52822063 传真：021-52975270</w:t>
            </w:r>
          </w:p>
          <w:p>
            <w:pPr>
              <w:pStyle w:val="TableParagraph"/>
              <w:spacing w:line="280" w:lineRule="exact"/>
              <w:ind w:left="108"/>
              <w:rPr>
                <w:sz w:val="22"/>
              </w:rPr>
            </w:pPr>
            <w:r>
              <w:rPr>
                <w:sz w:val="22"/>
              </w:rPr>
              <w:t>客户服务电话：400-166-6788</w:t>
            </w:r>
          </w:p>
          <w:p>
            <w:pPr>
              <w:pStyle w:val="TableParagraph"/>
              <w:spacing w:line="277" w:lineRule="exact" w:before="29"/>
              <w:ind w:left="108"/>
              <w:rPr>
                <w:sz w:val="22"/>
              </w:rPr>
            </w:pPr>
            <w:hyperlink r:id="rId117">
              <w:r>
                <w:rPr>
                  <w:sz w:val="22"/>
                </w:rPr>
                <w:t>网址：www.66liantai.com</w:t>
              </w:r>
            </w:hyperlink>
          </w:p>
        </w:tc>
      </w:tr>
      <w:tr>
        <w:trPr>
          <w:trHeight w:val="280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98" w:right="88"/>
              <w:jc w:val="center"/>
              <w:rPr>
                <w:rFonts w:ascii="Arial"/>
                <w:sz w:val="21"/>
              </w:rPr>
            </w:pPr>
            <w:r>
              <w:rPr>
                <w:rFonts w:ascii="Arial"/>
                <w:sz w:val="21"/>
              </w:rPr>
              <w:t>11</w:t>
            </w:r>
          </w:p>
          <w:p>
            <w:pPr>
              <w:pStyle w:val="TableParagraph"/>
              <w:spacing w:before="71"/>
              <w:ind w:left="7"/>
              <w:jc w:val="center"/>
              <w:rPr>
                <w:rFonts w:ascii="Arial"/>
                <w:sz w:val="21"/>
              </w:rPr>
            </w:pPr>
            <w:r>
              <w:rPr>
                <w:rFonts w:ascii="Arial"/>
                <w:w w:val="100"/>
                <w:sz w:val="21"/>
              </w:rPr>
              <w:t>2</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1020" w:right="129" w:hanging="881"/>
              <w:rPr>
                <w:sz w:val="22"/>
              </w:rPr>
            </w:pPr>
            <w:r>
              <w:rPr>
                <w:sz w:val="22"/>
              </w:rPr>
              <w:t>上海汇付基金销售有限公司</w:t>
            </w:r>
          </w:p>
        </w:tc>
        <w:tc>
          <w:tcPr>
            <w:tcW w:w="5480" w:type="dxa"/>
          </w:tcPr>
          <w:p>
            <w:pPr>
              <w:pStyle w:val="TableParagraph"/>
              <w:spacing w:before="15"/>
              <w:ind w:left="108"/>
              <w:rPr>
                <w:sz w:val="22"/>
              </w:rPr>
            </w:pPr>
            <w:r>
              <w:rPr>
                <w:sz w:val="22"/>
              </w:rPr>
              <w:t>注册地址：上海市黄浦区西藏中路 </w:t>
            </w:r>
            <w:r>
              <w:rPr>
                <w:rFonts w:ascii="Arial" w:eastAsia="Arial"/>
                <w:sz w:val="22"/>
              </w:rPr>
              <w:t>336 </w:t>
            </w:r>
            <w:r>
              <w:rPr>
                <w:sz w:val="22"/>
              </w:rPr>
              <w:t>号 </w:t>
            </w:r>
            <w:r>
              <w:rPr>
                <w:rFonts w:ascii="Arial" w:eastAsia="Arial"/>
                <w:sz w:val="22"/>
              </w:rPr>
              <w:t>1807-5 </w:t>
            </w:r>
            <w:r>
              <w:rPr>
                <w:sz w:val="22"/>
              </w:rPr>
              <w:t>室</w:t>
            </w:r>
          </w:p>
          <w:p>
            <w:pPr>
              <w:pStyle w:val="TableParagraph"/>
              <w:spacing w:before="30"/>
              <w:ind w:left="108"/>
              <w:rPr>
                <w:sz w:val="22"/>
              </w:rPr>
            </w:pPr>
            <w:r>
              <w:rPr>
                <w:spacing w:val="-11"/>
                <w:sz w:val="22"/>
              </w:rPr>
              <w:t>办公地址：上海市黄浦区中山南路 </w:t>
            </w:r>
            <w:r>
              <w:rPr>
                <w:rFonts w:ascii="Arial" w:eastAsia="Arial"/>
                <w:sz w:val="22"/>
              </w:rPr>
              <w:t>100 </w:t>
            </w:r>
            <w:r>
              <w:rPr>
                <w:spacing w:val="-2"/>
                <w:sz w:val="22"/>
              </w:rPr>
              <w:t>号金外滩国际广</w:t>
            </w:r>
          </w:p>
          <w:p>
            <w:pPr>
              <w:pStyle w:val="TableParagraph"/>
              <w:spacing w:before="30"/>
              <w:ind w:left="108"/>
              <w:rPr>
                <w:sz w:val="22"/>
              </w:rPr>
            </w:pPr>
            <w:r>
              <w:rPr>
                <w:sz w:val="22"/>
              </w:rPr>
              <w:t>场 </w:t>
            </w:r>
            <w:r>
              <w:rPr>
                <w:rFonts w:ascii="Arial" w:eastAsia="Arial"/>
                <w:sz w:val="22"/>
              </w:rPr>
              <w:t>19 </w:t>
            </w:r>
            <w:r>
              <w:rPr>
                <w:sz w:val="22"/>
              </w:rPr>
              <w:t>楼</w:t>
            </w:r>
          </w:p>
          <w:p>
            <w:pPr>
              <w:pStyle w:val="TableParagraph"/>
              <w:spacing w:line="266" w:lineRule="auto" w:before="30"/>
              <w:ind w:left="108" w:right="3597"/>
              <w:rPr>
                <w:sz w:val="22"/>
              </w:rPr>
            </w:pPr>
            <w:r>
              <w:rPr>
                <w:sz w:val="22"/>
              </w:rPr>
              <w:t>法定代表人：张皛联系人：周丹</w:t>
            </w:r>
          </w:p>
          <w:p>
            <w:pPr>
              <w:pStyle w:val="TableParagraph"/>
              <w:spacing w:line="266" w:lineRule="auto"/>
              <w:ind w:left="108" w:right="3278"/>
              <w:rPr>
                <w:rFonts w:ascii="Arial" w:eastAsia="Arial"/>
                <w:sz w:val="22"/>
              </w:rPr>
            </w:pPr>
            <w:r>
              <w:rPr>
                <w:sz w:val="22"/>
              </w:rPr>
              <w:t>电话：</w:t>
            </w:r>
            <w:r>
              <w:rPr>
                <w:rFonts w:ascii="Arial" w:eastAsia="Arial"/>
                <w:sz w:val="22"/>
              </w:rPr>
              <w:t>021-33323999 </w:t>
            </w:r>
            <w:r>
              <w:rPr>
                <w:sz w:val="22"/>
              </w:rPr>
              <w:t>传真：</w:t>
            </w:r>
            <w:r>
              <w:rPr>
                <w:rFonts w:ascii="Arial" w:eastAsia="Arial"/>
                <w:sz w:val="22"/>
              </w:rPr>
              <w:t>021-33323993</w:t>
            </w:r>
          </w:p>
          <w:p>
            <w:pPr>
              <w:pStyle w:val="TableParagraph"/>
              <w:spacing w:line="280" w:lineRule="exact"/>
              <w:ind w:left="108"/>
              <w:rPr>
                <w:rFonts w:ascii="Arial" w:eastAsia="Arial"/>
                <w:sz w:val="22"/>
              </w:rPr>
            </w:pPr>
            <w:r>
              <w:rPr>
                <w:sz w:val="22"/>
              </w:rPr>
              <w:t>客户服务电话：</w:t>
            </w:r>
            <w:r>
              <w:rPr>
                <w:rFonts w:ascii="Arial" w:eastAsia="Arial"/>
                <w:sz w:val="22"/>
              </w:rPr>
              <w:t>400-820-2819</w:t>
            </w:r>
          </w:p>
          <w:p>
            <w:pPr>
              <w:pStyle w:val="TableParagraph"/>
              <w:spacing w:line="277" w:lineRule="exact" w:before="29"/>
              <w:ind w:left="108"/>
              <w:rPr>
                <w:sz w:val="22"/>
              </w:rPr>
            </w:pPr>
            <w:r>
              <w:rPr>
                <w:sz w:val="22"/>
              </w:rPr>
              <w:t>手机客户端：天天盈基金</w:t>
            </w:r>
          </w:p>
        </w:tc>
      </w:tr>
      <w:tr>
        <w:trPr>
          <w:trHeight w:val="2807"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98" w:right="88"/>
              <w:jc w:val="center"/>
              <w:rPr>
                <w:rFonts w:ascii="Arial"/>
                <w:sz w:val="21"/>
              </w:rPr>
            </w:pPr>
            <w:r>
              <w:rPr>
                <w:rFonts w:ascii="Arial"/>
                <w:sz w:val="21"/>
              </w:rPr>
              <w:t>11</w:t>
            </w:r>
          </w:p>
          <w:p>
            <w:pPr>
              <w:pStyle w:val="TableParagraph"/>
              <w:spacing w:before="70"/>
              <w:ind w:left="7"/>
              <w:jc w:val="center"/>
              <w:rPr>
                <w:rFonts w:ascii="Arial"/>
                <w:sz w:val="21"/>
              </w:rPr>
            </w:pPr>
            <w:r>
              <w:rPr>
                <w:rFonts w:ascii="Arial"/>
                <w:w w:val="100"/>
                <w:sz w:val="21"/>
              </w:rPr>
              <w:t>3</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1020" w:right="129" w:hanging="881"/>
              <w:rPr>
                <w:sz w:val="22"/>
              </w:rPr>
            </w:pPr>
            <w:r>
              <w:rPr>
                <w:sz w:val="22"/>
              </w:rPr>
              <w:t>上海利得基金销售有限公司</w:t>
            </w:r>
          </w:p>
        </w:tc>
        <w:tc>
          <w:tcPr>
            <w:tcW w:w="5480" w:type="dxa"/>
          </w:tcPr>
          <w:p>
            <w:pPr>
              <w:pStyle w:val="TableParagraph"/>
              <w:spacing w:before="15"/>
              <w:ind w:left="108"/>
              <w:rPr>
                <w:sz w:val="22"/>
              </w:rPr>
            </w:pPr>
            <w:r>
              <w:rPr>
                <w:sz w:val="22"/>
              </w:rPr>
              <w:t>注册地址：上海市宝山区蕴川路 </w:t>
            </w:r>
            <w:r>
              <w:rPr>
                <w:rFonts w:ascii="Arial" w:eastAsia="Arial"/>
                <w:sz w:val="22"/>
              </w:rPr>
              <w:t>5475 </w:t>
            </w:r>
            <w:r>
              <w:rPr>
                <w:sz w:val="22"/>
              </w:rPr>
              <w:t>号 </w:t>
            </w:r>
            <w:r>
              <w:rPr>
                <w:rFonts w:ascii="Arial" w:eastAsia="Arial"/>
                <w:sz w:val="22"/>
              </w:rPr>
              <w:t>1033 </w:t>
            </w:r>
            <w:r>
              <w:rPr>
                <w:sz w:val="22"/>
              </w:rPr>
              <w:t>室</w:t>
            </w:r>
          </w:p>
          <w:p>
            <w:pPr>
              <w:pStyle w:val="TableParagraph"/>
              <w:spacing w:before="30"/>
              <w:ind w:left="108"/>
              <w:rPr>
                <w:rFonts w:ascii="Arial" w:eastAsia="Arial"/>
                <w:sz w:val="22"/>
              </w:rPr>
            </w:pPr>
            <w:r>
              <w:rPr>
                <w:spacing w:val="-12"/>
                <w:sz w:val="22"/>
              </w:rPr>
              <w:t>办公地址：上海浦东新区峨山路 </w:t>
            </w:r>
            <w:r>
              <w:rPr>
                <w:rFonts w:ascii="Arial" w:eastAsia="Arial"/>
                <w:sz w:val="22"/>
              </w:rPr>
              <w:t>91 </w:t>
            </w:r>
            <w:r>
              <w:rPr>
                <w:spacing w:val="-27"/>
                <w:sz w:val="22"/>
              </w:rPr>
              <w:t>弄 </w:t>
            </w:r>
            <w:r>
              <w:rPr>
                <w:rFonts w:ascii="Arial" w:eastAsia="Arial"/>
                <w:sz w:val="22"/>
              </w:rPr>
              <w:t>61 </w:t>
            </w:r>
            <w:r>
              <w:rPr>
                <w:spacing w:val="-27"/>
                <w:sz w:val="22"/>
              </w:rPr>
              <w:t>号 </w:t>
            </w:r>
            <w:r>
              <w:rPr>
                <w:rFonts w:ascii="Arial" w:eastAsia="Arial"/>
                <w:sz w:val="22"/>
              </w:rPr>
              <w:t>10 </w:t>
            </w:r>
            <w:r>
              <w:rPr>
                <w:spacing w:val="-20"/>
                <w:sz w:val="22"/>
              </w:rPr>
              <w:t>号楼 </w:t>
            </w:r>
            <w:r>
              <w:rPr>
                <w:rFonts w:ascii="Arial" w:eastAsia="Arial"/>
                <w:sz w:val="22"/>
              </w:rPr>
              <w:t>12</w:t>
            </w:r>
          </w:p>
          <w:p>
            <w:pPr>
              <w:pStyle w:val="TableParagraph"/>
              <w:spacing w:before="30"/>
              <w:ind w:left="108"/>
              <w:rPr>
                <w:sz w:val="22"/>
              </w:rPr>
            </w:pPr>
            <w:r>
              <w:rPr>
                <w:w w:val="100"/>
                <w:sz w:val="22"/>
              </w:rPr>
              <w:t>楼</w:t>
            </w:r>
          </w:p>
          <w:p>
            <w:pPr>
              <w:pStyle w:val="TableParagraph"/>
              <w:spacing w:line="266" w:lineRule="auto" w:before="30"/>
              <w:ind w:left="108" w:right="3376"/>
              <w:rPr>
                <w:sz w:val="22"/>
              </w:rPr>
            </w:pPr>
            <w:r>
              <w:rPr>
                <w:sz w:val="22"/>
              </w:rPr>
              <w:t>法定代表人：李兴春联系人：徐鹏</w:t>
            </w:r>
          </w:p>
          <w:p>
            <w:pPr>
              <w:pStyle w:val="TableParagraph"/>
              <w:spacing w:line="266" w:lineRule="auto"/>
              <w:ind w:left="108" w:right="3278"/>
              <w:rPr>
                <w:rFonts w:ascii="Arial" w:eastAsia="Arial"/>
                <w:sz w:val="22"/>
              </w:rPr>
            </w:pPr>
            <w:r>
              <w:rPr>
                <w:sz w:val="22"/>
              </w:rPr>
              <w:t>电话：</w:t>
            </w:r>
            <w:r>
              <w:rPr>
                <w:rFonts w:ascii="Arial" w:eastAsia="Arial"/>
                <w:sz w:val="22"/>
              </w:rPr>
              <w:t>021-50583533 </w:t>
            </w:r>
            <w:r>
              <w:rPr>
                <w:sz w:val="22"/>
              </w:rPr>
              <w:t>传真：</w:t>
            </w:r>
            <w:r>
              <w:rPr>
                <w:rFonts w:ascii="Arial" w:eastAsia="Arial"/>
                <w:sz w:val="22"/>
              </w:rPr>
              <w:t>021-50583633</w:t>
            </w:r>
          </w:p>
          <w:p>
            <w:pPr>
              <w:pStyle w:val="TableParagraph"/>
              <w:spacing w:line="281" w:lineRule="exact"/>
              <w:ind w:left="108"/>
              <w:rPr>
                <w:rFonts w:ascii="Arial" w:eastAsia="Arial"/>
                <w:sz w:val="22"/>
              </w:rPr>
            </w:pPr>
            <w:r>
              <w:rPr>
                <w:sz w:val="22"/>
              </w:rPr>
              <w:t>客户服务电话：</w:t>
            </w:r>
            <w:r>
              <w:rPr>
                <w:rFonts w:ascii="Arial" w:eastAsia="Arial"/>
                <w:sz w:val="22"/>
              </w:rPr>
              <w:t>400-921-7755</w:t>
            </w:r>
          </w:p>
          <w:p>
            <w:pPr>
              <w:pStyle w:val="TableParagraph"/>
              <w:spacing w:line="277" w:lineRule="exact" w:before="28"/>
              <w:ind w:left="108"/>
              <w:rPr>
                <w:rFonts w:ascii="Arial" w:eastAsia="Arial"/>
                <w:sz w:val="22"/>
              </w:rPr>
            </w:pPr>
            <w:r>
              <w:rPr>
                <w:sz w:val="22"/>
              </w:rPr>
              <w:t>公司网址：</w:t>
            </w:r>
            <w:hyperlink r:id="rId118">
              <w:r>
                <w:rPr>
                  <w:rFonts w:ascii="Arial" w:eastAsia="Arial"/>
                  <w:sz w:val="22"/>
                </w:rPr>
                <w:t>www.leadfund.com.cn</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98" w:right="88"/>
              <w:jc w:val="center"/>
              <w:rPr>
                <w:rFonts w:ascii="Arial"/>
                <w:sz w:val="21"/>
              </w:rPr>
            </w:pPr>
            <w:r>
              <w:rPr>
                <w:rFonts w:ascii="Arial"/>
                <w:sz w:val="21"/>
              </w:rPr>
              <w:t>11</w:t>
            </w:r>
          </w:p>
          <w:p>
            <w:pPr>
              <w:pStyle w:val="TableParagraph"/>
              <w:spacing w:before="71"/>
              <w:ind w:left="7"/>
              <w:jc w:val="center"/>
              <w:rPr>
                <w:rFonts w:ascii="Arial"/>
                <w:sz w:val="21"/>
              </w:rPr>
            </w:pPr>
            <w:r>
              <w:rPr>
                <w:rFonts w:ascii="Arial"/>
                <w:w w:val="100"/>
                <w:sz w:val="21"/>
              </w:rPr>
              <w:t>4</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ind w:left="799" w:right="129" w:hanging="660"/>
              <w:rPr>
                <w:sz w:val="22"/>
              </w:rPr>
            </w:pPr>
            <w:r>
              <w:rPr>
                <w:sz w:val="22"/>
              </w:rPr>
              <w:t>北京新浪仓石基金销售有限公司</w:t>
            </w:r>
          </w:p>
        </w:tc>
        <w:tc>
          <w:tcPr>
            <w:tcW w:w="5480" w:type="dxa"/>
          </w:tcPr>
          <w:p>
            <w:pPr>
              <w:pStyle w:val="TableParagraph"/>
              <w:spacing w:before="15"/>
              <w:ind w:left="108"/>
              <w:rPr>
                <w:sz w:val="22"/>
              </w:rPr>
            </w:pPr>
            <w:r>
              <w:rPr>
                <w:sz w:val="22"/>
              </w:rPr>
              <w:t>注册地址：北京市海淀区东北旺西路中关村软件园二期</w:t>
            </w:r>
          </w:p>
          <w:p>
            <w:pPr>
              <w:pStyle w:val="TableParagraph"/>
              <w:spacing w:before="30"/>
              <w:ind w:left="108"/>
              <w:rPr>
                <w:sz w:val="22"/>
              </w:rPr>
            </w:pPr>
            <w:r>
              <w:rPr>
                <w:sz w:val="22"/>
              </w:rPr>
              <w:t>（西扩）</w:t>
            </w:r>
            <w:r>
              <w:rPr>
                <w:rFonts w:ascii="Arial" w:eastAsia="Arial"/>
                <w:sz w:val="22"/>
              </w:rPr>
              <w:t>N-1</w:t>
            </w:r>
            <w:r>
              <w:rPr>
                <w:sz w:val="22"/>
              </w:rPr>
              <w:t>、</w:t>
            </w:r>
            <w:r>
              <w:rPr>
                <w:rFonts w:ascii="Arial" w:eastAsia="Arial"/>
                <w:sz w:val="22"/>
              </w:rPr>
              <w:t>N-2 </w:t>
            </w:r>
            <w:r>
              <w:rPr>
                <w:sz w:val="22"/>
              </w:rPr>
              <w:t>地块新浪总部科研楼 </w:t>
            </w:r>
            <w:r>
              <w:rPr>
                <w:rFonts w:ascii="Arial" w:eastAsia="Arial"/>
                <w:sz w:val="22"/>
              </w:rPr>
              <w:t>5 </w:t>
            </w:r>
            <w:r>
              <w:rPr>
                <w:sz w:val="22"/>
              </w:rPr>
              <w:t>层 </w:t>
            </w:r>
            <w:r>
              <w:rPr>
                <w:rFonts w:ascii="Arial" w:eastAsia="Arial"/>
                <w:sz w:val="22"/>
              </w:rPr>
              <w:t>518 </w:t>
            </w:r>
            <w:r>
              <w:rPr>
                <w:sz w:val="22"/>
              </w:rPr>
              <w:t>室</w:t>
            </w:r>
          </w:p>
          <w:p>
            <w:pPr>
              <w:pStyle w:val="TableParagraph"/>
              <w:spacing w:line="266" w:lineRule="auto" w:before="30"/>
              <w:ind w:left="108" w:right="150"/>
              <w:rPr>
                <w:sz w:val="22"/>
              </w:rPr>
            </w:pPr>
            <w:r>
              <w:rPr>
                <w:spacing w:val="-6"/>
                <w:sz w:val="22"/>
              </w:rPr>
              <w:t>办公地址：北京市海淀区西北旺东路 </w:t>
            </w:r>
            <w:r>
              <w:rPr>
                <w:rFonts w:ascii="Arial" w:eastAsia="Arial"/>
                <w:sz w:val="22"/>
              </w:rPr>
              <w:t>10 </w:t>
            </w:r>
            <w:r>
              <w:rPr>
                <w:spacing w:val="-13"/>
                <w:sz w:val="22"/>
              </w:rPr>
              <w:t>号院东区 </w:t>
            </w:r>
            <w:r>
              <w:rPr>
                <w:rFonts w:ascii="Arial" w:eastAsia="Arial"/>
                <w:sz w:val="22"/>
              </w:rPr>
              <w:t>3 </w:t>
            </w:r>
            <w:r>
              <w:rPr>
                <w:spacing w:val="-11"/>
                <w:sz w:val="22"/>
              </w:rPr>
              <w:t>号</w:t>
            </w:r>
            <w:r>
              <w:rPr>
                <w:spacing w:val="-10"/>
                <w:sz w:val="22"/>
              </w:rPr>
              <w:t>楼为明大厦 </w:t>
            </w:r>
            <w:r>
              <w:rPr>
                <w:rFonts w:ascii="Arial" w:eastAsia="Arial"/>
                <w:sz w:val="22"/>
              </w:rPr>
              <w:t>C </w:t>
            </w:r>
            <w:r>
              <w:rPr>
                <w:sz w:val="22"/>
              </w:rPr>
              <w:t>座</w:t>
            </w:r>
          </w:p>
          <w:p>
            <w:pPr>
              <w:pStyle w:val="TableParagraph"/>
              <w:spacing w:line="266" w:lineRule="auto"/>
              <w:ind w:left="108" w:right="3376"/>
              <w:rPr>
                <w:sz w:val="22"/>
              </w:rPr>
            </w:pPr>
            <w:r>
              <w:rPr>
                <w:sz w:val="22"/>
              </w:rPr>
              <w:t>法定代表人：赵芯蕊联系人：赵芯蕊</w:t>
            </w:r>
          </w:p>
          <w:p>
            <w:pPr>
              <w:pStyle w:val="TableParagraph"/>
              <w:spacing w:line="266" w:lineRule="auto"/>
              <w:ind w:left="108" w:right="3278"/>
              <w:rPr>
                <w:rFonts w:ascii="Arial" w:eastAsia="Arial"/>
                <w:sz w:val="22"/>
              </w:rPr>
            </w:pPr>
            <w:r>
              <w:rPr>
                <w:sz w:val="22"/>
              </w:rPr>
              <w:t>电话：</w:t>
            </w:r>
            <w:r>
              <w:rPr>
                <w:rFonts w:ascii="Arial" w:eastAsia="Arial"/>
                <w:sz w:val="22"/>
              </w:rPr>
              <w:t>010-62675768 </w:t>
            </w:r>
            <w:r>
              <w:rPr>
                <w:sz w:val="22"/>
              </w:rPr>
              <w:t>传真：</w:t>
            </w:r>
            <w:r>
              <w:rPr>
                <w:rFonts w:ascii="Arial" w:eastAsia="Arial"/>
                <w:sz w:val="22"/>
              </w:rPr>
              <w:t>010-62676582</w:t>
            </w:r>
          </w:p>
          <w:p>
            <w:pPr>
              <w:pStyle w:val="TableParagraph"/>
              <w:spacing w:line="281" w:lineRule="exact"/>
              <w:ind w:left="108"/>
              <w:rPr>
                <w:rFonts w:ascii="Arial" w:eastAsia="Arial"/>
                <w:sz w:val="22"/>
              </w:rPr>
            </w:pPr>
            <w:r>
              <w:rPr>
                <w:sz w:val="22"/>
              </w:rPr>
              <w:t>客户服务电话：</w:t>
            </w:r>
            <w:r>
              <w:rPr>
                <w:rFonts w:ascii="Arial" w:eastAsia="Arial"/>
                <w:sz w:val="22"/>
              </w:rPr>
              <w:t>010-62675369</w:t>
            </w:r>
          </w:p>
          <w:p>
            <w:pPr>
              <w:pStyle w:val="TableParagraph"/>
              <w:spacing w:line="277" w:lineRule="exact" w:before="27"/>
              <w:ind w:left="108"/>
              <w:rPr>
                <w:rFonts w:ascii="Arial" w:eastAsia="Arial"/>
                <w:sz w:val="22"/>
              </w:rPr>
            </w:pPr>
            <w:r>
              <w:rPr>
                <w:sz w:val="22"/>
              </w:rPr>
              <w:t>网址：</w:t>
            </w:r>
            <w:hyperlink r:id="rId119">
              <w:r>
                <w:rPr>
                  <w:rFonts w:ascii="Arial" w:eastAsia="Arial"/>
                  <w:sz w:val="22"/>
                </w:rPr>
                <w:t>www.xincai.com</w:t>
              </w:r>
            </w:hyperlink>
          </w:p>
        </w:tc>
      </w:tr>
      <w:tr>
        <w:trPr>
          <w:trHeight w:val="249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98" w:right="88"/>
              <w:jc w:val="center"/>
              <w:rPr>
                <w:rFonts w:ascii="Arial"/>
                <w:sz w:val="21"/>
              </w:rPr>
            </w:pPr>
            <w:r>
              <w:rPr>
                <w:rFonts w:ascii="Arial"/>
                <w:sz w:val="21"/>
              </w:rPr>
              <w:t>11</w:t>
            </w:r>
          </w:p>
          <w:p>
            <w:pPr>
              <w:pStyle w:val="TableParagraph"/>
              <w:spacing w:before="71"/>
              <w:ind w:left="7"/>
              <w:jc w:val="center"/>
              <w:rPr>
                <w:rFonts w:ascii="Arial"/>
                <w:sz w:val="21"/>
              </w:rPr>
            </w:pPr>
            <w:r>
              <w:rPr>
                <w:rFonts w:ascii="Arial"/>
                <w:w w:val="100"/>
                <w:sz w:val="21"/>
              </w:rPr>
              <w:t>5</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4"/>
              <w:ind w:left="578" w:right="129" w:hanging="440"/>
              <w:rPr>
                <w:sz w:val="22"/>
              </w:rPr>
            </w:pPr>
            <w:r>
              <w:rPr>
                <w:sz w:val="22"/>
              </w:rPr>
              <w:t>泰诚财富基金销售（大连）有限公司</w:t>
            </w:r>
          </w:p>
        </w:tc>
        <w:tc>
          <w:tcPr>
            <w:tcW w:w="5480" w:type="dxa"/>
          </w:tcPr>
          <w:p>
            <w:pPr>
              <w:pStyle w:val="TableParagraph"/>
              <w:spacing w:before="17"/>
              <w:ind w:left="108"/>
              <w:rPr>
                <w:sz w:val="22"/>
              </w:rPr>
            </w:pPr>
            <w:r>
              <w:rPr>
                <w:sz w:val="22"/>
              </w:rPr>
              <w:t>注册（办公）地址：辽宁省大连市沙河口区星海中龙园</w:t>
            </w:r>
          </w:p>
          <w:p>
            <w:pPr>
              <w:pStyle w:val="TableParagraph"/>
              <w:spacing w:before="30"/>
              <w:ind w:left="108"/>
              <w:rPr>
                <w:sz w:val="22"/>
              </w:rPr>
            </w:pPr>
            <w:r>
              <w:rPr>
                <w:rFonts w:ascii="Arial" w:eastAsia="Arial"/>
                <w:sz w:val="22"/>
              </w:rPr>
              <w:t>3 </w:t>
            </w:r>
            <w:r>
              <w:rPr>
                <w:sz w:val="22"/>
              </w:rPr>
              <w:t>号</w:t>
            </w:r>
          </w:p>
          <w:p>
            <w:pPr>
              <w:pStyle w:val="TableParagraph"/>
              <w:spacing w:line="266" w:lineRule="auto" w:before="30"/>
              <w:ind w:left="108" w:right="3376"/>
              <w:rPr>
                <w:sz w:val="22"/>
              </w:rPr>
            </w:pPr>
            <w:r>
              <w:rPr>
                <w:sz w:val="22"/>
              </w:rPr>
              <w:t>法定代表人：李春光联系人：张晓辉</w:t>
            </w:r>
          </w:p>
          <w:p>
            <w:pPr>
              <w:pStyle w:val="TableParagraph"/>
              <w:spacing w:line="266" w:lineRule="auto"/>
              <w:ind w:left="108" w:right="3156"/>
              <w:rPr>
                <w:rFonts w:ascii="Arial" w:eastAsia="Arial"/>
                <w:sz w:val="22"/>
              </w:rPr>
            </w:pPr>
            <w:r>
              <w:rPr>
                <w:sz w:val="22"/>
              </w:rPr>
              <w:t>电话：</w:t>
            </w:r>
            <w:r>
              <w:rPr>
                <w:rFonts w:ascii="Arial" w:eastAsia="Arial"/>
                <w:sz w:val="22"/>
              </w:rPr>
              <w:t>0411-88891212 </w:t>
            </w:r>
            <w:r>
              <w:rPr>
                <w:sz w:val="22"/>
              </w:rPr>
              <w:t>传真：</w:t>
            </w:r>
            <w:r>
              <w:rPr>
                <w:rFonts w:ascii="Arial" w:eastAsia="Arial"/>
                <w:sz w:val="22"/>
              </w:rPr>
              <w:t>0411-84396536</w:t>
            </w:r>
          </w:p>
          <w:p>
            <w:pPr>
              <w:pStyle w:val="TableParagraph"/>
              <w:spacing w:line="280" w:lineRule="exact"/>
              <w:ind w:left="108"/>
              <w:rPr>
                <w:rFonts w:ascii="Arial" w:eastAsia="Arial"/>
                <w:sz w:val="22"/>
              </w:rPr>
            </w:pPr>
            <w:r>
              <w:rPr>
                <w:sz w:val="22"/>
              </w:rPr>
              <w:t>客户服务电话：</w:t>
            </w:r>
            <w:r>
              <w:rPr>
                <w:rFonts w:ascii="Arial" w:eastAsia="Arial"/>
                <w:sz w:val="22"/>
              </w:rPr>
              <w:t>4000411001</w:t>
            </w:r>
          </w:p>
          <w:p>
            <w:pPr>
              <w:pStyle w:val="TableParagraph"/>
              <w:spacing w:line="277" w:lineRule="exact" w:before="29"/>
              <w:ind w:left="108"/>
              <w:rPr>
                <w:rFonts w:ascii="Arial" w:eastAsia="Arial"/>
                <w:sz w:val="22"/>
              </w:rPr>
            </w:pPr>
            <w:r>
              <w:rPr>
                <w:sz w:val="22"/>
              </w:rPr>
              <w:t>网址：</w:t>
            </w:r>
            <w:hyperlink r:id="rId120">
              <w:r>
                <w:rPr>
                  <w:rFonts w:ascii="Arial" w:eastAsia="Arial"/>
                  <w:sz w:val="22"/>
                </w:rPr>
                <w:t>www.taichengcaifu.com</w:t>
              </w:r>
            </w:hyperlink>
          </w:p>
        </w:tc>
      </w:tr>
      <w:tr>
        <w:trPr>
          <w:trHeight w:val="623" w:hRule="atLeast"/>
        </w:trPr>
        <w:tc>
          <w:tcPr>
            <w:tcW w:w="470" w:type="dxa"/>
          </w:tcPr>
          <w:p>
            <w:pPr>
              <w:pStyle w:val="TableParagraph"/>
              <w:spacing w:before="33"/>
              <w:ind w:left="98" w:right="88"/>
              <w:jc w:val="center"/>
              <w:rPr>
                <w:rFonts w:ascii="Arial"/>
                <w:sz w:val="21"/>
              </w:rPr>
            </w:pPr>
            <w:r>
              <w:rPr>
                <w:rFonts w:ascii="Arial"/>
                <w:sz w:val="21"/>
              </w:rPr>
              <w:t>11</w:t>
            </w:r>
          </w:p>
          <w:p>
            <w:pPr>
              <w:pStyle w:val="TableParagraph"/>
              <w:spacing w:before="71"/>
              <w:ind w:left="7"/>
              <w:jc w:val="center"/>
              <w:rPr>
                <w:rFonts w:ascii="Arial"/>
                <w:sz w:val="21"/>
              </w:rPr>
            </w:pPr>
            <w:r>
              <w:rPr>
                <w:rFonts w:ascii="Arial"/>
                <w:w w:val="100"/>
                <w:sz w:val="21"/>
              </w:rPr>
              <w:t>6</w:t>
            </w:r>
          </w:p>
        </w:tc>
        <w:tc>
          <w:tcPr>
            <w:tcW w:w="2484" w:type="dxa"/>
          </w:tcPr>
          <w:p>
            <w:pPr>
              <w:pStyle w:val="TableParagraph"/>
              <w:spacing w:before="15"/>
              <w:ind w:left="120" w:right="113"/>
              <w:jc w:val="center"/>
              <w:rPr>
                <w:sz w:val="22"/>
              </w:rPr>
            </w:pPr>
            <w:r>
              <w:rPr>
                <w:sz w:val="22"/>
              </w:rPr>
              <w:t>上海陆金所基金销售有</w:t>
            </w:r>
          </w:p>
          <w:p>
            <w:pPr>
              <w:pStyle w:val="TableParagraph"/>
              <w:spacing w:line="277" w:lineRule="exact" w:before="30"/>
              <w:ind w:left="120" w:right="113"/>
              <w:jc w:val="center"/>
              <w:rPr>
                <w:sz w:val="22"/>
              </w:rPr>
            </w:pPr>
            <w:r>
              <w:rPr>
                <w:sz w:val="22"/>
              </w:rPr>
              <w:t>限公司</w:t>
            </w:r>
          </w:p>
        </w:tc>
        <w:tc>
          <w:tcPr>
            <w:tcW w:w="5480" w:type="dxa"/>
          </w:tcPr>
          <w:p>
            <w:pPr>
              <w:pStyle w:val="TableParagraph"/>
              <w:spacing w:before="15"/>
              <w:ind w:left="108"/>
              <w:rPr>
                <w:sz w:val="22"/>
              </w:rPr>
            </w:pPr>
            <w:r>
              <w:rPr>
                <w:sz w:val="22"/>
              </w:rPr>
              <w:t>注册地址：上海市浦东新区陆家嘴环路 </w:t>
            </w:r>
            <w:r>
              <w:rPr>
                <w:rFonts w:ascii="Arial" w:eastAsia="Arial"/>
                <w:sz w:val="22"/>
              </w:rPr>
              <w:t>1333 </w:t>
            </w:r>
            <w:r>
              <w:rPr>
                <w:sz w:val="22"/>
              </w:rPr>
              <w:t>号 </w:t>
            </w:r>
            <w:r>
              <w:rPr>
                <w:rFonts w:ascii="Arial" w:eastAsia="Arial"/>
                <w:sz w:val="22"/>
              </w:rPr>
              <w:t>14 </w:t>
            </w:r>
            <w:r>
              <w:rPr>
                <w:sz w:val="22"/>
              </w:rPr>
              <w:t>楼</w:t>
            </w:r>
          </w:p>
          <w:p>
            <w:pPr>
              <w:pStyle w:val="TableParagraph"/>
              <w:spacing w:line="277" w:lineRule="exact" w:before="30"/>
              <w:ind w:left="108"/>
              <w:rPr>
                <w:sz w:val="22"/>
              </w:rPr>
            </w:pPr>
            <w:r>
              <w:rPr>
                <w:rFonts w:ascii="Arial" w:eastAsia="Arial"/>
                <w:sz w:val="22"/>
              </w:rPr>
              <w:t>09 </w:t>
            </w:r>
            <w:r>
              <w:rPr>
                <w:sz w:val="22"/>
              </w:rPr>
              <w:t>单元</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2184"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66" w:lineRule="auto" w:before="15"/>
              <w:ind w:left="108" w:right="729"/>
              <w:rPr>
                <w:sz w:val="22"/>
              </w:rPr>
            </w:pPr>
            <w:r>
              <w:rPr>
                <w:sz w:val="22"/>
              </w:rPr>
              <w:t>办公地址：上海市浦东新区陆家嘴环路 </w:t>
            </w:r>
            <w:r>
              <w:rPr>
                <w:rFonts w:ascii="Arial" w:eastAsia="Arial"/>
                <w:sz w:val="22"/>
              </w:rPr>
              <w:t>1333 </w:t>
            </w:r>
            <w:r>
              <w:rPr>
                <w:sz w:val="22"/>
              </w:rPr>
              <w:t>号法定代表人：王之光</w:t>
            </w:r>
          </w:p>
          <w:p>
            <w:pPr>
              <w:pStyle w:val="TableParagraph"/>
              <w:spacing w:line="280" w:lineRule="exact"/>
              <w:ind w:left="108"/>
              <w:rPr>
                <w:sz w:val="22"/>
              </w:rPr>
            </w:pPr>
            <w:r>
              <w:rPr>
                <w:sz w:val="22"/>
              </w:rPr>
              <w:t>联系人：宁博宇</w:t>
            </w:r>
          </w:p>
          <w:p>
            <w:pPr>
              <w:pStyle w:val="TableParagraph"/>
              <w:spacing w:line="266" w:lineRule="auto" w:before="30"/>
              <w:ind w:left="108" w:right="3278"/>
              <w:rPr>
                <w:rFonts w:ascii="Arial" w:eastAsia="Arial"/>
                <w:sz w:val="22"/>
              </w:rPr>
            </w:pPr>
            <w:r>
              <w:rPr>
                <w:sz w:val="22"/>
              </w:rPr>
              <w:t>电话：</w:t>
            </w:r>
            <w:r>
              <w:rPr>
                <w:rFonts w:ascii="Arial" w:eastAsia="Arial"/>
                <w:sz w:val="22"/>
              </w:rPr>
              <w:t>021-20665952 </w:t>
            </w:r>
            <w:r>
              <w:rPr>
                <w:sz w:val="22"/>
              </w:rPr>
              <w:t>传真：</w:t>
            </w:r>
            <w:r>
              <w:rPr>
                <w:rFonts w:ascii="Arial" w:eastAsia="Arial"/>
                <w:sz w:val="22"/>
              </w:rPr>
              <w:t>021-22066653</w:t>
            </w:r>
          </w:p>
          <w:p>
            <w:pPr>
              <w:pStyle w:val="TableParagraph"/>
              <w:spacing w:line="280" w:lineRule="exact"/>
              <w:ind w:left="108"/>
              <w:rPr>
                <w:rFonts w:ascii="Arial" w:eastAsia="Arial"/>
                <w:sz w:val="22"/>
              </w:rPr>
            </w:pPr>
            <w:r>
              <w:rPr>
                <w:sz w:val="22"/>
              </w:rPr>
              <w:t>客户服务电话：</w:t>
            </w:r>
            <w:r>
              <w:rPr>
                <w:rFonts w:ascii="Arial" w:eastAsia="Arial"/>
                <w:sz w:val="22"/>
              </w:rPr>
              <w:t>4008219031</w:t>
            </w:r>
          </w:p>
          <w:p>
            <w:pPr>
              <w:pStyle w:val="TableParagraph"/>
              <w:spacing w:line="277" w:lineRule="exact" w:before="31"/>
              <w:ind w:left="108"/>
              <w:rPr>
                <w:rFonts w:ascii="Arial" w:eastAsia="Arial"/>
                <w:sz w:val="22"/>
              </w:rPr>
            </w:pPr>
            <w:r>
              <w:rPr>
                <w:sz w:val="22"/>
              </w:rPr>
              <w:t>网址：</w:t>
            </w:r>
            <w:hyperlink r:id="rId121">
              <w:r>
                <w:rPr>
                  <w:rFonts w:ascii="Arial" w:eastAsia="Arial"/>
                  <w:sz w:val="22"/>
                </w:rPr>
                <w:t>www.lufunds.com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98" w:right="88"/>
              <w:jc w:val="center"/>
              <w:rPr>
                <w:rFonts w:ascii="Arial"/>
                <w:sz w:val="21"/>
              </w:rPr>
            </w:pPr>
            <w:r>
              <w:rPr>
                <w:rFonts w:ascii="Arial"/>
                <w:sz w:val="21"/>
              </w:rPr>
              <w:t>11</w:t>
            </w:r>
          </w:p>
          <w:p>
            <w:pPr>
              <w:pStyle w:val="TableParagraph"/>
              <w:spacing w:before="71"/>
              <w:ind w:left="7"/>
              <w:jc w:val="center"/>
              <w:rPr>
                <w:rFonts w:ascii="Arial"/>
                <w:sz w:val="21"/>
              </w:rPr>
            </w:pPr>
            <w:r>
              <w:rPr>
                <w:rFonts w:ascii="Arial"/>
                <w:w w:val="100"/>
                <w:sz w:val="21"/>
              </w:rPr>
              <w:t>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1020" w:right="129" w:hanging="881"/>
              <w:rPr>
                <w:sz w:val="22"/>
              </w:rPr>
            </w:pPr>
            <w:r>
              <w:rPr>
                <w:sz w:val="22"/>
              </w:rPr>
              <w:t>深圳富济基金销售有限公司</w:t>
            </w:r>
          </w:p>
        </w:tc>
        <w:tc>
          <w:tcPr>
            <w:tcW w:w="5480" w:type="dxa"/>
          </w:tcPr>
          <w:p>
            <w:pPr>
              <w:pStyle w:val="TableParagraph"/>
              <w:spacing w:line="266" w:lineRule="auto" w:before="15"/>
              <w:ind w:left="108" w:right="48"/>
              <w:rPr>
                <w:sz w:val="22"/>
              </w:rPr>
            </w:pPr>
            <w:r>
              <w:rPr>
                <w:sz w:val="22"/>
              </w:rPr>
              <w:t>注册（办公）地址：深圳市福田区福田街道岗厦社区金田路 3088 号中洲大厦 3203A 单元</w:t>
            </w:r>
          </w:p>
          <w:p>
            <w:pPr>
              <w:pStyle w:val="TableParagraph"/>
              <w:spacing w:line="266" w:lineRule="auto"/>
              <w:ind w:left="108" w:right="3376"/>
              <w:rPr>
                <w:sz w:val="22"/>
              </w:rPr>
            </w:pPr>
            <w:r>
              <w:rPr>
                <w:sz w:val="22"/>
              </w:rPr>
              <w:t>法定代表人：刘鹏宇联系人：刘勇</w:t>
            </w:r>
          </w:p>
          <w:p>
            <w:pPr>
              <w:pStyle w:val="TableParagraph"/>
              <w:spacing w:line="266" w:lineRule="auto"/>
              <w:ind w:left="108" w:right="2718"/>
              <w:rPr>
                <w:sz w:val="22"/>
              </w:rPr>
            </w:pPr>
            <w:r>
              <w:rPr>
                <w:sz w:val="22"/>
              </w:rPr>
              <w:t>电话：0755-83999907-8814 传真：0755-83999926</w:t>
            </w:r>
          </w:p>
          <w:p>
            <w:pPr>
              <w:pStyle w:val="TableParagraph"/>
              <w:spacing w:line="280" w:lineRule="exact"/>
              <w:ind w:left="108"/>
              <w:rPr>
                <w:sz w:val="22"/>
              </w:rPr>
            </w:pPr>
            <w:r>
              <w:rPr>
                <w:sz w:val="22"/>
              </w:rPr>
              <w:t>客户服务电话：0755-83999907</w:t>
            </w:r>
          </w:p>
          <w:p>
            <w:pPr>
              <w:pStyle w:val="TableParagraph"/>
              <w:spacing w:line="277" w:lineRule="exact" w:before="27"/>
              <w:ind w:left="108"/>
              <w:rPr>
                <w:sz w:val="22"/>
              </w:rPr>
            </w:pPr>
            <w:hyperlink r:id="rId122">
              <w:r>
                <w:rPr>
                  <w:sz w:val="22"/>
                </w:rPr>
                <w:t>网址：www.fujifund.cn</w:t>
              </w:r>
            </w:hyperlink>
          </w:p>
        </w:tc>
      </w:tr>
      <w:tr>
        <w:trPr>
          <w:trHeight w:val="249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98" w:right="88"/>
              <w:jc w:val="center"/>
              <w:rPr>
                <w:rFonts w:ascii="Arial"/>
                <w:sz w:val="21"/>
              </w:rPr>
            </w:pPr>
            <w:r>
              <w:rPr>
                <w:rFonts w:ascii="Arial"/>
                <w:sz w:val="21"/>
              </w:rPr>
              <w:t>11</w:t>
            </w:r>
          </w:p>
          <w:p>
            <w:pPr>
              <w:pStyle w:val="TableParagraph"/>
              <w:spacing w:before="71"/>
              <w:ind w:left="7"/>
              <w:jc w:val="center"/>
              <w:rPr>
                <w:rFonts w:ascii="Arial"/>
                <w:sz w:val="21"/>
              </w:rPr>
            </w:pPr>
            <w:r>
              <w:rPr>
                <w:rFonts w:ascii="Arial"/>
                <w:w w:val="100"/>
                <w:sz w:val="21"/>
              </w:rPr>
              <w:t>8</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1020" w:right="129" w:hanging="881"/>
              <w:rPr>
                <w:sz w:val="22"/>
              </w:rPr>
            </w:pPr>
            <w:r>
              <w:rPr>
                <w:sz w:val="22"/>
              </w:rPr>
              <w:t>北京虹点基金销售有限公司</w:t>
            </w:r>
          </w:p>
        </w:tc>
        <w:tc>
          <w:tcPr>
            <w:tcW w:w="5480" w:type="dxa"/>
          </w:tcPr>
          <w:p>
            <w:pPr>
              <w:pStyle w:val="TableParagraph"/>
              <w:spacing w:before="15"/>
              <w:ind w:left="108"/>
              <w:rPr>
                <w:rFonts w:ascii="Arial" w:eastAsia="Arial"/>
                <w:sz w:val="22"/>
              </w:rPr>
            </w:pPr>
            <w:r>
              <w:rPr>
                <w:sz w:val="22"/>
              </w:rPr>
              <w:t>注册地址：北京市朝阳区西大望路 </w:t>
            </w:r>
            <w:r>
              <w:rPr>
                <w:rFonts w:ascii="Arial" w:eastAsia="Arial"/>
                <w:sz w:val="22"/>
              </w:rPr>
              <w:t>1 </w:t>
            </w:r>
            <w:r>
              <w:rPr>
                <w:sz w:val="22"/>
              </w:rPr>
              <w:t>号 </w:t>
            </w:r>
            <w:r>
              <w:rPr>
                <w:rFonts w:ascii="Arial" w:eastAsia="Arial"/>
                <w:sz w:val="22"/>
              </w:rPr>
              <w:t>1 </w:t>
            </w:r>
            <w:r>
              <w:rPr>
                <w:sz w:val="22"/>
              </w:rPr>
              <w:t>号楼 </w:t>
            </w:r>
            <w:r>
              <w:rPr>
                <w:rFonts w:ascii="Arial" w:eastAsia="Arial"/>
                <w:sz w:val="22"/>
              </w:rPr>
              <w:t>1603</w:t>
            </w:r>
          </w:p>
          <w:p>
            <w:pPr>
              <w:pStyle w:val="TableParagraph"/>
              <w:spacing w:before="30"/>
              <w:ind w:left="108"/>
              <w:rPr>
                <w:sz w:val="22"/>
              </w:rPr>
            </w:pPr>
            <w:r>
              <w:rPr>
                <w:spacing w:val="-12"/>
                <w:sz w:val="22"/>
              </w:rPr>
              <w:t>办公地址：北京市朝阳区西大望路 </w:t>
            </w:r>
            <w:r>
              <w:rPr>
                <w:rFonts w:ascii="Arial" w:eastAsia="Arial"/>
                <w:sz w:val="22"/>
              </w:rPr>
              <w:t>1 </w:t>
            </w:r>
            <w:r>
              <w:rPr>
                <w:spacing w:val="-10"/>
                <w:sz w:val="22"/>
              </w:rPr>
              <w:t>号温特莱中心 </w:t>
            </w:r>
            <w:r>
              <w:rPr>
                <w:rFonts w:ascii="Arial" w:eastAsia="Arial"/>
                <w:sz w:val="22"/>
              </w:rPr>
              <w:t>A </w:t>
            </w:r>
            <w:r>
              <w:rPr>
                <w:sz w:val="22"/>
              </w:rPr>
              <w:t>座</w:t>
            </w:r>
          </w:p>
          <w:p>
            <w:pPr>
              <w:pStyle w:val="TableParagraph"/>
              <w:spacing w:before="30"/>
              <w:ind w:left="108"/>
              <w:rPr>
                <w:sz w:val="22"/>
              </w:rPr>
            </w:pPr>
            <w:r>
              <w:rPr>
                <w:rFonts w:ascii="Arial" w:eastAsia="Arial"/>
                <w:sz w:val="22"/>
              </w:rPr>
              <w:t>16 </w:t>
            </w:r>
            <w:r>
              <w:rPr>
                <w:sz w:val="22"/>
              </w:rPr>
              <w:t>层</w:t>
            </w:r>
          </w:p>
          <w:p>
            <w:pPr>
              <w:pStyle w:val="TableParagraph"/>
              <w:spacing w:line="266" w:lineRule="auto" w:before="30"/>
              <w:ind w:left="108" w:right="3376"/>
              <w:rPr>
                <w:sz w:val="22"/>
              </w:rPr>
            </w:pPr>
            <w:r>
              <w:rPr>
                <w:sz w:val="22"/>
              </w:rPr>
              <w:t>法定代表人：郑毓栋联系人：姜颖</w:t>
            </w:r>
          </w:p>
          <w:p>
            <w:pPr>
              <w:pStyle w:val="TableParagraph"/>
              <w:spacing w:line="280" w:lineRule="exact"/>
              <w:ind w:left="108"/>
              <w:rPr>
                <w:rFonts w:ascii="Arial" w:eastAsia="Arial"/>
                <w:sz w:val="22"/>
              </w:rPr>
            </w:pPr>
            <w:r>
              <w:rPr>
                <w:sz w:val="22"/>
              </w:rPr>
              <w:t>电话：</w:t>
            </w:r>
            <w:r>
              <w:rPr>
                <w:rFonts w:ascii="Arial" w:eastAsia="Arial"/>
                <w:sz w:val="22"/>
              </w:rPr>
              <w:t>010-56409010</w:t>
            </w:r>
          </w:p>
          <w:p>
            <w:pPr>
              <w:pStyle w:val="TableParagraph"/>
              <w:spacing w:line="310" w:lineRule="atLeast" w:before="2"/>
              <w:ind w:left="108" w:right="2348"/>
              <w:rPr>
                <w:rFonts w:ascii="Arial" w:eastAsia="Arial"/>
                <w:sz w:val="22"/>
              </w:rPr>
            </w:pPr>
            <w:r>
              <w:rPr>
                <w:sz w:val="22"/>
              </w:rPr>
              <w:t>客户服务电话：</w:t>
            </w:r>
            <w:r>
              <w:rPr>
                <w:rFonts w:ascii="Arial" w:eastAsia="Arial"/>
                <w:sz w:val="22"/>
              </w:rPr>
              <w:t>400-068-1176 </w:t>
            </w:r>
            <w:r>
              <w:rPr>
                <w:sz w:val="22"/>
              </w:rPr>
              <w:t>网址：</w:t>
            </w:r>
            <w:hyperlink r:id="rId123">
              <w:r>
                <w:rPr>
                  <w:rFonts w:ascii="Arial" w:eastAsia="Arial"/>
                  <w:sz w:val="22"/>
                </w:rPr>
                <w:t>www.hongdianfund.com</w:t>
              </w:r>
            </w:hyperlink>
          </w:p>
        </w:tc>
      </w:tr>
      <w:tr>
        <w:trPr>
          <w:trHeight w:val="280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98" w:right="88"/>
              <w:jc w:val="center"/>
              <w:rPr>
                <w:rFonts w:ascii="Arial"/>
                <w:sz w:val="21"/>
              </w:rPr>
            </w:pPr>
            <w:r>
              <w:rPr>
                <w:rFonts w:ascii="Arial"/>
                <w:sz w:val="21"/>
              </w:rPr>
              <w:t>11</w:t>
            </w:r>
          </w:p>
          <w:p>
            <w:pPr>
              <w:pStyle w:val="TableParagraph"/>
              <w:spacing w:before="70"/>
              <w:ind w:left="7"/>
              <w:jc w:val="center"/>
              <w:rPr>
                <w:rFonts w:ascii="Arial"/>
                <w:sz w:val="21"/>
              </w:rPr>
            </w:pPr>
            <w:r>
              <w:rPr>
                <w:rFonts w:ascii="Arial"/>
                <w:w w:val="100"/>
                <w:sz w:val="21"/>
              </w:rPr>
              <w:t>9</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1020" w:right="129" w:hanging="881"/>
              <w:rPr>
                <w:sz w:val="22"/>
              </w:rPr>
            </w:pPr>
            <w:r>
              <w:rPr>
                <w:sz w:val="22"/>
              </w:rPr>
              <w:t>珠海盈米基金销售有限公司</w:t>
            </w:r>
          </w:p>
        </w:tc>
        <w:tc>
          <w:tcPr>
            <w:tcW w:w="5480" w:type="dxa"/>
          </w:tcPr>
          <w:p>
            <w:pPr>
              <w:pStyle w:val="TableParagraph"/>
              <w:spacing w:before="15"/>
              <w:ind w:left="108"/>
              <w:rPr>
                <w:rFonts w:ascii="Arial" w:eastAsia="Arial"/>
                <w:sz w:val="22"/>
              </w:rPr>
            </w:pPr>
            <w:r>
              <w:rPr>
                <w:sz w:val="22"/>
              </w:rPr>
              <w:t>注册地址：珠海市横琴新区宝华路 </w:t>
            </w:r>
            <w:r>
              <w:rPr>
                <w:rFonts w:ascii="Arial" w:eastAsia="Arial"/>
                <w:sz w:val="22"/>
              </w:rPr>
              <w:t>6 </w:t>
            </w:r>
            <w:r>
              <w:rPr>
                <w:sz w:val="22"/>
              </w:rPr>
              <w:t>号 </w:t>
            </w:r>
            <w:r>
              <w:rPr>
                <w:rFonts w:ascii="Arial" w:eastAsia="Arial"/>
                <w:sz w:val="22"/>
              </w:rPr>
              <w:t>105 </w:t>
            </w:r>
            <w:r>
              <w:rPr>
                <w:sz w:val="22"/>
              </w:rPr>
              <w:t>室</w:t>
            </w:r>
            <w:r>
              <w:rPr>
                <w:rFonts w:ascii="Arial" w:eastAsia="Arial"/>
                <w:sz w:val="22"/>
              </w:rPr>
              <w:t>-3491</w:t>
            </w:r>
          </w:p>
          <w:p>
            <w:pPr>
              <w:pStyle w:val="TableParagraph"/>
              <w:spacing w:line="266" w:lineRule="auto" w:before="30"/>
              <w:ind w:left="108" w:right="90"/>
              <w:rPr>
                <w:rFonts w:ascii="Arial" w:eastAsia="Arial"/>
                <w:sz w:val="22"/>
              </w:rPr>
            </w:pPr>
            <w:r>
              <w:rPr>
                <w:spacing w:val="-9"/>
                <w:sz w:val="22"/>
              </w:rPr>
              <w:t>办公地址：广州市海珠区琶洲大道东 </w:t>
            </w:r>
            <w:r>
              <w:rPr>
                <w:rFonts w:ascii="Arial" w:eastAsia="Arial"/>
                <w:sz w:val="22"/>
              </w:rPr>
              <w:t>1 </w:t>
            </w:r>
            <w:r>
              <w:rPr>
                <w:spacing w:val="-5"/>
                <w:sz w:val="22"/>
              </w:rPr>
              <w:t>号保利国际广场</w:t>
            </w:r>
            <w:r>
              <w:rPr>
                <w:spacing w:val="-19"/>
                <w:sz w:val="22"/>
              </w:rPr>
              <w:t>南塔 </w:t>
            </w:r>
            <w:r>
              <w:rPr>
                <w:rFonts w:ascii="Arial" w:eastAsia="Arial"/>
                <w:sz w:val="22"/>
              </w:rPr>
              <w:t>12 </w:t>
            </w:r>
            <w:r>
              <w:rPr>
                <w:spacing w:val="-28"/>
                <w:sz w:val="22"/>
              </w:rPr>
              <w:t>楼 </w:t>
            </w:r>
            <w:r>
              <w:rPr>
                <w:rFonts w:ascii="Arial" w:eastAsia="Arial"/>
                <w:sz w:val="22"/>
              </w:rPr>
              <w:t>B1201-1203</w:t>
            </w:r>
          </w:p>
          <w:p>
            <w:pPr>
              <w:pStyle w:val="TableParagraph"/>
              <w:spacing w:line="266" w:lineRule="auto"/>
              <w:ind w:left="108" w:right="3597"/>
              <w:rPr>
                <w:sz w:val="22"/>
              </w:rPr>
            </w:pPr>
            <w:r>
              <w:rPr>
                <w:sz w:val="22"/>
              </w:rPr>
              <w:t>法定代表人：肖雯联系人：黄敏嫦</w:t>
            </w:r>
          </w:p>
          <w:p>
            <w:pPr>
              <w:pStyle w:val="TableParagraph"/>
              <w:spacing w:line="266" w:lineRule="auto"/>
              <w:ind w:left="108" w:right="3278"/>
              <w:rPr>
                <w:rFonts w:ascii="Arial" w:eastAsia="Arial"/>
                <w:sz w:val="22"/>
              </w:rPr>
            </w:pPr>
            <w:r>
              <w:rPr>
                <w:sz w:val="22"/>
              </w:rPr>
              <w:t>电话：</w:t>
            </w:r>
            <w:r>
              <w:rPr>
                <w:rFonts w:ascii="Arial" w:eastAsia="Arial"/>
                <w:sz w:val="22"/>
              </w:rPr>
              <w:t>020-89629099 </w:t>
            </w:r>
            <w:r>
              <w:rPr>
                <w:sz w:val="22"/>
              </w:rPr>
              <w:t>传真：</w:t>
            </w:r>
            <w:r>
              <w:rPr>
                <w:rFonts w:ascii="Arial" w:eastAsia="Arial"/>
                <w:sz w:val="22"/>
              </w:rPr>
              <w:t>020-89629011</w:t>
            </w:r>
          </w:p>
          <w:p>
            <w:pPr>
              <w:pStyle w:val="TableParagraph"/>
              <w:spacing w:line="280" w:lineRule="exact"/>
              <w:ind w:left="108"/>
              <w:rPr>
                <w:rFonts w:ascii="Arial" w:eastAsia="Arial"/>
                <w:sz w:val="22"/>
              </w:rPr>
            </w:pPr>
            <w:r>
              <w:rPr>
                <w:sz w:val="22"/>
              </w:rPr>
              <w:t>客户服务电话：</w:t>
            </w:r>
            <w:r>
              <w:rPr>
                <w:rFonts w:ascii="Arial" w:eastAsia="Arial"/>
                <w:sz w:val="22"/>
              </w:rPr>
              <w:t>020-89629066</w:t>
            </w:r>
          </w:p>
          <w:p>
            <w:pPr>
              <w:pStyle w:val="TableParagraph"/>
              <w:spacing w:line="277" w:lineRule="exact" w:before="26"/>
              <w:ind w:left="108"/>
              <w:rPr>
                <w:rFonts w:ascii="Arial" w:eastAsia="Arial"/>
                <w:sz w:val="22"/>
              </w:rPr>
            </w:pPr>
            <w:r>
              <w:rPr>
                <w:sz w:val="22"/>
              </w:rPr>
              <w:t>网址：</w:t>
            </w:r>
            <w:hyperlink r:id="rId124">
              <w:r>
                <w:rPr>
                  <w:rFonts w:ascii="Arial" w:eastAsia="Arial"/>
                  <w:sz w:val="22"/>
                </w:rPr>
                <w:t>www.yingmi.cn</w:t>
              </w:r>
            </w:hyperlink>
          </w:p>
        </w:tc>
      </w:tr>
      <w:tr>
        <w:trPr>
          <w:trHeight w:val="2809"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98" w:right="88"/>
              <w:jc w:val="center"/>
              <w:rPr>
                <w:rFonts w:ascii="Arial"/>
                <w:sz w:val="21"/>
              </w:rPr>
            </w:pPr>
            <w:r>
              <w:rPr>
                <w:rFonts w:ascii="Arial"/>
                <w:sz w:val="21"/>
              </w:rPr>
              <w:t>12</w:t>
            </w:r>
          </w:p>
          <w:p>
            <w:pPr>
              <w:pStyle w:val="TableParagraph"/>
              <w:spacing w:before="71"/>
              <w:ind w:left="7"/>
              <w:jc w:val="center"/>
              <w:rPr>
                <w:rFonts w:ascii="Arial"/>
                <w:sz w:val="21"/>
              </w:rPr>
            </w:pPr>
            <w:r>
              <w:rPr>
                <w:rFonts w:ascii="Arial"/>
                <w:w w:val="100"/>
                <w:sz w:val="21"/>
              </w:rPr>
              <w:t>0</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spacing w:line="266" w:lineRule="auto"/>
              <w:ind w:left="578" w:right="129" w:hanging="440"/>
              <w:rPr>
                <w:sz w:val="22"/>
              </w:rPr>
            </w:pPr>
            <w:r>
              <w:rPr>
                <w:sz w:val="22"/>
              </w:rPr>
              <w:t>中证金牛（北京）投资咨询有限公司</w:t>
            </w:r>
          </w:p>
        </w:tc>
        <w:tc>
          <w:tcPr>
            <w:tcW w:w="5480" w:type="dxa"/>
          </w:tcPr>
          <w:p>
            <w:pPr>
              <w:pStyle w:val="TableParagraph"/>
              <w:spacing w:before="17"/>
              <w:ind w:left="108"/>
              <w:rPr>
                <w:sz w:val="22"/>
              </w:rPr>
            </w:pPr>
            <w:r>
              <w:rPr>
                <w:sz w:val="22"/>
              </w:rPr>
              <w:t>注册地址：北京市丰台区东管头 </w:t>
            </w:r>
            <w:r>
              <w:rPr>
                <w:rFonts w:ascii="Arial" w:eastAsia="Arial"/>
                <w:sz w:val="22"/>
              </w:rPr>
              <w:t>1 </w:t>
            </w:r>
            <w:r>
              <w:rPr>
                <w:sz w:val="22"/>
              </w:rPr>
              <w:t>号 </w:t>
            </w:r>
            <w:r>
              <w:rPr>
                <w:rFonts w:ascii="Arial" w:eastAsia="Arial"/>
                <w:sz w:val="22"/>
              </w:rPr>
              <w:t>2 </w:t>
            </w:r>
            <w:r>
              <w:rPr>
                <w:sz w:val="22"/>
              </w:rPr>
              <w:t>号楼 </w:t>
            </w:r>
            <w:r>
              <w:rPr>
                <w:rFonts w:ascii="Arial" w:eastAsia="Arial"/>
                <w:sz w:val="22"/>
              </w:rPr>
              <w:t>2-45 </w:t>
            </w:r>
            <w:r>
              <w:rPr>
                <w:sz w:val="22"/>
              </w:rPr>
              <w:t>室</w:t>
            </w:r>
          </w:p>
          <w:p>
            <w:pPr>
              <w:pStyle w:val="TableParagraph"/>
              <w:spacing w:line="266" w:lineRule="auto" w:before="30"/>
              <w:ind w:left="108" w:right="90"/>
              <w:rPr>
                <w:sz w:val="22"/>
              </w:rPr>
            </w:pPr>
            <w:r>
              <w:rPr>
                <w:spacing w:val="-9"/>
                <w:sz w:val="22"/>
              </w:rPr>
              <w:t>办公地址：北京市西城区宣武门外大街甲 </w:t>
            </w:r>
            <w:r>
              <w:rPr>
                <w:rFonts w:ascii="Arial" w:eastAsia="Arial"/>
                <w:sz w:val="22"/>
              </w:rPr>
              <w:t>1 </w:t>
            </w:r>
            <w:r>
              <w:rPr>
                <w:spacing w:val="-4"/>
                <w:sz w:val="22"/>
              </w:rPr>
              <w:t>号环球财讯</w:t>
            </w:r>
            <w:r>
              <w:rPr>
                <w:spacing w:val="-19"/>
                <w:sz w:val="22"/>
              </w:rPr>
              <w:t>中心 </w:t>
            </w:r>
            <w:r>
              <w:rPr>
                <w:rFonts w:ascii="Arial" w:eastAsia="Arial"/>
                <w:sz w:val="22"/>
              </w:rPr>
              <w:t>A </w:t>
            </w:r>
            <w:r>
              <w:rPr>
                <w:spacing w:val="-28"/>
                <w:sz w:val="22"/>
              </w:rPr>
              <w:t>座 </w:t>
            </w:r>
            <w:r>
              <w:rPr>
                <w:rFonts w:ascii="Arial" w:eastAsia="Arial"/>
                <w:sz w:val="22"/>
              </w:rPr>
              <w:t>5 </w:t>
            </w:r>
            <w:r>
              <w:rPr>
                <w:sz w:val="22"/>
              </w:rPr>
              <w:t>层</w:t>
            </w:r>
          </w:p>
          <w:p>
            <w:pPr>
              <w:pStyle w:val="TableParagraph"/>
              <w:spacing w:line="266" w:lineRule="auto"/>
              <w:ind w:left="108" w:right="3376"/>
              <w:rPr>
                <w:sz w:val="22"/>
              </w:rPr>
            </w:pPr>
            <w:r>
              <w:rPr>
                <w:sz w:val="22"/>
              </w:rPr>
              <w:t>法定代表人：钱昊旻联系人：孙雯</w:t>
            </w:r>
          </w:p>
          <w:p>
            <w:pPr>
              <w:pStyle w:val="TableParagraph"/>
              <w:spacing w:line="266" w:lineRule="auto"/>
              <w:ind w:left="108" w:right="3278"/>
              <w:rPr>
                <w:rFonts w:ascii="Arial" w:eastAsia="Arial"/>
                <w:sz w:val="22"/>
              </w:rPr>
            </w:pPr>
            <w:r>
              <w:rPr>
                <w:sz w:val="22"/>
              </w:rPr>
              <w:t>电话：</w:t>
            </w:r>
            <w:r>
              <w:rPr>
                <w:rFonts w:ascii="Arial" w:eastAsia="Arial"/>
                <w:sz w:val="22"/>
              </w:rPr>
              <w:t>010-59336519 </w:t>
            </w:r>
            <w:r>
              <w:rPr>
                <w:sz w:val="22"/>
              </w:rPr>
              <w:t>传真：</w:t>
            </w:r>
            <w:r>
              <w:rPr>
                <w:rFonts w:ascii="Arial" w:eastAsia="Arial"/>
                <w:sz w:val="22"/>
              </w:rPr>
              <w:t>010-59336500</w:t>
            </w:r>
          </w:p>
          <w:p>
            <w:pPr>
              <w:pStyle w:val="TableParagraph"/>
              <w:spacing w:line="280" w:lineRule="exact"/>
              <w:ind w:left="108"/>
              <w:rPr>
                <w:rFonts w:ascii="Arial" w:eastAsia="Arial"/>
                <w:sz w:val="22"/>
              </w:rPr>
            </w:pPr>
            <w:r>
              <w:rPr>
                <w:sz w:val="22"/>
              </w:rPr>
              <w:t>客户服务电话：</w:t>
            </w:r>
            <w:r>
              <w:rPr>
                <w:rFonts w:ascii="Arial" w:eastAsia="Arial"/>
                <w:sz w:val="22"/>
              </w:rPr>
              <w:t>4008-909-998</w:t>
            </w:r>
          </w:p>
          <w:p>
            <w:pPr>
              <w:pStyle w:val="TableParagraph"/>
              <w:spacing w:line="277" w:lineRule="exact" w:before="27"/>
              <w:ind w:left="108"/>
              <w:rPr>
                <w:rFonts w:ascii="Arial" w:eastAsia="Arial"/>
                <w:sz w:val="22"/>
              </w:rPr>
            </w:pPr>
            <w:r>
              <w:rPr>
                <w:sz w:val="22"/>
              </w:rPr>
              <w:t>网址：</w:t>
            </w:r>
            <w:hyperlink r:id="rId125">
              <w:r>
                <w:rPr>
                  <w:rFonts w:ascii="Arial" w:eastAsia="Arial"/>
                  <w:sz w:val="22"/>
                </w:rPr>
                <w:t>www.jnlc.com</w:t>
              </w:r>
            </w:hyperlink>
          </w:p>
        </w:tc>
      </w:tr>
      <w:tr>
        <w:trPr>
          <w:trHeight w:val="935" w:hRule="atLeast"/>
        </w:trPr>
        <w:tc>
          <w:tcPr>
            <w:tcW w:w="470" w:type="dxa"/>
          </w:tcPr>
          <w:p>
            <w:pPr>
              <w:pStyle w:val="TableParagraph"/>
              <w:spacing w:before="189"/>
              <w:ind w:left="98" w:right="88"/>
              <w:jc w:val="center"/>
              <w:rPr>
                <w:rFonts w:ascii="Arial"/>
                <w:sz w:val="21"/>
              </w:rPr>
            </w:pPr>
            <w:r>
              <w:rPr>
                <w:rFonts w:ascii="Arial"/>
                <w:sz w:val="21"/>
              </w:rPr>
              <w:t>12</w:t>
            </w:r>
          </w:p>
          <w:p>
            <w:pPr>
              <w:pStyle w:val="TableParagraph"/>
              <w:spacing w:before="71"/>
              <w:ind w:left="7"/>
              <w:jc w:val="center"/>
              <w:rPr>
                <w:rFonts w:ascii="Arial"/>
                <w:sz w:val="21"/>
              </w:rPr>
            </w:pPr>
            <w:r>
              <w:rPr>
                <w:rFonts w:ascii="Arial"/>
                <w:w w:val="100"/>
                <w:sz w:val="21"/>
              </w:rPr>
              <w:t>1</w:t>
            </w:r>
          </w:p>
        </w:tc>
        <w:tc>
          <w:tcPr>
            <w:tcW w:w="2484" w:type="dxa"/>
          </w:tcPr>
          <w:p>
            <w:pPr>
              <w:pStyle w:val="TableParagraph"/>
              <w:spacing w:before="5"/>
              <w:rPr>
                <w:rFonts w:ascii="Times New Roman"/>
                <w:sz w:val="28"/>
              </w:rPr>
            </w:pPr>
          </w:p>
          <w:p>
            <w:pPr>
              <w:pStyle w:val="TableParagraph"/>
              <w:ind w:left="139"/>
              <w:rPr>
                <w:sz w:val="22"/>
              </w:rPr>
            </w:pPr>
            <w:r>
              <w:rPr>
                <w:sz w:val="22"/>
              </w:rPr>
              <w:t>奕丰基金销售有限公司</w:t>
            </w:r>
          </w:p>
        </w:tc>
        <w:tc>
          <w:tcPr>
            <w:tcW w:w="5480" w:type="dxa"/>
          </w:tcPr>
          <w:p>
            <w:pPr>
              <w:pStyle w:val="TableParagraph"/>
              <w:spacing w:before="15"/>
              <w:ind w:left="108"/>
              <w:rPr>
                <w:sz w:val="22"/>
              </w:rPr>
            </w:pPr>
            <w:r>
              <w:rPr>
                <w:spacing w:val="-6"/>
                <w:sz w:val="22"/>
              </w:rPr>
              <w:t>注册地址：深圳市前海深港合作区前湾一路 </w:t>
            </w:r>
            <w:r>
              <w:rPr>
                <w:rFonts w:ascii="Arial" w:eastAsia="Arial"/>
                <w:sz w:val="22"/>
              </w:rPr>
              <w:t>1 </w:t>
            </w:r>
            <w:r>
              <w:rPr>
                <w:spacing w:val="52"/>
                <w:sz w:val="22"/>
              </w:rPr>
              <w:t>号</w:t>
            </w:r>
            <w:r>
              <w:rPr>
                <w:rFonts w:ascii="Arial" w:eastAsia="Arial"/>
                <w:sz w:val="22"/>
              </w:rPr>
              <w:t>A </w:t>
            </w:r>
            <w:r>
              <w:rPr>
                <w:sz w:val="22"/>
              </w:rPr>
              <w:t>栋</w:t>
            </w:r>
          </w:p>
          <w:p>
            <w:pPr>
              <w:pStyle w:val="TableParagraph"/>
              <w:spacing w:before="30"/>
              <w:ind w:left="108"/>
              <w:rPr>
                <w:sz w:val="22"/>
              </w:rPr>
            </w:pPr>
            <w:r>
              <w:rPr>
                <w:rFonts w:ascii="Arial" w:eastAsia="Arial"/>
                <w:sz w:val="22"/>
              </w:rPr>
              <w:t>201 </w:t>
            </w:r>
            <w:r>
              <w:rPr>
                <w:sz w:val="22"/>
              </w:rPr>
              <w:t>室（入住深圳市前海商务秘书有限公司）</w:t>
            </w:r>
          </w:p>
          <w:p>
            <w:pPr>
              <w:pStyle w:val="TableParagraph"/>
              <w:spacing w:line="277" w:lineRule="exact" w:before="30"/>
              <w:ind w:left="108"/>
              <w:rPr>
                <w:sz w:val="22"/>
              </w:rPr>
            </w:pPr>
            <w:r>
              <w:rPr>
                <w:sz w:val="22"/>
              </w:rPr>
              <w:t>办公地址：深圳市南山区海德三道航天科技广场</w:t>
            </w:r>
            <w:r>
              <w:rPr>
                <w:rFonts w:ascii="Arial" w:eastAsia="Arial"/>
                <w:sz w:val="22"/>
              </w:rPr>
              <w:t>A </w:t>
            </w:r>
            <w:r>
              <w:rPr>
                <w:sz w:val="22"/>
              </w:rPr>
              <w:t>座</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2184"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sz w:val="22"/>
              </w:rPr>
            </w:pPr>
            <w:r>
              <w:rPr>
                <w:rFonts w:ascii="Arial" w:eastAsia="Arial"/>
                <w:sz w:val="22"/>
              </w:rPr>
              <w:t>17 </w:t>
            </w:r>
            <w:r>
              <w:rPr>
                <w:sz w:val="22"/>
              </w:rPr>
              <w:t>楼 </w:t>
            </w:r>
            <w:r>
              <w:rPr>
                <w:rFonts w:ascii="Arial" w:eastAsia="Arial"/>
                <w:sz w:val="22"/>
              </w:rPr>
              <w:t>1704 </w:t>
            </w:r>
            <w:r>
              <w:rPr>
                <w:sz w:val="22"/>
              </w:rPr>
              <w:t>室</w:t>
            </w:r>
          </w:p>
          <w:p>
            <w:pPr>
              <w:pStyle w:val="TableParagraph"/>
              <w:spacing w:before="30"/>
              <w:ind w:left="108"/>
              <w:rPr>
                <w:rFonts w:ascii="Arial" w:eastAsia="Arial"/>
                <w:sz w:val="22"/>
              </w:rPr>
            </w:pPr>
            <w:r>
              <w:rPr>
                <w:sz w:val="22"/>
              </w:rPr>
              <w:t>法定代表人：</w:t>
            </w:r>
            <w:r>
              <w:rPr>
                <w:rFonts w:ascii="Arial" w:eastAsia="Arial"/>
                <w:sz w:val="22"/>
              </w:rPr>
              <w:t>TEO WEE HOWE</w:t>
            </w:r>
          </w:p>
          <w:p>
            <w:pPr>
              <w:pStyle w:val="TableParagraph"/>
              <w:spacing w:before="31"/>
              <w:ind w:left="108"/>
              <w:rPr>
                <w:sz w:val="22"/>
              </w:rPr>
            </w:pPr>
            <w:r>
              <w:rPr>
                <w:sz w:val="22"/>
              </w:rPr>
              <w:t>联系人：叶健</w:t>
            </w:r>
          </w:p>
          <w:p>
            <w:pPr>
              <w:pStyle w:val="TableParagraph"/>
              <w:spacing w:line="266" w:lineRule="auto" w:before="30"/>
              <w:ind w:left="108" w:right="3156"/>
              <w:rPr>
                <w:rFonts w:ascii="Arial" w:eastAsia="Arial"/>
                <w:sz w:val="22"/>
              </w:rPr>
            </w:pPr>
            <w:r>
              <w:rPr>
                <w:sz w:val="22"/>
              </w:rPr>
              <w:t>电话：</w:t>
            </w:r>
            <w:r>
              <w:rPr>
                <w:rFonts w:ascii="Arial" w:eastAsia="Arial"/>
                <w:sz w:val="22"/>
              </w:rPr>
              <w:t>0755-89460500 </w:t>
            </w:r>
            <w:r>
              <w:rPr>
                <w:sz w:val="22"/>
              </w:rPr>
              <w:t>传真：</w:t>
            </w:r>
            <w:r>
              <w:rPr>
                <w:rFonts w:ascii="Arial" w:eastAsia="Arial"/>
                <w:sz w:val="22"/>
              </w:rPr>
              <w:t>0755-21674453</w:t>
            </w:r>
          </w:p>
          <w:p>
            <w:pPr>
              <w:pStyle w:val="TableParagraph"/>
              <w:spacing w:line="280" w:lineRule="exact"/>
              <w:ind w:left="108"/>
              <w:rPr>
                <w:rFonts w:ascii="Arial" w:eastAsia="Arial"/>
                <w:sz w:val="22"/>
              </w:rPr>
            </w:pPr>
            <w:r>
              <w:rPr>
                <w:sz w:val="22"/>
              </w:rPr>
              <w:t>客户服务电话：</w:t>
            </w:r>
            <w:r>
              <w:rPr>
                <w:rFonts w:ascii="Arial" w:eastAsia="Arial"/>
                <w:sz w:val="22"/>
              </w:rPr>
              <w:t>400-684-0500</w:t>
            </w:r>
          </w:p>
          <w:p>
            <w:pPr>
              <w:pStyle w:val="TableParagraph"/>
              <w:spacing w:line="277" w:lineRule="exact" w:before="30"/>
              <w:ind w:left="108"/>
              <w:rPr>
                <w:rFonts w:ascii="Arial" w:eastAsia="Arial"/>
                <w:sz w:val="22"/>
              </w:rPr>
            </w:pPr>
            <w:r>
              <w:rPr>
                <w:sz w:val="22"/>
              </w:rPr>
              <w:t>网址：</w:t>
            </w:r>
            <w:hyperlink r:id="rId126">
              <w:r>
                <w:rPr>
                  <w:rFonts w:ascii="Arial" w:eastAsia="Arial"/>
                  <w:sz w:val="22"/>
                </w:rPr>
                <w:t>www.ifastps.com.cn</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98" w:right="88"/>
              <w:jc w:val="center"/>
              <w:rPr>
                <w:rFonts w:ascii="Arial"/>
                <w:sz w:val="21"/>
              </w:rPr>
            </w:pPr>
            <w:r>
              <w:rPr>
                <w:rFonts w:ascii="Arial"/>
                <w:sz w:val="21"/>
              </w:rPr>
              <w:t>12</w:t>
            </w:r>
          </w:p>
          <w:p>
            <w:pPr>
              <w:pStyle w:val="TableParagraph"/>
              <w:spacing w:before="70"/>
              <w:ind w:left="7"/>
              <w:jc w:val="center"/>
              <w:rPr>
                <w:rFonts w:ascii="Arial"/>
                <w:sz w:val="21"/>
              </w:rPr>
            </w:pPr>
            <w:r>
              <w:rPr>
                <w:rFonts w:ascii="Arial"/>
                <w:w w:val="100"/>
                <w:sz w:val="21"/>
              </w:rPr>
              <w:t>2</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spacing w:line="266" w:lineRule="auto"/>
              <w:ind w:left="1020" w:right="129" w:hanging="881"/>
              <w:rPr>
                <w:sz w:val="22"/>
              </w:rPr>
            </w:pPr>
            <w:r>
              <w:rPr>
                <w:sz w:val="22"/>
              </w:rPr>
              <w:t>和耕传承基金销售有限公司</w:t>
            </w:r>
          </w:p>
        </w:tc>
        <w:tc>
          <w:tcPr>
            <w:tcW w:w="5480" w:type="dxa"/>
          </w:tcPr>
          <w:p>
            <w:pPr>
              <w:pStyle w:val="TableParagraph"/>
              <w:spacing w:line="266" w:lineRule="auto" w:before="15"/>
              <w:ind w:left="108" w:right="94"/>
              <w:rPr>
                <w:rFonts w:ascii="Arial" w:eastAsia="Arial"/>
                <w:sz w:val="22"/>
              </w:rPr>
            </w:pPr>
            <w:r>
              <w:rPr>
                <w:spacing w:val="-4"/>
                <w:sz w:val="22"/>
              </w:rPr>
              <w:t>注册地址：河南自贸试验区郑州片区</w:t>
            </w:r>
            <w:r>
              <w:rPr>
                <w:spacing w:val="-3"/>
                <w:sz w:val="22"/>
              </w:rPr>
              <w:t>（</w:t>
            </w:r>
            <w:r>
              <w:rPr>
                <w:sz w:val="22"/>
              </w:rPr>
              <w:t>郑东</w:t>
            </w:r>
            <w:r>
              <w:rPr>
                <w:spacing w:val="-8"/>
                <w:sz w:val="22"/>
              </w:rPr>
              <w:t>）</w:t>
            </w:r>
            <w:r>
              <w:rPr>
                <w:spacing w:val="-5"/>
                <w:sz w:val="22"/>
              </w:rPr>
              <w:t>东风南路</w:t>
            </w:r>
            <w:r>
              <w:rPr>
                <w:spacing w:val="-10"/>
                <w:sz w:val="22"/>
              </w:rPr>
              <w:t>东康宁街北 </w:t>
            </w:r>
            <w:r>
              <w:rPr>
                <w:rFonts w:ascii="Arial" w:eastAsia="Arial"/>
                <w:sz w:val="22"/>
              </w:rPr>
              <w:t>6</w:t>
            </w:r>
            <w:r>
              <w:rPr>
                <w:rFonts w:ascii="Arial" w:eastAsia="Arial"/>
                <w:spacing w:val="-7"/>
                <w:sz w:val="22"/>
              </w:rPr>
              <w:t> </w:t>
            </w:r>
            <w:r>
              <w:rPr>
                <w:spacing w:val="-20"/>
                <w:sz w:val="22"/>
              </w:rPr>
              <w:t>号楼 </w:t>
            </w:r>
            <w:r>
              <w:rPr>
                <w:rFonts w:ascii="Arial" w:eastAsia="Arial"/>
                <w:sz w:val="22"/>
              </w:rPr>
              <w:t>5</w:t>
            </w:r>
            <w:r>
              <w:rPr>
                <w:rFonts w:ascii="Arial" w:eastAsia="Arial"/>
                <w:spacing w:val="-7"/>
                <w:sz w:val="22"/>
              </w:rPr>
              <w:t> </w:t>
            </w:r>
            <w:r>
              <w:rPr>
                <w:spacing w:val="-28"/>
                <w:sz w:val="22"/>
              </w:rPr>
              <w:t>楼 </w:t>
            </w:r>
            <w:r>
              <w:rPr>
                <w:rFonts w:ascii="Arial" w:eastAsia="Arial"/>
                <w:sz w:val="22"/>
              </w:rPr>
              <w:t>503</w:t>
            </w:r>
          </w:p>
          <w:p>
            <w:pPr>
              <w:pStyle w:val="TableParagraph"/>
              <w:spacing w:line="266" w:lineRule="auto"/>
              <w:ind w:left="108" w:right="94"/>
              <w:rPr>
                <w:rFonts w:ascii="Arial" w:eastAsia="Arial"/>
                <w:sz w:val="22"/>
              </w:rPr>
            </w:pPr>
            <w:r>
              <w:rPr>
                <w:spacing w:val="-4"/>
                <w:sz w:val="22"/>
              </w:rPr>
              <w:t>办公地址：河南自贸试验区郑州片区</w:t>
            </w:r>
            <w:r>
              <w:rPr>
                <w:spacing w:val="-3"/>
                <w:sz w:val="22"/>
              </w:rPr>
              <w:t>（</w:t>
            </w:r>
            <w:r>
              <w:rPr>
                <w:sz w:val="22"/>
              </w:rPr>
              <w:t>郑东</w:t>
            </w:r>
            <w:r>
              <w:rPr>
                <w:spacing w:val="-8"/>
                <w:sz w:val="22"/>
              </w:rPr>
              <w:t>）</w:t>
            </w:r>
            <w:r>
              <w:rPr>
                <w:spacing w:val="-5"/>
                <w:sz w:val="22"/>
              </w:rPr>
              <w:t>东风南路</w:t>
            </w:r>
            <w:r>
              <w:rPr>
                <w:spacing w:val="-10"/>
                <w:sz w:val="22"/>
              </w:rPr>
              <w:t>东康宁街北 </w:t>
            </w:r>
            <w:r>
              <w:rPr>
                <w:rFonts w:ascii="Arial" w:eastAsia="Arial"/>
                <w:sz w:val="22"/>
              </w:rPr>
              <w:t>6</w:t>
            </w:r>
            <w:r>
              <w:rPr>
                <w:rFonts w:ascii="Arial" w:eastAsia="Arial"/>
                <w:spacing w:val="-7"/>
                <w:sz w:val="22"/>
              </w:rPr>
              <w:t> </w:t>
            </w:r>
            <w:r>
              <w:rPr>
                <w:spacing w:val="-20"/>
                <w:sz w:val="22"/>
              </w:rPr>
              <w:t>号楼 </w:t>
            </w:r>
            <w:r>
              <w:rPr>
                <w:rFonts w:ascii="Arial" w:eastAsia="Arial"/>
                <w:sz w:val="22"/>
              </w:rPr>
              <w:t>5</w:t>
            </w:r>
            <w:r>
              <w:rPr>
                <w:rFonts w:ascii="Arial" w:eastAsia="Arial"/>
                <w:spacing w:val="-7"/>
                <w:sz w:val="22"/>
              </w:rPr>
              <w:t> </w:t>
            </w:r>
            <w:r>
              <w:rPr>
                <w:spacing w:val="-28"/>
                <w:sz w:val="22"/>
              </w:rPr>
              <w:t>楼 </w:t>
            </w:r>
            <w:r>
              <w:rPr>
                <w:rFonts w:ascii="Arial" w:eastAsia="Arial"/>
                <w:sz w:val="22"/>
              </w:rPr>
              <w:t>503</w:t>
            </w:r>
          </w:p>
          <w:p>
            <w:pPr>
              <w:pStyle w:val="TableParagraph"/>
              <w:spacing w:line="281" w:lineRule="exact"/>
              <w:ind w:left="108"/>
              <w:rPr>
                <w:sz w:val="22"/>
              </w:rPr>
            </w:pPr>
            <w:r>
              <w:rPr>
                <w:sz w:val="22"/>
              </w:rPr>
              <w:t>法定代表人：王旋</w:t>
            </w:r>
          </w:p>
          <w:p>
            <w:pPr>
              <w:pStyle w:val="TableParagraph"/>
              <w:spacing w:line="266" w:lineRule="auto" w:before="28"/>
              <w:ind w:left="108" w:right="3045"/>
              <w:rPr>
                <w:rFonts w:ascii="Arial" w:eastAsia="Arial"/>
                <w:sz w:val="22"/>
              </w:rPr>
            </w:pPr>
            <w:r>
              <w:rPr>
                <w:sz w:val="22"/>
              </w:rPr>
              <w:t>电话：</w:t>
            </w:r>
            <w:r>
              <w:rPr>
                <w:rFonts w:ascii="Arial" w:eastAsia="Arial"/>
                <w:sz w:val="22"/>
              </w:rPr>
              <w:t>0371-85518396 </w:t>
            </w:r>
            <w:r>
              <w:rPr>
                <w:sz w:val="22"/>
              </w:rPr>
              <w:t>传真： </w:t>
            </w:r>
            <w:r>
              <w:rPr>
                <w:rFonts w:ascii="Arial" w:eastAsia="Arial"/>
                <w:sz w:val="22"/>
              </w:rPr>
              <w:t>0371-85518397</w:t>
            </w:r>
          </w:p>
          <w:p>
            <w:pPr>
              <w:pStyle w:val="TableParagraph"/>
              <w:spacing w:line="280" w:lineRule="exact"/>
              <w:ind w:left="108"/>
              <w:rPr>
                <w:sz w:val="22"/>
              </w:rPr>
            </w:pPr>
            <w:r>
              <w:rPr>
                <w:sz w:val="22"/>
              </w:rPr>
              <w:t>联系人：董亚芳</w:t>
            </w:r>
          </w:p>
          <w:p>
            <w:pPr>
              <w:pStyle w:val="TableParagraph"/>
              <w:spacing w:before="30"/>
              <w:ind w:left="108"/>
              <w:rPr>
                <w:rFonts w:ascii="Arial" w:eastAsia="Arial"/>
                <w:sz w:val="22"/>
              </w:rPr>
            </w:pPr>
            <w:r>
              <w:rPr>
                <w:sz w:val="22"/>
              </w:rPr>
              <w:t>客服热线：</w:t>
            </w:r>
            <w:r>
              <w:rPr>
                <w:rFonts w:ascii="Arial" w:eastAsia="Arial"/>
                <w:sz w:val="22"/>
              </w:rPr>
              <w:t>400-0555-671</w:t>
            </w:r>
          </w:p>
          <w:p>
            <w:pPr>
              <w:pStyle w:val="TableParagraph"/>
              <w:spacing w:line="277" w:lineRule="exact" w:before="30"/>
              <w:ind w:left="108"/>
              <w:rPr>
                <w:rFonts w:ascii="Arial" w:eastAsia="Arial"/>
                <w:sz w:val="22"/>
              </w:rPr>
            </w:pPr>
            <w:r>
              <w:rPr>
                <w:sz w:val="22"/>
              </w:rPr>
              <w:t>公司网站：</w:t>
            </w:r>
            <w:hyperlink r:id="rId127">
              <w:r>
                <w:rPr>
                  <w:rFonts w:ascii="Arial" w:eastAsia="Arial"/>
                  <w:sz w:val="22"/>
                </w:rPr>
                <w:t>www.hgccpb.com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98" w:right="88"/>
              <w:jc w:val="center"/>
              <w:rPr>
                <w:rFonts w:ascii="Arial"/>
                <w:sz w:val="21"/>
              </w:rPr>
            </w:pPr>
            <w:r>
              <w:rPr>
                <w:rFonts w:ascii="Arial"/>
                <w:sz w:val="21"/>
              </w:rPr>
              <w:t>12</w:t>
            </w:r>
          </w:p>
          <w:p>
            <w:pPr>
              <w:pStyle w:val="TableParagraph"/>
              <w:spacing w:before="71"/>
              <w:ind w:left="7"/>
              <w:jc w:val="center"/>
              <w:rPr>
                <w:rFonts w:ascii="Arial"/>
                <w:sz w:val="21"/>
              </w:rPr>
            </w:pPr>
            <w:r>
              <w:rPr>
                <w:rFonts w:ascii="Arial"/>
                <w:w w:val="100"/>
                <w:sz w:val="21"/>
              </w:rPr>
              <w:t>3</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799" w:right="129" w:hanging="660"/>
              <w:rPr>
                <w:sz w:val="22"/>
              </w:rPr>
            </w:pPr>
            <w:r>
              <w:rPr>
                <w:sz w:val="22"/>
              </w:rPr>
              <w:t>上海凯石财富基金销售有限公司</w:t>
            </w:r>
          </w:p>
        </w:tc>
        <w:tc>
          <w:tcPr>
            <w:tcW w:w="5480" w:type="dxa"/>
          </w:tcPr>
          <w:p>
            <w:pPr>
              <w:pStyle w:val="TableParagraph"/>
              <w:spacing w:before="15"/>
              <w:ind w:left="108"/>
              <w:rPr>
                <w:sz w:val="22"/>
              </w:rPr>
            </w:pPr>
            <w:r>
              <w:rPr>
                <w:sz w:val="22"/>
              </w:rPr>
              <w:t>注册地址：上海市黄浦区西藏南路 </w:t>
            </w:r>
            <w:r>
              <w:rPr>
                <w:rFonts w:ascii="Arial" w:eastAsia="Arial"/>
                <w:sz w:val="22"/>
              </w:rPr>
              <w:t>765 </w:t>
            </w:r>
            <w:r>
              <w:rPr>
                <w:sz w:val="22"/>
              </w:rPr>
              <w:t>号 </w:t>
            </w:r>
            <w:r>
              <w:rPr>
                <w:rFonts w:ascii="Arial" w:eastAsia="Arial"/>
                <w:sz w:val="22"/>
              </w:rPr>
              <w:t>602-115 </w:t>
            </w:r>
            <w:r>
              <w:rPr>
                <w:sz w:val="22"/>
              </w:rPr>
              <w:t>室</w:t>
            </w:r>
          </w:p>
          <w:p>
            <w:pPr>
              <w:pStyle w:val="TableParagraph"/>
              <w:spacing w:line="266" w:lineRule="auto" w:before="30"/>
              <w:ind w:left="108" w:right="272"/>
              <w:rPr>
                <w:sz w:val="22"/>
              </w:rPr>
            </w:pPr>
            <w:r>
              <w:rPr>
                <w:spacing w:val="-6"/>
                <w:sz w:val="22"/>
              </w:rPr>
              <w:t>办公地址：上海市黄浦区延安东路 </w:t>
            </w:r>
            <w:r>
              <w:rPr>
                <w:rFonts w:ascii="Arial" w:eastAsia="Arial"/>
                <w:sz w:val="22"/>
              </w:rPr>
              <w:t>1 </w:t>
            </w:r>
            <w:r>
              <w:rPr>
                <w:spacing w:val="-10"/>
                <w:sz w:val="22"/>
              </w:rPr>
              <w:t>号凯石大厦 </w:t>
            </w:r>
            <w:r>
              <w:rPr>
                <w:rFonts w:ascii="Arial" w:eastAsia="Arial"/>
                <w:sz w:val="22"/>
              </w:rPr>
              <w:t>4 </w:t>
            </w:r>
            <w:r>
              <w:rPr>
                <w:spacing w:val="-12"/>
                <w:sz w:val="22"/>
              </w:rPr>
              <w:t>楼</w:t>
            </w:r>
            <w:r>
              <w:rPr>
                <w:spacing w:val="-2"/>
                <w:sz w:val="22"/>
              </w:rPr>
              <w:t>法定代表人：陈继武</w:t>
            </w:r>
          </w:p>
          <w:p>
            <w:pPr>
              <w:pStyle w:val="TableParagraph"/>
              <w:spacing w:line="280" w:lineRule="exact"/>
              <w:ind w:left="108"/>
              <w:rPr>
                <w:sz w:val="22"/>
              </w:rPr>
            </w:pPr>
            <w:r>
              <w:rPr>
                <w:sz w:val="22"/>
              </w:rPr>
              <w:t>联系人：李晓明</w:t>
            </w:r>
          </w:p>
          <w:p>
            <w:pPr>
              <w:pStyle w:val="TableParagraph"/>
              <w:spacing w:line="266" w:lineRule="auto" w:before="30"/>
              <w:ind w:left="108" w:right="3278"/>
              <w:rPr>
                <w:rFonts w:ascii="Arial" w:eastAsia="Arial"/>
                <w:sz w:val="22"/>
              </w:rPr>
            </w:pPr>
            <w:r>
              <w:rPr>
                <w:sz w:val="22"/>
              </w:rPr>
              <w:t>电话：</w:t>
            </w:r>
            <w:r>
              <w:rPr>
                <w:rFonts w:ascii="Arial" w:eastAsia="Arial"/>
                <w:sz w:val="22"/>
              </w:rPr>
              <w:t>021-63333319 </w:t>
            </w:r>
            <w:r>
              <w:rPr>
                <w:sz w:val="22"/>
              </w:rPr>
              <w:t>传真：</w:t>
            </w:r>
            <w:r>
              <w:rPr>
                <w:rFonts w:ascii="Arial" w:eastAsia="Arial"/>
                <w:sz w:val="22"/>
              </w:rPr>
              <w:t>021-63332523</w:t>
            </w:r>
          </w:p>
          <w:p>
            <w:pPr>
              <w:pStyle w:val="TableParagraph"/>
              <w:spacing w:line="280" w:lineRule="exact"/>
              <w:ind w:left="108"/>
              <w:rPr>
                <w:rFonts w:ascii="Arial" w:eastAsia="Arial"/>
                <w:sz w:val="22"/>
              </w:rPr>
            </w:pPr>
            <w:r>
              <w:rPr>
                <w:sz w:val="22"/>
              </w:rPr>
              <w:t>客户服务电话：</w:t>
            </w:r>
            <w:r>
              <w:rPr>
                <w:rFonts w:ascii="Arial" w:eastAsia="Arial"/>
                <w:sz w:val="22"/>
              </w:rPr>
              <w:t>4006433389</w:t>
            </w:r>
          </w:p>
          <w:p>
            <w:pPr>
              <w:pStyle w:val="TableParagraph"/>
              <w:spacing w:line="277" w:lineRule="exact" w:before="30"/>
              <w:ind w:left="108"/>
              <w:rPr>
                <w:rFonts w:ascii="Arial" w:eastAsia="Arial"/>
                <w:sz w:val="22"/>
              </w:rPr>
            </w:pPr>
            <w:r>
              <w:rPr>
                <w:sz w:val="22"/>
              </w:rPr>
              <w:t>网址：</w:t>
            </w:r>
            <w:hyperlink r:id="rId128">
              <w:r>
                <w:rPr>
                  <w:rFonts w:ascii="Arial" w:eastAsia="Arial"/>
                  <w:sz w:val="22"/>
                </w:rPr>
                <w:t>www.vstonewealth.com</w:t>
              </w:r>
            </w:hyperlink>
          </w:p>
        </w:tc>
      </w:tr>
      <w:tr>
        <w:trPr>
          <w:trHeight w:val="3432"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98" w:right="88"/>
              <w:jc w:val="center"/>
              <w:rPr>
                <w:rFonts w:ascii="Arial"/>
                <w:sz w:val="21"/>
              </w:rPr>
            </w:pPr>
            <w:r>
              <w:rPr>
                <w:rFonts w:ascii="Arial"/>
                <w:sz w:val="21"/>
              </w:rPr>
              <w:t>12</w:t>
            </w:r>
          </w:p>
          <w:p>
            <w:pPr>
              <w:pStyle w:val="TableParagraph"/>
              <w:spacing w:before="71"/>
              <w:ind w:left="7"/>
              <w:jc w:val="center"/>
              <w:rPr>
                <w:rFonts w:ascii="Arial"/>
                <w:sz w:val="21"/>
              </w:rPr>
            </w:pPr>
            <w:r>
              <w:rPr>
                <w:rFonts w:ascii="Arial"/>
                <w:w w:val="100"/>
                <w:sz w:val="21"/>
              </w:rPr>
              <w:t>4</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54"/>
              <w:ind w:left="799" w:right="129" w:hanging="660"/>
              <w:rPr>
                <w:sz w:val="22"/>
              </w:rPr>
            </w:pPr>
            <w:r>
              <w:rPr>
                <w:sz w:val="22"/>
              </w:rPr>
              <w:t>深圳市金斧子基金销售有限公司</w:t>
            </w:r>
          </w:p>
        </w:tc>
        <w:tc>
          <w:tcPr>
            <w:tcW w:w="5480" w:type="dxa"/>
          </w:tcPr>
          <w:p>
            <w:pPr>
              <w:pStyle w:val="TableParagraph"/>
              <w:spacing w:before="5"/>
              <w:rPr>
                <w:rFonts w:ascii="Times New Roman"/>
                <w:sz w:val="28"/>
              </w:rPr>
            </w:pPr>
          </w:p>
          <w:p>
            <w:pPr>
              <w:pStyle w:val="TableParagraph"/>
              <w:ind w:left="108"/>
              <w:rPr>
                <w:rFonts w:ascii="Arial" w:eastAsia="Arial"/>
                <w:sz w:val="22"/>
              </w:rPr>
            </w:pPr>
            <w:r>
              <w:rPr>
                <w:spacing w:val="-14"/>
                <w:sz w:val="22"/>
              </w:rPr>
              <w:t>注册地址：深圳市南山区粤海街道科技园中区科苑路 </w:t>
            </w:r>
            <w:r>
              <w:rPr>
                <w:rFonts w:ascii="Arial" w:eastAsia="Arial"/>
                <w:sz w:val="22"/>
              </w:rPr>
              <w:t>15</w:t>
            </w:r>
          </w:p>
          <w:p>
            <w:pPr>
              <w:pStyle w:val="TableParagraph"/>
              <w:spacing w:before="30"/>
              <w:ind w:left="108"/>
              <w:rPr>
                <w:rFonts w:ascii="Arial" w:eastAsia="Arial"/>
                <w:sz w:val="22"/>
              </w:rPr>
            </w:pPr>
            <w:r>
              <w:rPr>
                <w:sz w:val="22"/>
              </w:rPr>
              <w:t>号科兴科学园 </w:t>
            </w:r>
            <w:r>
              <w:rPr>
                <w:rFonts w:ascii="Arial" w:eastAsia="Arial"/>
                <w:sz w:val="22"/>
              </w:rPr>
              <w:t>B </w:t>
            </w:r>
            <w:r>
              <w:rPr>
                <w:sz w:val="22"/>
              </w:rPr>
              <w:t>栋 </w:t>
            </w:r>
            <w:r>
              <w:rPr>
                <w:rFonts w:ascii="Arial" w:eastAsia="Arial"/>
                <w:sz w:val="22"/>
              </w:rPr>
              <w:t>3 </w:t>
            </w:r>
            <w:r>
              <w:rPr>
                <w:sz w:val="22"/>
              </w:rPr>
              <w:t>单元 </w:t>
            </w:r>
            <w:r>
              <w:rPr>
                <w:rFonts w:ascii="Arial" w:eastAsia="Arial"/>
                <w:sz w:val="22"/>
              </w:rPr>
              <w:t>11 </w:t>
            </w:r>
            <w:r>
              <w:rPr>
                <w:sz w:val="22"/>
              </w:rPr>
              <w:t>层 </w:t>
            </w:r>
            <w:r>
              <w:rPr>
                <w:rFonts w:ascii="Arial" w:eastAsia="Arial"/>
                <w:sz w:val="22"/>
              </w:rPr>
              <w:t>1108</w:t>
            </w:r>
          </w:p>
          <w:p>
            <w:pPr>
              <w:pStyle w:val="TableParagraph"/>
              <w:spacing w:before="30"/>
              <w:ind w:left="108"/>
              <w:rPr>
                <w:rFonts w:ascii="Arial" w:eastAsia="Arial"/>
                <w:sz w:val="22"/>
              </w:rPr>
            </w:pPr>
            <w:r>
              <w:rPr>
                <w:spacing w:val="-14"/>
                <w:sz w:val="22"/>
              </w:rPr>
              <w:t>办公地址：深圳市南山区粤海街道科技园中区科苑路 </w:t>
            </w:r>
            <w:r>
              <w:rPr>
                <w:rFonts w:ascii="Arial" w:eastAsia="Arial"/>
                <w:sz w:val="22"/>
              </w:rPr>
              <w:t>15</w:t>
            </w:r>
          </w:p>
          <w:p>
            <w:pPr>
              <w:pStyle w:val="TableParagraph"/>
              <w:spacing w:before="30"/>
              <w:ind w:left="108"/>
              <w:rPr>
                <w:rFonts w:ascii="Arial" w:eastAsia="Arial"/>
                <w:sz w:val="22"/>
              </w:rPr>
            </w:pPr>
            <w:r>
              <w:rPr>
                <w:sz w:val="22"/>
              </w:rPr>
              <w:t>号科兴科学园 </w:t>
            </w:r>
            <w:r>
              <w:rPr>
                <w:rFonts w:ascii="Arial" w:eastAsia="Arial"/>
                <w:sz w:val="22"/>
              </w:rPr>
              <w:t>B </w:t>
            </w:r>
            <w:r>
              <w:rPr>
                <w:sz w:val="22"/>
              </w:rPr>
              <w:t>栋 </w:t>
            </w:r>
            <w:r>
              <w:rPr>
                <w:rFonts w:ascii="Arial" w:eastAsia="Arial"/>
                <w:sz w:val="22"/>
              </w:rPr>
              <w:t>3 </w:t>
            </w:r>
            <w:r>
              <w:rPr>
                <w:sz w:val="22"/>
              </w:rPr>
              <w:t>单元 </w:t>
            </w:r>
            <w:r>
              <w:rPr>
                <w:rFonts w:ascii="Arial" w:eastAsia="Arial"/>
                <w:sz w:val="22"/>
              </w:rPr>
              <w:t>11 </w:t>
            </w:r>
            <w:r>
              <w:rPr>
                <w:sz w:val="22"/>
              </w:rPr>
              <w:t>层 </w:t>
            </w:r>
            <w:r>
              <w:rPr>
                <w:rFonts w:ascii="Arial" w:eastAsia="Arial"/>
                <w:sz w:val="22"/>
              </w:rPr>
              <w:t>1108</w:t>
            </w:r>
          </w:p>
          <w:p>
            <w:pPr>
              <w:pStyle w:val="TableParagraph"/>
              <w:spacing w:line="266" w:lineRule="auto" w:before="30"/>
              <w:ind w:left="108" w:right="3597"/>
              <w:rPr>
                <w:sz w:val="22"/>
              </w:rPr>
            </w:pPr>
            <w:r>
              <w:rPr>
                <w:sz w:val="22"/>
              </w:rPr>
              <w:t>法人代表：赖任军联系人：刘昕霞</w:t>
            </w:r>
          </w:p>
          <w:p>
            <w:pPr>
              <w:pStyle w:val="TableParagraph"/>
              <w:spacing w:line="266" w:lineRule="auto"/>
              <w:ind w:left="108" w:right="2888"/>
              <w:rPr>
                <w:rFonts w:ascii="Arial" w:eastAsia="Arial"/>
                <w:sz w:val="22"/>
              </w:rPr>
            </w:pPr>
            <w:r>
              <w:rPr>
                <w:sz w:val="22"/>
              </w:rPr>
              <w:t>电 话 ：</w:t>
            </w:r>
            <w:r>
              <w:rPr>
                <w:rFonts w:ascii="Arial" w:eastAsia="Arial"/>
                <w:sz w:val="22"/>
              </w:rPr>
              <w:t>0755-29330513 </w:t>
            </w:r>
            <w:r>
              <w:rPr>
                <w:sz w:val="22"/>
              </w:rPr>
              <w:t>传真：</w:t>
            </w:r>
            <w:r>
              <w:rPr>
                <w:rFonts w:ascii="Arial" w:eastAsia="Arial"/>
                <w:sz w:val="22"/>
              </w:rPr>
              <w:t>0755-26920530 </w:t>
            </w:r>
            <w:r>
              <w:rPr>
                <w:spacing w:val="-2"/>
                <w:sz w:val="22"/>
              </w:rPr>
              <w:t>客服电话：</w:t>
            </w:r>
            <w:r>
              <w:rPr>
                <w:rFonts w:ascii="Arial" w:eastAsia="Arial"/>
                <w:spacing w:val="-1"/>
                <w:sz w:val="22"/>
              </w:rPr>
              <w:t>400-930-0660</w:t>
            </w:r>
          </w:p>
          <w:p>
            <w:pPr>
              <w:pStyle w:val="TableParagraph"/>
              <w:spacing w:line="274" w:lineRule="exact"/>
              <w:ind w:left="108"/>
              <w:rPr>
                <w:rFonts w:ascii="Arial" w:eastAsia="Arial"/>
                <w:sz w:val="22"/>
              </w:rPr>
            </w:pPr>
            <w:r>
              <w:rPr>
                <w:sz w:val="22"/>
              </w:rPr>
              <w:t>公司网址：</w:t>
            </w:r>
            <w:hyperlink r:id="rId129">
              <w:r>
                <w:rPr>
                  <w:rFonts w:ascii="Arial" w:eastAsia="Arial"/>
                  <w:sz w:val="22"/>
                </w:rPr>
                <w:t>www.jfzinv.com</w:t>
              </w:r>
            </w:hyperlink>
          </w:p>
        </w:tc>
      </w:tr>
      <w:tr>
        <w:trPr>
          <w:trHeight w:val="218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2"/>
              </w:rPr>
            </w:pPr>
          </w:p>
          <w:p>
            <w:pPr>
              <w:pStyle w:val="TableParagraph"/>
              <w:ind w:left="98" w:right="88"/>
              <w:jc w:val="center"/>
              <w:rPr>
                <w:rFonts w:ascii="Arial"/>
                <w:sz w:val="21"/>
              </w:rPr>
            </w:pPr>
            <w:r>
              <w:rPr>
                <w:rFonts w:ascii="Arial"/>
                <w:sz w:val="21"/>
              </w:rPr>
              <w:t>12</w:t>
            </w:r>
          </w:p>
          <w:p>
            <w:pPr>
              <w:pStyle w:val="TableParagraph"/>
              <w:spacing w:before="71"/>
              <w:ind w:left="7"/>
              <w:jc w:val="center"/>
              <w:rPr>
                <w:rFonts w:ascii="Arial"/>
                <w:sz w:val="21"/>
              </w:rPr>
            </w:pPr>
            <w:r>
              <w:rPr>
                <w:rFonts w:ascii="Arial"/>
                <w:w w:val="100"/>
                <w:sz w:val="21"/>
              </w:rPr>
              <w:t>5</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line="266" w:lineRule="auto" w:before="1"/>
              <w:ind w:left="909" w:right="129" w:hanging="771"/>
              <w:rPr>
                <w:sz w:val="22"/>
              </w:rPr>
            </w:pPr>
            <w:r>
              <w:rPr>
                <w:sz w:val="22"/>
              </w:rPr>
              <w:t>武汉市伯嘉基金销售有限公司</w:t>
            </w:r>
          </w:p>
        </w:tc>
        <w:tc>
          <w:tcPr>
            <w:tcW w:w="5480" w:type="dxa"/>
          </w:tcPr>
          <w:p>
            <w:pPr>
              <w:pStyle w:val="TableParagraph"/>
              <w:spacing w:before="17"/>
              <w:ind w:left="108"/>
              <w:rPr>
                <w:rFonts w:ascii="Arial" w:eastAsia="Arial"/>
                <w:sz w:val="22"/>
              </w:rPr>
            </w:pPr>
            <w:r>
              <w:rPr>
                <w:spacing w:val="-2"/>
                <w:sz w:val="22"/>
              </w:rPr>
              <w:t>注册</w:t>
            </w:r>
            <w:r>
              <w:rPr>
                <w:spacing w:val="-3"/>
                <w:sz w:val="22"/>
              </w:rPr>
              <w:t>（</w:t>
            </w:r>
            <w:r>
              <w:rPr>
                <w:spacing w:val="-2"/>
                <w:sz w:val="22"/>
              </w:rPr>
              <w:t>办公</w:t>
            </w:r>
            <w:r>
              <w:rPr>
                <w:spacing w:val="-3"/>
                <w:sz w:val="22"/>
              </w:rPr>
              <w:t>）</w:t>
            </w:r>
            <w:r>
              <w:rPr>
                <w:spacing w:val="-8"/>
                <w:sz w:val="22"/>
              </w:rPr>
              <w:t>地址：武汉市江汉区 </w:t>
            </w:r>
            <w:r>
              <w:rPr>
                <w:rFonts w:ascii="Arial" w:eastAsia="Arial"/>
                <w:sz w:val="22"/>
              </w:rPr>
              <w:t>17-19 </w:t>
            </w:r>
            <w:r>
              <w:rPr>
                <w:spacing w:val="-12"/>
                <w:sz w:val="22"/>
              </w:rPr>
              <w:t>号环亚大厦 </w:t>
            </w:r>
            <w:r>
              <w:rPr>
                <w:rFonts w:ascii="Arial" w:eastAsia="Arial"/>
                <w:sz w:val="22"/>
              </w:rPr>
              <w:t>B</w:t>
            </w:r>
          </w:p>
          <w:p>
            <w:pPr>
              <w:pStyle w:val="TableParagraph"/>
              <w:spacing w:before="30"/>
              <w:ind w:left="108"/>
              <w:rPr>
                <w:sz w:val="22"/>
              </w:rPr>
            </w:pPr>
            <w:r>
              <w:rPr>
                <w:sz w:val="22"/>
              </w:rPr>
              <w:t>座 </w:t>
            </w:r>
            <w:r>
              <w:rPr>
                <w:rFonts w:ascii="Arial" w:eastAsia="Arial"/>
                <w:sz w:val="22"/>
              </w:rPr>
              <w:t>601 </w:t>
            </w:r>
            <w:r>
              <w:rPr>
                <w:sz w:val="22"/>
              </w:rPr>
              <w:t>室</w:t>
            </w:r>
          </w:p>
          <w:p>
            <w:pPr>
              <w:pStyle w:val="TableParagraph"/>
              <w:spacing w:line="266" w:lineRule="auto" w:before="30"/>
              <w:ind w:left="108" w:right="3597"/>
              <w:rPr>
                <w:sz w:val="22"/>
              </w:rPr>
            </w:pPr>
            <w:r>
              <w:rPr>
                <w:sz w:val="22"/>
              </w:rPr>
              <w:t>法定代表人：陶捷联系人：陆锋</w:t>
            </w:r>
          </w:p>
          <w:p>
            <w:pPr>
              <w:pStyle w:val="TableParagraph"/>
              <w:spacing w:line="280" w:lineRule="exact"/>
              <w:ind w:left="108"/>
              <w:rPr>
                <w:rFonts w:ascii="Arial" w:eastAsia="Arial"/>
                <w:sz w:val="22"/>
              </w:rPr>
            </w:pPr>
            <w:r>
              <w:rPr>
                <w:sz w:val="22"/>
              </w:rPr>
              <w:t>电话：</w:t>
            </w:r>
            <w:r>
              <w:rPr>
                <w:rFonts w:ascii="Arial" w:eastAsia="Arial"/>
                <w:sz w:val="22"/>
              </w:rPr>
              <w:t>027-83863742</w:t>
            </w:r>
          </w:p>
          <w:p>
            <w:pPr>
              <w:pStyle w:val="TableParagraph"/>
              <w:spacing w:line="312" w:lineRule="exact" w:before="1"/>
              <w:ind w:left="108" w:right="2593"/>
              <w:rPr>
                <w:rFonts w:ascii="Arial" w:eastAsia="Arial"/>
                <w:sz w:val="22"/>
              </w:rPr>
            </w:pPr>
            <w:r>
              <w:rPr>
                <w:sz w:val="22"/>
              </w:rPr>
              <w:t>客户服务电话：</w:t>
            </w:r>
            <w:r>
              <w:rPr>
                <w:rFonts w:ascii="Arial" w:eastAsia="Arial"/>
                <w:sz w:val="22"/>
              </w:rPr>
              <w:t>4000279899 </w:t>
            </w:r>
            <w:r>
              <w:rPr>
                <w:sz w:val="22"/>
              </w:rPr>
              <w:t>网址：</w:t>
            </w:r>
            <w:hyperlink r:id="rId130">
              <w:r>
                <w:rPr>
                  <w:rFonts w:ascii="Arial" w:eastAsia="Arial"/>
                  <w:sz w:val="22"/>
                </w:rPr>
                <w:t>www.buyfunds.cn</w:t>
              </w:r>
            </w:hyperlink>
          </w:p>
        </w:tc>
      </w:tr>
      <w:tr>
        <w:trPr>
          <w:trHeight w:val="311" w:hRule="atLeast"/>
        </w:trPr>
        <w:tc>
          <w:tcPr>
            <w:tcW w:w="470" w:type="dxa"/>
          </w:tcPr>
          <w:p>
            <w:pPr>
              <w:pStyle w:val="TableParagraph"/>
              <w:spacing w:before="33"/>
              <w:ind w:left="117"/>
              <w:rPr>
                <w:rFonts w:ascii="Arial"/>
                <w:sz w:val="21"/>
              </w:rPr>
            </w:pPr>
            <w:r>
              <w:rPr>
                <w:rFonts w:ascii="Arial"/>
                <w:sz w:val="21"/>
              </w:rPr>
              <w:t>12</w:t>
            </w:r>
          </w:p>
        </w:tc>
        <w:tc>
          <w:tcPr>
            <w:tcW w:w="2484" w:type="dxa"/>
          </w:tcPr>
          <w:p>
            <w:pPr>
              <w:pStyle w:val="TableParagraph"/>
              <w:spacing w:line="277" w:lineRule="exact" w:before="15"/>
              <w:ind w:left="139"/>
              <w:rPr>
                <w:sz w:val="22"/>
              </w:rPr>
            </w:pPr>
            <w:r>
              <w:rPr>
                <w:sz w:val="22"/>
              </w:rPr>
              <w:t>北京汇成基金销售有限</w:t>
            </w:r>
          </w:p>
        </w:tc>
        <w:tc>
          <w:tcPr>
            <w:tcW w:w="5480" w:type="dxa"/>
          </w:tcPr>
          <w:p>
            <w:pPr>
              <w:pStyle w:val="TableParagraph"/>
              <w:spacing w:line="277" w:lineRule="exact" w:before="15"/>
              <w:ind w:left="108"/>
              <w:rPr>
                <w:sz w:val="22"/>
              </w:rPr>
            </w:pPr>
            <w:r>
              <w:rPr>
                <w:sz w:val="22"/>
              </w:rPr>
              <w:t>注册地址：北京市海淀区中关村大街 </w:t>
            </w:r>
            <w:r>
              <w:rPr>
                <w:rFonts w:ascii="Arial" w:eastAsia="Arial"/>
                <w:sz w:val="22"/>
              </w:rPr>
              <w:t>11 </w:t>
            </w:r>
            <w:r>
              <w:rPr>
                <w:sz w:val="22"/>
              </w:rPr>
              <w:t>号 </w:t>
            </w:r>
            <w:r>
              <w:rPr>
                <w:rFonts w:ascii="Arial" w:eastAsia="Arial"/>
                <w:sz w:val="22"/>
              </w:rPr>
              <w:t>E </w:t>
            </w:r>
            <w:r>
              <w:rPr>
                <w:sz w:val="22"/>
              </w:rPr>
              <w:t>世界财富</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872" w:hRule="atLeast"/>
        </w:trPr>
        <w:tc>
          <w:tcPr>
            <w:tcW w:w="470" w:type="dxa"/>
            <w:tcBorders>
              <w:top w:val="nil"/>
            </w:tcBorders>
          </w:tcPr>
          <w:p>
            <w:pPr>
              <w:pStyle w:val="TableParagraph"/>
              <w:spacing w:before="34"/>
              <w:ind w:left="7"/>
              <w:jc w:val="center"/>
              <w:rPr>
                <w:rFonts w:ascii="Arial"/>
                <w:sz w:val="21"/>
              </w:rPr>
            </w:pPr>
            <w:r>
              <w:rPr>
                <w:rFonts w:ascii="Arial"/>
                <w:w w:val="100"/>
                <w:sz w:val="21"/>
              </w:rPr>
              <w:t>6</w:t>
            </w:r>
          </w:p>
        </w:tc>
        <w:tc>
          <w:tcPr>
            <w:tcW w:w="2484" w:type="dxa"/>
            <w:tcBorders>
              <w:top w:val="nil"/>
            </w:tcBorders>
          </w:tcPr>
          <w:p>
            <w:pPr>
              <w:pStyle w:val="TableParagraph"/>
              <w:spacing w:before="15"/>
              <w:ind w:left="120" w:right="113"/>
              <w:jc w:val="center"/>
              <w:rPr>
                <w:sz w:val="22"/>
              </w:rPr>
            </w:pPr>
            <w:r>
              <w:rPr>
                <w:sz w:val="22"/>
              </w:rPr>
              <w:t>公司</w:t>
            </w:r>
          </w:p>
        </w:tc>
        <w:tc>
          <w:tcPr>
            <w:tcW w:w="5480" w:type="dxa"/>
            <w:tcBorders>
              <w:top w:val="nil"/>
            </w:tcBorders>
          </w:tcPr>
          <w:p>
            <w:pPr>
              <w:pStyle w:val="TableParagraph"/>
              <w:spacing w:before="15"/>
              <w:ind w:left="108"/>
              <w:rPr>
                <w:sz w:val="22"/>
              </w:rPr>
            </w:pPr>
            <w:r>
              <w:rPr>
                <w:sz w:val="22"/>
              </w:rPr>
              <w:t>中心 </w:t>
            </w:r>
            <w:r>
              <w:rPr>
                <w:rFonts w:ascii="Arial" w:eastAsia="Arial"/>
                <w:sz w:val="22"/>
              </w:rPr>
              <w:t>A </w:t>
            </w:r>
            <w:r>
              <w:rPr>
                <w:sz w:val="22"/>
              </w:rPr>
              <w:t>座 </w:t>
            </w:r>
            <w:r>
              <w:rPr>
                <w:rFonts w:ascii="Arial" w:eastAsia="Arial"/>
                <w:sz w:val="22"/>
              </w:rPr>
              <w:t>11 </w:t>
            </w:r>
            <w:r>
              <w:rPr>
                <w:sz w:val="22"/>
              </w:rPr>
              <w:t>层 </w:t>
            </w:r>
            <w:r>
              <w:rPr>
                <w:rFonts w:ascii="Arial" w:eastAsia="Arial"/>
                <w:sz w:val="22"/>
              </w:rPr>
              <w:t>1108 </w:t>
            </w:r>
            <w:r>
              <w:rPr>
                <w:sz w:val="22"/>
              </w:rPr>
              <w:t>号</w:t>
            </w:r>
          </w:p>
          <w:p>
            <w:pPr>
              <w:pStyle w:val="TableParagraph"/>
              <w:spacing w:line="266" w:lineRule="auto" w:before="31"/>
              <w:ind w:left="108" w:right="126"/>
              <w:rPr>
                <w:sz w:val="22"/>
              </w:rPr>
            </w:pPr>
            <w:r>
              <w:rPr>
                <w:spacing w:val="-6"/>
                <w:sz w:val="22"/>
              </w:rPr>
              <w:t>办公地址：北京市海淀区中关村大街 </w:t>
            </w:r>
            <w:r>
              <w:rPr>
                <w:rFonts w:ascii="Arial" w:eastAsia="Arial"/>
                <w:sz w:val="22"/>
              </w:rPr>
              <w:t>11 </w:t>
            </w:r>
            <w:r>
              <w:rPr>
                <w:spacing w:val="-26"/>
                <w:sz w:val="22"/>
              </w:rPr>
              <w:t>号 </w:t>
            </w:r>
            <w:r>
              <w:rPr>
                <w:rFonts w:ascii="Arial" w:eastAsia="Arial"/>
                <w:sz w:val="22"/>
              </w:rPr>
              <w:t>E </w:t>
            </w:r>
            <w:r>
              <w:rPr>
                <w:spacing w:val="-2"/>
                <w:sz w:val="22"/>
              </w:rPr>
              <w:t>世界财富</w:t>
            </w:r>
            <w:r>
              <w:rPr>
                <w:spacing w:val="-20"/>
                <w:sz w:val="22"/>
              </w:rPr>
              <w:t>中心 </w:t>
            </w:r>
            <w:r>
              <w:rPr>
                <w:rFonts w:ascii="Arial" w:eastAsia="Arial"/>
                <w:sz w:val="22"/>
              </w:rPr>
              <w:t>A </w:t>
            </w:r>
            <w:r>
              <w:rPr>
                <w:spacing w:val="-28"/>
                <w:sz w:val="22"/>
              </w:rPr>
              <w:t>座 </w:t>
            </w:r>
            <w:r>
              <w:rPr>
                <w:rFonts w:ascii="Arial" w:eastAsia="Arial"/>
                <w:sz w:val="22"/>
              </w:rPr>
              <w:t>11 </w:t>
            </w:r>
            <w:r>
              <w:rPr>
                <w:sz w:val="22"/>
              </w:rPr>
              <w:t>层</w:t>
            </w:r>
          </w:p>
          <w:p>
            <w:pPr>
              <w:pStyle w:val="TableParagraph"/>
              <w:spacing w:line="280" w:lineRule="exact"/>
              <w:ind w:left="108"/>
              <w:rPr>
                <w:sz w:val="22"/>
              </w:rPr>
            </w:pPr>
            <w:r>
              <w:rPr>
                <w:sz w:val="22"/>
              </w:rPr>
              <w:t>法定代表人：王伟刚</w:t>
            </w:r>
          </w:p>
          <w:p>
            <w:pPr>
              <w:pStyle w:val="TableParagraph"/>
              <w:spacing w:before="30"/>
              <w:ind w:left="108"/>
              <w:rPr>
                <w:rFonts w:ascii="Arial" w:eastAsia="Arial"/>
                <w:sz w:val="22"/>
              </w:rPr>
            </w:pPr>
            <w:r>
              <w:rPr>
                <w:sz w:val="22"/>
              </w:rPr>
              <w:t>客服电话：</w:t>
            </w:r>
            <w:r>
              <w:rPr>
                <w:rFonts w:ascii="Arial" w:eastAsia="Arial"/>
                <w:sz w:val="22"/>
              </w:rPr>
              <w:t>400-619-9059</w:t>
            </w:r>
          </w:p>
          <w:p>
            <w:pPr>
              <w:pStyle w:val="TableParagraph"/>
              <w:spacing w:line="277" w:lineRule="exact" w:before="30"/>
              <w:ind w:left="108"/>
              <w:rPr>
                <w:rFonts w:ascii="Arial" w:eastAsia="Arial"/>
                <w:sz w:val="22"/>
              </w:rPr>
            </w:pPr>
            <w:r>
              <w:rPr>
                <w:sz w:val="22"/>
              </w:rPr>
              <w:t>公司网址：</w:t>
            </w:r>
            <w:hyperlink r:id="rId131">
              <w:r>
                <w:rPr>
                  <w:rFonts w:ascii="Arial" w:eastAsia="Arial"/>
                  <w:sz w:val="22"/>
                </w:rPr>
                <w:t>www.hcjijin.com</w:t>
              </w:r>
            </w:hyperlink>
          </w:p>
        </w:tc>
      </w:tr>
      <w:tr>
        <w:trPr>
          <w:trHeight w:val="2184"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98" w:right="88"/>
              <w:jc w:val="center"/>
              <w:rPr>
                <w:rFonts w:ascii="Arial"/>
                <w:sz w:val="21"/>
              </w:rPr>
            </w:pPr>
            <w:r>
              <w:rPr>
                <w:rFonts w:ascii="Arial"/>
                <w:sz w:val="21"/>
              </w:rPr>
              <w:t>12</w:t>
            </w:r>
          </w:p>
          <w:p>
            <w:pPr>
              <w:pStyle w:val="TableParagraph"/>
              <w:spacing w:before="71"/>
              <w:ind w:left="7"/>
              <w:jc w:val="center"/>
              <w:rPr>
                <w:rFonts w:ascii="Arial"/>
                <w:sz w:val="21"/>
              </w:rPr>
            </w:pPr>
            <w:r>
              <w:rPr>
                <w:rFonts w:ascii="Arial"/>
                <w:w w:val="100"/>
                <w:sz w:val="21"/>
              </w:rPr>
              <w:t>7</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spacing w:line="266" w:lineRule="auto"/>
              <w:ind w:left="1020" w:right="129" w:hanging="881"/>
              <w:rPr>
                <w:sz w:val="22"/>
              </w:rPr>
            </w:pPr>
            <w:r>
              <w:rPr>
                <w:sz w:val="22"/>
              </w:rPr>
              <w:t>南京苏宁基金销售有限公司</w:t>
            </w:r>
          </w:p>
        </w:tc>
        <w:tc>
          <w:tcPr>
            <w:tcW w:w="5480" w:type="dxa"/>
          </w:tcPr>
          <w:p>
            <w:pPr>
              <w:pStyle w:val="TableParagraph"/>
              <w:spacing w:line="266" w:lineRule="auto" w:before="15"/>
              <w:ind w:left="108" w:right="1340"/>
              <w:rPr>
                <w:sz w:val="22"/>
              </w:rPr>
            </w:pPr>
            <w:r>
              <w:rPr>
                <w:sz w:val="22"/>
              </w:rPr>
              <w:t>注册地址：南京市玄武区苏宁大道 </w:t>
            </w:r>
            <w:r>
              <w:rPr>
                <w:rFonts w:ascii="Arial" w:eastAsia="Arial"/>
                <w:sz w:val="22"/>
              </w:rPr>
              <w:t>1-5 </w:t>
            </w:r>
            <w:r>
              <w:rPr>
                <w:sz w:val="22"/>
              </w:rPr>
              <w:t>号法定代表人：钱燕飞</w:t>
            </w:r>
          </w:p>
          <w:p>
            <w:pPr>
              <w:pStyle w:val="TableParagraph"/>
              <w:spacing w:line="280" w:lineRule="exact"/>
              <w:ind w:left="108"/>
              <w:rPr>
                <w:sz w:val="22"/>
              </w:rPr>
            </w:pPr>
            <w:r>
              <w:rPr>
                <w:sz w:val="22"/>
              </w:rPr>
              <w:t>联系人：王锋</w:t>
            </w:r>
          </w:p>
          <w:p>
            <w:pPr>
              <w:pStyle w:val="TableParagraph"/>
              <w:spacing w:line="266" w:lineRule="auto" w:before="30"/>
              <w:ind w:left="108" w:right="2470"/>
              <w:rPr>
                <w:rFonts w:ascii="Arial" w:eastAsia="Arial"/>
                <w:sz w:val="22"/>
              </w:rPr>
            </w:pPr>
            <w:r>
              <w:rPr>
                <w:spacing w:val="-1"/>
                <w:sz w:val="22"/>
              </w:rPr>
              <w:t>电话：</w:t>
            </w:r>
            <w:r>
              <w:rPr>
                <w:rFonts w:ascii="Arial" w:eastAsia="Arial"/>
                <w:spacing w:val="-1"/>
                <w:sz w:val="22"/>
              </w:rPr>
              <w:t>025-66996699-887226 </w:t>
            </w:r>
            <w:r>
              <w:rPr>
                <w:spacing w:val="-1"/>
                <w:sz w:val="22"/>
              </w:rPr>
              <w:t>传真： </w:t>
            </w:r>
            <w:r>
              <w:rPr>
                <w:rFonts w:ascii="Arial" w:eastAsia="Arial"/>
                <w:sz w:val="22"/>
              </w:rPr>
              <w:t>025-66996699</w:t>
            </w:r>
          </w:p>
          <w:p>
            <w:pPr>
              <w:pStyle w:val="TableParagraph"/>
              <w:spacing w:line="281" w:lineRule="exact"/>
              <w:ind w:left="108"/>
              <w:rPr>
                <w:rFonts w:ascii="Arial" w:eastAsia="Arial"/>
                <w:sz w:val="22"/>
              </w:rPr>
            </w:pPr>
            <w:r>
              <w:rPr>
                <w:spacing w:val="-2"/>
                <w:sz w:val="22"/>
              </w:rPr>
              <w:t>客户服务电话：</w:t>
            </w:r>
            <w:r>
              <w:rPr>
                <w:rFonts w:ascii="Arial" w:eastAsia="Arial"/>
                <w:sz w:val="22"/>
              </w:rPr>
              <w:t>95177</w:t>
            </w:r>
          </w:p>
          <w:p>
            <w:pPr>
              <w:pStyle w:val="TableParagraph"/>
              <w:spacing w:line="277" w:lineRule="exact" w:before="30"/>
              <w:ind w:left="108"/>
              <w:rPr>
                <w:rFonts w:ascii="Arial" w:eastAsia="Arial"/>
                <w:sz w:val="22"/>
              </w:rPr>
            </w:pPr>
            <w:r>
              <w:rPr>
                <w:sz w:val="22"/>
              </w:rPr>
              <w:t>网址： </w:t>
            </w:r>
            <w:hyperlink r:id="rId132">
              <w:r>
                <w:rPr>
                  <w:rFonts w:ascii="Arial" w:eastAsia="Arial"/>
                  <w:sz w:val="22"/>
                </w:rPr>
                <w:t>www.snjijin.com</w:t>
              </w:r>
            </w:hyperlink>
          </w:p>
        </w:tc>
      </w:tr>
      <w:tr>
        <w:trPr>
          <w:trHeight w:val="2495"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98" w:right="88"/>
              <w:jc w:val="center"/>
              <w:rPr>
                <w:rFonts w:ascii="Arial"/>
                <w:sz w:val="21"/>
              </w:rPr>
            </w:pPr>
            <w:r>
              <w:rPr>
                <w:rFonts w:ascii="Arial"/>
                <w:sz w:val="21"/>
              </w:rPr>
              <w:t>12</w:t>
            </w:r>
          </w:p>
          <w:p>
            <w:pPr>
              <w:pStyle w:val="TableParagraph"/>
              <w:spacing w:before="71"/>
              <w:ind w:left="7"/>
              <w:jc w:val="center"/>
              <w:rPr>
                <w:rFonts w:ascii="Arial"/>
                <w:sz w:val="21"/>
              </w:rPr>
            </w:pPr>
            <w:r>
              <w:rPr>
                <w:rFonts w:ascii="Arial"/>
                <w:w w:val="100"/>
                <w:sz w:val="21"/>
              </w:rPr>
              <w:t>8</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909" w:right="129" w:hanging="771"/>
              <w:rPr>
                <w:sz w:val="22"/>
              </w:rPr>
            </w:pPr>
            <w:r>
              <w:rPr>
                <w:sz w:val="22"/>
              </w:rPr>
              <w:t>上海大智慧基金销售有限公司</w:t>
            </w:r>
          </w:p>
        </w:tc>
        <w:tc>
          <w:tcPr>
            <w:tcW w:w="5480" w:type="dxa"/>
          </w:tcPr>
          <w:p>
            <w:pPr>
              <w:pStyle w:val="TableParagraph"/>
              <w:spacing w:before="15"/>
              <w:ind w:left="108"/>
              <w:rPr>
                <w:rFonts w:ascii="Arial" w:eastAsia="Arial"/>
                <w:sz w:val="22"/>
              </w:rPr>
            </w:pPr>
            <w:r>
              <w:rPr>
                <w:sz w:val="22"/>
              </w:rPr>
              <w:t>注册地址：中国（上海）自由贸易试验区杨高南路 </w:t>
            </w:r>
            <w:r>
              <w:rPr>
                <w:rFonts w:ascii="Arial" w:eastAsia="Arial"/>
                <w:sz w:val="22"/>
              </w:rPr>
              <w:t>428</w:t>
            </w:r>
          </w:p>
          <w:p>
            <w:pPr>
              <w:pStyle w:val="TableParagraph"/>
              <w:spacing w:line="266" w:lineRule="auto" w:before="30"/>
              <w:ind w:left="108" w:right="2677"/>
              <w:rPr>
                <w:sz w:val="22"/>
              </w:rPr>
            </w:pPr>
            <w:r>
              <w:rPr>
                <w:spacing w:val="-28"/>
                <w:sz w:val="22"/>
              </w:rPr>
              <w:t>号 </w:t>
            </w:r>
            <w:r>
              <w:rPr>
                <w:rFonts w:ascii="Arial" w:eastAsia="Arial"/>
                <w:sz w:val="22"/>
              </w:rPr>
              <w:t>1 </w:t>
            </w:r>
            <w:r>
              <w:rPr>
                <w:spacing w:val="-19"/>
                <w:sz w:val="22"/>
              </w:rPr>
              <w:t>号楼 </w:t>
            </w:r>
            <w:r>
              <w:rPr>
                <w:rFonts w:ascii="Arial" w:eastAsia="Arial"/>
                <w:sz w:val="22"/>
              </w:rPr>
              <w:t>1102</w:t>
            </w:r>
            <w:r>
              <w:rPr>
                <w:sz w:val="22"/>
              </w:rPr>
              <w:t>、</w:t>
            </w:r>
            <w:r>
              <w:rPr>
                <w:rFonts w:ascii="Arial" w:eastAsia="Arial"/>
                <w:sz w:val="22"/>
              </w:rPr>
              <w:t>1103 </w:t>
            </w:r>
            <w:r>
              <w:rPr>
                <w:spacing w:val="-3"/>
                <w:sz w:val="22"/>
              </w:rPr>
              <w:t>单元</w:t>
            </w:r>
            <w:r>
              <w:rPr>
                <w:spacing w:val="-2"/>
                <w:sz w:val="22"/>
              </w:rPr>
              <w:t>法定代表人：申健</w:t>
            </w:r>
          </w:p>
          <w:p>
            <w:pPr>
              <w:pStyle w:val="TableParagraph"/>
              <w:spacing w:line="280" w:lineRule="exact"/>
              <w:ind w:left="108"/>
              <w:rPr>
                <w:sz w:val="22"/>
              </w:rPr>
            </w:pPr>
            <w:r>
              <w:rPr>
                <w:sz w:val="22"/>
              </w:rPr>
              <w:t>联系人：印强明</w:t>
            </w:r>
          </w:p>
          <w:p>
            <w:pPr>
              <w:pStyle w:val="TableParagraph"/>
              <w:spacing w:line="266" w:lineRule="auto" w:before="30"/>
              <w:ind w:left="108" w:right="3278"/>
              <w:rPr>
                <w:rFonts w:ascii="Arial" w:eastAsia="Arial"/>
                <w:sz w:val="22"/>
              </w:rPr>
            </w:pPr>
            <w:r>
              <w:rPr>
                <w:sz w:val="22"/>
              </w:rPr>
              <w:t>电话：</w:t>
            </w:r>
            <w:r>
              <w:rPr>
                <w:rFonts w:ascii="Arial" w:eastAsia="Arial"/>
                <w:sz w:val="22"/>
              </w:rPr>
              <w:t>021-20219988 </w:t>
            </w:r>
            <w:r>
              <w:rPr>
                <w:sz w:val="22"/>
              </w:rPr>
              <w:t>传真：</w:t>
            </w:r>
            <w:r>
              <w:rPr>
                <w:rFonts w:ascii="Arial" w:eastAsia="Arial"/>
                <w:sz w:val="22"/>
              </w:rPr>
              <w:t>021-20219988</w:t>
            </w:r>
          </w:p>
          <w:p>
            <w:pPr>
              <w:pStyle w:val="TableParagraph"/>
              <w:spacing w:line="280" w:lineRule="exact"/>
              <w:ind w:left="108"/>
              <w:rPr>
                <w:rFonts w:ascii="Arial" w:eastAsia="Arial"/>
                <w:sz w:val="22"/>
              </w:rPr>
            </w:pPr>
            <w:r>
              <w:rPr>
                <w:sz w:val="22"/>
              </w:rPr>
              <w:t>客户服务电话：</w:t>
            </w:r>
            <w:r>
              <w:rPr>
                <w:rFonts w:ascii="Arial" w:eastAsia="Arial"/>
                <w:sz w:val="22"/>
              </w:rPr>
              <w:t>021-20292031</w:t>
            </w:r>
          </w:p>
          <w:p>
            <w:pPr>
              <w:pStyle w:val="TableParagraph"/>
              <w:spacing w:line="277" w:lineRule="exact" w:before="30"/>
              <w:ind w:left="108"/>
              <w:rPr>
                <w:rFonts w:ascii="Arial" w:eastAsia="Arial"/>
                <w:sz w:val="22"/>
              </w:rPr>
            </w:pPr>
            <w:r>
              <w:rPr>
                <w:sz w:val="22"/>
              </w:rPr>
              <w:t>网址：</w:t>
            </w:r>
            <w:r>
              <w:rPr>
                <w:rFonts w:ascii="Arial" w:eastAsia="Arial"/>
                <w:sz w:val="22"/>
              </w:rPr>
              <w:t>https.//</w:t>
            </w:r>
            <w:hyperlink r:id="rId133">
              <w:r>
                <w:rPr>
                  <w:rFonts w:ascii="Arial" w:eastAsia="Arial"/>
                  <w:sz w:val="22"/>
                </w:rPr>
                <w:t>www.wg.com.cn</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98" w:right="88"/>
              <w:jc w:val="center"/>
              <w:rPr>
                <w:rFonts w:ascii="Arial"/>
                <w:sz w:val="21"/>
              </w:rPr>
            </w:pPr>
            <w:r>
              <w:rPr>
                <w:rFonts w:ascii="Arial"/>
                <w:sz w:val="21"/>
              </w:rPr>
              <w:t>12</w:t>
            </w:r>
          </w:p>
          <w:p>
            <w:pPr>
              <w:pStyle w:val="TableParagraph"/>
              <w:spacing w:before="71"/>
              <w:ind w:left="7"/>
              <w:jc w:val="center"/>
              <w:rPr>
                <w:rFonts w:ascii="Arial"/>
                <w:sz w:val="21"/>
              </w:rPr>
            </w:pPr>
            <w:r>
              <w:rPr>
                <w:rFonts w:ascii="Arial"/>
                <w:w w:val="100"/>
                <w:sz w:val="21"/>
              </w:rPr>
              <w:t>9</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spacing w:line="266" w:lineRule="auto"/>
              <w:ind w:left="799" w:right="129" w:hanging="660"/>
              <w:rPr>
                <w:sz w:val="22"/>
              </w:rPr>
            </w:pPr>
            <w:r>
              <w:rPr>
                <w:sz w:val="22"/>
              </w:rPr>
              <w:t>北京广源达信基金销售有限公司</w:t>
            </w:r>
          </w:p>
        </w:tc>
        <w:tc>
          <w:tcPr>
            <w:tcW w:w="5480" w:type="dxa"/>
          </w:tcPr>
          <w:p>
            <w:pPr>
              <w:pStyle w:val="TableParagraph"/>
              <w:spacing w:before="15"/>
              <w:ind w:left="108"/>
              <w:rPr>
                <w:sz w:val="22"/>
              </w:rPr>
            </w:pPr>
            <w:r>
              <w:rPr>
                <w:spacing w:val="-6"/>
                <w:sz w:val="22"/>
              </w:rPr>
              <w:t>注册地址：北京市西城区新街口外大街 </w:t>
            </w:r>
            <w:r>
              <w:rPr>
                <w:rFonts w:ascii="Arial" w:eastAsia="Arial"/>
                <w:sz w:val="22"/>
              </w:rPr>
              <w:t>28 </w:t>
            </w:r>
            <w:r>
              <w:rPr>
                <w:spacing w:val="-26"/>
                <w:sz w:val="22"/>
              </w:rPr>
              <w:t>号 </w:t>
            </w:r>
            <w:r>
              <w:rPr>
                <w:rFonts w:ascii="Arial" w:eastAsia="Arial"/>
                <w:sz w:val="22"/>
              </w:rPr>
              <w:t>C </w:t>
            </w:r>
            <w:r>
              <w:rPr>
                <w:spacing w:val="-2"/>
                <w:sz w:val="22"/>
              </w:rPr>
              <w:t>座六层</w:t>
            </w:r>
          </w:p>
          <w:p>
            <w:pPr>
              <w:pStyle w:val="TableParagraph"/>
              <w:spacing w:before="30"/>
              <w:ind w:left="108"/>
              <w:rPr>
                <w:sz w:val="22"/>
              </w:rPr>
            </w:pPr>
            <w:r>
              <w:rPr>
                <w:rFonts w:ascii="Arial" w:eastAsia="Arial"/>
                <w:sz w:val="22"/>
              </w:rPr>
              <w:t>605 </w:t>
            </w:r>
            <w:r>
              <w:rPr>
                <w:sz w:val="22"/>
              </w:rPr>
              <w:t>室</w:t>
            </w:r>
          </w:p>
          <w:p>
            <w:pPr>
              <w:pStyle w:val="TableParagraph"/>
              <w:spacing w:line="266" w:lineRule="auto" w:before="30"/>
              <w:ind w:left="108" w:right="94"/>
              <w:rPr>
                <w:sz w:val="22"/>
              </w:rPr>
            </w:pPr>
            <w:r>
              <w:rPr>
                <w:sz w:val="22"/>
              </w:rPr>
              <w:t>办公地址：北京市朝阳区望京东园四区 </w:t>
            </w:r>
            <w:r>
              <w:rPr>
                <w:rFonts w:ascii="Arial" w:eastAsia="Arial"/>
                <w:sz w:val="22"/>
              </w:rPr>
              <w:t>13 </w:t>
            </w:r>
            <w:r>
              <w:rPr>
                <w:sz w:val="22"/>
              </w:rPr>
              <w:t>号楼浦项中心 </w:t>
            </w:r>
            <w:r>
              <w:rPr>
                <w:rFonts w:ascii="Arial" w:eastAsia="Arial"/>
                <w:sz w:val="22"/>
              </w:rPr>
              <w:t>B </w:t>
            </w:r>
            <w:r>
              <w:rPr>
                <w:sz w:val="22"/>
              </w:rPr>
              <w:t>座 </w:t>
            </w:r>
            <w:r>
              <w:rPr>
                <w:rFonts w:ascii="Arial" w:eastAsia="Arial"/>
                <w:sz w:val="22"/>
              </w:rPr>
              <w:t>19 </w:t>
            </w:r>
            <w:r>
              <w:rPr>
                <w:sz w:val="22"/>
              </w:rPr>
              <w:t>层</w:t>
            </w:r>
          </w:p>
          <w:p>
            <w:pPr>
              <w:pStyle w:val="TableParagraph"/>
              <w:spacing w:line="266" w:lineRule="auto"/>
              <w:ind w:left="108" w:right="3376"/>
              <w:rPr>
                <w:sz w:val="22"/>
              </w:rPr>
            </w:pPr>
            <w:r>
              <w:rPr>
                <w:sz w:val="22"/>
              </w:rPr>
              <w:t>法定代表人：齐剑辉联系人：王英俊</w:t>
            </w:r>
          </w:p>
          <w:p>
            <w:pPr>
              <w:pStyle w:val="TableParagraph"/>
              <w:spacing w:line="280" w:lineRule="exact"/>
              <w:ind w:left="108"/>
              <w:rPr>
                <w:rFonts w:ascii="Arial" w:eastAsia="Arial"/>
                <w:sz w:val="22"/>
              </w:rPr>
            </w:pPr>
            <w:r>
              <w:rPr>
                <w:spacing w:val="-1"/>
                <w:sz w:val="22"/>
              </w:rPr>
              <w:t>电话：</w:t>
            </w:r>
            <w:r>
              <w:rPr>
                <w:rFonts w:ascii="Arial" w:eastAsia="Arial"/>
                <w:spacing w:val="-1"/>
                <w:sz w:val="22"/>
              </w:rPr>
              <w:t>010-57298634</w:t>
            </w:r>
          </w:p>
          <w:p>
            <w:pPr>
              <w:pStyle w:val="TableParagraph"/>
              <w:spacing w:line="266" w:lineRule="auto" w:before="29"/>
              <w:ind w:left="108" w:right="3033"/>
              <w:rPr>
                <w:rFonts w:ascii="Arial" w:eastAsia="Arial"/>
                <w:sz w:val="22"/>
              </w:rPr>
            </w:pPr>
            <w:r>
              <w:rPr>
                <w:spacing w:val="-2"/>
                <w:sz w:val="22"/>
              </w:rPr>
              <w:t>客服电话：</w:t>
            </w:r>
            <w:r>
              <w:rPr>
                <w:rFonts w:ascii="Arial" w:eastAsia="Arial"/>
                <w:spacing w:val="-1"/>
                <w:sz w:val="22"/>
              </w:rPr>
              <w:t>4006236060 </w:t>
            </w:r>
            <w:r>
              <w:rPr>
                <w:sz w:val="22"/>
              </w:rPr>
              <w:t>传真：</w:t>
            </w:r>
            <w:r>
              <w:rPr>
                <w:rFonts w:ascii="Arial" w:eastAsia="Arial"/>
                <w:sz w:val="22"/>
              </w:rPr>
              <w:t>010-82055860</w:t>
            </w:r>
          </w:p>
          <w:p>
            <w:pPr>
              <w:pStyle w:val="TableParagraph"/>
              <w:spacing w:line="275" w:lineRule="exact"/>
              <w:ind w:left="108"/>
              <w:rPr>
                <w:rFonts w:ascii="Arial" w:eastAsia="Arial"/>
                <w:sz w:val="22"/>
              </w:rPr>
            </w:pPr>
            <w:r>
              <w:rPr>
                <w:sz w:val="22"/>
              </w:rPr>
              <w:t>网址：</w:t>
            </w:r>
            <w:hyperlink r:id="rId134">
              <w:r>
                <w:rPr>
                  <w:rFonts w:ascii="Arial" w:eastAsia="Arial"/>
                  <w:sz w:val="22"/>
                </w:rPr>
                <w:t>www.niuniufund.com</w:t>
              </w:r>
            </w:hyperlink>
          </w:p>
        </w:tc>
      </w:tr>
      <w:tr>
        <w:trPr>
          <w:trHeight w:val="249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4"/>
              <w:ind w:left="98" w:right="88"/>
              <w:jc w:val="center"/>
              <w:rPr>
                <w:rFonts w:ascii="Arial"/>
                <w:sz w:val="21"/>
              </w:rPr>
            </w:pPr>
            <w:r>
              <w:rPr>
                <w:rFonts w:ascii="Arial"/>
                <w:sz w:val="21"/>
              </w:rPr>
              <w:t>13</w:t>
            </w:r>
          </w:p>
          <w:p>
            <w:pPr>
              <w:pStyle w:val="TableParagraph"/>
              <w:spacing w:before="71"/>
              <w:ind w:left="7"/>
              <w:jc w:val="center"/>
              <w:rPr>
                <w:rFonts w:ascii="Arial"/>
                <w:sz w:val="21"/>
              </w:rPr>
            </w:pPr>
            <w:r>
              <w:rPr>
                <w:rFonts w:ascii="Arial"/>
                <w:w w:val="100"/>
                <w:sz w:val="21"/>
              </w:rPr>
              <w:t>0</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5"/>
              <w:ind w:left="799" w:right="129" w:hanging="660"/>
              <w:rPr>
                <w:sz w:val="22"/>
              </w:rPr>
            </w:pPr>
            <w:r>
              <w:rPr>
                <w:sz w:val="22"/>
              </w:rPr>
              <w:t>上海中正达广基金销售有限公司</w:t>
            </w:r>
          </w:p>
        </w:tc>
        <w:tc>
          <w:tcPr>
            <w:tcW w:w="5480" w:type="dxa"/>
          </w:tcPr>
          <w:p>
            <w:pPr>
              <w:pStyle w:val="TableParagraph"/>
              <w:spacing w:before="17"/>
              <w:ind w:left="108"/>
              <w:rPr>
                <w:rFonts w:ascii="Arial" w:eastAsia="Arial"/>
                <w:sz w:val="22"/>
              </w:rPr>
            </w:pPr>
            <w:r>
              <w:rPr>
                <w:spacing w:val="-27"/>
                <w:sz w:val="22"/>
              </w:rPr>
              <w:t>注册</w:t>
            </w:r>
            <w:r>
              <w:rPr>
                <w:sz w:val="22"/>
              </w:rPr>
              <w:t>（</w:t>
            </w:r>
            <w:r>
              <w:rPr>
                <w:spacing w:val="-2"/>
                <w:sz w:val="22"/>
              </w:rPr>
              <w:t>办公</w:t>
            </w:r>
            <w:r>
              <w:rPr>
                <w:spacing w:val="-53"/>
                <w:sz w:val="22"/>
              </w:rPr>
              <w:t>）</w:t>
            </w:r>
            <w:r>
              <w:rPr>
                <w:spacing w:val="-13"/>
                <w:sz w:val="22"/>
              </w:rPr>
              <w:t>地址：上海市徐汇区龙腾大道 </w:t>
            </w:r>
            <w:r>
              <w:rPr>
                <w:rFonts w:ascii="Arial" w:eastAsia="Arial"/>
                <w:sz w:val="22"/>
              </w:rPr>
              <w:t>2815 </w:t>
            </w:r>
            <w:r>
              <w:rPr>
                <w:spacing w:val="-27"/>
                <w:sz w:val="22"/>
              </w:rPr>
              <w:t>号 </w:t>
            </w:r>
            <w:r>
              <w:rPr>
                <w:rFonts w:ascii="Arial" w:eastAsia="Arial"/>
                <w:sz w:val="22"/>
              </w:rPr>
              <w:t>302</w:t>
            </w:r>
          </w:p>
          <w:p>
            <w:pPr>
              <w:pStyle w:val="TableParagraph"/>
              <w:spacing w:before="31"/>
              <w:ind w:left="108"/>
              <w:rPr>
                <w:sz w:val="22"/>
              </w:rPr>
            </w:pPr>
            <w:r>
              <w:rPr>
                <w:w w:val="100"/>
                <w:sz w:val="22"/>
              </w:rPr>
              <w:t>室</w:t>
            </w:r>
          </w:p>
          <w:p>
            <w:pPr>
              <w:pStyle w:val="TableParagraph"/>
              <w:spacing w:line="266" w:lineRule="auto" w:before="30"/>
              <w:ind w:left="108" w:right="3597"/>
              <w:rPr>
                <w:sz w:val="22"/>
              </w:rPr>
            </w:pPr>
            <w:r>
              <w:rPr>
                <w:sz w:val="22"/>
              </w:rPr>
              <w:t>法定代表人：黄欣联系人：戴珉微</w:t>
            </w:r>
          </w:p>
          <w:p>
            <w:pPr>
              <w:pStyle w:val="TableParagraph"/>
              <w:spacing w:line="280" w:lineRule="exact"/>
              <w:ind w:left="108"/>
              <w:rPr>
                <w:rFonts w:ascii="Arial" w:eastAsia="Arial"/>
                <w:sz w:val="22"/>
              </w:rPr>
            </w:pPr>
            <w:r>
              <w:rPr>
                <w:sz w:val="22"/>
              </w:rPr>
              <w:t>电话：</w:t>
            </w:r>
            <w:r>
              <w:rPr>
                <w:rFonts w:ascii="Arial" w:eastAsia="Arial"/>
                <w:sz w:val="22"/>
              </w:rPr>
              <w:t>021-33768132</w:t>
            </w:r>
          </w:p>
          <w:p>
            <w:pPr>
              <w:pStyle w:val="TableParagraph"/>
              <w:spacing w:before="30"/>
              <w:ind w:left="108"/>
              <w:rPr>
                <w:rFonts w:ascii="Arial" w:eastAsia="Arial"/>
                <w:sz w:val="22"/>
              </w:rPr>
            </w:pPr>
            <w:r>
              <w:rPr>
                <w:sz w:val="22"/>
              </w:rPr>
              <w:t>传真：</w:t>
            </w:r>
            <w:r>
              <w:rPr>
                <w:rFonts w:ascii="Arial" w:eastAsia="Arial"/>
                <w:sz w:val="22"/>
              </w:rPr>
              <w:t>021-33768132-802</w:t>
            </w:r>
          </w:p>
          <w:p>
            <w:pPr>
              <w:pStyle w:val="TableParagraph"/>
              <w:spacing w:before="30"/>
              <w:ind w:left="108"/>
              <w:rPr>
                <w:rFonts w:ascii="Arial" w:eastAsia="Arial"/>
                <w:sz w:val="22"/>
              </w:rPr>
            </w:pPr>
            <w:r>
              <w:rPr>
                <w:sz w:val="22"/>
              </w:rPr>
              <w:t>客户服务电话：</w:t>
            </w:r>
            <w:r>
              <w:rPr>
                <w:rFonts w:ascii="Arial" w:eastAsia="Arial"/>
                <w:sz w:val="22"/>
              </w:rPr>
              <w:t>400-6767-523</w:t>
            </w:r>
          </w:p>
          <w:p>
            <w:pPr>
              <w:pStyle w:val="TableParagraph"/>
              <w:spacing w:line="277" w:lineRule="exact" w:before="30"/>
              <w:ind w:left="108"/>
              <w:rPr>
                <w:rFonts w:ascii="Arial" w:eastAsia="Arial"/>
                <w:sz w:val="22"/>
              </w:rPr>
            </w:pPr>
            <w:r>
              <w:rPr>
                <w:sz w:val="22"/>
              </w:rPr>
              <w:t>网址：</w:t>
            </w:r>
            <w:hyperlink r:id="rId135">
              <w:r>
                <w:rPr>
                  <w:rFonts w:ascii="Arial" w:eastAsia="Arial"/>
                  <w:sz w:val="22"/>
                </w:rPr>
                <w:t>www.zhongzhengfund.com</w:t>
              </w:r>
            </w:hyperlink>
          </w:p>
        </w:tc>
      </w:tr>
      <w:tr>
        <w:trPr>
          <w:trHeight w:val="1559" w:hRule="atLeast"/>
        </w:trPr>
        <w:tc>
          <w:tcPr>
            <w:tcW w:w="470" w:type="dxa"/>
          </w:tcPr>
          <w:p>
            <w:pPr>
              <w:pStyle w:val="TableParagraph"/>
              <w:rPr>
                <w:rFonts w:ascii="Times New Roman"/>
                <w:sz w:val="24"/>
              </w:rPr>
            </w:pPr>
          </w:p>
          <w:p>
            <w:pPr>
              <w:pStyle w:val="TableParagraph"/>
              <w:spacing w:before="6"/>
              <w:rPr>
                <w:rFonts w:ascii="Times New Roman"/>
                <w:sz w:val="19"/>
              </w:rPr>
            </w:pPr>
          </w:p>
          <w:p>
            <w:pPr>
              <w:pStyle w:val="TableParagraph"/>
              <w:ind w:left="98" w:right="88"/>
              <w:jc w:val="center"/>
              <w:rPr>
                <w:rFonts w:ascii="Arial"/>
                <w:sz w:val="21"/>
              </w:rPr>
            </w:pPr>
            <w:r>
              <w:rPr>
                <w:rFonts w:ascii="Arial"/>
                <w:sz w:val="21"/>
              </w:rPr>
              <w:t>13</w:t>
            </w:r>
          </w:p>
          <w:p>
            <w:pPr>
              <w:pStyle w:val="TableParagraph"/>
              <w:spacing w:before="71"/>
              <w:ind w:left="7"/>
              <w:jc w:val="center"/>
              <w:rPr>
                <w:rFonts w:ascii="Arial"/>
                <w:sz w:val="21"/>
              </w:rPr>
            </w:pPr>
            <w:r>
              <w:rPr>
                <w:rFonts w:ascii="Arial"/>
                <w:w w:val="100"/>
                <w:sz w:val="21"/>
              </w:rPr>
              <w:t>1</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33"/>
              <w:ind w:left="120" w:right="113"/>
              <w:jc w:val="center"/>
              <w:rPr>
                <w:sz w:val="22"/>
              </w:rPr>
            </w:pPr>
            <w:r>
              <w:rPr>
                <w:sz w:val="22"/>
              </w:rPr>
              <w:t>海银基金销售有限公司</w:t>
            </w:r>
          </w:p>
        </w:tc>
        <w:tc>
          <w:tcPr>
            <w:tcW w:w="5480" w:type="dxa"/>
          </w:tcPr>
          <w:p>
            <w:pPr>
              <w:pStyle w:val="TableParagraph"/>
              <w:spacing w:before="15"/>
              <w:ind w:left="108"/>
              <w:rPr>
                <w:sz w:val="22"/>
              </w:rPr>
            </w:pPr>
            <w:r>
              <w:rPr>
                <w:sz w:val="22"/>
              </w:rPr>
              <w:t>注册地址：中国（上海）自由贸易试验区银城中路 </w:t>
            </w:r>
            <w:r>
              <w:rPr>
                <w:rFonts w:ascii="Arial" w:eastAsia="Arial"/>
                <w:sz w:val="22"/>
              </w:rPr>
              <w:t>8 </w:t>
            </w:r>
            <w:r>
              <w:rPr>
                <w:sz w:val="22"/>
              </w:rPr>
              <w:t>号</w:t>
            </w:r>
          </w:p>
          <w:p>
            <w:pPr>
              <w:pStyle w:val="TableParagraph"/>
              <w:spacing w:before="30"/>
              <w:ind w:left="108"/>
              <w:rPr>
                <w:sz w:val="22"/>
              </w:rPr>
            </w:pPr>
            <w:r>
              <w:rPr>
                <w:rFonts w:ascii="Arial" w:eastAsia="Arial"/>
                <w:sz w:val="22"/>
              </w:rPr>
              <w:t>402 </w:t>
            </w:r>
            <w:r>
              <w:rPr>
                <w:sz w:val="22"/>
              </w:rPr>
              <w:t>室</w:t>
            </w:r>
          </w:p>
          <w:p>
            <w:pPr>
              <w:pStyle w:val="TableParagraph"/>
              <w:spacing w:line="266" w:lineRule="auto" w:before="30"/>
              <w:ind w:left="108" w:right="932"/>
              <w:rPr>
                <w:sz w:val="22"/>
              </w:rPr>
            </w:pPr>
            <w:r>
              <w:rPr>
                <w:spacing w:val="-6"/>
                <w:sz w:val="22"/>
              </w:rPr>
              <w:t>办公地址：上海市浦东新区银城中路 </w:t>
            </w:r>
            <w:r>
              <w:rPr>
                <w:rFonts w:ascii="Arial" w:eastAsia="Arial"/>
                <w:sz w:val="22"/>
              </w:rPr>
              <w:t>8 </w:t>
            </w:r>
            <w:r>
              <w:rPr>
                <w:spacing w:val="-26"/>
                <w:sz w:val="22"/>
              </w:rPr>
              <w:t>号 </w:t>
            </w:r>
            <w:r>
              <w:rPr>
                <w:rFonts w:ascii="Arial" w:eastAsia="Arial"/>
                <w:sz w:val="22"/>
              </w:rPr>
              <w:t>4 </w:t>
            </w:r>
            <w:r>
              <w:rPr>
                <w:spacing w:val="-12"/>
                <w:sz w:val="22"/>
              </w:rPr>
              <w:t>楼</w:t>
            </w:r>
            <w:r>
              <w:rPr>
                <w:spacing w:val="-2"/>
                <w:sz w:val="22"/>
              </w:rPr>
              <w:t>法定代表人：刘惠</w:t>
            </w:r>
          </w:p>
          <w:p>
            <w:pPr>
              <w:pStyle w:val="TableParagraph"/>
              <w:spacing w:line="275" w:lineRule="exact"/>
              <w:ind w:left="108"/>
              <w:rPr>
                <w:sz w:val="22"/>
              </w:rPr>
            </w:pPr>
            <w:r>
              <w:rPr>
                <w:sz w:val="22"/>
              </w:rPr>
              <w:t>联系人：毛林</w:t>
            </w:r>
          </w:p>
        </w:tc>
      </w:tr>
    </w:tbl>
    <w:p>
      <w:pPr>
        <w:spacing w:after="0" w:line="275"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248"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66" w:lineRule="auto" w:before="15"/>
              <w:ind w:left="108" w:right="3278"/>
              <w:rPr>
                <w:rFonts w:ascii="Arial" w:eastAsia="Arial"/>
                <w:sz w:val="22"/>
              </w:rPr>
            </w:pPr>
            <w:r>
              <w:rPr>
                <w:sz w:val="22"/>
              </w:rPr>
              <w:t>电话：</w:t>
            </w:r>
            <w:r>
              <w:rPr>
                <w:rFonts w:ascii="Arial" w:eastAsia="Arial"/>
                <w:sz w:val="22"/>
              </w:rPr>
              <w:t>021-80133597 </w:t>
            </w:r>
            <w:r>
              <w:rPr>
                <w:sz w:val="22"/>
              </w:rPr>
              <w:t>传真：</w:t>
            </w:r>
            <w:r>
              <w:rPr>
                <w:rFonts w:ascii="Arial" w:eastAsia="Arial"/>
                <w:sz w:val="22"/>
              </w:rPr>
              <w:t>021-80133413</w:t>
            </w:r>
          </w:p>
          <w:p>
            <w:pPr>
              <w:pStyle w:val="TableParagraph"/>
              <w:spacing w:line="280" w:lineRule="exact"/>
              <w:ind w:left="108"/>
              <w:rPr>
                <w:rFonts w:ascii="Arial" w:eastAsia="Arial"/>
                <w:sz w:val="22"/>
              </w:rPr>
            </w:pPr>
            <w:r>
              <w:rPr>
                <w:sz w:val="22"/>
              </w:rPr>
              <w:t>客户服务电话：</w:t>
            </w:r>
            <w:r>
              <w:rPr>
                <w:rFonts w:ascii="Arial" w:eastAsia="Arial"/>
                <w:sz w:val="22"/>
              </w:rPr>
              <w:t>400-808-1016</w:t>
            </w:r>
          </w:p>
          <w:p>
            <w:pPr>
              <w:pStyle w:val="TableParagraph"/>
              <w:spacing w:line="277" w:lineRule="exact" w:before="31"/>
              <w:ind w:left="108"/>
              <w:rPr>
                <w:rFonts w:ascii="Arial" w:eastAsia="Arial"/>
                <w:sz w:val="22"/>
              </w:rPr>
            </w:pPr>
            <w:r>
              <w:rPr>
                <w:sz w:val="22"/>
              </w:rPr>
              <w:t>网址：</w:t>
            </w:r>
            <w:hyperlink r:id="rId136">
              <w:r>
                <w:rPr>
                  <w:rFonts w:ascii="Arial" w:eastAsia="Arial"/>
                  <w:sz w:val="22"/>
                </w:rPr>
                <w:t>www.fundhaiyin.com</w:t>
              </w:r>
            </w:hyperlink>
          </w:p>
        </w:tc>
      </w:tr>
      <w:tr>
        <w:trPr>
          <w:trHeight w:val="314"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line="279" w:lineRule="exact" w:before="15"/>
              <w:ind w:left="108"/>
              <w:rPr>
                <w:sz w:val="22"/>
              </w:rPr>
            </w:pPr>
            <w:r>
              <w:rPr>
                <w:spacing w:val="-6"/>
                <w:sz w:val="22"/>
              </w:rPr>
              <w:t>注册地址：深圳市前海深港合作区前湾一路 </w:t>
            </w:r>
            <w:r>
              <w:rPr>
                <w:rFonts w:ascii="Arial" w:eastAsia="Arial"/>
                <w:sz w:val="22"/>
              </w:rPr>
              <w:t>1</w:t>
            </w:r>
            <w:r>
              <w:rPr>
                <w:rFonts w:ascii="Arial" w:eastAsia="Arial"/>
                <w:spacing w:val="52"/>
                <w:sz w:val="22"/>
              </w:rPr>
              <w:t> </w:t>
            </w:r>
            <w:r>
              <w:rPr>
                <w:spacing w:val="1"/>
                <w:sz w:val="22"/>
              </w:rPr>
              <w:t>号 </w:t>
            </w:r>
            <w:r>
              <w:rPr>
                <w:rFonts w:ascii="Arial" w:eastAsia="Arial"/>
                <w:sz w:val="22"/>
              </w:rPr>
              <w:t>A</w:t>
            </w:r>
            <w:r>
              <w:rPr>
                <w:rFonts w:ascii="Arial" w:eastAsia="Arial"/>
                <w:spacing w:val="52"/>
                <w:sz w:val="22"/>
              </w:rPr>
              <w:t> </w:t>
            </w:r>
            <w:r>
              <w:rPr>
                <w:sz w:val="22"/>
              </w:rPr>
              <w:t>栋</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sz w:val="22"/>
              </w:rPr>
            </w:pPr>
            <w:r>
              <w:rPr>
                <w:rFonts w:ascii="Arial" w:eastAsia="Arial"/>
                <w:sz w:val="22"/>
              </w:rPr>
              <w:t>201</w:t>
            </w:r>
            <w:r>
              <w:rPr>
                <w:sz w:val="22"/>
              </w:rPr>
              <w:t>（入驻深圳市前海商务秘书有限公司）</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spacing w:line="279" w:lineRule="exact" w:before="12"/>
              <w:ind w:left="120" w:right="113"/>
              <w:jc w:val="center"/>
              <w:rPr>
                <w:sz w:val="22"/>
              </w:rPr>
            </w:pPr>
            <w:r>
              <w:rPr>
                <w:sz w:val="22"/>
              </w:rPr>
              <w:t>深圳前海微众银行股份</w:t>
            </w:r>
          </w:p>
        </w:tc>
        <w:tc>
          <w:tcPr>
            <w:tcW w:w="5480" w:type="dxa"/>
            <w:tcBorders>
              <w:top w:val="nil"/>
              <w:bottom w:val="nil"/>
            </w:tcBorders>
          </w:tcPr>
          <w:p>
            <w:pPr>
              <w:pStyle w:val="TableParagraph"/>
              <w:spacing w:line="279" w:lineRule="exact" w:before="12"/>
              <w:ind w:left="108"/>
              <w:rPr>
                <w:sz w:val="22"/>
              </w:rPr>
            </w:pPr>
            <w:r>
              <w:rPr>
                <w:spacing w:val="-6"/>
                <w:sz w:val="22"/>
              </w:rPr>
              <w:t>办公地址：广东省深圳市南山区沙河西路 </w:t>
            </w:r>
            <w:r>
              <w:rPr>
                <w:rFonts w:ascii="Arial" w:eastAsia="Arial"/>
                <w:sz w:val="22"/>
              </w:rPr>
              <w:t>1819</w:t>
            </w:r>
            <w:r>
              <w:rPr>
                <w:rFonts w:ascii="Arial" w:eastAsia="Arial"/>
                <w:spacing w:val="53"/>
                <w:sz w:val="22"/>
              </w:rPr>
              <w:t> </w:t>
            </w:r>
            <w:r>
              <w:rPr>
                <w:spacing w:val="-2"/>
                <w:sz w:val="22"/>
              </w:rPr>
              <w:t>号深圳</w:t>
            </w:r>
          </w:p>
        </w:tc>
      </w:tr>
      <w:tr>
        <w:trPr>
          <w:trHeight w:val="313"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spacing w:line="281" w:lineRule="exact" w:before="12"/>
              <w:ind w:left="120" w:right="113"/>
              <w:jc w:val="center"/>
              <w:rPr>
                <w:sz w:val="22"/>
              </w:rPr>
            </w:pPr>
            <w:r>
              <w:rPr>
                <w:sz w:val="22"/>
              </w:rPr>
              <w:t>有限公司</w:t>
            </w:r>
          </w:p>
        </w:tc>
        <w:tc>
          <w:tcPr>
            <w:tcW w:w="5480" w:type="dxa"/>
            <w:tcBorders>
              <w:top w:val="nil"/>
              <w:bottom w:val="nil"/>
            </w:tcBorders>
          </w:tcPr>
          <w:p>
            <w:pPr>
              <w:pStyle w:val="TableParagraph"/>
              <w:spacing w:line="281" w:lineRule="exact" w:before="12"/>
              <w:ind w:left="108"/>
              <w:rPr>
                <w:sz w:val="22"/>
              </w:rPr>
            </w:pPr>
            <w:r>
              <w:rPr>
                <w:sz w:val="22"/>
              </w:rPr>
              <w:t>湾科技生态园 </w:t>
            </w:r>
            <w:r>
              <w:rPr>
                <w:rFonts w:ascii="Arial" w:eastAsia="Arial"/>
                <w:sz w:val="22"/>
              </w:rPr>
              <w:t>7 </w:t>
            </w:r>
            <w:r>
              <w:rPr>
                <w:sz w:val="22"/>
              </w:rPr>
              <w:t>栋 </w:t>
            </w:r>
            <w:r>
              <w:rPr>
                <w:rFonts w:ascii="Arial" w:eastAsia="Arial"/>
                <w:sz w:val="22"/>
              </w:rPr>
              <w:t>A </w:t>
            </w:r>
            <w:r>
              <w:rPr>
                <w:sz w:val="22"/>
              </w:rPr>
              <w:t>座</w:t>
            </w:r>
          </w:p>
        </w:tc>
      </w:tr>
      <w:tr>
        <w:trPr>
          <w:trHeight w:val="308" w:hRule="atLeast"/>
        </w:trPr>
        <w:tc>
          <w:tcPr>
            <w:tcW w:w="470" w:type="dxa"/>
            <w:tcBorders>
              <w:top w:val="nil"/>
              <w:bottom w:val="nil"/>
            </w:tcBorders>
          </w:tcPr>
          <w:p>
            <w:pPr>
              <w:pStyle w:val="TableParagraph"/>
              <w:spacing w:before="29"/>
              <w:ind w:left="117"/>
              <w:rPr>
                <w:rFonts w:ascii="Arial"/>
                <w:sz w:val="21"/>
              </w:rPr>
            </w:pPr>
            <w:r>
              <w:rPr>
                <w:rFonts w:ascii="Arial"/>
                <w:sz w:val="21"/>
              </w:rPr>
              <w:t>13</w:t>
            </w:r>
          </w:p>
        </w:tc>
        <w:tc>
          <w:tcPr>
            <w:tcW w:w="2484" w:type="dxa"/>
            <w:tcBorders>
              <w:top w:val="nil"/>
              <w:bottom w:val="nil"/>
            </w:tcBorders>
          </w:tcPr>
          <w:p>
            <w:pPr>
              <w:pStyle w:val="TableParagraph"/>
              <w:spacing w:line="278" w:lineRule="exact" w:before="10"/>
              <w:ind w:left="120" w:right="113"/>
              <w:jc w:val="center"/>
              <w:rPr>
                <w:sz w:val="22"/>
              </w:rPr>
            </w:pPr>
            <w:r>
              <w:rPr>
                <w:sz w:val="22"/>
              </w:rPr>
              <w:t>（注：仅代销景系列之</w:t>
            </w:r>
          </w:p>
        </w:tc>
        <w:tc>
          <w:tcPr>
            <w:tcW w:w="5480" w:type="dxa"/>
            <w:tcBorders>
              <w:top w:val="nil"/>
              <w:bottom w:val="nil"/>
            </w:tcBorders>
          </w:tcPr>
          <w:p>
            <w:pPr>
              <w:pStyle w:val="TableParagraph"/>
              <w:spacing w:line="278" w:lineRule="exact" w:before="10"/>
              <w:ind w:left="108"/>
              <w:rPr>
                <w:sz w:val="22"/>
              </w:rPr>
            </w:pPr>
            <w:r>
              <w:rPr>
                <w:sz w:val="22"/>
              </w:rPr>
              <w:t>法定代表人：顾敏</w:t>
            </w:r>
          </w:p>
        </w:tc>
      </w:tr>
      <w:tr>
        <w:trPr>
          <w:trHeight w:val="310" w:hRule="atLeast"/>
        </w:trPr>
        <w:tc>
          <w:tcPr>
            <w:tcW w:w="470" w:type="dxa"/>
            <w:tcBorders>
              <w:top w:val="nil"/>
              <w:bottom w:val="nil"/>
            </w:tcBorders>
          </w:tcPr>
          <w:p>
            <w:pPr>
              <w:pStyle w:val="TableParagraph"/>
              <w:spacing w:before="32"/>
              <w:ind w:left="175"/>
              <w:rPr>
                <w:rFonts w:ascii="Arial"/>
                <w:sz w:val="21"/>
              </w:rPr>
            </w:pPr>
            <w:r>
              <w:rPr>
                <w:rFonts w:ascii="Arial"/>
                <w:w w:val="100"/>
                <w:sz w:val="21"/>
              </w:rPr>
              <w:t>2</w:t>
            </w:r>
          </w:p>
        </w:tc>
        <w:tc>
          <w:tcPr>
            <w:tcW w:w="2484" w:type="dxa"/>
            <w:tcBorders>
              <w:top w:val="nil"/>
              <w:bottom w:val="nil"/>
            </w:tcBorders>
          </w:tcPr>
          <w:p>
            <w:pPr>
              <w:pStyle w:val="TableParagraph"/>
              <w:spacing w:line="276" w:lineRule="exact" w:before="14"/>
              <w:ind w:left="120" w:right="113"/>
              <w:jc w:val="center"/>
              <w:rPr>
                <w:sz w:val="22"/>
              </w:rPr>
            </w:pPr>
            <w:r>
              <w:rPr>
                <w:sz w:val="22"/>
              </w:rPr>
              <w:t>优选混合型证券投资基</w:t>
            </w:r>
          </w:p>
        </w:tc>
        <w:tc>
          <w:tcPr>
            <w:tcW w:w="5480" w:type="dxa"/>
            <w:tcBorders>
              <w:top w:val="nil"/>
              <w:bottom w:val="nil"/>
            </w:tcBorders>
          </w:tcPr>
          <w:p>
            <w:pPr>
              <w:pStyle w:val="TableParagraph"/>
              <w:spacing w:line="276" w:lineRule="exact" w:before="14"/>
              <w:ind w:left="108"/>
              <w:rPr>
                <w:sz w:val="22"/>
              </w:rPr>
            </w:pPr>
            <w:r>
              <w:rPr>
                <w:sz w:val="22"/>
              </w:rPr>
              <w:t>联系人：赵云</w:t>
            </w:r>
          </w:p>
        </w:tc>
      </w:tr>
      <w:tr>
        <w:trPr>
          <w:trHeight w:val="315"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spacing w:line="280" w:lineRule="exact" w:before="16"/>
              <w:ind w:left="120" w:right="113"/>
              <w:jc w:val="center"/>
              <w:rPr>
                <w:sz w:val="22"/>
              </w:rPr>
            </w:pPr>
            <w:r>
              <w:rPr>
                <w:sz w:val="22"/>
              </w:rPr>
              <w:t>金、动力平衡证券投资</w:t>
            </w:r>
          </w:p>
        </w:tc>
        <w:tc>
          <w:tcPr>
            <w:tcW w:w="5480" w:type="dxa"/>
            <w:tcBorders>
              <w:top w:val="nil"/>
              <w:bottom w:val="nil"/>
            </w:tcBorders>
          </w:tcPr>
          <w:p>
            <w:pPr>
              <w:pStyle w:val="TableParagraph"/>
              <w:spacing w:line="280" w:lineRule="exact" w:before="16"/>
              <w:ind w:left="108"/>
              <w:rPr>
                <w:rFonts w:ascii="Arial" w:eastAsia="Arial"/>
                <w:sz w:val="22"/>
              </w:rPr>
            </w:pPr>
            <w:r>
              <w:rPr>
                <w:sz w:val="22"/>
              </w:rPr>
              <w:t>电话：</w:t>
            </w:r>
            <w:r>
              <w:rPr>
                <w:rFonts w:ascii="Arial" w:eastAsia="Arial"/>
                <w:sz w:val="22"/>
              </w:rPr>
              <w:t>0755-84007736</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spacing w:line="279" w:lineRule="exact" w:before="13"/>
              <w:ind w:left="120" w:right="113"/>
              <w:jc w:val="center"/>
              <w:rPr>
                <w:sz w:val="22"/>
              </w:rPr>
            </w:pPr>
            <w:r>
              <w:rPr>
                <w:sz w:val="22"/>
              </w:rPr>
              <w:t>基金）</w:t>
            </w:r>
          </w:p>
        </w:tc>
        <w:tc>
          <w:tcPr>
            <w:tcW w:w="5480" w:type="dxa"/>
            <w:tcBorders>
              <w:top w:val="nil"/>
              <w:bottom w:val="nil"/>
            </w:tcBorders>
          </w:tcPr>
          <w:p>
            <w:pPr>
              <w:pStyle w:val="TableParagraph"/>
              <w:spacing w:line="279" w:lineRule="exact" w:before="13"/>
              <w:ind w:left="108"/>
              <w:rPr>
                <w:rFonts w:ascii="Arial" w:eastAsia="Arial"/>
                <w:sz w:val="22"/>
              </w:rPr>
            </w:pPr>
            <w:r>
              <w:rPr>
                <w:sz w:val="22"/>
              </w:rPr>
              <w:t>传真：</w:t>
            </w:r>
            <w:r>
              <w:rPr>
                <w:rFonts w:ascii="Arial" w:eastAsia="Arial"/>
                <w:sz w:val="22"/>
              </w:rPr>
              <w:t>0755-86700688</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客户服务电话：</w:t>
            </w:r>
            <w:r>
              <w:rPr>
                <w:rFonts w:ascii="Arial" w:eastAsia="Arial"/>
                <w:sz w:val="22"/>
              </w:rPr>
              <w:t>95384</w:t>
            </w:r>
          </w:p>
        </w:tc>
      </w:tr>
      <w:tr>
        <w:trPr>
          <w:trHeight w:val="309"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2"/>
              <w:ind w:left="108"/>
              <w:rPr>
                <w:rFonts w:ascii="Arial" w:eastAsia="Arial"/>
                <w:sz w:val="22"/>
              </w:rPr>
            </w:pPr>
            <w:r>
              <w:rPr>
                <w:sz w:val="22"/>
              </w:rPr>
              <w:t>网址：</w:t>
            </w:r>
            <w:hyperlink r:id="rId137">
              <w:r>
                <w:rPr>
                  <w:rFonts w:ascii="Arial" w:eastAsia="Arial"/>
                  <w:sz w:val="22"/>
                </w:rPr>
                <w:t>http://www.webank.com/</w:t>
              </w:r>
            </w:hyperlink>
          </w:p>
        </w:tc>
      </w:tr>
      <w:tr>
        <w:trPr>
          <w:trHeight w:val="314"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line="279" w:lineRule="exact" w:before="15"/>
              <w:ind w:left="108"/>
              <w:rPr>
                <w:sz w:val="22"/>
              </w:rPr>
            </w:pPr>
            <w:r>
              <w:rPr>
                <w:sz w:val="22"/>
              </w:rPr>
              <w:t>注册地址：中国（上海）自由贸易试验区福山路 </w:t>
            </w:r>
            <w:r>
              <w:rPr>
                <w:rFonts w:ascii="Arial" w:eastAsia="Arial"/>
                <w:sz w:val="22"/>
              </w:rPr>
              <w:t>33 </w:t>
            </w:r>
            <w:r>
              <w:rPr>
                <w:sz w:val="22"/>
              </w:rPr>
              <w:t>号</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sz w:val="22"/>
              </w:rPr>
            </w:pPr>
            <w:r>
              <w:rPr>
                <w:rFonts w:ascii="Arial" w:eastAsia="Arial"/>
                <w:sz w:val="22"/>
              </w:rPr>
              <w:t>11 </w:t>
            </w:r>
            <w:r>
              <w:rPr>
                <w:sz w:val="22"/>
              </w:rPr>
              <w:t>楼 </w:t>
            </w:r>
            <w:r>
              <w:rPr>
                <w:rFonts w:ascii="Arial" w:eastAsia="Arial"/>
                <w:sz w:val="22"/>
              </w:rPr>
              <w:t>B </w:t>
            </w:r>
            <w:r>
              <w:rPr>
                <w:sz w:val="22"/>
              </w:rPr>
              <w:t>座</w:t>
            </w:r>
          </w:p>
        </w:tc>
      </w:tr>
      <w:tr>
        <w:trPr>
          <w:trHeight w:val="313"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81" w:lineRule="exact" w:before="12"/>
              <w:ind w:left="108"/>
              <w:rPr>
                <w:sz w:val="22"/>
              </w:rPr>
            </w:pPr>
            <w:r>
              <w:rPr>
                <w:sz w:val="22"/>
              </w:rPr>
              <w:t>办公地址：上海市浦东新区福山路 </w:t>
            </w:r>
            <w:r>
              <w:rPr>
                <w:rFonts w:ascii="Arial" w:eastAsia="Arial"/>
                <w:sz w:val="22"/>
              </w:rPr>
              <w:t>33 </w:t>
            </w:r>
            <w:r>
              <w:rPr>
                <w:sz w:val="22"/>
              </w:rPr>
              <w:t>号 </w:t>
            </w:r>
            <w:r>
              <w:rPr>
                <w:rFonts w:ascii="Arial" w:eastAsia="Arial"/>
                <w:sz w:val="22"/>
              </w:rPr>
              <w:t>8 </w:t>
            </w:r>
            <w:r>
              <w:rPr>
                <w:sz w:val="22"/>
              </w:rPr>
              <w:t>楼</w:t>
            </w:r>
          </w:p>
        </w:tc>
      </w:tr>
      <w:tr>
        <w:trPr>
          <w:trHeight w:val="308" w:hRule="atLeast"/>
        </w:trPr>
        <w:tc>
          <w:tcPr>
            <w:tcW w:w="470" w:type="dxa"/>
            <w:tcBorders>
              <w:top w:val="nil"/>
              <w:bottom w:val="nil"/>
            </w:tcBorders>
          </w:tcPr>
          <w:p>
            <w:pPr>
              <w:pStyle w:val="TableParagraph"/>
              <w:spacing w:before="29"/>
              <w:ind w:left="117"/>
              <w:rPr>
                <w:rFonts w:ascii="Arial"/>
                <w:sz w:val="21"/>
              </w:rPr>
            </w:pPr>
            <w:r>
              <w:rPr>
                <w:rFonts w:ascii="Arial"/>
                <w:sz w:val="21"/>
              </w:rPr>
              <w:t>13</w:t>
            </w:r>
          </w:p>
        </w:tc>
        <w:tc>
          <w:tcPr>
            <w:tcW w:w="2484" w:type="dxa"/>
            <w:tcBorders>
              <w:top w:val="nil"/>
              <w:bottom w:val="nil"/>
            </w:tcBorders>
          </w:tcPr>
          <w:p>
            <w:pPr>
              <w:pStyle w:val="TableParagraph"/>
              <w:spacing w:line="278" w:lineRule="exact" w:before="10"/>
              <w:ind w:left="120" w:right="113"/>
              <w:jc w:val="center"/>
              <w:rPr>
                <w:sz w:val="22"/>
              </w:rPr>
            </w:pPr>
            <w:r>
              <w:rPr>
                <w:sz w:val="22"/>
              </w:rPr>
              <w:t>上海万得基金销售有限</w:t>
            </w:r>
          </w:p>
        </w:tc>
        <w:tc>
          <w:tcPr>
            <w:tcW w:w="5480" w:type="dxa"/>
            <w:tcBorders>
              <w:top w:val="nil"/>
              <w:bottom w:val="nil"/>
            </w:tcBorders>
          </w:tcPr>
          <w:p>
            <w:pPr>
              <w:pStyle w:val="TableParagraph"/>
              <w:spacing w:line="278" w:lineRule="exact" w:before="10"/>
              <w:ind w:left="108"/>
              <w:rPr>
                <w:sz w:val="22"/>
              </w:rPr>
            </w:pPr>
            <w:r>
              <w:rPr>
                <w:sz w:val="22"/>
              </w:rPr>
              <w:t>法定代表人：王廷富</w:t>
            </w:r>
          </w:p>
        </w:tc>
      </w:tr>
      <w:tr>
        <w:trPr>
          <w:trHeight w:val="310" w:hRule="atLeast"/>
        </w:trPr>
        <w:tc>
          <w:tcPr>
            <w:tcW w:w="470" w:type="dxa"/>
            <w:tcBorders>
              <w:top w:val="nil"/>
              <w:bottom w:val="nil"/>
            </w:tcBorders>
          </w:tcPr>
          <w:p>
            <w:pPr>
              <w:pStyle w:val="TableParagraph"/>
              <w:spacing w:before="32"/>
              <w:ind w:left="175"/>
              <w:rPr>
                <w:rFonts w:ascii="Arial"/>
                <w:sz w:val="21"/>
              </w:rPr>
            </w:pPr>
            <w:r>
              <w:rPr>
                <w:rFonts w:ascii="Arial"/>
                <w:w w:val="100"/>
                <w:sz w:val="21"/>
              </w:rPr>
              <w:t>3</w:t>
            </w:r>
          </w:p>
        </w:tc>
        <w:tc>
          <w:tcPr>
            <w:tcW w:w="2484" w:type="dxa"/>
            <w:tcBorders>
              <w:top w:val="nil"/>
              <w:bottom w:val="nil"/>
            </w:tcBorders>
          </w:tcPr>
          <w:p>
            <w:pPr>
              <w:pStyle w:val="TableParagraph"/>
              <w:spacing w:line="276" w:lineRule="exact" w:before="14"/>
              <w:ind w:left="120" w:right="113"/>
              <w:jc w:val="center"/>
              <w:rPr>
                <w:sz w:val="22"/>
              </w:rPr>
            </w:pPr>
            <w:r>
              <w:rPr>
                <w:sz w:val="22"/>
              </w:rPr>
              <w:t>公司</w:t>
            </w:r>
          </w:p>
        </w:tc>
        <w:tc>
          <w:tcPr>
            <w:tcW w:w="5480" w:type="dxa"/>
            <w:tcBorders>
              <w:top w:val="nil"/>
              <w:bottom w:val="nil"/>
            </w:tcBorders>
          </w:tcPr>
          <w:p>
            <w:pPr>
              <w:pStyle w:val="TableParagraph"/>
              <w:spacing w:line="276" w:lineRule="exact" w:before="14"/>
              <w:ind w:left="108"/>
              <w:rPr>
                <w:sz w:val="22"/>
              </w:rPr>
            </w:pPr>
            <w:r>
              <w:rPr>
                <w:sz w:val="22"/>
              </w:rPr>
              <w:t>联系人：姜吉灵</w:t>
            </w:r>
          </w:p>
        </w:tc>
      </w:tr>
      <w:tr>
        <w:trPr>
          <w:trHeight w:val="315"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6"/>
              <w:ind w:left="108"/>
              <w:rPr>
                <w:rFonts w:ascii="Arial" w:eastAsia="Arial"/>
                <w:sz w:val="22"/>
              </w:rPr>
            </w:pPr>
            <w:r>
              <w:rPr>
                <w:sz w:val="22"/>
              </w:rPr>
              <w:t>电话：</w:t>
            </w:r>
            <w:r>
              <w:rPr>
                <w:rFonts w:ascii="Arial" w:eastAsia="Arial"/>
                <w:sz w:val="22"/>
              </w:rPr>
              <w:t>021-5132 7185</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80" w:lineRule="exact" w:before="12"/>
              <w:ind w:left="108"/>
              <w:rPr>
                <w:rFonts w:ascii="Arial" w:eastAsia="Arial"/>
                <w:sz w:val="22"/>
              </w:rPr>
            </w:pPr>
            <w:r>
              <w:rPr>
                <w:sz w:val="22"/>
              </w:rPr>
              <w:t>传真：</w:t>
            </w:r>
            <w:r>
              <w:rPr>
                <w:rFonts w:ascii="Arial" w:eastAsia="Arial"/>
                <w:sz w:val="22"/>
              </w:rPr>
              <w:t>021-5071 0161</w:t>
            </w:r>
          </w:p>
        </w:tc>
      </w:tr>
      <w:tr>
        <w:trPr>
          <w:trHeight w:val="309"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2"/>
              <w:ind w:left="108"/>
              <w:rPr>
                <w:rFonts w:ascii="Arial" w:eastAsia="Arial"/>
                <w:sz w:val="22"/>
              </w:rPr>
            </w:pPr>
            <w:r>
              <w:rPr>
                <w:sz w:val="22"/>
              </w:rPr>
              <w:t>客户服务电话：</w:t>
            </w:r>
            <w:r>
              <w:rPr>
                <w:rFonts w:ascii="Arial" w:eastAsia="Arial"/>
                <w:sz w:val="22"/>
              </w:rPr>
              <w:t>400-821-0203</w:t>
            </w:r>
          </w:p>
        </w:tc>
      </w:tr>
      <w:tr>
        <w:trPr>
          <w:trHeight w:val="314"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line="279" w:lineRule="exact" w:before="15"/>
              <w:ind w:left="108"/>
              <w:rPr>
                <w:sz w:val="22"/>
              </w:rPr>
            </w:pPr>
            <w:r>
              <w:rPr>
                <w:spacing w:val="-6"/>
                <w:sz w:val="22"/>
              </w:rPr>
              <w:t>注册地址：深圳市前海深港合作区前湾一路 </w:t>
            </w:r>
            <w:r>
              <w:rPr>
                <w:rFonts w:ascii="Arial" w:eastAsia="Arial"/>
                <w:sz w:val="22"/>
              </w:rPr>
              <w:t>1 </w:t>
            </w:r>
            <w:r>
              <w:rPr>
                <w:spacing w:val="52"/>
                <w:sz w:val="22"/>
              </w:rPr>
              <w:t>号</w:t>
            </w:r>
            <w:r>
              <w:rPr>
                <w:rFonts w:ascii="Arial" w:eastAsia="Arial"/>
                <w:sz w:val="22"/>
              </w:rPr>
              <w:t>A </w:t>
            </w:r>
            <w:r>
              <w:rPr>
                <w:sz w:val="22"/>
              </w:rPr>
              <w:t>栋</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sz w:val="22"/>
              </w:rPr>
            </w:pPr>
            <w:r>
              <w:rPr>
                <w:rFonts w:ascii="Arial" w:eastAsia="Arial"/>
                <w:sz w:val="22"/>
              </w:rPr>
              <w:t>201 </w:t>
            </w:r>
            <w:r>
              <w:rPr>
                <w:sz w:val="22"/>
              </w:rPr>
              <w:t>室（入驻深圳市前海商务秘书有限公司）</w:t>
            </w:r>
          </w:p>
        </w:tc>
      </w:tr>
      <w:tr>
        <w:trPr>
          <w:trHeight w:val="317"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before="12"/>
              <w:ind w:left="108"/>
              <w:rPr>
                <w:rFonts w:ascii="Arial" w:eastAsia="Arial"/>
                <w:sz w:val="22"/>
              </w:rPr>
            </w:pPr>
            <w:r>
              <w:rPr>
                <w:sz w:val="22"/>
              </w:rPr>
              <w:t>办公地址：深圳市福田区深南大道</w:t>
            </w:r>
            <w:r>
              <w:rPr>
                <w:rFonts w:ascii="Arial" w:eastAsia="Arial"/>
                <w:sz w:val="22"/>
              </w:rPr>
              <w:t>6019 </w:t>
            </w:r>
            <w:r>
              <w:rPr>
                <w:sz w:val="22"/>
              </w:rPr>
              <w:t>号金润大厦</w:t>
            </w:r>
            <w:r>
              <w:rPr>
                <w:rFonts w:ascii="Arial" w:eastAsia="Arial"/>
                <w:sz w:val="22"/>
              </w:rPr>
              <w:t>23A</w:t>
            </w:r>
          </w:p>
        </w:tc>
      </w:tr>
      <w:tr>
        <w:trPr>
          <w:trHeight w:val="930" w:hRule="atLeast"/>
        </w:trPr>
        <w:tc>
          <w:tcPr>
            <w:tcW w:w="470" w:type="dxa"/>
            <w:tcBorders>
              <w:top w:val="nil"/>
              <w:bottom w:val="nil"/>
            </w:tcBorders>
          </w:tcPr>
          <w:p>
            <w:pPr>
              <w:pStyle w:val="TableParagraph"/>
              <w:spacing w:before="181"/>
              <w:ind w:left="98" w:right="88"/>
              <w:jc w:val="center"/>
              <w:rPr>
                <w:rFonts w:ascii="Arial"/>
                <w:sz w:val="21"/>
              </w:rPr>
            </w:pPr>
            <w:r>
              <w:rPr>
                <w:rFonts w:ascii="Arial"/>
                <w:sz w:val="21"/>
              </w:rPr>
              <w:t>13</w:t>
            </w:r>
          </w:p>
          <w:p>
            <w:pPr>
              <w:pStyle w:val="TableParagraph"/>
              <w:spacing w:before="71"/>
              <w:ind w:left="7"/>
              <w:jc w:val="center"/>
              <w:rPr>
                <w:rFonts w:ascii="Arial"/>
                <w:sz w:val="21"/>
              </w:rPr>
            </w:pPr>
            <w:r>
              <w:rPr>
                <w:rFonts w:ascii="Arial"/>
                <w:w w:val="100"/>
                <w:sz w:val="21"/>
              </w:rPr>
              <w:t>4</w:t>
            </w:r>
          </w:p>
        </w:tc>
        <w:tc>
          <w:tcPr>
            <w:tcW w:w="2484" w:type="dxa"/>
            <w:tcBorders>
              <w:top w:val="nil"/>
              <w:bottom w:val="nil"/>
            </w:tcBorders>
          </w:tcPr>
          <w:p>
            <w:pPr>
              <w:pStyle w:val="TableParagraph"/>
              <w:spacing w:line="266" w:lineRule="auto" w:before="163"/>
              <w:ind w:left="688" w:right="129" w:hanging="550"/>
              <w:rPr>
                <w:sz w:val="22"/>
              </w:rPr>
            </w:pPr>
            <w:r>
              <w:rPr>
                <w:sz w:val="22"/>
              </w:rPr>
              <w:t>深圳前海凯恩斯基金销售有限公司</w:t>
            </w:r>
          </w:p>
        </w:tc>
        <w:tc>
          <w:tcPr>
            <w:tcW w:w="5480" w:type="dxa"/>
            <w:tcBorders>
              <w:top w:val="nil"/>
              <w:bottom w:val="nil"/>
            </w:tcBorders>
          </w:tcPr>
          <w:p>
            <w:pPr>
              <w:pStyle w:val="TableParagraph"/>
              <w:spacing w:line="266" w:lineRule="auto" w:before="7"/>
              <w:ind w:left="108" w:right="3597"/>
              <w:rPr>
                <w:sz w:val="22"/>
              </w:rPr>
            </w:pPr>
            <w:r>
              <w:rPr>
                <w:sz w:val="22"/>
              </w:rPr>
              <w:t>法定代表人：高锋联系人：廖苑兰</w:t>
            </w:r>
          </w:p>
          <w:p>
            <w:pPr>
              <w:pStyle w:val="TableParagraph"/>
              <w:spacing w:line="278" w:lineRule="exact"/>
              <w:ind w:left="108"/>
              <w:rPr>
                <w:rFonts w:ascii="Arial" w:eastAsia="Arial"/>
                <w:sz w:val="22"/>
              </w:rPr>
            </w:pPr>
            <w:r>
              <w:rPr>
                <w:sz w:val="22"/>
              </w:rPr>
              <w:t>电话：</w:t>
            </w:r>
            <w:r>
              <w:rPr>
                <w:rFonts w:ascii="Arial" w:eastAsia="Arial"/>
                <w:sz w:val="22"/>
              </w:rPr>
              <w:t>0755-83655588</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传真：</w:t>
            </w:r>
            <w:r>
              <w:rPr>
                <w:rFonts w:ascii="Arial" w:eastAsia="Arial"/>
                <w:sz w:val="22"/>
              </w:rPr>
              <w:t>0755-83655518</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客户服务电话：</w:t>
            </w:r>
            <w:r>
              <w:rPr>
                <w:rFonts w:ascii="Arial" w:eastAsia="Arial"/>
                <w:sz w:val="22"/>
              </w:rPr>
              <w:t>4008048688</w:t>
            </w:r>
          </w:p>
        </w:tc>
      </w:tr>
      <w:tr>
        <w:trPr>
          <w:trHeight w:val="309"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2"/>
              <w:ind w:left="108"/>
              <w:rPr>
                <w:rFonts w:ascii="Arial" w:eastAsia="Arial"/>
                <w:sz w:val="22"/>
              </w:rPr>
            </w:pPr>
            <w:r>
              <w:rPr>
                <w:sz w:val="22"/>
              </w:rPr>
              <w:t>网址：</w:t>
            </w:r>
            <w:hyperlink r:id="rId138">
              <w:r>
                <w:rPr>
                  <w:rFonts w:ascii="Arial" w:eastAsia="Arial"/>
                  <w:sz w:val="22"/>
                </w:rPr>
                <w:t>www.keynesasset.com</w:t>
              </w:r>
            </w:hyperlink>
          </w:p>
        </w:tc>
      </w:tr>
      <w:tr>
        <w:trPr>
          <w:trHeight w:val="629"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before="8"/>
              <w:rPr>
                <w:rFonts w:ascii="Times New Roman"/>
                <w:sz w:val="28"/>
              </w:rPr>
            </w:pPr>
          </w:p>
          <w:p>
            <w:pPr>
              <w:pStyle w:val="TableParagraph"/>
              <w:spacing w:line="279" w:lineRule="exact"/>
              <w:ind w:left="108"/>
              <w:rPr>
                <w:sz w:val="22"/>
              </w:rPr>
            </w:pPr>
            <w:r>
              <w:rPr>
                <w:spacing w:val="-7"/>
                <w:sz w:val="22"/>
              </w:rPr>
              <w:t>注册地址：上海市黄浦区中山南路 </w:t>
            </w:r>
            <w:r>
              <w:rPr>
                <w:rFonts w:ascii="Arial" w:eastAsia="Arial"/>
                <w:sz w:val="22"/>
              </w:rPr>
              <w:t>100 </w:t>
            </w:r>
            <w:r>
              <w:rPr>
                <w:spacing w:val="-27"/>
                <w:sz w:val="22"/>
              </w:rPr>
              <w:t>号 </w:t>
            </w:r>
            <w:r>
              <w:rPr>
                <w:rFonts w:ascii="Arial" w:eastAsia="Arial"/>
                <w:sz w:val="22"/>
              </w:rPr>
              <w:t>7 </w:t>
            </w:r>
            <w:r>
              <w:rPr>
                <w:spacing w:val="-27"/>
                <w:sz w:val="22"/>
              </w:rPr>
              <w:t>层 </w:t>
            </w:r>
            <w:r>
              <w:rPr>
                <w:rFonts w:ascii="Arial" w:eastAsia="Arial"/>
                <w:sz w:val="22"/>
              </w:rPr>
              <w:t>05 </w:t>
            </w:r>
            <w:r>
              <w:rPr>
                <w:sz w:val="22"/>
              </w:rPr>
              <w:t>单元</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sz w:val="22"/>
              </w:rPr>
            </w:pPr>
            <w:r>
              <w:rPr>
                <w:sz w:val="22"/>
              </w:rPr>
              <w:t>办公地址：上海市浦东新区民生路 </w:t>
            </w:r>
            <w:r>
              <w:rPr>
                <w:rFonts w:ascii="Arial" w:eastAsia="Arial"/>
                <w:sz w:val="22"/>
              </w:rPr>
              <w:t>1199 </w:t>
            </w:r>
            <w:r>
              <w:rPr>
                <w:sz w:val="22"/>
              </w:rPr>
              <w:t>弄证大五道口</w:t>
            </w:r>
          </w:p>
        </w:tc>
      </w:tr>
      <w:tr>
        <w:trPr>
          <w:trHeight w:val="313"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81" w:lineRule="exact" w:before="12"/>
              <w:ind w:left="108"/>
              <w:rPr>
                <w:sz w:val="22"/>
              </w:rPr>
            </w:pPr>
            <w:r>
              <w:rPr>
                <w:sz w:val="22"/>
              </w:rPr>
              <w:t>广场 </w:t>
            </w:r>
            <w:r>
              <w:rPr>
                <w:rFonts w:ascii="Arial" w:eastAsia="Arial"/>
                <w:sz w:val="22"/>
              </w:rPr>
              <w:t>1 </w:t>
            </w:r>
            <w:r>
              <w:rPr>
                <w:sz w:val="22"/>
              </w:rPr>
              <w:t>号楼 </w:t>
            </w:r>
            <w:r>
              <w:rPr>
                <w:rFonts w:ascii="Arial" w:eastAsia="Arial"/>
                <w:sz w:val="22"/>
              </w:rPr>
              <w:t>27 </w:t>
            </w:r>
            <w:r>
              <w:rPr>
                <w:sz w:val="22"/>
              </w:rPr>
              <w:t>层</w:t>
            </w:r>
          </w:p>
        </w:tc>
      </w:tr>
      <w:tr>
        <w:trPr>
          <w:trHeight w:val="308" w:hRule="atLeast"/>
        </w:trPr>
        <w:tc>
          <w:tcPr>
            <w:tcW w:w="470" w:type="dxa"/>
            <w:tcBorders>
              <w:top w:val="nil"/>
              <w:bottom w:val="nil"/>
            </w:tcBorders>
          </w:tcPr>
          <w:p>
            <w:pPr>
              <w:pStyle w:val="TableParagraph"/>
              <w:spacing w:before="29"/>
              <w:ind w:left="117"/>
              <w:rPr>
                <w:rFonts w:ascii="Arial"/>
                <w:sz w:val="21"/>
              </w:rPr>
            </w:pPr>
            <w:r>
              <w:rPr>
                <w:rFonts w:ascii="Arial"/>
                <w:sz w:val="21"/>
              </w:rPr>
              <w:t>13</w:t>
            </w:r>
          </w:p>
        </w:tc>
        <w:tc>
          <w:tcPr>
            <w:tcW w:w="2484" w:type="dxa"/>
            <w:tcBorders>
              <w:top w:val="nil"/>
              <w:bottom w:val="nil"/>
            </w:tcBorders>
          </w:tcPr>
          <w:p>
            <w:pPr>
              <w:pStyle w:val="TableParagraph"/>
              <w:spacing w:line="278" w:lineRule="exact" w:before="10"/>
              <w:ind w:left="120" w:right="113"/>
              <w:jc w:val="center"/>
              <w:rPr>
                <w:sz w:val="22"/>
              </w:rPr>
            </w:pPr>
            <w:r>
              <w:rPr>
                <w:sz w:val="22"/>
              </w:rPr>
              <w:t>中民财富基金销售（上</w:t>
            </w:r>
          </w:p>
        </w:tc>
        <w:tc>
          <w:tcPr>
            <w:tcW w:w="5480" w:type="dxa"/>
            <w:tcBorders>
              <w:top w:val="nil"/>
              <w:bottom w:val="nil"/>
            </w:tcBorders>
          </w:tcPr>
          <w:p>
            <w:pPr>
              <w:pStyle w:val="TableParagraph"/>
              <w:spacing w:line="278" w:lineRule="exact" w:before="10"/>
              <w:ind w:left="108"/>
              <w:rPr>
                <w:sz w:val="22"/>
              </w:rPr>
            </w:pPr>
            <w:r>
              <w:rPr>
                <w:sz w:val="22"/>
              </w:rPr>
              <w:t>法定代表人：弭洪军</w:t>
            </w:r>
          </w:p>
        </w:tc>
      </w:tr>
      <w:tr>
        <w:trPr>
          <w:trHeight w:val="310" w:hRule="atLeast"/>
        </w:trPr>
        <w:tc>
          <w:tcPr>
            <w:tcW w:w="470" w:type="dxa"/>
            <w:tcBorders>
              <w:top w:val="nil"/>
              <w:bottom w:val="nil"/>
            </w:tcBorders>
          </w:tcPr>
          <w:p>
            <w:pPr>
              <w:pStyle w:val="TableParagraph"/>
              <w:spacing w:before="32"/>
              <w:ind w:left="175"/>
              <w:rPr>
                <w:rFonts w:ascii="Arial"/>
                <w:sz w:val="21"/>
              </w:rPr>
            </w:pPr>
            <w:r>
              <w:rPr>
                <w:rFonts w:ascii="Arial"/>
                <w:w w:val="100"/>
                <w:sz w:val="21"/>
              </w:rPr>
              <w:t>5</w:t>
            </w:r>
          </w:p>
        </w:tc>
        <w:tc>
          <w:tcPr>
            <w:tcW w:w="2484" w:type="dxa"/>
            <w:tcBorders>
              <w:top w:val="nil"/>
              <w:bottom w:val="nil"/>
            </w:tcBorders>
          </w:tcPr>
          <w:p>
            <w:pPr>
              <w:pStyle w:val="TableParagraph"/>
              <w:spacing w:line="276" w:lineRule="exact" w:before="14"/>
              <w:ind w:left="118" w:right="113"/>
              <w:jc w:val="center"/>
              <w:rPr>
                <w:sz w:val="22"/>
              </w:rPr>
            </w:pPr>
            <w:r>
              <w:rPr>
                <w:sz w:val="22"/>
              </w:rPr>
              <w:t>海）有限公司</w:t>
            </w:r>
          </w:p>
        </w:tc>
        <w:tc>
          <w:tcPr>
            <w:tcW w:w="5480" w:type="dxa"/>
            <w:tcBorders>
              <w:top w:val="nil"/>
              <w:bottom w:val="nil"/>
            </w:tcBorders>
          </w:tcPr>
          <w:p>
            <w:pPr>
              <w:pStyle w:val="TableParagraph"/>
              <w:spacing w:line="276" w:lineRule="exact" w:before="14"/>
              <w:ind w:left="108"/>
              <w:rPr>
                <w:sz w:val="22"/>
              </w:rPr>
            </w:pPr>
            <w:r>
              <w:rPr>
                <w:sz w:val="22"/>
              </w:rPr>
              <w:t>联系人：郭斯捷</w:t>
            </w:r>
          </w:p>
        </w:tc>
      </w:tr>
      <w:tr>
        <w:trPr>
          <w:trHeight w:val="315"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6"/>
              <w:ind w:left="108"/>
              <w:rPr>
                <w:rFonts w:ascii="Arial" w:eastAsia="Arial"/>
                <w:sz w:val="22"/>
              </w:rPr>
            </w:pPr>
            <w:r>
              <w:rPr>
                <w:sz w:val="22"/>
              </w:rPr>
              <w:t>电话：</w:t>
            </w:r>
            <w:r>
              <w:rPr>
                <w:rFonts w:ascii="Arial" w:eastAsia="Arial"/>
                <w:sz w:val="22"/>
              </w:rPr>
              <w:t>021-33357030</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传真：</w:t>
            </w:r>
            <w:r>
              <w:rPr>
                <w:rFonts w:ascii="Arial" w:eastAsia="Arial"/>
                <w:sz w:val="22"/>
              </w:rPr>
              <w:t>021-63353736</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客户服务电话：</w:t>
            </w:r>
            <w:r>
              <w:rPr>
                <w:rFonts w:ascii="Arial" w:eastAsia="Arial"/>
                <w:sz w:val="22"/>
              </w:rPr>
              <w:t>400-876-5716</w:t>
            </w:r>
          </w:p>
        </w:tc>
      </w:tr>
      <w:tr>
        <w:trPr>
          <w:trHeight w:val="309"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2"/>
              <w:ind w:left="108"/>
              <w:rPr>
                <w:rFonts w:ascii="Arial" w:eastAsia="Arial"/>
                <w:sz w:val="22"/>
              </w:rPr>
            </w:pPr>
            <w:r>
              <w:rPr>
                <w:sz w:val="22"/>
              </w:rPr>
              <w:t>网址：</w:t>
            </w:r>
            <w:hyperlink r:id="rId139">
              <w:r>
                <w:rPr>
                  <w:rFonts w:ascii="Arial" w:eastAsia="Arial"/>
                  <w:sz w:val="22"/>
                </w:rPr>
                <w:t>www.cmiwm.com</w:t>
              </w:r>
            </w:hyperlink>
          </w:p>
        </w:tc>
      </w:tr>
      <w:tr>
        <w:trPr>
          <w:trHeight w:val="935" w:hRule="atLeast"/>
        </w:trPr>
        <w:tc>
          <w:tcPr>
            <w:tcW w:w="470" w:type="dxa"/>
          </w:tcPr>
          <w:p>
            <w:pPr>
              <w:pStyle w:val="TableParagraph"/>
              <w:spacing w:before="189"/>
              <w:ind w:left="98" w:right="88"/>
              <w:jc w:val="center"/>
              <w:rPr>
                <w:rFonts w:ascii="Arial"/>
                <w:sz w:val="21"/>
              </w:rPr>
            </w:pPr>
            <w:r>
              <w:rPr>
                <w:rFonts w:ascii="Arial"/>
                <w:sz w:val="21"/>
              </w:rPr>
              <w:t>13</w:t>
            </w:r>
          </w:p>
          <w:p>
            <w:pPr>
              <w:pStyle w:val="TableParagraph"/>
              <w:spacing w:before="71"/>
              <w:ind w:left="7"/>
              <w:jc w:val="center"/>
              <w:rPr>
                <w:rFonts w:ascii="Arial"/>
                <w:sz w:val="21"/>
              </w:rPr>
            </w:pPr>
            <w:r>
              <w:rPr>
                <w:rFonts w:ascii="Arial"/>
                <w:w w:val="100"/>
                <w:sz w:val="21"/>
              </w:rPr>
              <w:t>6</w:t>
            </w:r>
          </w:p>
        </w:tc>
        <w:tc>
          <w:tcPr>
            <w:tcW w:w="2484" w:type="dxa"/>
          </w:tcPr>
          <w:p>
            <w:pPr>
              <w:pStyle w:val="TableParagraph"/>
              <w:spacing w:line="266" w:lineRule="auto" w:before="171"/>
              <w:ind w:left="1020" w:right="129" w:hanging="881"/>
              <w:rPr>
                <w:sz w:val="22"/>
              </w:rPr>
            </w:pPr>
            <w:r>
              <w:rPr>
                <w:sz w:val="22"/>
              </w:rPr>
              <w:t>天津国美基金销售有限公司</w:t>
            </w:r>
          </w:p>
        </w:tc>
        <w:tc>
          <w:tcPr>
            <w:tcW w:w="5480" w:type="dxa"/>
          </w:tcPr>
          <w:p>
            <w:pPr>
              <w:pStyle w:val="TableParagraph"/>
              <w:spacing w:line="266" w:lineRule="auto" w:before="15"/>
              <w:ind w:left="108" w:right="47"/>
              <w:rPr>
                <w:sz w:val="22"/>
              </w:rPr>
            </w:pPr>
            <w:r>
              <w:rPr>
                <w:sz w:val="22"/>
              </w:rPr>
              <w:t>注册地址：天津经济技术开发区南港工业区综合服务区办公楼 </w:t>
            </w:r>
            <w:r>
              <w:rPr>
                <w:rFonts w:ascii="Arial" w:eastAsia="Arial"/>
                <w:sz w:val="22"/>
              </w:rPr>
              <w:t>D </w:t>
            </w:r>
            <w:r>
              <w:rPr>
                <w:sz w:val="22"/>
              </w:rPr>
              <w:t>座二层 </w:t>
            </w:r>
            <w:r>
              <w:rPr>
                <w:rFonts w:ascii="Arial" w:eastAsia="Arial"/>
                <w:sz w:val="22"/>
              </w:rPr>
              <w:t>202-124 </w:t>
            </w:r>
            <w:r>
              <w:rPr>
                <w:sz w:val="22"/>
              </w:rPr>
              <w:t>室</w:t>
            </w:r>
          </w:p>
          <w:p>
            <w:pPr>
              <w:pStyle w:val="TableParagraph"/>
              <w:spacing w:line="275" w:lineRule="exact"/>
              <w:ind w:left="108"/>
              <w:rPr>
                <w:rFonts w:ascii="Arial" w:eastAsia="Arial"/>
                <w:sz w:val="22"/>
              </w:rPr>
            </w:pPr>
            <w:r>
              <w:rPr>
                <w:spacing w:val="-11"/>
                <w:sz w:val="22"/>
              </w:rPr>
              <w:t>办公地址：北京市朝阳区霄云路 </w:t>
            </w:r>
            <w:r>
              <w:rPr>
                <w:rFonts w:ascii="Arial" w:eastAsia="Arial"/>
                <w:sz w:val="22"/>
              </w:rPr>
              <w:t>26 </w:t>
            </w:r>
            <w:r>
              <w:rPr>
                <w:spacing w:val="-12"/>
                <w:sz w:val="22"/>
              </w:rPr>
              <w:t>号鹏润大厦 </w:t>
            </w:r>
            <w:r>
              <w:rPr>
                <w:rFonts w:ascii="Arial" w:eastAsia="Arial"/>
                <w:sz w:val="22"/>
              </w:rPr>
              <w:t>B </w:t>
            </w:r>
            <w:r>
              <w:rPr>
                <w:spacing w:val="-26"/>
                <w:sz w:val="22"/>
              </w:rPr>
              <w:t>座 </w:t>
            </w:r>
            <w:r>
              <w:rPr>
                <w:rFonts w:ascii="Arial" w:eastAsia="Arial"/>
                <w:sz w:val="22"/>
              </w:rPr>
              <w:t>19</w:t>
            </w:r>
          </w:p>
        </w:tc>
      </w:tr>
    </w:tbl>
    <w:p>
      <w:pPr>
        <w:spacing w:after="0" w:line="275" w:lineRule="exact"/>
        <w:rPr>
          <w:rFonts w:ascii="Arial" w:eastAsia="Arial"/>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2184"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sz w:val="22"/>
              </w:rPr>
            </w:pPr>
            <w:r>
              <w:rPr>
                <w:w w:val="100"/>
                <w:sz w:val="22"/>
              </w:rPr>
              <w:t>层</w:t>
            </w:r>
          </w:p>
          <w:p>
            <w:pPr>
              <w:pStyle w:val="TableParagraph"/>
              <w:spacing w:line="266" w:lineRule="auto" w:before="30"/>
              <w:ind w:left="108" w:right="3376"/>
              <w:rPr>
                <w:sz w:val="22"/>
              </w:rPr>
            </w:pPr>
            <w:r>
              <w:rPr>
                <w:sz w:val="22"/>
              </w:rPr>
              <w:t>法定代表人：丁东华联系人：郭宝亮</w:t>
            </w:r>
          </w:p>
          <w:p>
            <w:pPr>
              <w:pStyle w:val="TableParagraph"/>
              <w:spacing w:line="266" w:lineRule="auto"/>
              <w:ind w:left="108" w:right="3278"/>
              <w:rPr>
                <w:rFonts w:ascii="Arial" w:eastAsia="Arial"/>
                <w:sz w:val="22"/>
              </w:rPr>
            </w:pPr>
            <w:r>
              <w:rPr>
                <w:sz w:val="22"/>
              </w:rPr>
              <w:t>电话：</w:t>
            </w:r>
            <w:r>
              <w:rPr>
                <w:rFonts w:ascii="Arial" w:eastAsia="Arial"/>
                <w:sz w:val="22"/>
              </w:rPr>
              <w:t>010-59287984 </w:t>
            </w:r>
            <w:r>
              <w:rPr>
                <w:sz w:val="22"/>
              </w:rPr>
              <w:t>传真：</w:t>
            </w:r>
            <w:r>
              <w:rPr>
                <w:rFonts w:ascii="Arial" w:eastAsia="Arial"/>
                <w:sz w:val="22"/>
              </w:rPr>
              <w:t>010-59287825</w:t>
            </w:r>
          </w:p>
          <w:p>
            <w:pPr>
              <w:pStyle w:val="TableParagraph"/>
              <w:spacing w:line="280" w:lineRule="exact"/>
              <w:ind w:left="108"/>
              <w:rPr>
                <w:rFonts w:ascii="Arial" w:eastAsia="Arial"/>
                <w:sz w:val="22"/>
              </w:rPr>
            </w:pPr>
            <w:r>
              <w:rPr>
                <w:sz w:val="22"/>
              </w:rPr>
              <w:t>客户服务电话：</w:t>
            </w:r>
            <w:r>
              <w:rPr>
                <w:rFonts w:ascii="Arial" w:eastAsia="Arial"/>
                <w:sz w:val="22"/>
              </w:rPr>
              <w:t>4001110889</w:t>
            </w:r>
          </w:p>
          <w:p>
            <w:pPr>
              <w:pStyle w:val="TableParagraph"/>
              <w:spacing w:line="277" w:lineRule="exact" w:before="29"/>
              <w:ind w:left="108"/>
              <w:rPr>
                <w:rFonts w:ascii="Arial" w:eastAsia="Arial"/>
                <w:sz w:val="22"/>
              </w:rPr>
            </w:pPr>
            <w:r>
              <w:rPr>
                <w:sz w:val="22"/>
              </w:rPr>
              <w:t>网址：</w:t>
            </w:r>
            <w:hyperlink r:id="rId140">
              <w:r>
                <w:rPr>
                  <w:rFonts w:ascii="Arial" w:eastAsia="Arial"/>
                  <w:sz w:val="22"/>
                </w:rPr>
                <w:t>www.gomefund.com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98" w:right="88"/>
              <w:jc w:val="center"/>
              <w:rPr>
                <w:rFonts w:ascii="Arial"/>
                <w:sz w:val="21"/>
              </w:rPr>
            </w:pPr>
            <w:r>
              <w:rPr>
                <w:rFonts w:ascii="Arial"/>
                <w:sz w:val="21"/>
              </w:rPr>
              <w:t>13</w:t>
            </w:r>
          </w:p>
          <w:p>
            <w:pPr>
              <w:pStyle w:val="TableParagraph"/>
              <w:spacing w:before="71"/>
              <w:ind w:left="7"/>
              <w:jc w:val="center"/>
              <w:rPr>
                <w:rFonts w:ascii="Arial"/>
                <w:sz w:val="21"/>
              </w:rPr>
            </w:pPr>
            <w:r>
              <w:rPr>
                <w:rFonts w:ascii="Arial"/>
                <w:w w:val="100"/>
                <w:sz w:val="21"/>
              </w:rPr>
              <w:t>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1020" w:right="129" w:hanging="881"/>
              <w:rPr>
                <w:sz w:val="22"/>
              </w:rPr>
            </w:pPr>
            <w:r>
              <w:rPr>
                <w:sz w:val="22"/>
              </w:rPr>
              <w:t>北京蛋卷基金销售有限公司</w:t>
            </w:r>
          </w:p>
        </w:tc>
        <w:tc>
          <w:tcPr>
            <w:tcW w:w="5480" w:type="dxa"/>
          </w:tcPr>
          <w:p>
            <w:pPr>
              <w:pStyle w:val="TableParagraph"/>
              <w:spacing w:before="15"/>
              <w:ind w:left="108"/>
              <w:rPr>
                <w:sz w:val="22"/>
              </w:rPr>
            </w:pPr>
            <w:r>
              <w:rPr>
                <w:spacing w:val="-11"/>
                <w:sz w:val="22"/>
              </w:rPr>
              <w:t>注册地址：北京市朝阳区阜通东大街 </w:t>
            </w:r>
            <w:r>
              <w:rPr>
                <w:rFonts w:ascii="Arial" w:eastAsia="Arial"/>
                <w:sz w:val="22"/>
              </w:rPr>
              <w:t>1 </w:t>
            </w:r>
            <w:r>
              <w:rPr>
                <w:spacing w:val="-19"/>
                <w:sz w:val="22"/>
              </w:rPr>
              <w:t>号院 </w:t>
            </w:r>
            <w:r>
              <w:rPr>
                <w:rFonts w:ascii="Arial" w:eastAsia="Arial"/>
                <w:sz w:val="22"/>
              </w:rPr>
              <w:t>6 </w:t>
            </w:r>
            <w:r>
              <w:rPr>
                <w:spacing w:val="-19"/>
                <w:sz w:val="22"/>
              </w:rPr>
              <w:t>号楼 </w:t>
            </w:r>
            <w:r>
              <w:rPr>
                <w:rFonts w:ascii="Arial" w:eastAsia="Arial"/>
                <w:sz w:val="22"/>
              </w:rPr>
              <w:t>2 </w:t>
            </w:r>
            <w:r>
              <w:rPr>
                <w:sz w:val="22"/>
              </w:rPr>
              <w:t>单</w:t>
            </w:r>
          </w:p>
          <w:p>
            <w:pPr>
              <w:pStyle w:val="TableParagraph"/>
              <w:spacing w:before="30"/>
              <w:ind w:left="108"/>
              <w:rPr>
                <w:rFonts w:ascii="Arial" w:eastAsia="Arial"/>
                <w:sz w:val="22"/>
              </w:rPr>
            </w:pPr>
            <w:r>
              <w:rPr>
                <w:spacing w:val="-28"/>
                <w:sz w:val="22"/>
              </w:rPr>
              <w:t>元 </w:t>
            </w:r>
            <w:r>
              <w:rPr>
                <w:rFonts w:ascii="Arial" w:eastAsia="Arial"/>
                <w:sz w:val="22"/>
              </w:rPr>
              <w:t>21</w:t>
            </w:r>
            <w:r>
              <w:rPr>
                <w:rFonts w:ascii="Arial" w:eastAsia="Arial"/>
                <w:spacing w:val="-8"/>
                <w:sz w:val="22"/>
              </w:rPr>
              <w:t> </w:t>
            </w:r>
            <w:r>
              <w:rPr>
                <w:spacing w:val="-28"/>
                <w:sz w:val="22"/>
              </w:rPr>
              <w:t>层 </w:t>
            </w:r>
            <w:r>
              <w:rPr>
                <w:rFonts w:ascii="Arial" w:eastAsia="Arial"/>
                <w:sz w:val="22"/>
              </w:rPr>
              <w:t>222507</w:t>
            </w:r>
          </w:p>
          <w:p>
            <w:pPr>
              <w:pStyle w:val="TableParagraph"/>
              <w:spacing w:line="266" w:lineRule="auto" w:before="30"/>
              <w:ind w:left="108" w:right="3376"/>
              <w:rPr>
                <w:sz w:val="22"/>
              </w:rPr>
            </w:pPr>
            <w:r>
              <w:rPr>
                <w:spacing w:val="-4"/>
                <w:sz w:val="22"/>
              </w:rPr>
              <w:t>法定代表人：钟斐斐</w:t>
            </w:r>
            <w:r>
              <w:rPr>
                <w:spacing w:val="-1"/>
                <w:sz w:val="22"/>
              </w:rPr>
              <w:t>联系人：侯芳芳</w:t>
            </w:r>
          </w:p>
          <w:p>
            <w:pPr>
              <w:pStyle w:val="TableParagraph"/>
              <w:spacing w:line="266" w:lineRule="auto"/>
              <w:ind w:left="108" w:right="3278"/>
              <w:rPr>
                <w:rFonts w:ascii="Arial" w:eastAsia="Arial"/>
                <w:sz w:val="22"/>
              </w:rPr>
            </w:pPr>
            <w:r>
              <w:rPr>
                <w:sz w:val="22"/>
              </w:rPr>
              <w:t>电话：</w:t>
            </w:r>
            <w:r>
              <w:rPr>
                <w:rFonts w:ascii="Arial" w:eastAsia="Arial"/>
                <w:sz w:val="22"/>
              </w:rPr>
              <w:t>010-61840688 </w:t>
            </w:r>
            <w:r>
              <w:rPr>
                <w:sz w:val="22"/>
              </w:rPr>
              <w:t>传真：</w:t>
            </w:r>
            <w:r>
              <w:rPr>
                <w:rFonts w:ascii="Arial" w:eastAsia="Arial"/>
                <w:sz w:val="22"/>
              </w:rPr>
              <w:t>010-84997571</w:t>
            </w:r>
          </w:p>
          <w:p>
            <w:pPr>
              <w:pStyle w:val="TableParagraph"/>
              <w:spacing w:line="280" w:lineRule="exact"/>
              <w:ind w:left="108"/>
              <w:rPr>
                <w:rFonts w:ascii="Arial" w:eastAsia="Arial"/>
                <w:sz w:val="22"/>
              </w:rPr>
            </w:pPr>
            <w:r>
              <w:rPr>
                <w:sz w:val="22"/>
              </w:rPr>
              <w:t>客服电话：</w:t>
            </w:r>
            <w:r>
              <w:rPr>
                <w:rFonts w:ascii="Arial" w:eastAsia="Arial"/>
                <w:sz w:val="22"/>
              </w:rPr>
              <w:t>400-159-9288</w:t>
            </w:r>
          </w:p>
          <w:p>
            <w:pPr>
              <w:pStyle w:val="TableParagraph"/>
              <w:spacing w:line="277" w:lineRule="exact" w:before="29"/>
              <w:ind w:left="108"/>
              <w:rPr>
                <w:rFonts w:ascii="Arial" w:eastAsia="Arial"/>
                <w:sz w:val="22"/>
              </w:rPr>
            </w:pPr>
            <w:r>
              <w:rPr>
                <w:sz w:val="22"/>
              </w:rPr>
              <w:t>官网：</w:t>
            </w:r>
            <w:r>
              <w:rPr>
                <w:rFonts w:ascii="Arial" w:eastAsia="Arial"/>
                <w:sz w:val="22"/>
              </w:rPr>
              <w:t>https://danjuanapp.com</w:t>
            </w:r>
          </w:p>
        </w:tc>
      </w:tr>
      <w:tr>
        <w:trPr>
          <w:trHeight w:val="2807"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98" w:right="88"/>
              <w:jc w:val="center"/>
              <w:rPr>
                <w:rFonts w:ascii="Arial"/>
                <w:sz w:val="21"/>
              </w:rPr>
            </w:pPr>
            <w:r>
              <w:rPr>
                <w:rFonts w:ascii="Arial"/>
                <w:sz w:val="21"/>
              </w:rPr>
              <w:t>13</w:t>
            </w:r>
          </w:p>
          <w:p>
            <w:pPr>
              <w:pStyle w:val="TableParagraph"/>
              <w:spacing w:before="70"/>
              <w:ind w:left="7"/>
              <w:jc w:val="center"/>
              <w:rPr>
                <w:rFonts w:ascii="Arial"/>
                <w:sz w:val="21"/>
              </w:rPr>
            </w:pPr>
            <w:r>
              <w:rPr>
                <w:rFonts w:ascii="Arial"/>
                <w:w w:val="100"/>
                <w:sz w:val="21"/>
              </w:rPr>
              <w:t>8</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1020" w:right="129" w:hanging="881"/>
              <w:rPr>
                <w:sz w:val="22"/>
              </w:rPr>
            </w:pPr>
            <w:r>
              <w:rPr>
                <w:sz w:val="22"/>
              </w:rPr>
              <w:t>上海基煜基金销售有限公司</w:t>
            </w:r>
          </w:p>
        </w:tc>
        <w:tc>
          <w:tcPr>
            <w:tcW w:w="5480" w:type="dxa"/>
          </w:tcPr>
          <w:p>
            <w:pPr>
              <w:pStyle w:val="TableParagraph"/>
              <w:spacing w:before="15"/>
              <w:ind w:left="108"/>
              <w:rPr>
                <w:rFonts w:ascii="Arial" w:eastAsia="Arial"/>
                <w:sz w:val="22"/>
              </w:rPr>
            </w:pPr>
            <w:r>
              <w:rPr>
                <w:sz w:val="22"/>
              </w:rPr>
              <w:t>注册地址：上海市崇明县长兴镇路潘园公路 </w:t>
            </w:r>
            <w:r>
              <w:rPr>
                <w:rFonts w:ascii="Arial" w:eastAsia="Arial"/>
                <w:sz w:val="22"/>
              </w:rPr>
              <w:t>1800 </w:t>
            </w:r>
            <w:r>
              <w:rPr>
                <w:sz w:val="22"/>
              </w:rPr>
              <w:t>号 </w:t>
            </w:r>
            <w:r>
              <w:rPr>
                <w:rFonts w:ascii="Arial" w:eastAsia="Arial"/>
                <w:sz w:val="22"/>
              </w:rPr>
              <w:t>2</w:t>
            </w:r>
          </w:p>
          <w:p>
            <w:pPr>
              <w:pStyle w:val="TableParagraph"/>
              <w:spacing w:before="30"/>
              <w:ind w:left="108"/>
              <w:rPr>
                <w:sz w:val="22"/>
              </w:rPr>
            </w:pPr>
            <w:r>
              <w:rPr>
                <w:sz w:val="22"/>
              </w:rPr>
              <w:t>号楼 </w:t>
            </w:r>
            <w:r>
              <w:rPr>
                <w:rFonts w:ascii="Arial" w:eastAsia="Arial"/>
                <w:sz w:val="22"/>
              </w:rPr>
              <w:t>6153 </w:t>
            </w:r>
            <w:r>
              <w:rPr>
                <w:sz w:val="22"/>
              </w:rPr>
              <w:t>室（上海泰和经济发展区）</w:t>
            </w:r>
          </w:p>
          <w:p>
            <w:pPr>
              <w:pStyle w:val="TableParagraph"/>
              <w:spacing w:line="266" w:lineRule="auto" w:before="30"/>
              <w:ind w:left="108" w:right="613"/>
              <w:rPr>
                <w:sz w:val="22"/>
              </w:rPr>
            </w:pPr>
            <w:r>
              <w:rPr>
                <w:spacing w:val="-7"/>
                <w:sz w:val="22"/>
              </w:rPr>
              <w:t>办公地址：上海市杨浦区昆明路 </w:t>
            </w:r>
            <w:r>
              <w:rPr>
                <w:rFonts w:ascii="Arial" w:eastAsia="Arial"/>
                <w:sz w:val="22"/>
              </w:rPr>
              <w:t>518 </w:t>
            </w:r>
            <w:r>
              <w:rPr>
                <w:spacing w:val="-26"/>
                <w:sz w:val="22"/>
              </w:rPr>
              <w:t>号 </w:t>
            </w:r>
            <w:r>
              <w:rPr>
                <w:rFonts w:ascii="Arial" w:eastAsia="Arial"/>
                <w:sz w:val="22"/>
              </w:rPr>
              <w:t>A1002 </w:t>
            </w:r>
            <w:r>
              <w:rPr>
                <w:spacing w:val="-11"/>
                <w:sz w:val="22"/>
              </w:rPr>
              <w:t>室</w:t>
            </w:r>
            <w:r>
              <w:rPr>
                <w:spacing w:val="-2"/>
                <w:sz w:val="22"/>
              </w:rPr>
              <w:t>法定代表人：王翔</w:t>
            </w:r>
          </w:p>
          <w:p>
            <w:pPr>
              <w:pStyle w:val="TableParagraph"/>
              <w:spacing w:line="280" w:lineRule="exact"/>
              <w:ind w:left="108"/>
              <w:rPr>
                <w:sz w:val="22"/>
              </w:rPr>
            </w:pPr>
            <w:r>
              <w:rPr>
                <w:sz w:val="22"/>
              </w:rPr>
              <w:t>联系人：蓝杰</w:t>
            </w:r>
          </w:p>
          <w:p>
            <w:pPr>
              <w:pStyle w:val="TableParagraph"/>
              <w:spacing w:line="266" w:lineRule="auto" w:before="30"/>
              <w:ind w:left="108" w:right="3278"/>
              <w:rPr>
                <w:rFonts w:ascii="Arial" w:eastAsia="Arial"/>
                <w:sz w:val="22"/>
              </w:rPr>
            </w:pPr>
            <w:r>
              <w:rPr>
                <w:sz w:val="22"/>
              </w:rPr>
              <w:t>电话：</w:t>
            </w:r>
            <w:r>
              <w:rPr>
                <w:rFonts w:ascii="Arial" w:eastAsia="Arial"/>
                <w:sz w:val="22"/>
              </w:rPr>
              <w:t>021-65370077 </w:t>
            </w:r>
            <w:r>
              <w:rPr>
                <w:sz w:val="22"/>
              </w:rPr>
              <w:t>传真：</w:t>
            </w:r>
            <w:r>
              <w:rPr>
                <w:rFonts w:ascii="Arial" w:eastAsia="Arial"/>
                <w:sz w:val="22"/>
              </w:rPr>
              <w:t>021-55085991</w:t>
            </w:r>
          </w:p>
          <w:p>
            <w:pPr>
              <w:pStyle w:val="TableParagraph"/>
              <w:spacing w:line="281" w:lineRule="exact"/>
              <w:ind w:left="108"/>
              <w:rPr>
                <w:rFonts w:ascii="Arial" w:eastAsia="Arial"/>
                <w:sz w:val="22"/>
              </w:rPr>
            </w:pPr>
            <w:r>
              <w:rPr>
                <w:sz w:val="22"/>
              </w:rPr>
              <w:t>客户服务电话：</w:t>
            </w:r>
            <w:r>
              <w:rPr>
                <w:rFonts w:ascii="Arial" w:eastAsia="Arial"/>
                <w:sz w:val="22"/>
              </w:rPr>
              <w:t>4008205369</w:t>
            </w:r>
          </w:p>
          <w:p>
            <w:pPr>
              <w:pStyle w:val="TableParagraph"/>
              <w:spacing w:line="277" w:lineRule="exact" w:before="30"/>
              <w:ind w:left="108"/>
              <w:rPr>
                <w:rFonts w:ascii="Arial" w:eastAsia="Arial"/>
                <w:sz w:val="22"/>
              </w:rPr>
            </w:pPr>
            <w:r>
              <w:rPr>
                <w:sz w:val="22"/>
              </w:rPr>
              <w:t>网址：</w:t>
            </w:r>
            <w:hyperlink r:id="rId141">
              <w:r>
                <w:rPr>
                  <w:rFonts w:ascii="Arial" w:eastAsia="Arial"/>
                  <w:sz w:val="22"/>
                </w:rPr>
                <w:t>www.jiyufund.com.cn</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98" w:right="88"/>
              <w:jc w:val="center"/>
              <w:rPr>
                <w:rFonts w:ascii="Arial"/>
                <w:sz w:val="21"/>
              </w:rPr>
            </w:pPr>
            <w:r>
              <w:rPr>
                <w:rFonts w:ascii="Arial"/>
                <w:sz w:val="21"/>
              </w:rPr>
              <w:t>13</w:t>
            </w:r>
          </w:p>
          <w:p>
            <w:pPr>
              <w:pStyle w:val="TableParagraph"/>
              <w:spacing w:before="71"/>
              <w:ind w:left="7"/>
              <w:jc w:val="center"/>
              <w:rPr>
                <w:rFonts w:ascii="Arial"/>
                <w:sz w:val="21"/>
              </w:rPr>
            </w:pPr>
            <w:r>
              <w:rPr>
                <w:rFonts w:ascii="Arial"/>
                <w:w w:val="100"/>
                <w:sz w:val="21"/>
              </w:rPr>
              <w:t>9</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1020" w:right="129" w:hanging="881"/>
              <w:rPr>
                <w:sz w:val="22"/>
              </w:rPr>
            </w:pPr>
            <w:r>
              <w:rPr>
                <w:sz w:val="22"/>
              </w:rPr>
              <w:t>南京途牛基金销售有限公司</w:t>
            </w:r>
          </w:p>
        </w:tc>
        <w:tc>
          <w:tcPr>
            <w:tcW w:w="5480" w:type="dxa"/>
          </w:tcPr>
          <w:p>
            <w:pPr>
              <w:pStyle w:val="TableParagraph"/>
              <w:spacing w:before="15"/>
              <w:ind w:left="108"/>
              <w:rPr>
                <w:sz w:val="22"/>
              </w:rPr>
            </w:pPr>
            <w:r>
              <w:rPr>
                <w:sz w:val="22"/>
              </w:rPr>
              <w:t>注册地址：南京市玄武区玄武大道 </w:t>
            </w:r>
            <w:r>
              <w:rPr>
                <w:rFonts w:ascii="Arial" w:eastAsia="Arial"/>
                <w:sz w:val="22"/>
              </w:rPr>
              <w:t>699-1 </w:t>
            </w:r>
            <w:r>
              <w:rPr>
                <w:sz w:val="22"/>
              </w:rPr>
              <w:t>号</w:t>
            </w:r>
          </w:p>
          <w:p>
            <w:pPr>
              <w:pStyle w:val="TableParagraph"/>
              <w:spacing w:line="266" w:lineRule="auto" w:before="30"/>
              <w:ind w:left="108" w:right="1095"/>
              <w:rPr>
                <w:sz w:val="22"/>
              </w:rPr>
            </w:pPr>
            <w:r>
              <w:rPr>
                <w:sz w:val="22"/>
              </w:rPr>
              <w:t>办公地址：南京市玄武区玄武大道 </w:t>
            </w:r>
            <w:r>
              <w:rPr>
                <w:rFonts w:ascii="Arial" w:eastAsia="Arial"/>
                <w:sz w:val="22"/>
              </w:rPr>
              <w:t>699-1 </w:t>
            </w:r>
            <w:r>
              <w:rPr>
                <w:sz w:val="22"/>
              </w:rPr>
              <w:t>号法定代表人：宋时琳</w:t>
            </w:r>
          </w:p>
          <w:p>
            <w:pPr>
              <w:pStyle w:val="TableParagraph"/>
              <w:spacing w:line="280" w:lineRule="exact"/>
              <w:ind w:left="108"/>
              <w:rPr>
                <w:sz w:val="22"/>
              </w:rPr>
            </w:pPr>
            <w:r>
              <w:rPr>
                <w:sz w:val="22"/>
              </w:rPr>
              <w:t>联系人：王旋</w:t>
            </w:r>
          </w:p>
          <w:p>
            <w:pPr>
              <w:pStyle w:val="TableParagraph"/>
              <w:spacing w:line="266" w:lineRule="auto" w:before="30"/>
              <w:ind w:left="108" w:right="2888"/>
              <w:rPr>
                <w:rFonts w:ascii="Arial" w:hAnsi="Arial" w:eastAsia="Arial"/>
                <w:sz w:val="22"/>
              </w:rPr>
            </w:pPr>
            <w:r>
              <w:rPr>
                <w:sz w:val="22"/>
              </w:rPr>
              <w:t>电 话 ：</w:t>
            </w:r>
            <w:r>
              <w:rPr>
                <w:rFonts w:ascii="Arial" w:hAnsi="Arial" w:eastAsia="Arial"/>
                <w:sz w:val="22"/>
              </w:rPr>
              <w:t>025—86853969 </w:t>
            </w:r>
            <w:r>
              <w:rPr>
                <w:sz w:val="22"/>
              </w:rPr>
              <w:t>传真：</w:t>
            </w:r>
            <w:r>
              <w:rPr>
                <w:rFonts w:ascii="Arial" w:hAnsi="Arial" w:eastAsia="Arial"/>
                <w:sz w:val="22"/>
              </w:rPr>
              <w:t>025—86853960 </w:t>
            </w:r>
            <w:r>
              <w:rPr>
                <w:spacing w:val="-2"/>
                <w:sz w:val="22"/>
              </w:rPr>
              <w:t>客服电话：</w:t>
            </w:r>
            <w:r>
              <w:rPr>
                <w:rFonts w:ascii="Arial" w:hAnsi="Arial" w:eastAsia="Arial"/>
                <w:spacing w:val="-1"/>
                <w:sz w:val="22"/>
              </w:rPr>
              <w:t>4007-999-999</w:t>
            </w:r>
          </w:p>
          <w:p>
            <w:pPr>
              <w:pStyle w:val="TableParagraph"/>
              <w:spacing w:line="275" w:lineRule="exact"/>
              <w:ind w:left="108"/>
              <w:rPr>
                <w:rFonts w:ascii="Arial" w:eastAsia="Arial"/>
                <w:sz w:val="22"/>
              </w:rPr>
            </w:pPr>
            <w:r>
              <w:rPr>
                <w:sz w:val="22"/>
              </w:rPr>
              <w:t>网址：</w:t>
            </w:r>
            <w:hyperlink r:id="rId142">
              <w:r>
                <w:rPr>
                  <w:rFonts w:ascii="Arial" w:eastAsia="Arial"/>
                  <w:sz w:val="22"/>
                </w:rPr>
                <w:t>http://jr.tuniu.com</w:t>
              </w:r>
            </w:hyperlink>
          </w:p>
        </w:tc>
      </w:tr>
      <w:tr>
        <w:trPr>
          <w:trHeight w:val="3121"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98" w:right="88"/>
              <w:jc w:val="center"/>
              <w:rPr>
                <w:rFonts w:ascii="Arial"/>
                <w:sz w:val="21"/>
              </w:rPr>
            </w:pPr>
            <w:r>
              <w:rPr>
                <w:rFonts w:ascii="Arial"/>
                <w:sz w:val="21"/>
              </w:rPr>
              <w:t>14</w:t>
            </w:r>
          </w:p>
          <w:p>
            <w:pPr>
              <w:pStyle w:val="TableParagraph"/>
              <w:spacing w:before="71"/>
              <w:ind w:left="7"/>
              <w:jc w:val="center"/>
              <w:rPr>
                <w:rFonts w:ascii="Arial"/>
                <w:sz w:val="21"/>
              </w:rPr>
            </w:pPr>
            <w:r>
              <w:rPr>
                <w:rFonts w:ascii="Arial"/>
                <w:w w:val="100"/>
                <w:sz w:val="21"/>
              </w:rPr>
              <w:t>0</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ind w:left="799" w:right="129" w:hanging="660"/>
              <w:rPr>
                <w:sz w:val="22"/>
              </w:rPr>
            </w:pPr>
            <w:r>
              <w:rPr>
                <w:sz w:val="22"/>
              </w:rPr>
              <w:t>上海钜派钰茂基金销售有限公司</w:t>
            </w:r>
          </w:p>
        </w:tc>
        <w:tc>
          <w:tcPr>
            <w:tcW w:w="5480" w:type="dxa"/>
          </w:tcPr>
          <w:p>
            <w:pPr>
              <w:pStyle w:val="TableParagraph"/>
              <w:spacing w:before="17"/>
              <w:ind w:left="108"/>
              <w:rPr>
                <w:sz w:val="22"/>
              </w:rPr>
            </w:pPr>
            <w:r>
              <w:rPr>
                <w:sz w:val="22"/>
              </w:rPr>
              <w:t>注册地址：上海市浦东新区泥城镇新城路 </w:t>
            </w:r>
            <w:r>
              <w:rPr>
                <w:rFonts w:ascii="Arial" w:eastAsia="Arial"/>
                <w:sz w:val="22"/>
              </w:rPr>
              <w:t>2 </w:t>
            </w:r>
            <w:r>
              <w:rPr>
                <w:sz w:val="22"/>
              </w:rPr>
              <w:t>号 </w:t>
            </w:r>
            <w:r>
              <w:rPr>
                <w:rFonts w:ascii="Arial" w:eastAsia="Arial"/>
                <w:sz w:val="22"/>
              </w:rPr>
              <w:t>24 </w:t>
            </w:r>
            <w:r>
              <w:rPr>
                <w:sz w:val="22"/>
              </w:rPr>
              <w:t>幢</w:t>
            </w:r>
          </w:p>
          <w:p>
            <w:pPr>
              <w:pStyle w:val="TableParagraph"/>
              <w:spacing w:before="30"/>
              <w:ind w:left="108"/>
              <w:rPr>
                <w:sz w:val="22"/>
              </w:rPr>
            </w:pPr>
            <w:r>
              <w:rPr>
                <w:rFonts w:ascii="Arial" w:eastAsia="Arial"/>
                <w:sz w:val="22"/>
              </w:rPr>
              <w:t>N3187 </w:t>
            </w:r>
            <w:r>
              <w:rPr>
                <w:sz w:val="22"/>
              </w:rPr>
              <w:t>室</w:t>
            </w:r>
          </w:p>
          <w:p>
            <w:pPr>
              <w:pStyle w:val="TableParagraph"/>
              <w:spacing w:before="30"/>
              <w:ind w:left="108"/>
              <w:rPr>
                <w:sz w:val="22"/>
              </w:rPr>
            </w:pPr>
            <w:r>
              <w:rPr>
                <w:sz w:val="22"/>
              </w:rPr>
              <w:t>办公地址：上海市浦东新区浦东南路 </w:t>
            </w:r>
            <w:r>
              <w:rPr>
                <w:rFonts w:ascii="Arial" w:eastAsia="Arial"/>
                <w:sz w:val="22"/>
              </w:rPr>
              <w:t>379 </w:t>
            </w:r>
            <w:r>
              <w:rPr>
                <w:sz w:val="22"/>
              </w:rPr>
              <w:t>号金穗大厦</w:t>
            </w:r>
          </w:p>
          <w:p>
            <w:pPr>
              <w:pStyle w:val="TableParagraph"/>
              <w:spacing w:before="30"/>
              <w:ind w:left="108"/>
              <w:rPr>
                <w:sz w:val="22"/>
              </w:rPr>
            </w:pPr>
            <w:r>
              <w:rPr>
                <w:rFonts w:ascii="Arial" w:eastAsia="Arial"/>
                <w:sz w:val="22"/>
              </w:rPr>
              <w:t>14 </w:t>
            </w:r>
            <w:r>
              <w:rPr>
                <w:sz w:val="22"/>
              </w:rPr>
              <w:t>楼 </w:t>
            </w:r>
            <w:r>
              <w:rPr>
                <w:rFonts w:ascii="Arial" w:eastAsia="Arial"/>
                <w:sz w:val="22"/>
              </w:rPr>
              <w:t>C </w:t>
            </w:r>
            <w:r>
              <w:rPr>
                <w:sz w:val="22"/>
              </w:rPr>
              <w:t>座</w:t>
            </w:r>
          </w:p>
          <w:p>
            <w:pPr>
              <w:pStyle w:val="TableParagraph"/>
              <w:spacing w:line="266" w:lineRule="auto" w:before="31"/>
              <w:ind w:left="108" w:right="3376"/>
              <w:rPr>
                <w:sz w:val="22"/>
              </w:rPr>
            </w:pPr>
            <w:r>
              <w:rPr>
                <w:sz w:val="22"/>
              </w:rPr>
              <w:t>法定代表人：杨雅琴联系人：卢奕</w:t>
            </w:r>
          </w:p>
          <w:p>
            <w:pPr>
              <w:pStyle w:val="TableParagraph"/>
              <w:spacing w:line="266" w:lineRule="auto"/>
              <w:ind w:left="108" w:right="3278"/>
              <w:rPr>
                <w:rFonts w:ascii="Arial" w:eastAsia="Arial"/>
                <w:sz w:val="22"/>
              </w:rPr>
            </w:pPr>
            <w:r>
              <w:rPr>
                <w:sz w:val="22"/>
              </w:rPr>
              <w:t>电话：</w:t>
            </w:r>
            <w:r>
              <w:rPr>
                <w:rFonts w:ascii="Arial" w:eastAsia="Arial"/>
                <w:sz w:val="22"/>
              </w:rPr>
              <w:t>021-68670358 </w:t>
            </w:r>
            <w:r>
              <w:rPr>
                <w:sz w:val="22"/>
              </w:rPr>
              <w:t>传真：</w:t>
            </w:r>
            <w:r>
              <w:rPr>
                <w:rFonts w:ascii="Arial" w:eastAsia="Arial"/>
                <w:sz w:val="22"/>
              </w:rPr>
              <w:t>021-68413161</w:t>
            </w:r>
          </w:p>
          <w:p>
            <w:pPr>
              <w:pStyle w:val="TableParagraph"/>
              <w:spacing w:line="280" w:lineRule="exact"/>
              <w:ind w:left="108"/>
              <w:rPr>
                <w:rFonts w:ascii="Arial" w:eastAsia="Arial"/>
                <w:sz w:val="22"/>
              </w:rPr>
            </w:pPr>
            <w:r>
              <w:rPr>
                <w:sz w:val="22"/>
              </w:rPr>
              <w:t>客户服务电话：</w:t>
            </w:r>
            <w:r>
              <w:rPr>
                <w:rFonts w:ascii="Arial" w:eastAsia="Arial"/>
                <w:sz w:val="22"/>
              </w:rPr>
              <w:t>4006889967</w:t>
            </w:r>
          </w:p>
          <w:p>
            <w:pPr>
              <w:pStyle w:val="TableParagraph"/>
              <w:spacing w:line="277" w:lineRule="exact" w:before="28"/>
              <w:ind w:left="108"/>
              <w:rPr>
                <w:rFonts w:ascii="Arial" w:eastAsia="Arial"/>
                <w:sz w:val="22"/>
              </w:rPr>
            </w:pPr>
            <w:r>
              <w:rPr>
                <w:sz w:val="22"/>
              </w:rPr>
              <w:t>网址：</w:t>
            </w:r>
            <w:hyperlink r:id="rId143">
              <w:r>
                <w:rPr>
                  <w:rFonts w:ascii="Arial" w:eastAsia="Arial"/>
                  <w:sz w:val="22"/>
                </w:rPr>
                <w:t>http://www.jp-fund.com/</w:t>
              </w:r>
            </w:hyperlink>
          </w:p>
        </w:tc>
      </w:tr>
      <w:tr>
        <w:trPr>
          <w:trHeight w:val="623" w:hRule="atLeast"/>
        </w:trPr>
        <w:tc>
          <w:tcPr>
            <w:tcW w:w="470" w:type="dxa"/>
          </w:tcPr>
          <w:p>
            <w:pPr>
              <w:pStyle w:val="TableParagraph"/>
              <w:spacing w:before="33"/>
              <w:ind w:left="98" w:right="88"/>
              <w:jc w:val="center"/>
              <w:rPr>
                <w:rFonts w:ascii="Arial"/>
                <w:sz w:val="21"/>
              </w:rPr>
            </w:pPr>
            <w:r>
              <w:rPr>
                <w:rFonts w:ascii="Arial"/>
                <w:sz w:val="21"/>
              </w:rPr>
              <w:t>14</w:t>
            </w:r>
          </w:p>
          <w:p>
            <w:pPr>
              <w:pStyle w:val="TableParagraph"/>
              <w:spacing w:before="71"/>
              <w:ind w:left="7"/>
              <w:jc w:val="center"/>
              <w:rPr>
                <w:rFonts w:ascii="Arial"/>
                <w:sz w:val="21"/>
              </w:rPr>
            </w:pPr>
            <w:r>
              <w:rPr>
                <w:rFonts w:ascii="Arial"/>
                <w:w w:val="100"/>
                <w:sz w:val="21"/>
              </w:rPr>
              <w:t>1</w:t>
            </w:r>
          </w:p>
        </w:tc>
        <w:tc>
          <w:tcPr>
            <w:tcW w:w="2484" w:type="dxa"/>
          </w:tcPr>
          <w:p>
            <w:pPr>
              <w:pStyle w:val="TableParagraph"/>
              <w:spacing w:before="15"/>
              <w:ind w:left="120" w:right="113"/>
              <w:jc w:val="center"/>
              <w:rPr>
                <w:sz w:val="22"/>
              </w:rPr>
            </w:pPr>
            <w:r>
              <w:rPr>
                <w:sz w:val="22"/>
              </w:rPr>
              <w:t>凤凰金信（银川）基金</w:t>
            </w:r>
          </w:p>
          <w:p>
            <w:pPr>
              <w:pStyle w:val="TableParagraph"/>
              <w:spacing w:line="277" w:lineRule="exact" w:before="30"/>
              <w:ind w:left="118" w:right="113"/>
              <w:jc w:val="center"/>
              <w:rPr>
                <w:sz w:val="22"/>
              </w:rPr>
            </w:pPr>
            <w:r>
              <w:rPr>
                <w:sz w:val="22"/>
              </w:rPr>
              <w:t>销售有限公司</w:t>
            </w:r>
          </w:p>
        </w:tc>
        <w:tc>
          <w:tcPr>
            <w:tcW w:w="5480" w:type="dxa"/>
          </w:tcPr>
          <w:p>
            <w:pPr>
              <w:pStyle w:val="TableParagraph"/>
              <w:spacing w:before="5"/>
              <w:rPr>
                <w:rFonts w:ascii="Times New Roman"/>
                <w:sz w:val="28"/>
              </w:rPr>
            </w:pPr>
          </w:p>
          <w:p>
            <w:pPr>
              <w:pStyle w:val="TableParagraph"/>
              <w:spacing w:line="277" w:lineRule="exact"/>
              <w:ind w:left="108"/>
              <w:rPr>
                <w:sz w:val="22"/>
              </w:rPr>
            </w:pPr>
            <w:r>
              <w:rPr>
                <w:sz w:val="22"/>
              </w:rPr>
              <w:t>注册地址：宁夏回族自治区银川市金凤区阅海湾中央商</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2808"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rFonts w:ascii="Arial" w:eastAsia="Arial"/>
                <w:sz w:val="22"/>
              </w:rPr>
            </w:pPr>
            <w:r>
              <w:rPr>
                <w:sz w:val="22"/>
              </w:rPr>
              <w:t>务区万寿路 </w:t>
            </w:r>
            <w:r>
              <w:rPr>
                <w:rFonts w:ascii="Arial" w:eastAsia="Arial"/>
                <w:sz w:val="22"/>
              </w:rPr>
              <w:t>142 </w:t>
            </w:r>
            <w:r>
              <w:rPr>
                <w:sz w:val="22"/>
              </w:rPr>
              <w:t>号 </w:t>
            </w:r>
            <w:r>
              <w:rPr>
                <w:rFonts w:ascii="Arial" w:eastAsia="Arial"/>
                <w:sz w:val="22"/>
              </w:rPr>
              <w:t>14 </w:t>
            </w:r>
            <w:r>
              <w:rPr>
                <w:sz w:val="22"/>
              </w:rPr>
              <w:t>层 </w:t>
            </w:r>
            <w:r>
              <w:rPr>
                <w:rFonts w:ascii="Arial" w:eastAsia="Arial"/>
                <w:sz w:val="22"/>
              </w:rPr>
              <w:t>1402</w:t>
            </w:r>
          </w:p>
          <w:p>
            <w:pPr>
              <w:pStyle w:val="TableParagraph"/>
              <w:spacing w:before="30"/>
              <w:ind w:left="108"/>
              <w:rPr>
                <w:sz w:val="22"/>
              </w:rPr>
            </w:pPr>
            <w:r>
              <w:rPr>
                <w:sz w:val="22"/>
              </w:rPr>
              <w:t>办公地址：北京市朝阳区紫月路 </w:t>
            </w:r>
            <w:r>
              <w:rPr>
                <w:rFonts w:ascii="Arial" w:eastAsia="Arial"/>
                <w:sz w:val="22"/>
              </w:rPr>
              <w:t>18 </w:t>
            </w:r>
            <w:r>
              <w:rPr>
                <w:sz w:val="22"/>
              </w:rPr>
              <w:t>号院朝来高科技产</w:t>
            </w:r>
          </w:p>
          <w:p>
            <w:pPr>
              <w:pStyle w:val="TableParagraph"/>
              <w:spacing w:before="31"/>
              <w:ind w:left="108"/>
              <w:rPr>
                <w:sz w:val="22"/>
              </w:rPr>
            </w:pPr>
            <w:r>
              <w:rPr>
                <w:sz w:val="22"/>
              </w:rPr>
              <w:t>业园 </w:t>
            </w:r>
            <w:r>
              <w:rPr>
                <w:rFonts w:ascii="Arial" w:eastAsia="Arial"/>
                <w:sz w:val="22"/>
              </w:rPr>
              <w:t>18 </w:t>
            </w:r>
            <w:r>
              <w:rPr>
                <w:sz w:val="22"/>
              </w:rPr>
              <w:t>号楼</w:t>
            </w:r>
          </w:p>
          <w:p>
            <w:pPr>
              <w:pStyle w:val="TableParagraph"/>
              <w:spacing w:line="266" w:lineRule="auto" w:before="30"/>
              <w:ind w:left="108" w:right="3597"/>
              <w:rPr>
                <w:sz w:val="22"/>
              </w:rPr>
            </w:pPr>
            <w:r>
              <w:rPr>
                <w:sz w:val="22"/>
              </w:rPr>
              <w:t>法定代表人：张旭联系人：陈旭</w:t>
            </w:r>
          </w:p>
          <w:p>
            <w:pPr>
              <w:pStyle w:val="TableParagraph"/>
              <w:spacing w:line="266" w:lineRule="auto"/>
              <w:ind w:left="108" w:right="3278"/>
              <w:rPr>
                <w:rFonts w:ascii="Arial" w:eastAsia="Arial"/>
                <w:sz w:val="22"/>
              </w:rPr>
            </w:pPr>
            <w:r>
              <w:rPr>
                <w:sz w:val="22"/>
              </w:rPr>
              <w:t>电话：</w:t>
            </w:r>
            <w:r>
              <w:rPr>
                <w:rFonts w:ascii="Arial" w:eastAsia="Arial"/>
                <w:sz w:val="22"/>
              </w:rPr>
              <w:t>010-58160168 </w:t>
            </w:r>
            <w:r>
              <w:rPr>
                <w:sz w:val="22"/>
              </w:rPr>
              <w:t>传真：</w:t>
            </w:r>
            <w:r>
              <w:rPr>
                <w:rFonts w:ascii="Arial" w:eastAsia="Arial"/>
                <w:sz w:val="22"/>
              </w:rPr>
              <w:t>010-58160173</w:t>
            </w:r>
          </w:p>
          <w:p>
            <w:pPr>
              <w:pStyle w:val="TableParagraph"/>
              <w:spacing w:line="280" w:lineRule="exact"/>
              <w:ind w:left="108"/>
              <w:rPr>
                <w:rFonts w:ascii="Arial" w:eastAsia="Arial"/>
                <w:sz w:val="22"/>
              </w:rPr>
            </w:pPr>
            <w:r>
              <w:rPr>
                <w:sz w:val="22"/>
              </w:rPr>
              <w:t>客户服务电话：</w:t>
            </w:r>
            <w:r>
              <w:rPr>
                <w:rFonts w:ascii="Arial" w:eastAsia="Arial"/>
                <w:sz w:val="22"/>
              </w:rPr>
              <w:t>400-810-5919</w:t>
            </w:r>
          </w:p>
          <w:p>
            <w:pPr>
              <w:pStyle w:val="TableParagraph"/>
              <w:spacing w:line="277" w:lineRule="exact" w:before="28"/>
              <w:ind w:left="108"/>
              <w:rPr>
                <w:rFonts w:ascii="Arial" w:eastAsia="Arial"/>
                <w:sz w:val="22"/>
              </w:rPr>
            </w:pPr>
            <w:r>
              <w:rPr>
                <w:sz w:val="22"/>
              </w:rPr>
              <w:t>网址： </w:t>
            </w:r>
            <w:hyperlink r:id="rId144">
              <w:r>
                <w:rPr>
                  <w:rFonts w:ascii="Arial" w:eastAsia="Arial"/>
                  <w:sz w:val="22"/>
                </w:rPr>
                <w:t>www.fengfd.com</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98" w:right="88"/>
              <w:jc w:val="center"/>
              <w:rPr>
                <w:rFonts w:ascii="Arial"/>
                <w:sz w:val="21"/>
              </w:rPr>
            </w:pPr>
            <w:r>
              <w:rPr>
                <w:rFonts w:ascii="Arial"/>
                <w:sz w:val="21"/>
              </w:rPr>
              <w:t>14</w:t>
            </w:r>
          </w:p>
          <w:p>
            <w:pPr>
              <w:pStyle w:val="TableParagraph"/>
              <w:spacing w:before="70"/>
              <w:ind w:left="7"/>
              <w:jc w:val="center"/>
              <w:rPr>
                <w:rFonts w:ascii="Arial"/>
                <w:sz w:val="21"/>
              </w:rPr>
            </w:pPr>
            <w:r>
              <w:rPr>
                <w:rFonts w:ascii="Arial"/>
                <w:w w:val="100"/>
                <w:sz w:val="21"/>
              </w:rPr>
              <w:t>2</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spacing w:line="266" w:lineRule="auto"/>
              <w:ind w:left="909" w:right="129" w:hanging="771"/>
              <w:rPr>
                <w:sz w:val="22"/>
              </w:rPr>
            </w:pPr>
            <w:r>
              <w:rPr>
                <w:sz w:val="22"/>
              </w:rPr>
              <w:t>北京微动利基金销售有限公司</w:t>
            </w:r>
          </w:p>
        </w:tc>
        <w:tc>
          <w:tcPr>
            <w:tcW w:w="5480" w:type="dxa"/>
          </w:tcPr>
          <w:p>
            <w:pPr>
              <w:pStyle w:val="TableParagraph"/>
              <w:spacing w:before="15"/>
              <w:ind w:left="108"/>
              <w:rPr>
                <w:sz w:val="22"/>
              </w:rPr>
            </w:pPr>
            <w:r>
              <w:rPr>
                <w:spacing w:val="-11"/>
                <w:sz w:val="22"/>
              </w:rPr>
              <w:t>注册地址：北京市石景山区古城西路 </w:t>
            </w:r>
            <w:r>
              <w:rPr>
                <w:rFonts w:ascii="Arial" w:eastAsia="Arial"/>
                <w:sz w:val="22"/>
              </w:rPr>
              <w:t>113 </w:t>
            </w:r>
            <w:r>
              <w:rPr>
                <w:spacing w:val="-3"/>
                <w:sz w:val="22"/>
              </w:rPr>
              <w:t>号景山财富中</w:t>
            </w:r>
          </w:p>
          <w:p>
            <w:pPr>
              <w:pStyle w:val="TableParagraph"/>
              <w:spacing w:before="30"/>
              <w:ind w:left="108"/>
              <w:rPr>
                <w:sz w:val="22"/>
              </w:rPr>
            </w:pPr>
            <w:r>
              <w:rPr>
                <w:sz w:val="22"/>
              </w:rPr>
              <w:t>心 </w:t>
            </w:r>
            <w:r>
              <w:rPr>
                <w:rFonts w:ascii="Arial" w:eastAsia="Arial"/>
                <w:sz w:val="22"/>
              </w:rPr>
              <w:t>342 </w:t>
            </w:r>
            <w:r>
              <w:rPr>
                <w:sz w:val="22"/>
              </w:rPr>
              <w:t>室</w:t>
            </w:r>
          </w:p>
          <w:p>
            <w:pPr>
              <w:pStyle w:val="TableParagraph"/>
              <w:spacing w:before="31"/>
              <w:ind w:left="108"/>
              <w:rPr>
                <w:sz w:val="22"/>
              </w:rPr>
            </w:pPr>
            <w:r>
              <w:rPr>
                <w:spacing w:val="-11"/>
                <w:sz w:val="22"/>
              </w:rPr>
              <w:t>办公地址：北京市石景山区古城西路 </w:t>
            </w:r>
            <w:r>
              <w:rPr>
                <w:rFonts w:ascii="Arial" w:eastAsia="Arial"/>
                <w:sz w:val="22"/>
              </w:rPr>
              <w:t>113 </w:t>
            </w:r>
            <w:r>
              <w:rPr>
                <w:spacing w:val="-3"/>
                <w:sz w:val="22"/>
              </w:rPr>
              <w:t>号景山财富中</w:t>
            </w:r>
          </w:p>
          <w:p>
            <w:pPr>
              <w:pStyle w:val="TableParagraph"/>
              <w:spacing w:before="30"/>
              <w:ind w:left="108"/>
              <w:rPr>
                <w:sz w:val="22"/>
              </w:rPr>
            </w:pPr>
            <w:r>
              <w:rPr>
                <w:sz w:val="22"/>
              </w:rPr>
              <w:t>心 </w:t>
            </w:r>
            <w:r>
              <w:rPr>
                <w:rFonts w:ascii="Arial" w:eastAsia="Arial"/>
                <w:sz w:val="22"/>
              </w:rPr>
              <w:t>342 </w:t>
            </w:r>
            <w:r>
              <w:rPr>
                <w:sz w:val="22"/>
              </w:rPr>
              <w:t>室</w:t>
            </w:r>
          </w:p>
          <w:p>
            <w:pPr>
              <w:pStyle w:val="TableParagraph"/>
              <w:spacing w:line="266" w:lineRule="auto" w:before="30"/>
              <w:ind w:left="108" w:right="3376"/>
              <w:rPr>
                <w:sz w:val="22"/>
              </w:rPr>
            </w:pPr>
            <w:r>
              <w:rPr>
                <w:sz w:val="22"/>
              </w:rPr>
              <w:t>法定代表人：季长军联系人：何鹏</w:t>
            </w:r>
          </w:p>
          <w:p>
            <w:pPr>
              <w:pStyle w:val="TableParagraph"/>
              <w:spacing w:line="266" w:lineRule="auto"/>
              <w:ind w:left="108" w:right="3278"/>
              <w:rPr>
                <w:rFonts w:ascii="Arial" w:eastAsia="Arial"/>
                <w:sz w:val="22"/>
              </w:rPr>
            </w:pPr>
            <w:r>
              <w:rPr>
                <w:sz w:val="22"/>
              </w:rPr>
              <w:t>电话：</w:t>
            </w:r>
            <w:r>
              <w:rPr>
                <w:rFonts w:ascii="Arial" w:eastAsia="Arial"/>
                <w:sz w:val="22"/>
              </w:rPr>
              <w:t>010-52609656 </w:t>
            </w:r>
            <w:r>
              <w:rPr>
                <w:sz w:val="22"/>
              </w:rPr>
              <w:t>传真：</w:t>
            </w:r>
            <w:r>
              <w:rPr>
                <w:rFonts w:ascii="Arial" w:eastAsia="Arial"/>
                <w:sz w:val="22"/>
              </w:rPr>
              <w:t>010-51957430</w:t>
            </w:r>
          </w:p>
          <w:p>
            <w:pPr>
              <w:pStyle w:val="TableParagraph"/>
              <w:spacing w:line="280" w:lineRule="exact"/>
              <w:ind w:left="108"/>
              <w:rPr>
                <w:rFonts w:ascii="Arial" w:eastAsia="Arial"/>
                <w:sz w:val="22"/>
              </w:rPr>
            </w:pPr>
            <w:r>
              <w:rPr>
                <w:spacing w:val="-2"/>
                <w:sz w:val="22"/>
              </w:rPr>
              <w:t>客户服务电话：</w:t>
            </w:r>
            <w:r>
              <w:rPr>
                <w:rFonts w:ascii="Arial" w:eastAsia="Arial"/>
                <w:spacing w:val="-1"/>
                <w:sz w:val="22"/>
              </w:rPr>
              <w:t>400-188-5678</w:t>
            </w:r>
          </w:p>
          <w:p>
            <w:pPr>
              <w:pStyle w:val="TableParagraph"/>
              <w:spacing w:line="277" w:lineRule="exact" w:before="28"/>
              <w:ind w:left="108"/>
              <w:rPr>
                <w:rFonts w:ascii="Arial" w:eastAsia="Arial"/>
                <w:sz w:val="22"/>
              </w:rPr>
            </w:pPr>
            <w:r>
              <w:rPr>
                <w:spacing w:val="-1"/>
                <w:sz w:val="22"/>
              </w:rPr>
              <w:t>网址：</w:t>
            </w:r>
            <w:hyperlink r:id="rId145">
              <w:r>
                <w:rPr>
                  <w:rFonts w:ascii="Arial" w:eastAsia="Arial"/>
                  <w:spacing w:val="-1"/>
                  <w:sz w:val="22"/>
                </w:rPr>
                <w:t>www.buyforyou.com.cn</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98" w:right="88"/>
              <w:jc w:val="center"/>
              <w:rPr>
                <w:rFonts w:ascii="Arial"/>
                <w:sz w:val="21"/>
              </w:rPr>
            </w:pPr>
            <w:r>
              <w:rPr>
                <w:rFonts w:ascii="Arial"/>
                <w:sz w:val="21"/>
              </w:rPr>
              <w:t>14</w:t>
            </w:r>
          </w:p>
          <w:p>
            <w:pPr>
              <w:pStyle w:val="TableParagraph"/>
              <w:spacing w:before="71"/>
              <w:ind w:left="7"/>
              <w:jc w:val="center"/>
              <w:rPr>
                <w:rFonts w:ascii="Arial"/>
                <w:sz w:val="21"/>
              </w:rPr>
            </w:pPr>
            <w:r>
              <w:rPr>
                <w:rFonts w:ascii="Arial"/>
                <w:w w:val="100"/>
                <w:sz w:val="21"/>
              </w:rPr>
              <w:t>3</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line="266" w:lineRule="auto" w:before="133"/>
              <w:ind w:left="139" w:right="129"/>
              <w:jc w:val="center"/>
              <w:rPr>
                <w:sz w:val="22"/>
              </w:rPr>
            </w:pPr>
            <w:r>
              <w:rPr>
                <w:sz w:val="22"/>
              </w:rPr>
              <w:t>河南和信证券投资顾问股份有限公司</w:t>
            </w:r>
          </w:p>
          <w:p>
            <w:pPr>
              <w:pStyle w:val="TableParagraph"/>
              <w:spacing w:line="266" w:lineRule="auto"/>
              <w:ind w:left="139" w:right="129"/>
              <w:jc w:val="center"/>
              <w:rPr>
                <w:sz w:val="22"/>
              </w:rPr>
            </w:pPr>
            <w:r>
              <w:rPr>
                <w:sz w:val="22"/>
              </w:rPr>
              <w:t>（注：仅代销景系列之优选混合型证券投资基金、动力平衡证券投资基金）</w:t>
            </w:r>
          </w:p>
        </w:tc>
        <w:tc>
          <w:tcPr>
            <w:tcW w:w="5480" w:type="dxa"/>
          </w:tcPr>
          <w:p>
            <w:pPr>
              <w:pStyle w:val="TableParagraph"/>
              <w:spacing w:before="15"/>
              <w:ind w:left="108"/>
              <w:rPr>
                <w:rFonts w:ascii="Arial" w:eastAsia="Arial"/>
                <w:sz w:val="22"/>
              </w:rPr>
            </w:pPr>
            <w:r>
              <w:rPr>
                <w:sz w:val="22"/>
              </w:rPr>
              <w:t>注册地址：郑州市郑东新区金水东路南、农业东路西 </w:t>
            </w:r>
            <w:r>
              <w:rPr>
                <w:rFonts w:ascii="Arial" w:eastAsia="Arial"/>
                <w:sz w:val="22"/>
              </w:rPr>
              <w:t>1</w:t>
            </w:r>
          </w:p>
          <w:p>
            <w:pPr>
              <w:pStyle w:val="TableParagraph"/>
              <w:spacing w:before="30"/>
              <w:ind w:left="108"/>
              <w:rPr>
                <w:rFonts w:ascii="Arial" w:eastAsia="Arial"/>
                <w:sz w:val="22"/>
              </w:rPr>
            </w:pPr>
            <w:r>
              <w:rPr>
                <w:sz w:val="22"/>
              </w:rPr>
              <w:t>号楼美盛中心 </w:t>
            </w:r>
            <w:r>
              <w:rPr>
                <w:rFonts w:ascii="Arial" w:eastAsia="Arial"/>
                <w:sz w:val="22"/>
              </w:rPr>
              <w:t>2405</w:t>
            </w:r>
          </w:p>
          <w:p>
            <w:pPr>
              <w:pStyle w:val="TableParagraph"/>
              <w:spacing w:before="30"/>
              <w:ind w:left="108"/>
              <w:rPr>
                <w:rFonts w:ascii="Arial" w:eastAsia="Arial"/>
                <w:sz w:val="22"/>
              </w:rPr>
            </w:pPr>
            <w:r>
              <w:rPr>
                <w:sz w:val="22"/>
              </w:rPr>
              <w:t>办公地址：郑州市郑东新区金水东路南、农业东路西 </w:t>
            </w:r>
            <w:r>
              <w:rPr>
                <w:rFonts w:ascii="Arial" w:eastAsia="Arial"/>
                <w:sz w:val="22"/>
              </w:rPr>
              <w:t>1</w:t>
            </w:r>
          </w:p>
          <w:p>
            <w:pPr>
              <w:pStyle w:val="TableParagraph"/>
              <w:spacing w:line="266" w:lineRule="auto" w:before="30"/>
              <w:ind w:left="108" w:right="3427"/>
              <w:rPr>
                <w:sz w:val="22"/>
              </w:rPr>
            </w:pPr>
            <w:r>
              <w:rPr>
                <w:sz w:val="22"/>
              </w:rPr>
              <w:t>号楼美盛中心 </w:t>
            </w:r>
            <w:r>
              <w:rPr>
                <w:rFonts w:ascii="Arial" w:eastAsia="Arial"/>
                <w:sz w:val="22"/>
              </w:rPr>
              <w:t>2405 </w:t>
            </w:r>
            <w:r>
              <w:rPr>
                <w:sz w:val="22"/>
              </w:rPr>
              <w:t>法定代表人：石磊联系人：付俊峰</w:t>
            </w:r>
          </w:p>
          <w:p>
            <w:pPr>
              <w:pStyle w:val="TableParagraph"/>
              <w:spacing w:line="266" w:lineRule="auto"/>
              <w:ind w:left="108" w:right="3156"/>
              <w:rPr>
                <w:rFonts w:ascii="Arial" w:eastAsia="Arial"/>
                <w:sz w:val="22"/>
              </w:rPr>
            </w:pPr>
            <w:r>
              <w:rPr>
                <w:sz w:val="22"/>
              </w:rPr>
              <w:t>电话：</w:t>
            </w:r>
            <w:r>
              <w:rPr>
                <w:rFonts w:ascii="Arial" w:eastAsia="Arial"/>
                <w:sz w:val="22"/>
              </w:rPr>
              <w:t>0371-61777528 </w:t>
            </w:r>
            <w:r>
              <w:rPr>
                <w:sz w:val="22"/>
              </w:rPr>
              <w:t>传真：</w:t>
            </w:r>
            <w:r>
              <w:rPr>
                <w:rFonts w:ascii="Arial" w:eastAsia="Arial"/>
                <w:sz w:val="22"/>
              </w:rPr>
              <w:t>0371-61777560</w:t>
            </w:r>
          </w:p>
          <w:p>
            <w:pPr>
              <w:pStyle w:val="TableParagraph"/>
              <w:spacing w:line="280" w:lineRule="exact"/>
              <w:ind w:left="108"/>
              <w:rPr>
                <w:rFonts w:ascii="Arial" w:eastAsia="Arial"/>
                <w:sz w:val="22"/>
              </w:rPr>
            </w:pPr>
            <w:r>
              <w:rPr>
                <w:sz w:val="22"/>
              </w:rPr>
              <w:t>客户服务电话：</w:t>
            </w:r>
            <w:r>
              <w:rPr>
                <w:rFonts w:ascii="Arial" w:eastAsia="Arial"/>
                <w:sz w:val="22"/>
              </w:rPr>
              <w:t>0371-61777552</w:t>
            </w:r>
          </w:p>
          <w:p>
            <w:pPr>
              <w:pStyle w:val="TableParagraph"/>
              <w:spacing w:line="277" w:lineRule="exact" w:before="28"/>
              <w:ind w:left="108"/>
              <w:rPr>
                <w:rFonts w:ascii="Arial" w:eastAsia="Arial"/>
                <w:sz w:val="22"/>
              </w:rPr>
            </w:pPr>
            <w:r>
              <w:rPr>
                <w:sz w:val="22"/>
              </w:rPr>
              <w:t>网址：</w:t>
            </w:r>
            <w:hyperlink r:id="rId146">
              <w:r>
                <w:rPr>
                  <w:rFonts w:ascii="Arial" w:eastAsia="Arial"/>
                  <w:sz w:val="22"/>
                </w:rPr>
                <w:t>http://www.hexinsec.com/</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98" w:right="88"/>
              <w:jc w:val="center"/>
              <w:rPr>
                <w:rFonts w:ascii="Arial"/>
                <w:sz w:val="21"/>
              </w:rPr>
            </w:pPr>
            <w:r>
              <w:rPr>
                <w:rFonts w:ascii="Arial"/>
                <w:sz w:val="21"/>
              </w:rPr>
              <w:t>14</w:t>
            </w:r>
          </w:p>
          <w:p>
            <w:pPr>
              <w:pStyle w:val="TableParagraph"/>
              <w:spacing w:before="70"/>
              <w:ind w:left="7"/>
              <w:jc w:val="center"/>
              <w:rPr>
                <w:rFonts w:ascii="Arial"/>
                <w:sz w:val="21"/>
              </w:rPr>
            </w:pPr>
            <w:r>
              <w:rPr>
                <w:rFonts w:ascii="Arial"/>
                <w:w w:val="100"/>
                <w:sz w:val="21"/>
              </w:rPr>
              <w:t>4</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spacing w:line="266" w:lineRule="auto"/>
              <w:ind w:left="799" w:right="129" w:hanging="660"/>
              <w:rPr>
                <w:sz w:val="22"/>
              </w:rPr>
            </w:pPr>
            <w:r>
              <w:rPr>
                <w:sz w:val="22"/>
              </w:rPr>
              <w:t>北京格上富信基金销售有限公司</w:t>
            </w:r>
          </w:p>
        </w:tc>
        <w:tc>
          <w:tcPr>
            <w:tcW w:w="5480" w:type="dxa"/>
          </w:tcPr>
          <w:p>
            <w:pPr>
              <w:pStyle w:val="TableParagraph"/>
              <w:spacing w:before="15"/>
              <w:ind w:left="108"/>
              <w:rPr>
                <w:rFonts w:ascii="Arial" w:eastAsia="Arial"/>
                <w:sz w:val="22"/>
              </w:rPr>
            </w:pPr>
            <w:r>
              <w:rPr>
                <w:spacing w:val="-11"/>
                <w:sz w:val="22"/>
              </w:rPr>
              <w:t>注册地址：北京市朝阳区东三环北路 </w:t>
            </w:r>
            <w:r>
              <w:rPr>
                <w:rFonts w:ascii="Arial" w:eastAsia="Arial"/>
                <w:sz w:val="22"/>
              </w:rPr>
              <w:t>19</w:t>
            </w:r>
            <w:r>
              <w:rPr>
                <w:rFonts w:ascii="Arial" w:eastAsia="Arial"/>
                <w:spacing w:val="-4"/>
                <w:sz w:val="22"/>
              </w:rPr>
              <w:t> </w:t>
            </w:r>
            <w:r>
              <w:rPr>
                <w:spacing w:val="-19"/>
                <w:sz w:val="22"/>
              </w:rPr>
              <w:t>号楼 </w:t>
            </w:r>
            <w:r>
              <w:rPr>
                <w:rFonts w:ascii="Arial" w:eastAsia="Arial"/>
                <w:sz w:val="22"/>
              </w:rPr>
              <w:t>701</w:t>
            </w:r>
            <w:r>
              <w:rPr>
                <w:rFonts w:ascii="Arial" w:eastAsia="Arial"/>
                <w:spacing w:val="-6"/>
                <w:sz w:val="22"/>
              </w:rPr>
              <w:t> </w:t>
            </w:r>
            <w:r>
              <w:rPr>
                <w:spacing w:val="-26"/>
                <w:sz w:val="22"/>
              </w:rPr>
              <w:t>内 </w:t>
            </w:r>
            <w:r>
              <w:rPr>
                <w:rFonts w:ascii="Arial" w:eastAsia="Arial"/>
                <w:sz w:val="22"/>
              </w:rPr>
              <w:t>09</w:t>
            </w:r>
          </w:p>
          <w:p>
            <w:pPr>
              <w:pStyle w:val="TableParagraph"/>
              <w:spacing w:before="30"/>
              <w:ind w:left="108"/>
              <w:rPr>
                <w:sz w:val="22"/>
              </w:rPr>
            </w:pPr>
            <w:r>
              <w:rPr>
                <w:w w:val="100"/>
                <w:sz w:val="22"/>
              </w:rPr>
              <w:t>室</w:t>
            </w:r>
          </w:p>
          <w:p>
            <w:pPr>
              <w:pStyle w:val="TableParagraph"/>
              <w:spacing w:before="30"/>
              <w:ind w:left="108"/>
              <w:rPr>
                <w:rFonts w:ascii="Arial" w:eastAsia="Arial"/>
                <w:sz w:val="22"/>
              </w:rPr>
            </w:pPr>
            <w:r>
              <w:rPr>
                <w:spacing w:val="-11"/>
                <w:sz w:val="22"/>
              </w:rPr>
              <w:t>办公地址：北京市朝阳区东三环北路 </w:t>
            </w:r>
            <w:r>
              <w:rPr>
                <w:rFonts w:ascii="Arial" w:eastAsia="Arial"/>
                <w:sz w:val="22"/>
              </w:rPr>
              <w:t>19</w:t>
            </w:r>
            <w:r>
              <w:rPr>
                <w:rFonts w:ascii="Arial" w:eastAsia="Arial"/>
                <w:spacing w:val="-4"/>
                <w:sz w:val="22"/>
              </w:rPr>
              <w:t> </w:t>
            </w:r>
            <w:r>
              <w:rPr>
                <w:spacing w:val="-19"/>
                <w:sz w:val="22"/>
              </w:rPr>
              <w:t>号楼 </w:t>
            </w:r>
            <w:r>
              <w:rPr>
                <w:rFonts w:ascii="Arial" w:eastAsia="Arial"/>
                <w:sz w:val="22"/>
              </w:rPr>
              <w:t>701</w:t>
            </w:r>
            <w:r>
              <w:rPr>
                <w:rFonts w:ascii="Arial" w:eastAsia="Arial"/>
                <w:spacing w:val="-6"/>
                <w:sz w:val="22"/>
              </w:rPr>
              <w:t> </w:t>
            </w:r>
            <w:r>
              <w:rPr>
                <w:spacing w:val="-26"/>
                <w:sz w:val="22"/>
              </w:rPr>
              <w:t>内 </w:t>
            </w:r>
            <w:r>
              <w:rPr>
                <w:rFonts w:ascii="Arial" w:eastAsia="Arial"/>
                <w:sz w:val="22"/>
              </w:rPr>
              <w:t>09</w:t>
            </w:r>
          </w:p>
          <w:p>
            <w:pPr>
              <w:pStyle w:val="TableParagraph"/>
              <w:spacing w:before="31"/>
              <w:ind w:left="108"/>
              <w:rPr>
                <w:sz w:val="22"/>
              </w:rPr>
            </w:pPr>
            <w:r>
              <w:rPr>
                <w:w w:val="100"/>
                <w:sz w:val="22"/>
              </w:rPr>
              <w:t>室</w:t>
            </w:r>
          </w:p>
          <w:p>
            <w:pPr>
              <w:pStyle w:val="TableParagraph"/>
              <w:spacing w:line="266" w:lineRule="auto" w:before="30"/>
              <w:ind w:left="108" w:right="3376"/>
              <w:rPr>
                <w:sz w:val="22"/>
              </w:rPr>
            </w:pPr>
            <w:r>
              <w:rPr>
                <w:sz w:val="22"/>
              </w:rPr>
              <w:t>法定代表人：李悦章联系人：曹庆展</w:t>
            </w:r>
          </w:p>
          <w:p>
            <w:pPr>
              <w:pStyle w:val="TableParagraph"/>
              <w:spacing w:line="266" w:lineRule="auto"/>
              <w:ind w:left="108" w:right="3278"/>
              <w:rPr>
                <w:rFonts w:ascii="Arial" w:eastAsia="Arial"/>
                <w:sz w:val="22"/>
              </w:rPr>
            </w:pPr>
            <w:r>
              <w:rPr>
                <w:sz w:val="22"/>
              </w:rPr>
              <w:t>电话：</w:t>
            </w:r>
            <w:r>
              <w:rPr>
                <w:rFonts w:ascii="Arial" w:eastAsia="Arial"/>
                <w:sz w:val="22"/>
              </w:rPr>
              <w:t>010-65983311 </w:t>
            </w:r>
            <w:r>
              <w:rPr>
                <w:sz w:val="22"/>
              </w:rPr>
              <w:t>传真：</w:t>
            </w:r>
            <w:r>
              <w:rPr>
                <w:rFonts w:ascii="Arial" w:eastAsia="Arial"/>
                <w:sz w:val="22"/>
              </w:rPr>
              <w:t>010-65983333</w:t>
            </w:r>
          </w:p>
          <w:p>
            <w:pPr>
              <w:pStyle w:val="TableParagraph"/>
              <w:spacing w:line="280" w:lineRule="exact"/>
              <w:ind w:left="108"/>
              <w:rPr>
                <w:rFonts w:ascii="Arial" w:eastAsia="Arial"/>
                <w:sz w:val="22"/>
              </w:rPr>
            </w:pPr>
            <w:r>
              <w:rPr>
                <w:sz w:val="22"/>
              </w:rPr>
              <w:t>客户服务电话：</w:t>
            </w:r>
            <w:r>
              <w:rPr>
                <w:rFonts w:ascii="Arial" w:eastAsia="Arial"/>
                <w:sz w:val="22"/>
              </w:rPr>
              <w:t>400-066-8586</w:t>
            </w:r>
          </w:p>
          <w:p>
            <w:pPr>
              <w:pStyle w:val="TableParagraph"/>
              <w:spacing w:line="277" w:lineRule="exact" w:before="28"/>
              <w:ind w:left="108"/>
              <w:rPr>
                <w:rFonts w:ascii="Arial" w:eastAsia="Arial"/>
                <w:sz w:val="22"/>
              </w:rPr>
            </w:pPr>
            <w:r>
              <w:rPr>
                <w:sz w:val="22"/>
              </w:rPr>
              <w:t>网址：</w:t>
            </w:r>
            <w:hyperlink r:id="rId147">
              <w:r>
                <w:rPr>
                  <w:rFonts w:ascii="Arial" w:eastAsia="Arial"/>
                  <w:sz w:val="22"/>
                </w:rPr>
                <w:t>www.igesafe.com</w:t>
              </w:r>
            </w:hyperlink>
          </w:p>
        </w:tc>
      </w:tr>
      <w:tr>
        <w:trPr>
          <w:trHeight w:val="1562" w:hRule="atLeast"/>
        </w:trPr>
        <w:tc>
          <w:tcPr>
            <w:tcW w:w="470" w:type="dxa"/>
          </w:tcPr>
          <w:p>
            <w:pPr>
              <w:pStyle w:val="TableParagraph"/>
              <w:rPr>
                <w:rFonts w:ascii="Times New Roman"/>
                <w:sz w:val="24"/>
              </w:rPr>
            </w:pPr>
          </w:p>
          <w:p>
            <w:pPr>
              <w:pStyle w:val="TableParagraph"/>
              <w:spacing w:before="9"/>
              <w:rPr>
                <w:rFonts w:ascii="Times New Roman"/>
                <w:sz w:val="19"/>
              </w:rPr>
            </w:pPr>
          </w:p>
          <w:p>
            <w:pPr>
              <w:pStyle w:val="TableParagraph"/>
              <w:ind w:left="98" w:right="88"/>
              <w:jc w:val="center"/>
              <w:rPr>
                <w:rFonts w:ascii="Arial"/>
                <w:sz w:val="21"/>
              </w:rPr>
            </w:pPr>
            <w:r>
              <w:rPr>
                <w:rFonts w:ascii="Arial"/>
                <w:sz w:val="21"/>
              </w:rPr>
              <w:t>14</w:t>
            </w:r>
          </w:p>
          <w:p>
            <w:pPr>
              <w:pStyle w:val="TableParagraph"/>
              <w:spacing w:before="71"/>
              <w:ind w:left="7"/>
              <w:jc w:val="center"/>
              <w:rPr>
                <w:rFonts w:ascii="Arial"/>
                <w:sz w:val="21"/>
              </w:rPr>
            </w:pPr>
            <w:r>
              <w:rPr>
                <w:rFonts w:ascii="Arial"/>
                <w:w w:val="100"/>
                <w:sz w:val="21"/>
              </w:rPr>
              <w:t>5</w:t>
            </w:r>
          </w:p>
        </w:tc>
        <w:tc>
          <w:tcPr>
            <w:tcW w:w="2484" w:type="dxa"/>
          </w:tcPr>
          <w:p>
            <w:pPr>
              <w:pStyle w:val="TableParagraph"/>
              <w:rPr>
                <w:rFonts w:ascii="Times New Roman"/>
                <w:sz w:val="22"/>
              </w:rPr>
            </w:pPr>
          </w:p>
          <w:p>
            <w:pPr>
              <w:pStyle w:val="TableParagraph"/>
              <w:spacing w:before="2"/>
              <w:rPr>
                <w:rFonts w:ascii="Times New Roman"/>
                <w:sz w:val="20"/>
              </w:rPr>
            </w:pPr>
          </w:p>
          <w:p>
            <w:pPr>
              <w:pStyle w:val="TableParagraph"/>
              <w:spacing w:line="266" w:lineRule="auto"/>
              <w:ind w:left="909" w:right="129" w:hanging="771"/>
              <w:rPr>
                <w:sz w:val="22"/>
              </w:rPr>
            </w:pPr>
            <w:r>
              <w:rPr>
                <w:sz w:val="22"/>
              </w:rPr>
              <w:t>北京肯特瑞基金销售有限公司</w:t>
            </w:r>
          </w:p>
        </w:tc>
        <w:tc>
          <w:tcPr>
            <w:tcW w:w="5480" w:type="dxa"/>
          </w:tcPr>
          <w:p>
            <w:pPr>
              <w:pStyle w:val="TableParagraph"/>
              <w:spacing w:before="17"/>
              <w:ind w:left="108"/>
              <w:rPr>
                <w:sz w:val="22"/>
              </w:rPr>
            </w:pPr>
            <w:r>
              <w:rPr>
                <w:sz w:val="22"/>
              </w:rPr>
              <w:t>注册地址：注册地址：北京市海淀区显龙山路 19 号 1</w:t>
            </w:r>
          </w:p>
          <w:p>
            <w:pPr>
              <w:pStyle w:val="TableParagraph"/>
              <w:spacing w:line="266" w:lineRule="auto" w:before="30"/>
              <w:ind w:left="108" w:right="3597"/>
              <w:rPr>
                <w:sz w:val="22"/>
              </w:rPr>
            </w:pPr>
            <w:r>
              <w:rPr>
                <w:sz w:val="22"/>
              </w:rPr>
              <w:t>幢 4 层 1 座 401 法定代表人：江卉联系人：江卉</w:t>
            </w:r>
          </w:p>
          <w:p>
            <w:pPr>
              <w:pStyle w:val="TableParagraph"/>
              <w:spacing w:line="274" w:lineRule="exact"/>
              <w:ind w:left="108"/>
              <w:rPr>
                <w:sz w:val="22"/>
              </w:rPr>
            </w:pPr>
            <w:r>
              <w:rPr>
                <w:sz w:val="22"/>
              </w:rPr>
              <w:t>电话：4000988511/ 4000888816</w:t>
            </w:r>
          </w:p>
        </w:tc>
      </w:tr>
    </w:tbl>
    <w:p>
      <w:pPr>
        <w:spacing w:after="0" w:line="274"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936"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sz w:val="22"/>
              </w:rPr>
            </w:pPr>
            <w:r>
              <w:rPr>
                <w:sz w:val="22"/>
              </w:rPr>
              <w:t>传真：010-89188000</w:t>
            </w:r>
          </w:p>
          <w:p>
            <w:pPr>
              <w:pStyle w:val="TableParagraph"/>
              <w:spacing w:line="310" w:lineRule="atLeast" w:before="2"/>
              <w:ind w:left="108" w:right="3045"/>
              <w:rPr>
                <w:sz w:val="22"/>
              </w:rPr>
            </w:pPr>
            <w:r>
              <w:rPr>
                <w:spacing w:val="-1"/>
                <w:sz w:val="22"/>
              </w:rPr>
              <w:t>客户服务电话：</w:t>
            </w:r>
            <w:r>
              <w:rPr>
                <w:sz w:val="22"/>
              </w:rPr>
              <w:t>95118 </w:t>
            </w:r>
            <w:hyperlink r:id="rId148">
              <w:r>
                <w:rPr>
                  <w:spacing w:val="-1"/>
                  <w:sz w:val="22"/>
                </w:rPr>
                <w:t>网址：www.fund.jd.com</w:t>
              </w:r>
            </w:hyperlink>
          </w:p>
        </w:tc>
      </w:tr>
      <w:tr>
        <w:trPr>
          <w:trHeight w:val="319"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before="15"/>
              <w:ind w:left="108"/>
              <w:rPr>
                <w:rFonts w:ascii="Arial" w:eastAsia="Arial"/>
                <w:sz w:val="22"/>
              </w:rPr>
            </w:pPr>
            <w:r>
              <w:rPr>
                <w:spacing w:val="-14"/>
                <w:sz w:val="22"/>
              </w:rPr>
              <w:t>注册地址：上海市浦东新区上封路 </w:t>
            </w:r>
            <w:r>
              <w:rPr>
                <w:rFonts w:ascii="Arial" w:eastAsia="Arial"/>
                <w:sz w:val="22"/>
              </w:rPr>
              <w:t>977 </w:t>
            </w:r>
            <w:r>
              <w:rPr>
                <w:spacing w:val="-27"/>
                <w:sz w:val="22"/>
              </w:rPr>
              <w:t>号 </w:t>
            </w:r>
            <w:r>
              <w:rPr>
                <w:rFonts w:ascii="Arial" w:eastAsia="Arial"/>
                <w:sz w:val="22"/>
              </w:rPr>
              <w:t>1 </w:t>
            </w:r>
            <w:r>
              <w:rPr>
                <w:spacing w:val="-27"/>
                <w:sz w:val="22"/>
              </w:rPr>
              <w:t>幢 </w:t>
            </w:r>
            <w:r>
              <w:rPr>
                <w:rFonts w:ascii="Arial" w:eastAsia="Arial"/>
                <w:sz w:val="22"/>
              </w:rPr>
              <w:t>B </w:t>
            </w:r>
            <w:r>
              <w:rPr>
                <w:spacing w:val="-27"/>
                <w:sz w:val="22"/>
              </w:rPr>
              <w:t>座 </w:t>
            </w:r>
            <w:r>
              <w:rPr>
                <w:rFonts w:ascii="Arial" w:eastAsia="Arial"/>
                <w:sz w:val="22"/>
              </w:rPr>
              <w:t>812</w:t>
            </w:r>
          </w:p>
        </w:tc>
      </w:tr>
      <w:tr>
        <w:trPr>
          <w:trHeight w:val="304"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7" w:lineRule="exact" w:before="7"/>
              <w:ind w:left="108"/>
              <w:rPr>
                <w:sz w:val="22"/>
              </w:rPr>
            </w:pPr>
            <w:r>
              <w:rPr>
                <w:w w:val="100"/>
                <w:sz w:val="22"/>
              </w:rPr>
              <w:t>室</w:t>
            </w:r>
          </w:p>
        </w:tc>
      </w:tr>
      <w:tr>
        <w:trPr>
          <w:trHeight w:val="938" w:hRule="atLeast"/>
        </w:trPr>
        <w:tc>
          <w:tcPr>
            <w:tcW w:w="470" w:type="dxa"/>
            <w:tcBorders>
              <w:top w:val="nil"/>
              <w:bottom w:val="nil"/>
            </w:tcBorders>
          </w:tcPr>
          <w:p>
            <w:pPr>
              <w:pStyle w:val="TableParagraph"/>
              <w:spacing w:before="189"/>
              <w:ind w:left="98" w:right="88"/>
              <w:jc w:val="center"/>
              <w:rPr>
                <w:rFonts w:ascii="Arial"/>
                <w:sz w:val="21"/>
              </w:rPr>
            </w:pPr>
            <w:r>
              <w:rPr>
                <w:rFonts w:ascii="Arial"/>
                <w:sz w:val="21"/>
              </w:rPr>
              <w:t>14</w:t>
            </w:r>
          </w:p>
          <w:p>
            <w:pPr>
              <w:pStyle w:val="TableParagraph"/>
              <w:spacing w:before="71"/>
              <w:ind w:left="7"/>
              <w:jc w:val="center"/>
              <w:rPr>
                <w:rFonts w:ascii="Arial"/>
                <w:sz w:val="21"/>
              </w:rPr>
            </w:pPr>
            <w:r>
              <w:rPr>
                <w:rFonts w:ascii="Arial"/>
                <w:w w:val="100"/>
                <w:sz w:val="21"/>
              </w:rPr>
              <w:t>6</w:t>
            </w:r>
          </w:p>
        </w:tc>
        <w:tc>
          <w:tcPr>
            <w:tcW w:w="2484" w:type="dxa"/>
            <w:tcBorders>
              <w:top w:val="nil"/>
              <w:bottom w:val="nil"/>
            </w:tcBorders>
          </w:tcPr>
          <w:p>
            <w:pPr>
              <w:pStyle w:val="TableParagraph"/>
              <w:spacing w:line="266" w:lineRule="auto" w:before="171"/>
              <w:ind w:left="799" w:right="129" w:hanging="660"/>
              <w:rPr>
                <w:sz w:val="22"/>
              </w:rPr>
            </w:pPr>
            <w:r>
              <w:rPr>
                <w:sz w:val="22"/>
              </w:rPr>
              <w:t>上海朝阳永续基金销售有限公司</w:t>
            </w:r>
          </w:p>
        </w:tc>
        <w:tc>
          <w:tcPr>
            <w:tcW w:w="5480" w:type="dxa"/>
            <w:tcBorders>
              <w:top w:val="nil"/>
              <w:bottom w:val="nil"/>
            </w:tcBorders>
          </w:tcPr>
          <w:p>
            <w:pPr>
              <w:pStyle w:val="TableParagraph"/>
              <w:spacing w:line="266" w:lineRule="auto" w:before="15"/>
              <w:ind w:left="108" w:right="3597"/>
              <w:rPr>
                <w:sz w:val="22"/>
              </w:rPr>
            </w:pPr>
            <w:r>
              <w:rPr>
                <w:sz w:val="22"/>
              </w:rPr>
              <w:t>法定代表人：廖冰联系人：陆纪青</w:t>
            </w:r>
          </w:p>
          <w:p>
            <w:pPr>
              <w:pStyle w:val="TableParagraph"/>
              <w:spacing w:line="278" w:lineRule="exact"/>
              <w:ind w:left="108"/>
              <w:rPr>
                <w:rFonts w:ascii="Arial" w:eastAsia="Arial"/>
                <w:sz w:val="22"/>
              </w:rPr>
            </w:pPr>
            <w:r>
              <w:rPr>
                <w:sz w:val="22"/>
              </w:rPr>
              <w:t>电话：</w:t>
            </w:r>
            <w:r>
              <w:rPr>
                <w:rFonts w:ascii="Arial" w:eastAsia="Arial"/>
                <w:sz w:val="22"/>
              </w:rPr>
              <w:t>15902135304</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客户服务电话：</w:t>
            </w:r>
            <w:r>
              <w:rPr>
                <w:rFonts w:ascii="Arial" w:eastAsia="Arial"/>
                <w:sz w:val="22"/>
              </w:rPr>
              <w:t>4009987172</w:t>
            </w:r>
          </w:p>
        </w:tc>
      </w:tr>
      <w:tr>
        <w:trPr>
          <w:trHeight w:val="309"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2"/>
              <w:ind w:left="108"/>
              <w:rPr>
                <w:rFonts w:ascii="Arial" w:eastAsia="Arial"/>
                <w:sz w:val="22"/>
              </w:rPr>
            </w:pPr>
            <w:r>
              <w:rPr>
                <w:sz w:val="22"/>
              </w:rPr>
              <w:t>网址： </w:t>
            </w:r>
            <w:hyperlink r:id="rId149">
              <w:r>
                <w:rPr>
                  <w:rFonts w:ascii="Arial" w:eastAsia="Arial"/>
                  <w:sz w:val="22"/>
                </w:rPr>
                <w:t>www.998fund.com</w:t>
              </w:r>
            </w:hyperlink>
          </w:p>
        </w:tc>
      </w:tr>
      <w:tr>
        <w:trPr>
          <w:trHeight w:val="314"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line="280" w:lineRule="exact" w:before="15"/>
              <w:ind w:left="108"/>
              <w:rPr>
                <w:sz w:val="22"/>
              </w:rPr>
            </w:pPr>
            <w:r>
              <w:rPr>
                <w:sz w:val="22"/>
              </w:rPr>
              <w:t>注册地址：成都市成华区建设路 </w:t>
            </w:r>
            <w:r>
              <w:rPr>
                <w:rFonts w:ascii="Arial" w:eastAsia="Arial"/>
                <w:sz w:val="22"/>
              </w:rPr>
              <w:t>9 </w:t>
            </w:r>
            <w:r>
              <w:rPr>
                <w:sz w:val="22"/>
              </w:rPr>
              <w:t>号高地中心 </w:t>
            </w:r>
            <w:r>
              <w:rPr>
                <w:rFonts w:ascii="Arial" w:eastAsia="Arial"/>
                <w:sz w:val="22"/>
              </w:rPr>
              <w:t>1101 </w:t>
            </w:r>
            <w:r>
              <w:rPr>
                <w:sz w:val="22"/>
              </w:rPr>
              <w:t>室</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3"/>
              <w:ind w:left="108"/>
              <w:rPr>
                <w:sz w:val="22"/>
              </w:rPr>
            </w:pPr>
            <w:r>
              <w:rPr>
                <w:sz w:val="22"/>
              </w:rPr>
              <w:t>办公地址：四川省成都市锦江区东大街 </w:t>
            </w:r>
            <w:r>
              <w:rPr>
                <w:rFonts w:ascii="Arial" w:eastAsia="Arial"/>
                <w:sz w:val="22"/>
              </w:rPr>
              <w:t>99 </w:t>
            </w:r>
            <w:r>
              <w:rPr>
                <w:sz w:val="22"/>
              </w:rPr>
              <w:t>号平安金融</w:t>
            </w:r>
          </w:p>
        </w:tc>
      </w:tr>
      <w:tr>
        <w:trPr>
          <w:trHeight w:val="317"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before="12"/>
              <w:ind w:left="108"/>
              <w:rPr>
                <w:sz w:val="22"/>
              </w:rPr>
            </w:pPr>
            <w:r>
              <w:rPr>
                <w:sz w:val="22"/>
              </w:rPr>
              <w:t>中心 </w:t>
            </w:r>
            <w:r>
              <w:rPr>
                <w:rFonts w:ascii="Arial" w:eastAsia="Arial"/>
                <w:sz w:val="22"/>
              </w:rPr>
              <w:t>1501 </w:t>
            </w:r>
            <w:r>
              <w:rPr>
                <w:sz w:val="22"/>
              </w:rPr>
              <w:t>单元</w:t>
            </w:r>
          </w:p>
        </w:tc>
      </w:tr>
      <w:tr>
        <w:trPr>
          <w:trHeight w:val="930" w:hRule="atLeast"/>
        </w:trPr>
        <w:tc>
          <w:tcPr>
            <w:tcW w:w="470" w:type="dxa"/>
            <w:tcBorders>
              <w:top w:val="nil"/>
              <w:bottom w:val="nil"/>
            </w:tcBorders>
          </w:tcPr>
          <w:p>
            <w:pPr>
              <w:pStyle w:val="TableParagraph"/>
              <w:spacing w:before="181"/>
              <w:ind w:left="98" w:right="88"/>
              <w:jc w:val="center"/>
              <w:rPr>
                <w:rFonts w:ascii="Arial"/>
                <w:sz w:val="21"/>
              </w:rPr>
            </w:pPr>
            <w:r>
              <w:rPr>
                <w:rFonts w:ascii="Arial"/>
                <w:sz w:val="21"/>
              </w:rPr>
              <w:t>14</w:t>
            </w:r>
          </w:p>
          <w:p>
            <w:pPr>
              <w:pStyle w:val="TableParagraph"/>
              <w:spacing w:before="71"/>
              <w:ind w:left="7"/>
              <w:jc w:val="center"/>
              <w:rPr>
                <w:rFonts w:ascii="Arial"/>
                <w:sz w:val="21"/>
              </w:rPr>
            </w:pPr>
            <w:r>
              <w:rPr>
                <w:rFonts w:ascii="Arial"/>
                <w:w w:val="100"/>
                <w:sz w:val="21"/>
              </w:rPr>
              <w:t>7</w:t>
            </w:r>
          </w:p>
        </w:tc>
        <w:tc>
          <w:tcPr>
            <w:tcW w:w="2484" w:type="dxa"/>
            <w:tcBorders>
              <w:top w:val="nil"/>
              <w:bottom w:val="nil"/>
            </w:tcBorders>
          </w:tcPr>
          <w:p>
            <w:pPr>
              <w:pStyle w:val="TableParagraph"/>
              <w:spacing w:line="266" w:lineRule="auto" w:before="163"/>
              <w:ind w:left="1020" w:right="129" w:hanging="881"/>
              <w:rPr>
                <w:sz w:val="22"/>
              </w:rPr>
            </w:pPr>
            <w:r>
              <w:rPr>
                <w:sz w:val="22"/>
              </w:rPr>
              <w:t>泛华普益基金销售有限公司</w:t>
            </w:r>
          </w:p>
        </w:tc>
        <w:tc>
          <w:tcPr>
            <w:tcW w:w="5480" w:type="dxa"/>
            <w:tcBorders>
              <w:top w:val="nil"/>
              <w:bottom w:val="nil"/>
            </w:tcBorders>
          </w:tcPr>
          <w:p>
            <w:pPr>
              <w:pStyle w:val="TableParagraph"/>
              <w:spacing w:line="266" w:lineRule="auto" w:before="7"/>
              <w:ind w:left="108" w:right="3376"/>
              <w:rPr>
                <w:sz w:val="22"/>
              </w:rPr>
            </w:pPr>
            <w:r>
              <w:rPr>
                <w:sz w:val="22"/>
              </w:rPr>
              <w:t>法定代表人：于海锋联系人：王峰</w:t>
            </w:r>
          </w:p>
          <w:p>
            <w:pPr>
              <w:pStyle w:val="TableParagraph"/>
              <w:spacing w:line="278" w:lineRule="exact"/>
              <w:ind w:left="108"/>
              <w:rPr>
                <w:rFonts w:ascii="Arial" w:eastAsia="Arial"/>
                <w:sz w:val="22"/>
              </w:rPr>
            </w:pPr>
            <w:r>
              <w:rPr>
                <w:sz w:val="22"/>
              </w:rPr>
              <w:t>电话：</w:t>
            </w:r>
            <w:r>
              <w:rPr>
                <w:rFonts w:ascii="Arial" w:eastAsia="Arial"/>
                <w:sz w:val="22"/>
              </w:rPr>
              <w:t>028-84252474</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传真：</w:t>
            </w:r>
            <w:r>
              <w:rPr>
                <w:rFonts w:ascii="Arial" w:eastAsia="Arial"/>
                <w:sz w:val="22"/>
              </w:rPr>
              <w:t>028-84252474</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客户服务电话：</w:t>
            </w:r>
            <w:r>
              <w:rPr>
                <w:rFonts w:ascii="Arial" w:eastAsia="Arial"/>
                <w:sz w:val="22"/>
              </w:rPr>
              <w:t>4008-588-588</w:t>
            </w:r>
          </w:p>
        </w:tc>
      </w:tr>
      <w:tr>
        <w:trPr>
          <w:trHeight w:val="309"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2"/>
              <w:ind w:left="108"/>
              <w:rPr>
                <w:rFonts w:ascii="Arial" w:eastAsia="Arial"/>
                <w:sz w:val="22"/>
              </w:rPr>
            </w:pPr>
            <w:r>
              <w:rPr>
                <w:sz w:val="22"/>
              </w:rPr>
              <w:t>网址：</w:t>
            </w:r>
            <w:r>
              <w:rPr>
                <w:rFonts w:ascii="Arial" w:eastAsia="Arial"/>
                <w:sz w:val="22"/>
              </w:rPr>
              <w:t>https://</w:t>
            </w:r>
            <w:hyperlink r:id="rId150">
              <w:r>
                <w:rPr>
                  <w:rFonts w:ascii="Arial" w:eastAsia="Arial"/>
                  <w:sz w:val="22"/>
                </w:rPr>
                <w:t>www.puyifund.com/</w:t>
              </w:r>
            </w:hyperlink>
          </w:p>
        </w:tc>
      </w:tr>
      <w:tr>
        <w:trPr>
          <w:trHeight w:val="319"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before="15"/>
              <w:ind w:left="108"/>
              <w:rPr>
                <w:rFonts w:ascii="Arial" w:eastAsia="Arial"/>
                <w:sz w:val="22"/>
              </w:rPr>
            </w:pPr>
            <w:r>
              <w:rPr>
                <w:spacing w:val="-11"/>
                <w:sz w:val="22"/>
              </w:rPr>
              <w:t>注册地址：上海市虹口区东大名路 </w:t>
            </w:r>
            <w:r>
              <w:rPr>
                <w:rFonts w:ascii="Arial" w:eastAsia="Arial"/>
                <w:sz w:val="22"/>
              </w:rPr>
              <w:t>687 </w:t>
            </w:r>
            <w:r>
              <w:rPr>
                <w:spacing w:val="-27"/>
                <w:sz w:val="22"/>
              </w:rPr>
              <w:t>号 </w:t>
            </w:r>
            <w:r>
              <w:rPr>
                <w:rFonts w:ascii="Arial" w:eastAsia="Arial"/>
                <w:sz w:val="22"/>
              </w:rPr>
              <w:t>1 </w:t>
            </w:r>
            <w:r>
              <w:rPr>
                <w:spacing w:val="-29"/>
                <w:sz w:val="22"/>
              </w:rPr>
              <w:t>幢 </w:t>
            </w:r>
            <w:r>
              <w:rPr>
                <w:rFonts w:ascii="Arial" w:eastAsia="Arial"/>
                <w:sz w:val="22"/>
              </w:rPr>
              <w:t>2 </w:t>
            </w:r>
            <w:r>
              <w:rPr>
                <w:spacing w:val="-27"/>
                <w:sz w:val="22"/>
              </w:rPr>
              <w:t>楼 </w:t>
            </w:r>
            <w:r>
              <w:rPr>
                <w:rFonts w:ascii="Arial" w:eastAsia="Arial"/>
                <w:sz w:val="22"/>
              </w:rPr>
              <w:t>268</w:t>
            </w:r>
          </w:p>
        </w:tc>
      </w:tr>
      <w:tr>
        <w:trPr>
          <w:trHeight w:val="299"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2" w:lineRule="exact" w:before="7"/>
              <w:ind w:left="108"/>
              <w:rPr>
                <w:sz w:val="22"/>
              </w:rPr>
            </w:pPr>
            <w:r>
              <w:rPr>
                <w:w w:val="100"/>
                <w:sz w:val="22"/>
              </w:rPr>
              <w:t>室</w:t>
            </w:r>
          </w:p>
        </w:tc>
      </w:tr>
      <w:tr>
        <w:trPr>
          <w:trHeight w:val="320"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20"/>
              <w:ind w:left="108"/>
              <w:rPr>
                <w:sz w:val="22"/>
              </w:rPr>
            </w:pPr>
            <w:r>
              <w:rPr>
                <w:sz w:val="22"/>
              </w:rPr>
              <w:t>办公地址：北京市西城区金融大街 </w:t>
            </w:r>
            <w:r>
              <w:rPr>
                <w:rFonts w:ascii="Arial" w:eastAsia="Arial"/>
                <w:sz w:val="22"/>
              </w:rPr>
              <w:t>33 </w:t>
            </w:r>
            <w:r>
              <w:rPr>
                <w:sz w:val="22"/>
              </w:rPr>
              <w:t>号通泰大厦</w:t>
            </w:r>
            <w:r>
              <w:rPr>
                <w:rFonts w:ascii="Arial" w:eastAsia="Arial"/>
                <w:sz w:val="22"/>
              </w:rPr>
              <w:t>B </w:t>
            </w:r>
            <w:r>
              <w:rPr>
                <w:sz w:val="22"/>
              </w:rPr>
              <w:t>座</w:t>
            </w:r>
          </w:p>
        </w:tc>
      </w:tr>
      <w:tr>
        <w:trPr>
          <w:trHeight w:val="313"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81" w:lineRule="exact" w:before="12"/>
              <w:ind w:left="108"/>
              <w:rPr>
                <w:sz w:val="22"/>
              </w:rPr>
            </w:pPr>
            <w:r>
              <w:rPr>
                <w:rFonts w:ascii="Arial" w:eastAsia="Arial"/>
                <w:sz w:val="22"/>
              </w:rPr>
              <w:t>8 </w:t>
            </w:r>
            <w:r>
              <w:rPr>
                <w:sz w:val="22"/>
              </w:rPr>
              <w:t>层</w:t>
            </w:r>
          </w:p>
        </w:tc>
      </w:tr>
      <w:tr>
        <w:trPr>
          <w:trHeight w:val="308" w:hRule="atLeast"/>
        </w:trPr>
        <w:tc>
          <w:tcPr>
            <w:tcW w:w="470" w:type="dxa"/>
            <w:tcBorders>
              <w:top w:val="nil"/>
              <w:bottom w:val="nil"/>
            </w:tcBorders>
          </w:tcPr>
          <w:p>
            <w:pPr>
              <w:pStyle w:val="TableParagraph"/>
              <w:spacing w:before="29"/>
              <w:ind w:left="117"/>
              <w:rPr>
                <w:rFonts w:ascii="Arial"/>
                <w:sz w:val="21"/>
              </w:rPr>
            </w:pPr>
            <w:r>
              <w:rPr>
                <w:rFonts w:ascii="Arial"/>
                <w:sz w:val="21"/>
              </w:rPr>
              <w:t>14</w:t>
            </w:r>
          </w:p>
        </w:tc>
        <w:tc>
          <w:tcPr>
            <w:tcW w:w="2484" w:type="dxa"/>
            <w:tcBorders>
              <w:top w:val="nil"/>
              <w:bottom w:val="nil"/>
            </w:tcBorders>
          </w:tcPr>
          <w:p>
            <w:pPr>
              <w:pStyle w:val="TableParagraph"/>
              <w:spacing w:line="278" w:lineRule="exact" w:before="10"/>
              <w:ind w:left="120" w:right="113"/>
              <w:jc w:val="center"/>
              <w:rPr>
                <w:sz w:val="22"/>
              </w:rPr>
            </w:pPr>
            <w:r>
              <w:rPr>
                <w:sz w:val="22"/>
              </w:rPr>
              <w:t>上海华夏财富投资管理</w:t>
            </w:r>
          </w:p>
        </w:tc>
        <w:tc>
          <w:tcPr>
            <w:tcW w:w="5480" w:type="dxa"/>
            <w:tcBorders>
              <w:top w:val="nil"/>
              <w:bottom w:val="nil"/>
            </w:tcBorders>
          </w:tcPr>
          <w:p>
            <w:pPr>
              <w:pStyle w:val="TableParagraph"/>
              <w:spacing w:line="278" w:lineRule="exact" w:before="10"/>
              <w:ind w:left="108"/>
              <w:rPr>
                <w:sz w:val="22"/>
              </w:rPr>
            </w:pPr>
            <w:r>
              <w:rPr>
                <w:sz w:val="22"/>
              </w:rPr>
              <w:t>法定代表人：李一梅</w:t>
            </w:r>
          </w:p>
        </w:tc>
      </w:tr>
      <w:tr>
        <w:trPr>
          <w:trHeight w:val="310" w:hRule="atLeast"/>
        </w:trPr>
        <w:tc>
          <w:tcPr>
            <w:tcW w:w="470" w:type="dxa"/>
            <w:tcBorders>
              <w:top w:val="nil"/>
              <w:bottom w:val="nil"/>
            </w:tcBorders>
          </w:tcPr>
          <w:p>
            <w:pPr>
              <w:pStyle w:val="TableParagraph"/>
              <w:spacing w:before="32"/>
              <w:ind w:left="175"/>
              <w:rPr>
                <w:rFonts w:ascii="Arial"/>
                <w:sz w:val="21"/>
              </w:rPr>
            </w:pPr>
            <w:r>
              <w:rPr>
                <w:rFonts w:ascii="Arial"/>
                <w:w w:val="100"/>
                <w:sz w:val="21"/>
              </w:rPr>
              <w:t>8</w:t>
            </w:r>
          </w:p>
        </w:tc>
        <w:tc>
          <w:tcPr>
            <w:tcW w:w="2484" w:type="dxa"/>
            <w:tcBorders>
              <w:top w:val="nil"/>
              <w:bottom w:val="nil"/>
            </w:tcBorders>
          </w:tcPr>
          <w:p>
            <w:pPr>
              <w:pStyle w:val="TableParagraph"/>
              <w:spacing w:line="276" w:lineRule="exact" w:before="14"/>
              <w:ind w:left="120" w:right="113"/>
              <w:jc w:val="center"/>
              <w:rPr>
                <w:sz w:val="22"/>
              </w:rPr>
            </w:pPr>
            <w:r>
              <w:rPr>
                <w:sz w:val="22"/>
              </w:rPr>
              <w:t>有限公司</w:t>
            </w:r>
          </w:p>
        </w:tc>
        <w:tc>
          <w:tcPr>
            <w:tcW w:w="5480" w:type="dxa"/>
            <w:tcBorders>
              <w:top w:val="nil"/>
              <w:bottom w:val="nil"/>
            </w:tcBorders>
          </w:tcPr>
          <w:p>
            <w:pPr>
              <w:pStyle w:val="TableParagraph"/>
              <w:spacing w:line="276" w:lineRule="exact" w:before="14"/>
              <w:ind w:left="108"/>
              <w:rPr>
                <w:sz w:val="22"/>
              </w:rPr>
            </w:pPr>
            <w:r>
              <w:rPr>
                <w:sz w:val="22"/>
              </w:rPr>
              <w:t>联系人：仲秋玥</w:t>
            </w:r>
          </w:p>
        </w:tc>
      </w:tr>
      <w:tr>
        <w:trPr>
          <w:trHeight w:val="315"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6"/>
              <w:ind w:left="108"/>
              <w:rPr>
                <w:rFonts w:ascii="Arial" w:eastAsia="Arial"/>
                <w:sz w:val="22"/>
              </w:rPr>
            </w:pPr>
            <w:r>
              <w:rPr>
                <w:sz w:val="22"/>
              </w:rPr>
              <w:t>电话：</w:t>
            </w:r>
            <w:r>
              <w:rPr>
                <w:rFonts w:ascii="Arial" w:eastAsia="Arial"/>
                <w:sz w:val="22"/>
              </w:rPr>
              <w:t>010-88066632</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传真：</w:t>
            </w:r>
            <w:r>
              <w:rPr>
                <w:rFonts w:ascii="Arial" w:eastAsia="Arial"/>
                <w:sz w:val="22"/>
              </w:rPr>
              <w:t>010-88066214</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客户服务电话：</w:t>
            </w:r>
            <w:r>
              <w:rPr>
                <w:rFonts w:ascii="Arial" w:eastAsia="Arial"/>
                <w:sz w:val="22"/>
              </w:rPr>
              <w:t>400-817-5666</w:t>
            </w:r>
          </w:p>
        </w:tc>
      </w:tr>
      <w:tr>
        <w:trPr>
          <w:trHeight w:val="309"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2"/>
              <w:ind w:left="108"/>
              <w:rPr>
                <w:rFonts w:ascii="Arial" w:eastAsia="Arial"/>
                <w:sz w:val="22"/>
              </w:rPr>
            </w:pPr>
            <w:r>
              <w:rPr>
                <w:sz w:val="22"/>
              </w:rPr>
              <w:t>网址：</w:t>
            </w:r>
            <w:hyperlink r:id="rId151">
              <w:r>
                <w:rPr>
                  <w:rFonts w:ascii="Arial" w:eastAsia="Arial"/>
                  <w:sz w:val="22"/>
                </w:rPr>
                <w:t>www.amcfortune.com</w:t>
              </w:r>
            </w:hyperlink>
          </w:p>
        </w:tc>
      </w:tr>
      <w:tr>
        <w:trPr>
          <w:trHeight w:val="316"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line="279" w:lineRule="exact" w:before="17"/>
              <w:ind w:left="108"/>
              <w:rPr>
                <w:rFonts w:ascii="Arial" w:eastAsia="Arial"/>
                <w:sz w:val="22"/>
              </w:rPr>
            </w:pPr>
            <w:r>
              <w:rPr>
                <w:sz w:val="22"/>
              </w:rPr>
              <w:t>注册地址：中国（上海）自由贸易试验区新金桥路 </w:t>
            </w:r>
            <w:r>
              <w:rPr>
                <w:rFonts w:ascii="Arial" w:eastAsia="Arial"/>
                <w:sz w:val="22"/>
              </w:rPr>
              <w:t>27</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sz w:val="22"/>
              </w:rPr>
            </w:pPr>
            <w:r>
              <w:rPr>
                <w:sz w:val="22"/>
              </w:rPr>
              <w:t>号 </w:t>
            </w:r>
            <w:r>
              <w:rPr>
                <w:rFonts w:ascii="Arial" w:eastAsia="Arial"/>
                <w:sz w:val="22"/>
              </w:rPr>
              <w:t>13 </w:t>
            </w:r>
            <w:r>
              <w:rPr>
                <w:sz w:val="22"/>
              </w:rPr>
              <w:t>号楼 </w:t>
            </w:r>
            <w:r>
              <w:rPr>
                <w:rFonts w:ascii="Arial" w:eastAsia="Arial"/>
                <w:sz w:val="22"/>
              </w:rPr>
              <w:t>2 </w:t>
            </w:r>
            <w:r>
              <w:rPr>
                <w:sz w:val="22"/>
              </w:rPr>
              <w:t>层</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80" w:lineRule="exact" w:before="12"/>
              <w:ind w:left="108"/>
              <w:rPr>
                <w:sz w:val="22"/>
              </w:rPr>
            </w:pPr>
            <w:r>
              <w:rPr>
                <w:spacing w:val="-11"/>
                <w:sz w:val="22"/>
              </w:rPr>
              <w:t>办公地址：上海市浦东新区锦康路 </w:t>
            </w:r>
            <w:r>
              <w:rPr>
                <w:rFonts w:ascii="Arial" w:eastAsia="Arial"/>
                <w:sz w:val="22"/>
              </w:rPr>
              <w:t>308 </w:t>
            </w:r>
            <w:r>
              <w:rPr>
                <w:spacing w:val="-2"/>
                <w:sz w:val="22"/>
              </w:rPr>
              <w:t>号陆家嘴世纪金</w:t>
            </w:r>
          </w:p>
        </w:tc>
      </w:tr>
      <w:tr>
        <w:trPr>
          <w:trHeight w:val="314"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81" w:lineRule="exact" w:before="13"/>
              <w:ind w:left="108"/>
              <w:rPr>
                <w:sz w:val="22"/>
              </w:rPr>
            </w:pPr>
            <w:r>
              <w:rPr>
                <w:sz w:val="22"/>
              </w:rPr>
              <w:t>融广场 </w:t>
            </w:r>
            <w:r>
              <w:rPr>
                <w:rFonts w:ascii="Arial" w:eastAsia="Arial"/>
                <w:sz w:val="22"/>
              </w:rPr>
              <w:t>6 </w:t>
            </w:r>
            <w:r>
              <w:rPr>
                <w:sz w:val="22"/>
              </w:rPr>
              <w:t>号楼 </w:t>
            </w:r>
            <w:r>
              <w:rPr>
                <w:rFonts w:ascii="Arial" w:eastAsia="Arial"/>
                <w:sz w:val="22"/>
              </w:rPr>
              <w:t>6 </w:t>
            </w:r>
            <w:r>
              <w:rPr>
                <w:sz w:val="22"/>
              </w:rPr>
              <w:t>层</w:t>
            </w:r>
          </w:p>
        </w:tc>
      </w:tr>
      <w:tr>
        <w:trPr>
          <w:trHeight w:val="308" w:hRule="atLeast"/>
        </w:trPr>
        <w:tc>
          <w:tcPr>
            <w:tcW w:w="470" w:type="dxa"/>
            <w:tcBorders>
              <w:top w:val="nil"/>
              <w:bottom w:val="nil"/>
            </w:tcBorders>
          </w:tcPr>
          <w:p>
            <w:pPr>
              <w:pStyle w:val="TableParagraph"/>
              <w:spacing w:before="29"/>
              <w:ind w:left="117"/>
              <w:rPr>
                <w:rFonts w:ascii="Arial"/>
                <w:sz w:val="21"/>
              </w:rPr>
            </w:pPr>
            <w:r>
              <w:rPr>
                <w:rFonts w:ascii="Arial"/>
                <w:sz w:val="21"/>
              </w:rPr>
              <w:t>14</w:t>
            </w:r>
          </w:p>
        </w:tc>
        <w:tc>
          <w:tcPr>
            <w:tcW w:w="2484" w:type="dxa"/>
            <w:tcBorders>
              <w:top w:val="nil"/>
              <w:bottom w:val="nil"/>
            </w:tcBorders>
          </w:tcPr>
          <w:p>
            <w:pPr>
              <w:pStyle w:val="TableParagraph"/>
              <w:spacing w:line="278" w:lineRule="exact" w:before="10"/>
              <w:ind w:left="120" w:right="113"/>
              <w:jc w:val="center"/>
              <w:rPr>
                <w:sz w:val="22"/>
              </w:rPr>
            </w:pPr>
            <w:r>
              <w:rPr>
                <w:sz w:val="22"/>
              </w:rPr>
              <w:t>上海云湾基金销售有限</w:t>
            </w:r>
          </w:p>
        </w:tc>
        <w:tc>
          <w:tcPr>
            <w:tcW w:w="5480" w:type="dxa"/>
            <w:tcBorders>
              <w:top w:val="nil"/>
              <w:bottom w:val="nil"/>
            </w:tcBorders>
          </w:tcPr>
          <w:p>
            <w:pPr>
              <w:pStyle w:val="TableParagraph"/>
              <w:spacing w:line="278" w:lineRule="exact" w:before="10"/>
              <w:ind w:left="108"/>
              <w:rPr>
                <w:sz w:val="22"/>
              </w:rPr>
            </w:pPr>
            <w:r>
              <w:rPr>
                <w:sz w:val="22"/>
              </w:rPr>
              <w:t>法定代表人：戴新装</w:t>
            </w:r>
          </w:p>
        </w:tc>
      </w:tr>
      <w:tr>
        <w:trPr>
          <w:trHeight w:val="310" w:hRule="atLeast"/>
        </w:trPr>
        <w:tc>
          <w:tcPr>
            <w:tcW w:w="470" w:type="dxa"/>
            <w:tcBorders>
              <w:top w:val="nil"/>
              <w:bottom w:val="nil"/>
            </w:tcBorders>
          </w:tcPr>
          <w:p>
            <w:pPr>
              <w:pStyle w:val="TableParagraph"/>
              <w:spacing w:before="32"/>
              <w:ind w:left="175"/>
              <w:rPr>
                <w:rFonts w:ascii="Arial"/>
                <w:sz w:val="21"/>
              </w:rPr>
            </w:pPr>
            <w:r>
              <w:rPr>
                <w:rFonts w:ascii="Arial"/>
                <w:w w:val="100"/>
                <w:sz w:val="21"/>
              </w:rPr>
              <w:t>9</w:t>
            </w:r>
          </w:p>
        </w:tc>
        <w:tc>
          <w:tcPr>
            <w:tcW w:w="2484" w:type="dxa"/>
            <w:tcBorders>
              <w:top w:val="nil"/>
              <w:bottom w:val="nil"/>
            </w:tcBorders>
          </w:tcPr>
          <w:p>
            <w:pPr>
              <w:pStyle w:val="TableParagraph"/>
              <w:spacing w:line="276" w:lineRule="exact" w:before="14"/>
              <w:ind w:left="120" w:right="113"/>
              <w:jc w:val="center"/>
              <w:rPr>
                <w:sz w:val="22"/>
              </w:rPr>
            </w:pPr>
            <w:r>
              <w:rPr>
                <w:sz w:val="22"/>
              </w:rPr>
              <w:t>公司</w:t>
            </w:r>
          </w:p>
        </w:tc>
        <w:tc>
          <w:tcPr>
            <w:tcW w:w="5480" w:type="dxa"/>
            <w:tcBorders>
              <w:top w:val="nil"/>
              <w:bottom w:val="nil"/>
            </w:tcBorders>
          </w:tcPr>
          <w:p>
            <w:pPr>
              <w:pStyle w:val="TableParagraph"/>
              <w:spacing w:line="276" w:lineRule="exact" w:before="14"/>
              <w:ind w:left="108"/>
              <w:rPr>
                <w:sz w:val="22"/>
              </w:rPr>
            </w:pPr>
            <w:r>
              <w:rPr>
                <w:sz w:val="22"/>
              </w:rPr>
              <w:t>联系人：朱学勇</w:t>
            </w:r>
          </w:p>
        </w:tc>
      </w:tr>
      <w:tr>
        <w:trPr>
          <w:trHeight w:val="315"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6"/>
              <w:ind w:left="108"/>
              <w:rPr>
                <w:rFonts w:ascii="Arial" w:eastAsia="Arial"/>
                <w:sz w:val="22"/>
              </w:rPr>
            </w:pPr>
            <w:r>
              <w:rPr>
                <w:sz w:val="22"/>
              </w:rPr>
              <w:t>电话：</w:t>
            </w:r>
            <w:r>
              <w:rPr>
                <w:rFonts w:ascii="Arial" w:eastAsia="Arial"/>
                <w:sz w:val="22"/>
              </w:rPr>
              <w:t>021-20538888</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传真：</w:t>
            </w:r>
            <w:r>
              <w:rPr>
                <w:rFonts w:ascii="Arial" w:eastAsia="Arial"/>
                <w:sz w:val="22"/>
              </w:rPr>
              <w:t>021-20538999</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客户服务电话：</w:t>
            </w:r>
            <w:r>
              <w:rPr>
                <w:rFonts w:ascii="Arial" w:eastAsia="Arial"/>
                <w:sz w:val="22"/>
              </w:rPr>
              <w:t>400-820-1515</w:t>
            </w:r>
          </w:p>
        </w:tc>
      </w:tr>
      <w:tr>
        <w:trPr>
          <w:trHeight w:val="309"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2"/>
              <w:ind w:left="108"/>
              <w:rPr>
                <w:rFonts w:ascii="Arial" w:eastAsia="Arial"/>
                <w:sz w:val="22"/>
              </w:rPr>
            </w:pPr>
            <w:r>
              <w:rPr>
                <w:sz w:val="22"/>
              </w:rPr>
              <w:t>网址：</w:t>
            </w:r>
            <w:hyperlink r:id="rId152">
              <w:r>
                <w:rPr>
                  <w:rFonts w:ascii="Arial" w:eastAsia="Arial"/>
                  <w:sz w:val="22"/>
                </w:rPr>
                <w:t>www.zhengtongfunds.com</w:t>
              </w:r>
            </w:hyperlink>
          </w:p>
        </w:tc>
      </w:tr>
      <w:tr>
        <w:trPr>
          <w:trHeight w:val="314"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line="279" w:lineRule="exact" w:before="15"/>
              <w:ind w:left="108"/>
              <w:rPr>
                <w:rFonts w:ascii="Arial" w:eastAsia="Arial"/>
                <w:sz w:val="22"/>
              </w:rPr>
            </w:pPr>
            <w:r>
              <w:rPr>
                <w:sz w:val="22"/>
              </w:rPr>
              <w:t>注册地址：中国（上海）自由贸易试验区杨高南路 </w:t>
            </w:r>
            <w:r>
              <w:rPr>
                <w:rFonts w:ascii="Arial" w:eastAsia="Arial"/>
                <w:sz w:val="22"/>
              </w:rPr>
              <w:t>799</w:t>
            </w:r>
          </w:p>
        </w:tc>
      </w:tr>
      <w:tr>
        <w:trPr>
          <w:trHeight w:val="941" w:hRule="atLeast"/>
        </w:trPr>
        <w:tc>
          <w:tcPr>
            <w:tcW w:w="470" w:type="dxa"/>
            <w:tcBorders>
              <w:top w:val="nil"/>
              <w:bottom w:val="nil"/>
            </w:tcBorders>
          </w:tcPr>
          <w:p>
            <w:pPr>
              <w:pStyle w:val="TableParagraph"/>
              <w:spacing w:before="186"/>
              <w:ind w:left="98" w:right="88"/>
              <w:jc w:val="center"/>
              <w:rPr>
                <w:rFonts w:ascii="Arial"/>
                <w:sz w:val="21"/>
              </w:rPr>
            </w:pPr>
            <w:r>
              <w:rPr>
                <w:rFonts w:ascii="Arial"/>
                <w:sz w:val="21"/>
              </w:rPr>
              <w:t>15</w:t>
            </w:r>
          </w:p>
          <w:p>
            <w:pPr>
              <w:pStyle w:val="TableParagraph"/>
              <w:spacing w:before="71"/>
              <w:ind w:left="7"/>
              <w:jc w:val="center"/>
              <w:rPr>
                <w:rFonts w:ascii="Arial"/>
                <w:sz w:val="21"/>
              </w:rPr>
            </w:pPr>
            <w:r>
              <w:rPr>
                <w:rFonts w:ascii="Arial"/>
                <w:w w:val="100"/>
                <w:sz w:val="21"/>
              </w:rPr>
              <w:t>0</w:t>
            </w:r>
          </w:p>
        </w:tc>
        <w:tc>
          <w:tcPr>
            <w:tcW w:w="2484" w:type="dxa"/>
            <w:tcBorders>
              <w:top w:val="nil"/>
              <w:bottom w:val="nil"/>
            </w:tcBorders>
          </w:tcPr>
          <w:p>
            <w:pPr>
              <w:pStyle w:val="TableParagraph"/>
              <w:spacing w:line="266" w:lineRule="auto" w:before="168"/>
              <w:ind w:left="1020" w:right="129" w:hanging="881"/>
              <w:rPr>
                <w:sz w:val="22"/>
              </w:rPr>
            </w:pPr>
            <w:r>
              <w:rPr>
                <w:sz w:val="22"/>
              </w:rPr>
              <w:t>上海挖财基金销售有限公司</w:t>
            </w:r>
          </w:p>
        </w:tc>
        <w:tc>
          <w:tcPr>
            <w:tcW w:w="5480" w:type="dxa"/>
            <w:tcBorders>
              <w:top w:val="nil"/>
              <w:bottom w:val="nil"/>
            </w:tcBorders>
          </w:tcPr>
          <w:p>
            <w:pPr>
              <w:pStyle w:val="TableParagraph"/>
              <w:spacing w:before="12"/>
              <w:ind w:left="108"/>
              <w:rPr>
                <w:sz w:val="22"/>
              </w:rPr>
            </w:pPr>
            <w:r>
              <w:rPr>
                <w:sz w:val="22"/>
              </w:rPr>
              <w:t>号 </w:t>
            </w:r>
            <w:r>
              <w:rPr>
                <w:rFonts w:ascii="Arial" w:eastAsia="Arial"/>
                <w:sz w:val="22"/>
              </w:rPr>
              <w:t>5 </w:t>
            </w:r>
            <w:r>
              <w:rPr>
                <w:sz w:val="22"/>
              </w:rPr>
              <w:t>楼 </w:t>
            </w:r>
            <w:r>
              <w:rPr>
                <w:rFonts w:ascii="Arial" w:eastAsia="Arial"/>
                <w:sz w:val="22"/>
              </w:rPr>
              <w:t>01</w:t>
            </w:r>
            <w:r>
              <w:rPr>
                <w:sz w:val="22"/>
              </w:rPr>
              <w:t>、</w:t>
            </w:r>
            <w:r>
              <w:rPr>
                <w:rFonts w:ascii="Arial" w:eastAsia="Arial"/>
                <w:sz w:val="22"/>
              </w:rPr>
              <w:t>02</w:t>
            </w:r>
            <w:r>
              <w:rPr>
                <w:sz w:val="22"/>
              </w:rPr>
              <w:t>、</w:t>
            </w:r>
            <w:r>
              <w:rPr>
                <w:rFonts w:ascii="Arial" w:eastAsia="Arial"/>
                <w:sz w:val="22"/>
              </w:rPr>
              <w:t>03 </w:t>
            </w:r>
            <w:r>
              <w:rPr>
                <w:sz w:val="22"/>
              </w:rPr>
              <w:t>室</w:t>
            </w:r>
          </w:p>
          <w:p>
            <w:pPr>
              <w:pStyle w:val="TableParagraph"/>
              <w:spacing w:before="30"/>
              <w:ind w:left="108"/>
              <w:rPr>
                <w:rFonts w:ascii="Arial" w:eastAsia="Arial"/>
                <w:sz w:val="22"/>
              </w:rPr>
            </w:pPr>
            <w:r>
              <w:rPr>
                <w:sz w:val="22"/>
              </w:rPr>
              <w:t>办公地址：中国（上海）自由贸易试验区杨高南路 </w:t>
            </w:r>
            <w:r>
              <w:rPr>
                <w:rFonts w:ascii="Arial" w:eastAsia="Arial"/>
                <w:sz w:val="22"/>
              </w:rPr>
              <w:t>799</w:t>
            </w:r>
          </w:p>
          <w:p>
            <w:pPr>
              <w:pStyle w:val="TableParagraph"/>
              <w:spacing w:before="31"/>
              <w:ind w:left="108"/>
              <w:rPr>
                <w:sz w:val="22"/>
              </w:rPr>
            </w:pPr>
            <w:r>
              <w:rPr>
                <w:sz w:val="22"/>
              </w:rPr>
              <w:t>号 </w:t>
            </w:r>
            <w:r>
              <w:rPr>
                <w:rFonts w:ascii="Arial" w:eastAsia="Arial"/>
                <w:sz w:val="22"/>
              </w:rPr>
              <w:t>5 </w:t>
            </w:r>
            <w:r>
              <w:rPr>
                <w:sz w:val="22"/>
              </w:rPr>
              <w:t>楼 </w:t>
            </w:r>
            <w:r>
              <w:rPr>
                <w:rFonts w:ascii="Arial" w:eastAsia="Arial"/>
                <w:sz w:val="22"/>
              </w:rPr>
              <w:t>01</w:t>
            </w:r>
            <w:r>
              <w:rPr>
                <w:sz w:val="22"/>
              </w:rPr>
              <w:t>、</w:t>
            </w:r>
            <w:r>
              <w:rPr>
                <w:rFonts w:ascii="Arial" w:eastAsia="Arial"/>
                <w:sz w:val="22"/>
              </w:rPr>
              <w:t>02</w:t>
            </w:r>
            <w:r>
              <w:rPr>
                <w:sz w:val="22"/>
              </w:rPr>
              <w:t>、</w:t>
            </w:r>
            <w:r>
              <w:rPr>
                <w:rFonts w:ascii="Arial" w:eastAsia="Arial"/>
                <w:sz w:val="22"/>
              </w:rPr>
              <w:t>03 </w:t>
            </w:r>
            <w:r>
              <w:rPr>
                <w:sz w:val="22"/>
              </w:rPr>
              <w:t>室</w:t>
            </w:r>
          </w:p>
        </w:tc>
      </w:tr>
      <w:tr>
        <w:trPr>
          <w:trHeight w:val="304"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7"/>
              <w:ind w:left="108"/>
              <w:rPr>
                <w:sz w:val="22"/>
              </w:rPr>
            </w:pPr>
            <w:r>
              <w:rPr>
                <w:sz w:val="22"/>
              </w:rPr>
              <w:t>法定代表人：胡燕亮</w:t>
            </w:r>
          </w:p>
        </w:tc>
      </w:tr>
    </w:tbl>
    <w:p>
      <w:pPr>
        <w:spacing w:after="0" w:line="277" w:lineRule="exact"/>
        <w:rPr>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1560"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sz w:val="22"/>
              </w:rPr>
            </w:pPr>
            <w:r>
              <w:rPr>
                <w:sz w:val="22"/>
              </w:rPr>
              <w:t>联系人：义雪辉</w:t>
            </w:r>
          </w:p>
          <w:p>
            <w:pPr>
              <w:pStyle w:val="TableParagraph"/>
              <w:spacing w:before="31"/>
              <w:ind w:left="108"/>
              <w:rPr>
                <w:rFonts w:ascii="Arial" w:eastAsia="Arial"/>
                <w:sz w:val="22"/>
              </w:rPr>
            </w:pPr>
            <w:r>
              <w:rPr>
                <w:sz w:val="22"/>
              </w:rPr>
              <w:t>电话：</w:t>
            </w:r>
            <w:r>
              <w:rPr>
                <w:rFonts w:ascii="Arial" w:eastAsia="Arial"/>
                <w:sz w:val="22"/>
              </w:rPr>
              <w:t>021 - 50810687</w:t>
            </w:r>
          </w:p>
          <w:p>
            <w:pPr>
              <w:pStyle w:val="TableParagraph"/>
              <w:spacing w:before="30"/>
              <w:ind w:left="108"/>
              <w:rPr>
                <w:rFonts w:ascii="Arial" w:eastAsia="Arial"/>
                <w:sz w:val="22"/>
              </w:rPr>
            </w:pPr>
            <w:r>
              <w:rPr>
                <w:sz w:val="22"/>
              </w:rPr>
              <w:t>传真：</w:t>
            </w:r>
            <w:r>
              <w:rPr>
                <w:rFonts w:ascii="Arial" w:eastAsia="Arial"/>
                <w:sz w:val="22"/>
              </w:rPr>
              <w:t>021-58300279</w:t>
            </w:r>
          </w:p>
          <w:p>
            <w:pPr>
              <w:pStyle w:val="TableParagraph"/>
              <w:spacing w:line="310" w:lineRule="atLeast" w:before="2"/>
              <w:ind w:left="108" w:right="2399"/>
              <w:rPr>
                <w:rFonts w:ascii="Arial" w:eastAsia="Arial"/>
                <w:sz w:val="22"/>
              </w:rPr>
            </w:pPr>
            <w:r>
              <w:rPr>
                <w:sz w:val="22"/>
              </w:rPr>
              <w:t>客户服务电话：</w:t>
            </w:r>
            <w:r>
              <w:rPr>
                <w:rFonts w:ascii="Arial" w:eastAsia="Arial"/>
                <w:sz w:val="22"/>
              </w:rPr>
              <w:t>021-50810673 </w:t>
            </w:r>
            <w:r>
              <w:rPr>
                <w:sz w:val="22"/>
              </w:rPr>
              <w:t>网址：</w:t>
            </w:r>
            <w:hyperlink r:id="rId153">
              <w:r>
                <w:rPr>
                  <w:rFonts w:ascii="Arial" w:eastAsia="Arial"/>
                  <w:sz w:val="22"/>
                </w:rPr>
                <w:t>www.wacaijijin.com/</w:t>
              </w:r>
            </w:hyperlink>
          </w:p>
        </w:tc>
      </w:tr>
      <w:tr>
        <w:trPr>
          <w:trHeight w:val="280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98" w:right="88"/>
              <w:jc w:val="center"/>
              <w:rPr>
                <w:rFonts w:ascii="Arial"/>
                <w:sz w:val="21"/>
              </w:rPr>
            </w:pPr>
            <w:r>
              <w:rPr>
                <w:rFonts w:ascii="Arial"/>
                <w:sz w:val="21"/>
              </w:rPr>
              <w:t>15</w:t>
            </w:r>
          </w:p>
          <w:p>
            <w:pPr>
              <w:pStyle w:val="TableParagraph"/>
              <w:spacing w:before="70"/>
              <w:ind w:left="7"/>
              <w:jc w:val="center"/>
              <w:rPr>
                <w:rFonts w:ascii="Arial"/>
                <w:sz w:val="21"/>
              </w:rPr>
            </w:pPr>
            <w:r>
              <w:rPr>
                <w:rFonts w:ascii="Arial"/>
                <w:w w:val="100"/>
                <w:sz w:val="21"/>
              </w:rPr>
              <w:t>1</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799" w:right="129" w:hanging="660"/>
              <w:rPr>
                <w:sz w:val="22"/>
              </w:rPr>
            </w:pPr>
            <w:r>
              <w:rPr>
                <w:sz w:val="22"/>
              </w:rPr>
              <w:t>深圳秋实惠智基金销售有限公司</w:t>
            </w:r>
          </w:p>
        </w:tc>
        <w:tc>
          <w:tcPr>
            <w:tcW w:w="5480" w:type="dxa"/>
          </w:tcPr>
          <w:p>
            <w:pPr>
              <w:pStyle w:val="TableParagraph"/>
              <w:spacing w:before="15"/>
              <w:ind w:left="108"/>
              <w:rPr>
                <w:sz w:val="22"/>
              </w:rPr>
            </w:pPr>
            <w:r>
              <w:rPr>
                <w:spacing w:val="-6"/>
                <w:sz w:val="22"/>
              </w:rPr>
              <w:t>注册地址：深圳市前海深港合作区前湾一路 </w:t>
            </w:r>
            <w:r>
              <w:rPr>
                <w:rFonts w:ascii="Arial" w:eastAsia="Arial"/>
                <w:sz w:val="22"/>
              </w:rPr>
              <w:t>1 </w:t>
            </w:r>
            <w:r>
              <w:rPr>
                <w:spacing w:val="52"/>
                <w:sz w:val="22"/>
              </w:rPr>
              <w:t>号</w:t>
            </w:r>
            <w:r>
              <w:rPr>
                <w:rFonts w:ascii="Arial" w:eastAsia="Arial"/>
                <w:sz w:val="22"/>
              </w:rPr>
              <w:t>A </w:t>
            </w:r>
            <w:r>
              <w:rPr>
                <w:sz w:val="22"/>
              </w:rPr>
              <w:t>栋</w:t>
            </w:r>
          </w:p>
          <w:p>
            <w:pPr>
              <w:pStyle w:val="TableParagraph"/>
              <w:spacing w:before="30"/>
              <w:ind w:left="108"/>
              <w:rPr>
                <w:sz w:val="22"/>
              </w:rPr>
            </w:pPr>
            <w:r>
              <w:rPr>
                <w:rFonts w:ascii="Arial" w:eastAsia="Arial"/>
                <w:sz w:val="22"/>
              </w:rPr>
              <w:t>201 </w:t>
            </w:r>
            <w:r>
              <w:rPr>
                <w:sz w:val="22"/>
              </w:rPr>
              <w:t>室</w:t>
            </w:r>
          </w:p>
          <w:p>
            <w:pPr>
              <w:pStyle w:val="TableParagraph"/>
              <w:spacing w:before="30"/>
              <w:ind w:left="108"/>
              <w:rPr>
                <w:rFonts w:ascii="Arial" w:eastAsia="Arial"/>
                <w:sz w:val="22"/>
              </w:rPr>
            </w:pPr>
            <w:r>
              <w:rPr>
                <w:spacing w:val="-15"/>
                <w:sz w:val="22"/>
              </w:rPr>
              <w:t>办公地址：北京市朝阳区东三环北路 </w:t>
            </w:r>
            <w:r>
              <w:rPr>
                <w:rFonts w:ascii="Arial" w:eastAsia="Arial"/>
                <w:sz w:val="22"/>
              </w:rPr>
              <w:t>2 </w:t>
            </w:r>
            <w:r>
              <w:rPr>
                <w:spacing w:val="-13"/>
                <w:sz w:val="22"/>
              </w:rPr>
              <w:t>号南银大厦 </w:t>
            </w:r>
            <w:r>
              <w:rPr>
                <w:rFonts w:ascii="Arial" w:eastAsia="Arial"/>
                <w:sz w:val="22"/>
              </w:rPr>
              <w:t>2309</w:t>
            </w:r>
          </w:p>
          <w:p>
            <w:pPr>
              <w:pStyle w:val="TableParagraph"/>
              <w:spacing w:line="266" w:lineRule="auto" w:before="30"/>
              <w:ind w:left="108" w:right="3376"/>
              <w:rPr>
                <w:sz w:val="22"/>
              </w:rPr>
            </w:pPr>
            <w:r>
              <w:rPr>
                <w:sz w:val="22"/>
              </w:rPr>
              <w:t>法定代表人：张秋林联系人：张秋林</w:t>
            </w:r>
          </w:p>
          <w:p>
            <w:pPr>
              <w:pStyle w:val="TableParagraph"/>
              <w:spacing w:line="266" w:lineRule="auto"/>
              <w:ind w:left="108" w:right="3277"/>
              <w:rPr>
                <w:rFonts w:ascii="Arial" w:eastAsia="Arial"/>
                <w:sz w:val="22"/>
              </w:rPr>
            </w:pPr>
            <w:r>
              <w:rPr>
                <w:sz w:val="22"/>
              </w:rPr>
              <w:t>电话：</w:t>
            </w:r>
            <w:r>
              <w:rPr>
                <w:rFonts w:ascii="Arial" w:eastAsia="Arial"/>
                <w:sz w:val="22"/>
              </w:rPr>
              <w:t>010-64108876 </w:t>
            </w:r>
            <w:r>
              <w:rPr>
                <w:sz w:val="22"/>
              </w:rPr>
              <w:t>传真：</w:t>
            </w:r>
            <w:r>
              <w:rPr>
                <w:rFonts w:ascii="Arial" w:eastAsia="Arial"/>
                <w:sz w:val="22"/>
              </w:rPr>
              <w:t>010-64108875</w:t>
            </w:r>
          </w:p>
          <w:p>
            <w:pPr>
              <w:pStyle w:val="TableParagraph"/>
              <w:spacing w:line="281" w:lineRule="exact"/>
              <w:ind w:left="108"/>
              <w:rPr>
                <w:rFonts w:ascii="Arial" w:eastAsia="Arial"/>
                <w:sz w:val="22"/>
              </w:rPr>
            </w:pPr>
            <w:r>
              <w:rPr>
                <w:sz w:val="22"/>
              </w:rPr>
              <w:t>客户服务电话：</w:t>
            </w:r>
            <w:r>
              <w:rPr>
                <w:rFonts w:ascii="Arial" w:eastAsia="Arial"/>
                <w:sz w:val="22"/>
              </w:rPr>
              <w:t>010-64108876</w:t>
            </w:r>
          </w:p>
          <w:p>
            <w:pPr>
              <w:pStyle w:val="TableParagraph"/>
              <w:spacing w:line="277" w:lineRule="exact" w:before="28"/>
              <w:ind w:left="108"/>
              <w:rPr>
                <w:rFonts w:ascii="Arial" w:eastAsia="Arial"/>
                <w:sz w:val="22"/>
              </w:rPr>
            </w:pPr>
            <w:r>
              <w:rPr>
                <w:sz w:val="22"/>
              </w:rPr>
              <w:t>网址：</w:t>
            </w:r>
            <w:hyperlink r:id="rId154">
              <w:r>
                <w:rPr>
                  <w:rFonts w:ascii="Arial" w:eastAsia="Arial"/>
                  <w:sz w:val="22"/>
                </w:rPr>
                <w:t>http://fund.qiushicaifu.com</w:t>
              </w:r>
            </w:hyperlink>
          </w:p>
        </w:tc>
      </w:tr>
      <w:tr>
        <w:trPr>
          <w:trHeight w:val="3119"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98" w:right="88"/>
              <w:jc w:val="center"/>
              <w:rPr>
                <w:rFonts w:ascii="Arial"/>
                <w:sz w:val="21"/>
              </w:rPr>
            </w:pPr>
            <w:r>
              <w:rPr>
                <w:rFonts w:ascii="Arial"/>
                <w:sz w:val="21"/>
              </w:rPr>
              <w:t>15</w:t>
            </w:r>
          </w:p>
          <w:p>
            <w:pPr>
              <w:pStyle w:val="TableParagraph"/>
              <w:spacing w:before="71"/>
              <w:ind w:left="7"/>
              <w:jc w:val="center"/>
              <w:rPr>
                <w:rFonts w:ascii="Arial"/>
                <w:sz w:val="21"/>
              </w:rPr>
            </w:pPr>
            <w:r>
              <w:rPr>
                <w:rFonts w:ascii="Arial"/>
                <w:w w:val="100"/>
                <w:sz w:val="21"/>
              </w:rPr>
              <w:t>2</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ind w:left="1020" w:right="129" w:hanging="881"/>
              <w:rPr>
                <w:sz w:val="22"/>
              </w:rPr>
            </w:pPr>
            <w:r>
              <w:rPr>
                <w:sz w:val="22"/>
              </w:rPr>
              <w:t>大河财富基金销售有限公司</w:t>
            </w:r>
          </w:p>
        </w:tc>
        <w:tc>
          <w:tcPr>
            <w:tcW w:w="5480" w:type="dxa"/>
          </w:tcPr>
          <w:p>
            <w:pPr>
              <w:pStyle w:val="TableParagraph"/>
              <w:spacing w:before="15"/>
              <w:ind w:left="108"/>
              <w:rPr>
                <w:sz w:val="22"/>
              </w:rPr>
            </w:pPr>
            <w:r>
              <w:rPr>
                <w:spacing w:val="-12"/>
                <w:sz w:val="22"/>
              </w:rPr>
              <w:t>注册地址：贵州省贵阳市南明区新华路 </w:t>
            </w:r>
            <w:r>
              <w:rPr>
                <w:rFonts w:ascii="Arial" w:eastAsia="Arial"/>
                <w:sz w:val="22"/>
              </w:rPr>
              <w:t>110-134 </w:t>
            </w:r>
            <w:r>
              <w:rPr>
                <w:sz w:val="22"/>
              </w:rPr>
              <w:t>号富中</w:t>
            </w:r>
          </w:p>
          <w:p>
            <w:pPr>
              <w:pStyle w:val="TableParagraph"/>
              <w:spacing w:before="30"/>
              <w:ind w:left="108"/>
              <w:rPr>
                <w:sz w:val="22"/>
              </w:rPr>
            </w:pPr>
            <w:r>
              <w:rPr>
                <w:sz w:val="22"/>
              </w:rPr>
              <w:t>国际广场 </w:t>
            </w:r>
            <w:r>
              <w:rPr>
                <w:rFonts w:ascii="Arial" w:eastAsia="Arial"/>
                <w:sz w:val="22"/>
              </w:rPr>
              <w:t>1 </w:t>
            </w:r>
            <w:r>
              <w:rPr>
                <w:sz w:val="22"/>
              </w:rPr>
              <w:t>栋 </w:t>
            </w:r>
            <w:r>
              <w:rPr>
                <w:rFonts w:ascii="Arial" w:eastAsia="Arial"/>
                <w:sz w:val="22"/>
              </w:rPr>
              <w:t>20 </w:t>
            </w:r>
            <w:r>
              <w:rPr>
                <w:sz w:val="22"/>
              </w:rPr>
              <w:t>层 </w:t>
            </w:r>
            <w:r>
              <w:rPr>
                <w:rFonts w:ascii="Arial" w:eastAsia="Arial"/>
                <w:sz w:val="22"/>
              </w:rPr>
              <w:t>1.2 </w:t>
            </w:r>
            <w:r>
              <w:rPr>
                <w:sz w:val="22"/>
              </w:rPr>
              <w:t>号</w:t>
            </w:r>
          </w:p>
          <w:p>
            <w:pPr>
              <w:pStyle w:val="TableParagraph"/>
              <w:spacing w:before="30"/>
              <w:ind w:left="108"/>
              <w:rPr>
                <w:sz w:val="22"/>
              </w:rPr>
            </w:pPr>
            <w:r>
              <w:rPr>
                <w:spacing w:val="-12"/>
                <w:sz w:val="22"/>
              </w:rPr>
              <w:t>办公地址：贵州省贵阳市南明区新华路 </w:t>
            </w:r>
            <w:r>
              <w:rPr>
                <w:rFonts w:ascii="Arial" w:eastAsia="Arial"/>
                <w:sz w:val="22"/>
              </w:rPr>
              <w:t>110-134 </w:t>
            </w:r>
            <w:r>
              <w:rPr>
                <w:sz w:val="22"/>
              </w:rPr>
              <w:t>号富中</w:t>
            </w:r>
          </w:p>
          <w:p>
            <w:pPr>
              <w:pStyle w:val="TableParagraph"/>
              <w:spacing w:line="266" w:lineRule="auto" w:before="30"/>
              <w:ind w:left="108" w:right="2814"/>
              <w:rPr>
                <w:sz w:val="22"/>
              </w:rPr>
            </w:pPr>
            <w:r>
              <w:rPr>
                <w:spacing w:val="-11"/>
                <w:sz w:val="22"/>
              </w:rPr>
              <w:t>国际广场 </w:t>
            </w:r>
            <w:r>
              <w:rPr>
                <w:rFonts w:ascii="Arial" w:eastAsia="Arial"/>
                <w:sz w:val="22"/>
              </w:rPr>
              <w:t>1 </w:t>
            </w:r>
            <w:r>
              <w:rPr>
                <w:spacing w:val="-27"/>
                <w:sz w:val="22"/>
              </w:rPr>
              <w:t>栋 </w:t>
            </w:r>
            <w:r>
              <w:rPr>
                <w:rFonts w:ascii="Arial" w:eastAsia="Arial"/>
                <w:sz w:val="22"/>
              </w:rPr>
              <w:t>20 </w:t>
            </w:r>
            <w:r>
              <w:rPr>
                <w:spacing w:val="-28"/>
                <w:sz w:val="22"/>
              </w:rPr>
              <w:t>层 </w:t>
            </w:r>
            <w:r>
              <w:rPr>
                <w:rFonts w:ascii="Arial" w:eastAsia="Arial"/>
                <w:sz w:val="22"/>
              </w:rPr>
              <w:t>1.2 </w:t>
            </w:r>
            <w:r>
              <w:rPr>
                <w:spacing w:val="-14"/>
                <w:sz w:val="22"/>
              </w:rPr>
              <w:t>号</w:t>
            </w:r>
            <w:r>
              <w:rPr>
                <w:spacing w:val="-2"/>
                <w:sz w:val="22"/>
              </w:rPr>
              <w:t>法定代表人：王荻</w:t>
            </w:r>
          </w:p>
          <w:p>
            <w:pPr>
              <w:pStyle w:val="TableParagraph"/>
              <w:spacing w:line="280" w:lineRule="exact"/>
              <w:ind w:left="108"/>
              <w:rPr>
                <w:sz w:val="22"/>
              </w:rPr>
            </w:pPr>
            <w:r>
              <w:rPr>
                <w:sz w:val="22"/>
              </w:rPr>
              <w:t>联系人：方凯鑫</w:t>
            </w:r>
          </w:p>
          <w:p>
            <w:pPr>
              <w:pStyle w:val="TableParagraph"/>
              <w:spacing w:line="266" w:lineRule="auto" w:before="30"/>
              <w:ind w:left="108" w:right="3156"/>
              <w:rPr>
                <w:rFonts w:ascii="Arial" w:eastAsia="Arial"/>
                <w:sz w:val="22"/>
              </w:rPr>
            </w:pPr>
            <w:r>
              <w:rPr>
                <w:sz w:val="22"/>
              </w:rPr>
              <w:t>电话：</w:t>
            </w:r>
            <w:r>
              <w:rPr>
                <w:rFonts w:ascii="Arial" w:eastAsia="Arial"/>
                <w:sz w:val="22"/>
              </w:rPr>
              <w:t>0851-88405606 </w:t>
            </w:r>
            <w:r>
              <w:rPr>
                <w:sz w:val="22"/>
              </w:rPr>
              <w:t>传真：</w:t>
            </w:r>
            <w:r>
              <w:rPr>
                <w:rFonts w:ascii="Arial" w:eastAsia="Arial"/>
                <w:sz w:val="22"/>
              </w:rPr>
              <w:t>0851-88405599</w:t>
            </w:r>
          </w:p>
          <w:p>
            <w:pPr>
              <w:pStyle w:val="TableParagraph"/>
              <w:spacing w:line="281" w:lineRule="exact"/>
              <w:ind w:left="108"/>
              <w:rPr>
                <w:rFonts w:ascii="Arial" w:eastAsia="Arial"/>
                <w:sz w:val="22"/>
              </w:rPr>
            </w:pPr>
            <w:r>
              <w:rPr>
                <w:sz w:val="22"/>
              </w:rPr>
              <w:t>客户服务电话：</w:t>
            </w:r>
            <w:r>
              <w:rPr>
                <w:rFonts w:ascii="Arial" w:eastAsia="Arial"/>
                <w:sz w:val="22"/>
              </w:rPr>
              <w:t>0851-88235678</w:t>
            </w:r>
          </w:p>
          <w:p>
            <w:pPr>
              <w:pStyle w:val="TableParagraph"/>
              <w:spacing w:line="277" w:lineRule="exact" w:before="30"/>
              <w:ind w:left="108"/>
              <w:rPr>
                <w:rFonts w:ascii="Arial" w:eastAsia="Arial"/>
                <w:sz w:val="22"/>
              </w:rPr>
            </w:pPr>
            <w:r>
              <w:rPr>
                <w:sz w:val="22"/>
              </w:rPr>
              <w:t>网址：</w:t>
            </w:r>
            <w:hyperlink r:id="rId155">
              <w:r>
                <w:rPr>
                  <w:rFonts w:ascii="Arial" w:eastAsia="Arial"/>
                  <w:sz w:val="22"/>
                </w:rPr>
                <w:t>www.urainf.com</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98" w:right="88"/>
              <w:jc w:val="center"/>
              <w:rPr>
                <w:rFonts w:ascii="Arial"/>
                <w:sz w:val="21"/>
              </w:rPr>
            </w:pPr>
            <w:r>
              <w:rPr>
                <w:rFonts w:ascii="Arial"/>
                <w:sz w:val="21"/>
              </w:rPr>
              <w:t>15</w:t>
            </w:r>
          </w:p>
          <w:p>
            <w:pPr>
              <w:pStyle w:val="TableParagraph"/>
              <w:spacing w:before="71"/>
              <w:ind w:left="7"/>
              <w:jc w:val="center"/>
              <w:rPr>
                <w:rFonts w:ascii="Arial"/>
                <w:sz w:val="21"/>
              </w:rPr>
            </w:pPr>
            <w:r>
              <w:rPr>
                <w:rFonts w:ascii="Arial"/>
                <w:w w:val="100"/>
                <w:sz w:val="21"/>
              </w:rPr>
              <w:t>3</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ind w:left="799" w:right="129" w:hanging="660"/>
              <w:rPr>
                <w:sz w:val="22"/>
              </w:rPr>
            </w:pPr>
            <w:r>
              <w:rPr>
                <w:sz w:val="22"/>
              </w:rPr>
              <w:t>天津万家财富资产管理有限公司</w:t>
            </w:r>
          </w:p>
        </w:tc>
        <w:tc>
          <w:tcPr>
            <w:tcW w:w="5480" w:type="dxa"/>
          </w:tcPr>
          <w:p>
            <w:pPr>
              <w:pStyle w:val="TableParagraph"/>
              <w:spacing w:before="15"/>
              <w:ind w:left="108"/>
              <w:rPr>
                <w:rFonts w:ascii="Arial" w:eastAsia="Arial"/>
                <w:sz w:val="22"/>
              </w:rPr>
            </w:pPr>
            <w:r>
              <w:rPr>
                <w:sz w:val="22"/>
              </w:rPr>
              <w:t>注册地址：天津自贸区（中心商务区）迎宾大道 </w:t>
            </w:r>
            <w:r>
              <w:rPr>
                <w:rFonts w:ascii="Arial" w:eastAsia="Arial"/>
                <w:sz w:val="22"/>
              </w:rPr>
              <w:t>1988</w:t>
            </w:r>
          </w:p>
          <w:p>
            <w:pPr>
              <w:pStyle w:val="TableParagraph"/>
              <w:spacing w:before="30"/>
              <w:ind w:left="108"/>
              <w:rPr>
                <w:sz w:val="22"/>
              </w:rPr>
            </w:pPr>
            <w:r>
              <w:rPr>
                <w:sz w:val="22"/>
              </w:rPr>
              <w:t>号滨海浙商大厦公寓 </w:t>
            </w:r>
            <w:r>
              <w:rPr>
                <w:rFonts w:ascii="Arial" w:eastAsia="Arial"/>
                <w:sz w:val="22"/>
              </w:rPr>
              <w:t>2-2413 </w:t>
            </w:r>
            <w:r>
              <w:rPr>
                <w:sz w:val="22"/>
              </w:rPr>
              <w:t>室</w:t>
            </w:r>
          </w:p>
          <w:p>
            <w:pPr>
              <w:pStyle w:val="TableParagraph"/>
              <w:spacing w:before="30"/>
              <w:ind w:left="108"/>
              <w:rPr>
                <w:sz w:val="22"/>
              </w:rPr>
            </w:pPr>
            <w:r>
              <w:rPr>
                <w:sz w:val="22"/>
              </w:rPr>
              <w:t>办公地址：北京市西城区丰盛胡同 </w:t>
            </w:r>
            <w:r>
              <w:rPr>
                <w:rFonts w:ascii="Arial" w:eastAsia="Arial"/>
                <w:sz w:val="22"/>
              </w:rPr>
              <w:t>28 </w:t>
            </w:r>
            <w:r>
              <w:rPr>
                <w:sz w:val="22"/>
              </w:rPr>
              <w:t>号太平洋保险大</w:t>
            </w:r>
          </w:p>
          <w:p>
            <w:pPr>
              <w:pStyle w:val="TableParagraph"/>
              <w:spacing w:before="30"/>
              <w:ind w:left="108"/>
              <w:rPr>
                <w:sz w:val="22"/>
              </w:rPr>
            </w:pPr>
            <w:r>
              <w:rPr>
                <w:sz w:val="22"/>
              </w:rPr>
              <w:t>厦 </w:t>
            </w:r>
            <w:r>
              <w:rPr>
                <w:rFonts w:ascii="Arial" w:eastAsia="Arial"/>
                <w:sz w:val="22"/>
              </w:rPr>
              <w:t>5 </w:t>
            </w:r>
            <w:r>
              <w:rPr>
                <w:sz w:val="22"/>
              </w:rPr>
              <w:t>层</w:t>
            </w:r>
          </w:p>
          <w:p>
            <w:pPr>
              <w:pStyle w:val="TableParagraph"/>
              <w:spacing w:line="266" w:lineRule="auto" w:before="30"/>
              <w:ind w:left="108" w:right="3376"/>
              <w:rPr>
                <w:sz w:val="22"/>
              </w:rPr>
            </w:pPr>
            <w:r>
              <w:rPr>
                <w:sz w:val="22"/>
              </w:rPr>
              <w:t>法定代表人：李修辞联系人：王芳芳</w:t>
            </w:r>
          </w:p>
          <w:p>
            <w:pPr>
              <w:pStyle w:val="TableParagraph"/>
              <w:spacing w:line="266" w:lineRule="auto"/>
              <w:ind w:left="108" w:right="3216"/>
              <w:rPr>
                <w:rFonts w:ascii="Arial" w:eastAsia="Arial"/>
                <w:sz w:val="22"/>
              </w:rPr>
            </w:pPr>
            <w:r>
              <w:rPr>
                <w:sz w:val="22"/>
              </w:rPr>
              <w:t>电话：</w:t>
            </w:r>
            <w:r>
              <w:rPr>
                <w:rFonts w:ascii="Arial" w:eastAsia="Arial"/>
                <w:sz w:val="22"/>
              </w:rPr>
              <w:t>010-59013842 </w:t>
            </w:r>
            <w:r>
              <w:rPr>
                <w:sz w:val="22"/>
              </w:rPr>
              <w:t>传真：</w:t>
            </w:r>
            <w:r>
              <w:rPr>
                <w:rFonts w:ascii="Arial" w:eastAsia="Arial"/>
                <w:sz w:val="22"/>
              </w:rPr>
              <w:t>021- 38909635</w:t>
            </w:r>
          </w:p>
          <w:p>
            <w:pPr>
              <w:pStyle w:val="TableParagraph"/>
              <w:spacing w:line="281" w:lineRule="exact"/>
              <w:ind w:left="108"/>
              <w:rPr>
                <w:rFonts w:ascii="Arial" w:eastAsia="Arial"/>
                <w:sz w:val="22"/>
              </w:rPr>
            </w:pPr>
            <w:r>
              <w:rPr>
                <w:sz w:val="22"/>
              </w:rPr>
              <w:t>客户服务电话：</w:t>
            </w:r>
            <w:r>
              <w:rPr>
                <w:rFonts w:ascii="Arial" w:eastAsia="Arial"/>
                <w:sz w:val="22"/>
              </w:rPr>
              <w:t>010--59013825</w:t>
            </w:r>
          </w:p>
          <w:p>
            <w:pPr>
              <w:pStyle w:val="TableParagraph"/>
              <w:spacing w:line="277" w:lineRule="exact" w:before="29"/>
              <w:ind w:left="108"/>
              <w:rPr>
                <w:rFonts w:ascii="Arial" w:eastAsia="Arial"/>
                <w:sz w:val="22"/>
              </w:rPr>
            </w:pPr>
            <w:r>
              <w:rPr>
                <w:sz w:val="22"/>
              </w:rPr>
              <w:t>网址：</w:t>
            </w:r>
            <w:hyperlink r:id="rId156">
              <w:r>
                <w:rPr>
                  <w:rFonts w:ascii="Arial" w:eastAsia="Arial"/>
                  <w:sz w:val="22"/>
                </w:rPr>
                <w:t>www.wanjiawealth.com</w:t>
              </w:r>
            </w:hyperlink>
          </w:p>
        </w:tc>
      </w:tr>
      <w:tr>
        <w:trPr>
          <w:trHeight w:val="3122"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98" w:right="88"/>
              <w:jc w:val="center"/>
              <w:rPr>
                <w:rFonts w:ascii="Arial"/>
                <w:sz w:val="21"/>
              </w:rPr>
            </w:pPr>
            <w:r>
              <w:rPr>
                <w:rFonts w:ascii="Arial"/>
                <w:sz w:val="21"/>
              </w:rPr>
              <w:t>15</w:t>
            </w:r>
          </w:p>
          <w:p>
            <w:pPr>
              <w:pStyle w:val="TableParagraph"/>
              <w:spacing w:before="71"/>
              <w:ind w:left="7"/>
              <w:jc w:val="center"/>
              <w:rPr>
                <w:rFonts w:ascii="Arial"/>
                <w:sz w:val="21"/>
              </w:rPr>
            </w:pPr>
            <w:r>
              <w:rPr>
                <w:rFonts w:ascii="Arial"/>
                <w:w w:val="100"/>
                <w:sz w:val="21"/>
              </w:rPr>
              <w:t>4</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ind w:left="1020" w:right="129" w:hanging="881"/>
              <w:rPr>
                <w:sz w:val="22"/>
              </w:rPr>
            </w:pPr>
            <w:r>
              <w:rPr>
                <w:sz w:val="22"/>
              </w:rPr>
              <w:t>北京电盈基金销售有限公司</w:t>
            </w:r>
          </w:p>
        </w:tc>
        <w:tc>
          <w:tcPr>
            <w:tcW w:w="5480" w:type="dxa"/>
          </w:tcPr>
          <w:p>
            <w:pPr>
              <w:pStyle w:val="TableParagraph"/>
              <w:spacing w:before="17"/>
              <w:ind w:left="108"/>
              <w:rPr>
                <w:rFonts w:ascii="Arial" w:eastAsia="Arial"/>
                <w:sz w:val="22"/>
              </w:rPr>
            </w:pPr>
            <w:r>
              <w:rPr>
                <w:spacing w:val="-7"/>
                <w:sz w:val="22"/>
              </w:rPr>
              <w:t>注册地址：北京市朝阳区呼家楼</w:t>
            </w:r>
            <w:r>
              <w:rPr>
                <w:sz w:val="22"/>
              </w:rPr>
              <w:t>（</w:t>
            </w:r>
            <w:r>
              <w:rPr>
                <w:spacing w:val="-3"/>
                <w:sz w:val="22"/>
              </w:rPr>
              <w:t>京广中心</w:t>
            </w:r>
            <w:r>
              <w:rPr>
                <w:spacing w:val="-8"/>
                <w:sz w:val="22"/>
              </w:rPr>
              <w:t>）</w:t>
            </w:r>
            <w:r>
              <w:rPr>
                <w:rFonts w:ascii="Arial" w:eastAsia="Arial"/>
                <w:spacing w:val="-8"/>
                <w:sz w:val="22"/>
              </w:rPr>
              <w:t>1 </w:t>
            </w:r>
            <w:r>
              <w:rPr>
                <w:spacing w:val="-19"/>
                <w:sz w:val="22"/>
              </w:rPr>
              <w:t>号楼 </w:t>
            </w:r>
            <w:r>
              <w:rPr>
                <w:rFonts w:ascii="Arial" w:eastAsia="Arial"/>
                <w:sz w:val="22"/>
              </w:rPr>
              <w:t>36</w:t>
            </w:r>
          </w:p>
          <w:p>
            <w:pPr>
              <w:pStyle w:val="TableParagraph"/>
              <w:spacing w:before="30"/>
              <w:ind w:left="108"/>
              <w:rPr>
                <w:sz w:val="22"/>
              </w:rPr>
            </w:pPr>
            <w:r>
              <w:rPr>
                <w:sz w:val="22"/>
              </w:rPr>
              <w:t>层 </w:t>
            </w:r>
            <w:r>
              <w:rPr>
                <w:rFonts w:ascii="Arial" w:eastAsia="Arial"/>
                <w:sz w:val="22"/>
              </w:rPr>
              <w:t>3603 </w:t>
            </w:r>
            <w:r>
              <w:rPr>
                <w:sz w:val="22"/>
              </w:rPr>
              <w:t>室</w:t>
            </w:r>
          </w:p>
          <w:p>
            <w:pPr>
              <w:pStyle w:val="TableParagraph"/>
              <w:spacing w:before="30"/>
              <w:ind w:left="108"/>
              <w:rPr>
                <w:rFonts w:ascii="Arial" w:eastAsia="Arial"/>
                <w:sz w:val="22"/>
              </w:rPr>
            </w:pPr>
            <w:r>
              <w:rPr>
                <w:spacing w:val="-6"/>
                <w:sz w:val="22"/>
              </w:rPr>
              <w:t>办公地址：北京市东城区朝阳门北大街 </w:t>
            </w:r>
            <w:r>
              <w:rPr>
                <w:rFonts w:ascii="Arial" w:eastAsia="Arial"/>
                <w:sz w:val="22"/>
              </w:rPr>
              <w:t>8 </w:t>
            </w:r>
            <w:r>
              <w:rPr>
                <w:spacing w:val="-11"/>
                <w:sz w:val="22"/>
              </w:rPr>
              <w:t>号富华大厦 </w:t>
            </w:r>
            <w:r>
              <w:rPr>
                <w:rFonts w:ascii="Arial" w:eastAsia="Arial"/>
                <w:sz w:val="22"/>
              </w:rPr>
              <w:t>F</w:t>
            </w:r>
          </w:p>
          <w:p>
            <w:pPr>
              <w:pStyle w:val="TableParagraph"/>
              <w:spacing w:before="30"/>
              <w:ind w:left="108"/>
              <w:rPr>
                <w:rFonts w:ascii="Arial" w:eastAsia="Arial"/>
                <w:sz w:val="22"/>
              </w:rPr>
            </w:pPr>
            <w:r>
              <w:rPr>
                <w:sz w:val="22"/>
              </w:rPr>
              <w:t>座 </w:t>
            </w:r>
            <w:r>
              <w:rPr>
                <w:rFonts w:ascii="Arial" w:eastAsia="Arial"/>
                <w:sz w:val="22"/>
              </w:rPr>
              <w:t>12B</w:t>
            </w:r>
          </w:p>
          <w:p>
            <w:pPr>
              <w:pStyle w:val="TableParagraph"/>
              <w:spacing w:line="266" w:lineRule="auto" w:before="31"/>
              <w:ind w:left="108" w:right="3597"/>
              <w:rPr>
                <w:sz w:val="22"/>
              </w:rPr>
            </w:pPr>
            <w:r>
              <w:rPr>
                <w:sz w:val="22"/>
              </w:rPr>
              <w:t>法定代表人：程刚联系人：李丹</w:t>
            </w:r>
          </w:p>
          <w:p>
            <w:pPr>
              <w:pStyle w:val="TableParagraph"/>
              <w:spacing w:line="266" w:lineRule="auto"/>
              <w:ind w:left="108" w:right="3278"/>
              <w:rPr>
                <w:rFonts w:ascii="Arial" w:eastAsia="Arial"/>
                <w:sz w:val="22"/>
              </w:rPr>
            </w:pPr>
            <w:r>
              <w:rPr>
                <w:sz w:val="22"/>
              </w:rPr>
              <w:t>电话：</w:t>
            </w:r>
            <w:r>
              <w:rPr>
                <w:rFonts w:ascii="Arial" w:eastAsia="Arial"/>
                <w:sz w:val="22"/>
              </w:rPr>
              <w:t>010-56176115 </w:t>
            </w:r>
            <w:r>
              <w:rPr>
                <w:sz w:val="22"/>
              </w:rPr>
              <w:t>传真：</w:t>
            </w:r>
            <w:r>
              <w:rPr>
                <w:rFonts w:ascii="Arial" w:eastAsia="Arial"/>
                <w:sz w:val="22"/>
              </w:rPr>
              <w:t>010-56176117</w:t>
            </w:r>
          </w:p>
          <w:p>
            <w:pPr>
              <w:pStyle w:val="TableParagraph"/>
              <w:spacing w:line="281" w:lineRule="exact"/>
              <w:ind w:left="108"/>
              <w:rPr>
                <w:rFonts w:ascii="Arial" w:eastAsia="Arial"/>
                <w:sz w:val="22"/>
              </w:rPr>
            </w:pPr>
            <w:r>
              <w:rPr>
                <w:sz w:val="22"/>
              </w:rPr>
              <w:t>客户服务电话：</w:t>
            </w:r>
            <w:r>
              <w:rPr>
                <w:rFonts w:ascii="Arial" w:eastAsia="Arial"/>
                <w:sz w:val="22"/>
              </w:rPr>
              <w:t>400-100-3391</w:t>
            </w:r>
          </w:p>
          <w:p>
            <w:pPr>
              <w:pStyle w:val="TableParagraph"/>
              <w:spacing w:line="277" w:lineRule="exact" w:before="28"/>
              <w:ind w:left="108"/>
              <w:rPr>
                <w:rFonts w:ascii="Arial" w:eastAsia="Arial"/>
                <w:sz w:val="22"/>
              </w:rPr>
            </w:pPr>
            <w:r>
              <w:rPr>
                <w:sz w:val="22"/>
              </w:rPr>
              <w:t>网址：</w:t>
            </w:r>
            <w:hyperlink r:id="rId157">
              <w:r>
                <w:rPr>
                  <w:rFonts w:ascii="Arial" w:eastAsia="Arial"/>
                  <w:sz w:val="22"/>
                </w:rPr>
                <w:t>www.bjdyfund.com</w:t>
              </w:r>
            </w:hyperlink>
          </w:p>
        </w:tc>
      </w:tr>
    </w:tbl>
    <w:p>
      <w:pPr>
        <w:spacing w:after="0" w:line="277" w:lineRule="exact"/>
        <w:rPr>
          <w:rFonts w:ascii="Arial" w:eastAsia="Arial"/>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2496" w:hRule="atLeast"/>
        </w:trPr>
        <w:tc>
          <w:tcPr>
            <w:tcW w:w="470"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98" w:right="88"/>
              <w:jc w:val="center"/>
              <w:rPr>
                <w:rFonts w:ascii="Arial"/>
                <w:sz w:val="21"/>
              </w:rPr>
            </w:pPr>
            <w:r>
              <w:rPr>
                <w:rFonts w:ascii="Arial"/>
                <w:sz w:val="21"/>
              </w:rPr>
              <w:t>15</w:t>
            </w:r>
          </w:p>
          <w:p>
            <w:pPr>
              <w:pStyle w:val="TableParagraph"/>
              <w:spacing w:before="70"/>
              <w:ind w:left="7"/>
              <w:jc w:val="center"/>
              <w:rPr>
                <w:rFonts w:ascii="Arial"/>
                <w:sz w:val="21"/>
              </w:rPr>
            </w:pPr>
            <w:r>
              <w:rPr>
                <w:rFonts w:ascii="Arial"/>
                <w:w w:val="100"/>
                <w:sz w:val="21"/>
              </w:rPr>
              <w:t>5</w:t>
            </w:r>
          </w:p>
        </w:tc>
        <w:tc>
          <w:tcPr>
            <w:tcW w:w="2484"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578" w:right="129" w:hanging="440"/>
              <w:rPr>
                <w:sz w:val="22"/>
              </w:rPr>
            </w:pPr>
            <w:r>
              <w:rPr>
                <w:sz w:val="22"/>
              </w:rPr>
              <w:t>通华财富（上海）基金销售有限公司</w:t>
            </w:r>
          </w:p>
        </w:tc>
        <w:tc>
          <w:tcPr>
            <w:tcW w:w="5480" w:type="dxa"/>
            <w:tcBorders>
              <w:top w:val="nil"/>
            </w:tcBorders>
          </w:tcPr>
          <w:p>
            <w:pPr>
              <w:pStyle w:val="TableParagraph"/>
              <w:spacing w:before="15"/>
              <w:ind w:left="108"/>
              <w:rPr>
                <w:sz w:val="22"/>
              </w:rPr>
            </w:pPr>
            <w:r>
              <w:rPr>
                <w:sz w:val="22"/>
              </w:rPr>
              <w:t>注册地址：上海市虹口区同丰路 </w:t>
            </w:r>
            <w:r>
              <w:rPr>
                <w:rFonts w:ascii="Arial" w:eastAsia="Arial"/>
                <w:sz w:val="22"/>
              </w:rPr>
              <w:t>667 </w:t>
            </w:r>
            <w:r>
              <w:rPr>
                <w:sz w:val="22"/>
              </w:rPr>
              <w:t>弄 </w:t>
            </w:r>
            <w:r>
              <w:rPr>
                <w:rFonts w:ascii="Arial" w:eastAsia="Arial"/>
                <w:sz w:val="22"/>
              </w:rPr>
              <w:t>107 </w:t>
            </w:r>
            <w:r>
              <w:rPr>
                <w:sz w:val="22"/>
              </w:rPr>
              <w:t>号 </w:t>
            </w:r>
            <w:r>
              <w:rPr>
                <w:rFonts w:ascii="Arial" w:eastAsia="Arial"/>
                <w:sz w:val="22"/>
              </w:rPr>
              <w:t>201 </w:t>
            </w:r>
            <w:r>
              <w:rPr>
                <w:sz w:val="22"/>
              </w:rPr>
              <w:t>室</w:t>
            </w:r>
          </w:p>
          <w:p>
            <w:pPr>
              <w:pStyle w:val="TableParagraph"/>
              <w:spacing w:before="30"/>
              <w:ind w:left="108"/>
              <w:rPr>
                <w:rFonts w:ascii="Arial" w:eastAsia="Arial"/>
                <w:sz w:val="22"/>
              </w:rPr>
            </w:pPr>
            <w:r>
              <w:rPr>
                <w:spacing w:val="-15"/>
                <w:sz w:val="22"/>
              </w:rPr>
              <w:t>办公地址：上海市浦东新区金沪路 </w:t>
            </w:r>
            <w:r>
              <w:rPr>
                <w:rFonts w:ascii="Arial" w:eastAsia="Arial"/>
                <w:sz w:val="22"/>
              </w:rPr>
              <w:t>55 </w:t>
            </w:r>
            <w:r>
              <w:rPr>
                <w:spacing w:val="-9"/>
                <w:sz w:val="22"/>
              </w:rPr>
              <w:t>号通华科技大厦 </w:t>
            </w:r>
            <w:r>
              <w:rPr>
                <w:rFonts w:ascii="Arial" w:eastAsia="Arial"/>
                <w:sz w:val="22"/>
              </w:rPr>
              <w:t>7</w:t>
            </w:r>
          </w:p>
          <w:p>
            <w:pPr>
              <w:pStyle w:val="TableParagraph"/>
              <w:spacing w:before="31"/>
              <w:ind w:left="108"/>
              <w:rPr>
                <w:sz w:val="22"/>
              </w:rPr>
            </w:pPr>
            <w:r>
              <w:rPr>
                <w:w w:val="100"/>
                <w:sz w:val="22"/>
              </w:rPr>
              <w:t>层</w:t>
            </w:r>
          </w:p>
          <w:p>
            <w:pPr>
              <w:pStyle w:val="TableParagraph"/>
              <w:spacing w:line="266" w:lineRule="auto" w:before="30"/>
              <w:ind w:left="108" w:right="3376"/>
              <w:rPr>
                <w:sz w:val="22"/>
              </w:rPr>
            </w:pPr>
            <w:r>
              <w:rPr>
                <w:sz w:val="22"/>
              </w:rPr>
              <w:t>法定代表人：沈丹义联系人：杨徐霆</w:t>
            </w:r>
          </w:p>
          <w:p>
            <w:pPr>
              <w:pStyle w:val="TableParagraph"/>
              <w:spacing w:line="280" w:lineRule="exact"/>
              <w:ind w:left="108"/>
              <w:rPr>
                <w:rFonts w:ascii="Arial" w:eastAsia="Arial"/>
                <w:sz w:val="22"/>
              </w:rPr>
            </w:pPr>
            <w:r>
              <w:rPr>
                <w:sz w:val="22"/>
              </w:rPr>
              <w:t>电话：</w:t>
            </w:r>
            <w:r>
              <w:rPr>
                <w:rFonts w:ascii="Arial" w:eastAsia="Arial"/>
                <w:sz w:val="22"/>
              </w:rPr>
              <w:t>021-60818249</w:t>
            </w:r>
          </w:p>
          <w:p>
            <w:pPr>
              <w:pStyle w:val="TableParagraph"/>
              <w:spacing w:line="310" w:lineRule="atLeast" w:before="2"/>
              <w:ind w:left="108" w:right="2447"/>
              <w:rPr>
                <w:rFonts w:ascii="Arial" w:eastAsia="Arial"/>
                <w:sz w:val="22"/>
              </w:rPr>
            </w:pPr>
            <w:r>
              <w:rPr>
                <w:sz w:val="22"/>
              </w:rPr>
              <w:t>客户服务电话：</w:t>
            </w:r>
            <w:r>
              <w:rPr>
                <w:rFonts w:ascii="Arial" w:eastAsia="Arial"/>
                <w:sz w:val="22"/>
              </w:rPr>
              <w:t>400-101-9301 </w:t>
            </w:r>
            <w:r>
              <w:rPr>
                <w:sz w:val="22"/>
              </w:rPr>
              <w:t>网址：</w:t>
            </w:r>
            <w:hyperlink r:id="rId158">
              <w:r>
                <w:rPr>
                  <w:rFonts w:ascii="Arial" w:eastAsia="Arial"/>
                  <w:sz w:val="22"/>
                </w:rPr>
                <w:t>www.tonghuafund.com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98" w:right="88"/>
              <w:jc w:val="center"/>
              <w:rPr>
                <w:rFonts w:ascii="Arial"/>
                <w:sz w:val="21"/>
              </w:rPr>
            </w:pPr>
            <w:r>
              <w:rPr>
                <w:rFonts w:ascii="Arial"/>
                <w:sz w:val="21"/>
              </w:rPr>
              <w:t>15</w:t>
            </w:r>
          </w:p>
          <w:p>
            <w:pPr>
              <w:pStyle w:val="TableParagraph"/>
              <w:spacing w:before="70"/>
              <w:ind w:left="7"/>
              <w:jc w:val="center"/>
              <w:rPr>
                <w:rFonts w:ascii="Arial"/>
                <w:sz w:val="21"/>
              </w:rPr>
            </w:pPr>
            <w:r>
              <w:rPr>
                <w:rFonts w:ascii="Arial"/>
                <w:w w:val="100"/>
                <w:sz w:val="21"/>
              </w:rPr>
              <w:t>6</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1020" w:right="129" w:hanging="881"/>
              <w:rPr>
                <w:sz w:val="22"/>
              </w:rPr>
            </w:pPr>
            <w:r>
              <w:rPr>
                <w:sz w:val="22"/>
              </w:rPr>
              <w:t>喜鹊财富基金销售有限公司</w:t>
            </w:r>
          </w:p>
        </w:tc>
        <w:tc>
          <w:tcPr>
            <w:tcW w:w="5480" w:type="dxa"/>
          </w:tcPr>
          <w:p>
            <w:pPr>
              <w:pStyle w:val="TableParagraph"/>
              <w:spacing w:before="15"/>
              <w:ind w:left="108"/>
              <w:rPr>
                <w:sz w:val="22"/>
              </w:rPr>
            </w:pPr>
            <w:r>
              <w:rPr>
                <w:sz w:val="22"/>
              </w:rPr>
              <w:t>注册地址：西藏拉萨市柳梧新区柳梧大厦 </w:t>
            </w:r>
            <w:r>
              <w:rPr>
                <w:rFonts w:ascii="Arial" w:eastAsia="Arial"/>
                <w:sz w:val="22"/>
              </w:rPr>
              <w:t>1513 </w:t>
            </w:r>
            <w:r>
              <w:rPr>
                <w:sz w:val="22"/>
              </w:rPr>
              <w:t>室</w:t>
            </w:r>
          </w:p>
          <w:p>
            <w:pPr>
              <w:pStyle w:val="TableParagraph"/>
              <w:spacing w:line="266" w:lineRule="auto" w:before="30"/>
              <w:ind w:left="108" w:right="509"/>
              <w:rPr>
                <w:sz w:val="22"/>
              </w:rPr>
            </w:pPr>
            <w:r>
              <w:rPr>
                <w:sz w:val="22"/>
              </w:rPr>
              <w:t>办公地址：西藏拉萨市柳梧新区柳梧大厦 </w:t>
            </w:r>
            <w:r>
              <w:rPr>
                <w:rFonts w:ascii="Arial" w:eastAsia="Arial"/>
                <w:sz w:val="22"/>
              </w:rPr>
              <w:t>1513 </w:t>
            </w:r>
            <w:r>
              <w:rPr>
                <w:sz w:val="22"/>
              </w:rPr>
              <w:t>室法定代表人：陈皓</w:t>
            </w:r>
          </w:p>
          <w:p>
            <w:pPr>
              <w:pStyle w:val="TableParagraph"/>
              <w:spacing w:line="281" w:lineRule="exact"/>
              <w:ind w:left="108"/>
              <w:rPr>
                <w:sz w:val="22"/>
              </w:rPr>
            </w:pPr>
            <w:r>
              <w:rPr>
                <w:sz w:val="22"/>
              </w:rPr>
              <w:t>联系人：曹砚财</w:t>
            </w:r>
          </w:p>
          <w:p>
            <w:pPr>
              <w:pStyle w:val="TableParagraph"/>
              <w:spacing w:line="266" w:lineRule="auto" w:before="30"/>
              <w:ind w:left="108" w:right="3278"/>
              <w:rPr>
                <w:rFonts w:ascii="Arial" w:eastAsia="Arial"/>
                <w:sz w:val="22"/>
              </w:rPr>
            </w:pPr>
            <w:r>
              <w:rPr>
                <w:sz w:val="22"/>
              </w:rPr>
              <w:t>电话：</w:t>
            </w:r>
            <w:r>
              <w:rPr>
                <w:rFonts w:ascii="Arial" w:eastAsia="Arial"/>
                <w:sz w:val="22"/>
              </w:rPr>
              <w:t>010-58349088 </w:t>
            </w:r>
            <w:r>
              <w:rPr>
                <w:sz w:val="22"/>
              </w:rPr>
              <w:t>传真：</w:t>
            </w:r>
            <w:r>
              <w:rPr>
                <w:rFonts w:ascii="Arial" w:eastAsia="Arial"/>
                <w:sz w:val="22"/>
              </w:rPr>
              <w:t>010-88371180</w:t>
            </w:r>
          </w:p>
          <w:p>
            <w:pPr>
              <w:pStyle w:val="TableParagraph"/>
              <w:spacing w:line="280" w:lineRule="exact"/>
              <w:ind w:left="108"/>
              <w:rPr>
                <w:rFonts w:ascii="Arial" w:eastAsia="Arial"/>
                <w:sz w:val="22"/>
              </w:rPr>
            </w:pPr>
            <w:r>
              <w:rPr>
                <w:sz w:val="22"/>
              </w:rPr>
              <w:t>客户服务电话：</w:t>
            </w:r>
            <w:r>
              <w:rPr>
                <w:rFonts w:ascii="Arial" w:eastAsia="Arial"/>
                <w:sz w:val="22"/>
              </w:rPr>
              <w:t>0891-6177483</w:t>
            </w:r>
          </w:p>
          <w:p>
            <w:pPr>
              <w:pStyle w:val="TableParagraph"/>
              <w:spacing w:line="277" w:lineRule="exact" w:before="30"/>
              <w:ind w:left="108"/>
              <w:rPr>
                <w:rFonts w:ascii="Arial" w:eastAsia="Arial"/>
                <w:sz w:val="22"/>
              </w:rPr>
            </w:pPr>
            <w:r>
              <w:rPr>
                <w:sz w:val="22"/>
              </w:rPr>
              <w:t>网址：</w:t>
            </w:r>
            <w:hyperlink r:id="rId159">
              <w:r>
                <w:rPr>
                  <w:rFonts w:ascii="Arial" w:eastAsia="Arial"/>
                  <w:sz w:val="22"/>
                </w:rPr>
                <w:t>www.xiquefund.com</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98" w:right="88"/>
              <w:jc w:val="center"/>
              <w:rPr>
                <w:rFonts w:ascii="Arial"/>
                <w:sz w:val="21"/>
              </w:rPr>
            </w:pPr>
            <w:r>
              <w:rPr>
                <w:rFonts w:ascii="Arial"/>
                <w:sz w:val="21"/>
              </w:rPr>
              <w:t>15</w:t>
            </w:r>
          </w:p>
          <w:p>
            <w:pPr>
              <w:pStyle w:val="TableParagraph"/>
              <w:spacing w:before="71"/>
              <w:ind w:left="7"/>
              <w:jc w:val="center"/>
              <w:rPr>
                <w:rFonts w:ascii="Arial"/>
                <w:sz w:val="21"/>
              </w:rPr>
            </w:pPr>
            <w:r>
              <w:rPr>
                <w:rFonts w:ascii="Arial"/>
                <w:w w:val="100"/>
                <w:sz w:val="21"/>
              </w:rPr>
              <w:t>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ind w:left="578" w:right="129" w:hanging="440"/>
              <w:rPr>
                <w:sz w:val="22"/>
              </w:rPr>
            </w:pPr>
            <w:r>
              <w:rPr>
                <w:sz w:val="22"/>
              </w:rPr>
              <w:t>济安财富（北京）基金销售有限公司</w:t>
            </w:r>
          </w:p>
        </w:tc>
        <w:tc>
          <w:tcPr>
            <w:tcW w:w="5480" w:type="dxa"/>
          </w:tcPr>
          <w:p>
            <w:pPr>
              <w:pStyle w:val="TableParagraph"/>
              <w:spacing w:before="15"/>
              <w:ind w:left="108"/>
              <w:rPr>
                <w:sz w:val="22"/>
              </w:rPr>
            </w:pPr>
            <w:r>
              <w:rPr>
                <w:spacing w:val="-6"/>
                <w:sz w:val="22"/>
              </w:rPr>
              <w:t>注册地址：北京市朝阳区东三环中路 </w:t>
            </w:r>
            <w:r>
              <w:rPr>
                <w:rFonts w:ascii="Arial" w:eastAsia="Arial"/>
                <w:sz w:val="22"/>
              </w:rPr>
              <w:t>7 </w:t>
            </w:r>
            <w:r>
              <w:rPr>
                <w:spacing w:val="-27"/>
                <w:sz w:val="22"/>
              </w:rPr>
              <w:t>号 </w:t>
            </w:r>
            <w:r>
              <w:rPr>
                <w:rFonts w:ascii="Arial" w:eastAsia="Arial"/>
                <w:sz w:val="22"/>
              </w:rPr>
              <w:t>4 </w:t>
            </w:r>
            <w:r>
              <w:rPr>
                <w:spacing w:val="-18"/>
                <w:sz w:val="22"/>
              </w:rPr>
              <w:t>号楼 </w:t>
            </w:r>
            <w:r>
              <w:rPr>
                <w:rFonts w:ascii="Arial" w:eastAsia="Arial"/>
                <w:sz w:val="22"/>
              </w:rPr>
              <w:t>40 </w:t>
            </w:r>
            <w:r>
              <w:rPr>
                <w:sz w:val="22"/>
              </w:rPr>
              <w:t>层</w:t>
            </w:r>
          </w:p>
          <w:p>
            <w:pPr>
              <w:pStyle w:val="TableParagraph"/>
              <w:spacing w:before="30"/>
              <w:ind w:left="108"/>
              <w:rPr>
                <w:sz w:val="22"/>
              </w:rPr>
            </w:pPr>
            <w:r>
              <w:rPr>
                <w:rFonts w:ascii="Arial" w:eastAsia="Arial"/>
                <w:sz w:val="22"/>
              </w:rPr>
              <w:t>4601 </w:t>
            </w:r>
            <w:r>
              <w:rPr>
                <w:sz w:val="22"/>
              </w:rPr>
              <w:t>室</w:t>
            </w:r>
          </w:p>
          <w:p>
            <w:pPr>
              <w:pStyle w:val="TableParagraph"/>
              <w:spacing w:before="30"/>
              <w:ind w:left="108"/>
              <w:rPr>
                <w:sz w:val="22"/>
              </w:rPr>
            </w:pPr>
            <w:r>
              <w:rPr>
                <w:sz w:val="22"/>
              </w:rPr>
              <w:t>办公地址：北京市朝阳区东三环中路 </w:t>
            </w:r>
            <w:r>
              <w:rPr>
                <w:rFonts w:ascii="Arial" w:eastAsia="Arial"/>
                <w:sz w:val="22"/>
              </w:rPr>
              <w:t>7 </w:t>
            </w:r>
            <w:r>
              <w:rPr>
                <w:sz w:val="22"/>
              </w:rPr>
              <w:t>号北京财富中心</w:t>
            </w:r>
          </w:p>
          <w:p>
            <w:pPr>
              <w:pStyle w:val="TableParagraph"/>
              <w:spacing w:before="30"/>
              <w:ind w:left="108"/>
              <w:rPr>
                <w:sz w:val="22"/>
              </w:rPr>
            </w:pPr>
            <w:r>
              <w:rPr>
                <w:rFonts w:ascii="Arial" w:eastAsia="Arial"/>
                <w:sz w:val="22"/>
              </w:rPr>
              <w:t>A </w:t>
            </w:r>
            <w:r>
              <w:rPr>
                <w:sz w:val="22"/>
              </w:rPr>
              <w:t>座 </w:t>
            </w:r>
            <w:r>
              <w:rPr>
                <w:rFonts w:ascii="Arial" w:eastAsia="Arial"/>
                <w:sz w:val="22"/>
              </w:rPr>
              <w:t>46 </w:t>
            </w:r>
            <w:r>
              <w:rPr>
                <w:sz w:val="22"/>
              </w:rPr>
              <w:t>层</w:t>
            </w:r>
          </w:p>
          <w:p>
            <w:pPr>
              <w:pStyle w:val="TableParagraph"/>
              <w:spacing w:line="266" w:lineRule="auto" w:before="30"/>
              <w:ind w:left="108" w:right="3597"/>
              <w:rPr>
                <w:sz w:val="22"/>
              </w:rPr>
            </w:pPr>
            <w:r>
              <w:rPr>
                <w:sz w:val="22"/>
              </w:rPr>
              <w:t>法定代表人：杨健联系人：李海燕</w:t>
            </w:r>
          </w:p>
          <w:p>
            <w:pPr>
              <w:pStyle w:val="TableParagraph"/>
              <w:spacing w:line="266" w:lineRule="auto"/>
              <w:ind w:left="108" w:right="3278"/>
              <w:rPr>
                <w:rFonts w:ascii="Arial" w:eastAsia="Arial"/>
                <w:sz w:val="22"/>
              </w:rPr>
            </w:pPr>
            <w:r>
              <w:rPr>
                <w:sz w:val="22"/>
              </w:rPr>
              <w:t>电话：</w:t>
            </w:r>
            <w:r>
              <w:rPr>
                <w:rFonts w:ascii="Arial" w:eastAsia="Arial"/>
                <w:sz w:val="22"/>
              </w:rPr>
              <w:t>010-65309516 </w:t>
            </w:r>
            <w:r>
              <w:rPr>
                <w:sz w:val="22"/>
              </w:rPr>
              <w:t>传真：</w:t>
            </w:r>
            <w:r>
              <w:rPr>
                <w:rFonts w:ascii="Arial" w:eastAsia="Arial"/>
                <w:sz w:val="22"/>
              </w:rPr>
              <w:t>010-65330699</w:t>
            </w:r>
          </w:p>
          <w:p>
            <w:pPr>
              <w:pStyle w:val="TableParagraph"/>
              <w:spacing w:line="280" w:lineRule="exact"/>
              <w:ind w:left="108"/>
              <w:rPr>
                <w:rFonts w:ascii="Arial" w:eastAsia="Arial"/>
                <w:sz w:val="22"/>
              </w:rPr>
            </w:pPr>
            <w:r>
              <w:rPr>
                <w:sz w:val="22"/>
              </w:rPr>
              <w:t>客户服务电话：</w:t>
            </w:r>
            <w:r>
              <w:rPr>
                <w:rFonts w:ascii="Arial" w:eastAsia="Arial"/>
                <w:sz w:val="22"/>
              </w:rPr>
              <w:t>400-673-7010</w:t>
            </w:r>
          </w:p>
          <w:p>
            <w:pPr>
              <w:pStyle w:val="TableParagraph"/>
              <w:spacing w:line="277" w:lineRule="exact" w:before="29"/>
              <w:ind w:left="108"/>
              <w:rPr>
                <w:rFonts w:ascii="Arial" w:eastAsia="Arial"/>
                <w:sz w:val="22"/>
              </w:rPr>
            </w:pPr>
            <w:r>
              <w:rPr>
                <w:sz w:val="22"/>
              </w:rPr>
              <w:t>网址：</w:t>
            </w:r>
            <w:hyperlink r:id="rId160">
              <w:r>
                <w:rPr>
                  <w:rFonts w:ascii="Arial" w:eastAsia="Arial"/>
                  <w:sz w:val="22"/>
                </w:rPr>
                <w:t>www.jianfortune.com</w:t>
              </w:r>
            </w:hyperlink>
          </w:p>
        </w:tc>
      </w:tr>
      <w:tr>
        <w:trPr>
          <w:trHeight w:val="3120"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98" w:right="88"/>
              <w:jc w:val="center"/>
              <w:rPr>
                <w:rFonts w:ascii="Arial"/>
                <w:sz w:val="21"/>
              </w:rPr>
            </w:pPr>
            <w:r>
              <w:rPr>
                <w:rFonts w:ascii="Arial"/>
                <w:sz w:val="21"/>
              </w:rPr>
              <w:t>15</w:t>
            </w:r>
          </w:p>
          <w:p>
            <w:pPr>
              <w:pStyle w:val="TableParagraph"/>
              <w:spacing w:before="71"/>
              <w:ind w:left="7"/>
              <w:jc w:val="center"/>
              <w:rPr>
                <w:rFonts w:ascii="Arial"/>
                <w:sz w:val="21"/>
              </w:rPr>
            </w:pPr>
            <w:r>
              <w:rPr>
                <w:rFonts w:ascii="Arial"/>
                <w:w w:val="100"/>
                <w:sz w:val="21"/>
              </w:rPr>
              <w:t>8</w:t>
            </w:r>
          </w:p>
        </w:tc>
        <w:tc>
          <w:tcPr>
            <w:tcW w:w="2484"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20" w:right="113"/>
              <w:jc w:val="center"/>
              <w:rPr>
                <w:sz w:val="22"/>
              </w:rPr>
            </w:pPr>
            <w:r>
              <w:rPr>
                <w:sz w:val="22"/>
              </w:rPr>
              <w:t>华信期货股份有限公司</w:t>
            </w:r>
          </w:p>
          <w:p>
            <w:pPr>
              <w:pStyle w:val="TableParagraph"/>
              <w:spacing w:line="266" w:lineRule="auto" w:before="30"/>
              <w:ind w:left="139" w:right="129"/>
              <w:jc w:val="center"/>
              <w:rPr>
                <w:sz w:val="22"/>
              </w:rPr>
            </w:pPr>
            <w:r>
              <w:rPr>
                <w:sz w:val="22"/>
              </w:rPr>
              <w:t>（注：仅代销景系列之优选混合型证券投资基金、动力平衡证券投资基金）</w:t>
            </w:r>
          </w:p>
        </w:tc>
        <w:tc>
          <w:tcPr>
            <w:tcW w:w="5480" w:type="dxa"/>
          </w:tcPr>
          <w:p>
            <w:pPr>
              <w:pStyle w:val="TableParagraph"/>
              <w:spacing w:before="15"/>
              <w:ind w:left="108"/>
              <w:rPr>
                <w:rFonts w:ascii="Arial" w:eastAsia="Arial"/>
                <w:sz w:val="22"/>
              </w:rPr>
            </w:pPr>
            <w:r>
              <w:rPr>
                <w:spacing w:val="-15"/>
                <w:sz w:val="22"/>
              </w:rPr>
              <w:t>注册地址：郑州市郑东新区商务内环路 </w:t>
            </w:r>
            <w:r>
              <w:rPr>
                <w:rFonts w:ascii="Arial" w:eastAsia="Arial"/>
                <w:sz w:val="22"/>
              </w:rPr>
              <w:t>27 </w:t>
            </w:r>
            <w:r>
              <w:rPr>
                <w:spacing w:val="-19"/>
                <w:sz w:val="22"/>
              </w:rPr>
              <w:t>号楼 </w:t>
            </w:r>
            <w:r>
              <w:rPr>
                <w:rFonts w:ascii="Arial" w:eastAsia="Arial"/>
                <w:sz w:val="22"/>
              </w:rPr>
              <w:t>1 </w:t>
            </w:r>
            <w:r>
              <w:rPr>
                <w:spacing w:val="-19"/>
                <w:sz w:val="22"/>
              </w:rPr>
              <w:t>单元 </w:t>
            </w:r>
            <w:r>
              <w:rPr>
                <w:rFonts w:ascii="Arial" w:eastAsia="Arial"/>
                <w:sz w:val="22"/>
              </w:rPr>
              <w:t>3</w:t>
            </w:r>
          </w:p>
          <w:p>
            <w:pPr>
              <w:pStyle w:val="TableParagraph"/>
              <w:spacing w:before="30"/>
              <w:ind w:left="108"/>
              <w:rPr>
                <w:sz w:val="22"/>
              </w:rPr>
            </w:pPr>
            <w:r>
              <w:rPr>
                <w:sz w:val="22"/>
              </w:rPr>
              <w:t>层 </w:t>
            </w:r>
            <w:r>
              <w:rPr>
                <w:rFonts w:ascii="Arial" w:eastAsia="Arial"/>
                <w:sz w:val="22"/>
              </w:rPr>
              <w:t>01 </w:t>
            </w:r>
            <w:r>
              <w:rPr>
                <w:sz w:val="22"/>
              </w:rPr>
              <w:t>号、</w:t>
            </w:r>
            <w:r>
              <w:rPr>
                <w:rFonts w:ascii="Arial" w:eastAsia="Arial"/>
                <w:sz w:val="22"/>
              </w:rPr>
              <w:t>2 </w:t>
            </w:r>
            <w:r>
              <w:rPr>
                <w:sz w:val="22"/>
              </w:rPr>
              <w:t>单元 </w:t>
            </w:r>
            <w:r>
              <w:rPr>
                <w:rFonts w:ascii="Arial" w:eastAsia="Arial"/>
                <w:sz w:val="22"/>
              </w:rPr>
              <w:t>3 </w:t>
            </w:r>
            <w:r>
              <w:rPr>
                <w:sz w:val="22"/>
              </w:rPr>
              <w:t>层 </w:t>
            </w:r>
            <w:r>
              <w:rPr>
                <w:rFonts w:ascii="Arial" w:eastAsia="Arial"/>
                <w:sz w:val="22"/>
              </w:rPr>
              <w:t>02 </w:t>
            </w:r>
            <w:r>
              <w:rPr>
                <w:sz w:val="22"/>
              </w:rPr>
              <w:t>号</w:t>
            </w:r>
          </w:p>
          <w:p>
            <w:pPr>
              <w:pStyle w:val="TableParagraph"/>
              <w:spacing w:before="30"/>
              <w:ind w:left="108"/>
              <w:rPr>
                <w:rFonts w:ascii="Arial" w:eastAsia="Arial"/>
                <w:sz w:val="22"/>
              </w:rPr>
            </w:pPr>
            <w:r>
              <w:rPr>
                <w:spacing w:val="-15"/>
                <w:sz w:val="22"/>
              </w:rPr>
              <w:t>办公地址：郑州市郑东新区商务内环路 </w:t>
            </w:r>
            <w:r>
              <w:rPr>
                <w:rFonts w:ascii="Arial" w:eastAsia="Arial"/>
                <w:sz w:val="22"/>
              </w:rPr>
              <w:t>27 </w:t>
            </w:r>
            <w:r>
              <w:rPr>
                <w:spacing w:val="-19"/>
                <w:sz w:val="22"/>
              </w:rPr>
              <w:t>号楼 </w:t>
            </w:r>
            <w:r>
              <w:rPr>
                <w:rFonts w:ascii="Arial" w:eastAsia="Arial"/>
                <w:sz w:val="22"/>
              </w:rPr>
              <w:t>1 </w:t>
            </w:r>
            <w:r>
              <w:rPr>
                <w:spacing w:val="-19"/>
                <w:sz w:val="22"/>
              </w:rPr>
              <w:t>单元 </w:t>
            </w:r>
            <w:r>
              <w:rPr>
                <w:rFonts w:ascii="Arial" w:eastAsia="Arial"/>
                <w:sz w:val="22"/>
              </w:rPr>
              <w:t>3</w:t>
            </w:r>
          </w:p>
          <w:p>
            <w:pPr>
              <w:pStyle w:val="TableParagraph"/>
              <w:spacing w:line="266" w:lineRule="auto" w:before="30"/>
              <w:ind w:left="108" w:right="2654"/>
              <w:rPr>
                <w:sz w:val="22"/>
              </w:rPr>
            </w:pPr>
            <w:r>
              <w:rPr>
                <w:spacing w:val="-28"/>
                <w:sz w:val="22"/>
              </w:rPr>
              <w:t>层 </w:t>
            </w:r>
            <w:r>
              <w:rPr>
                <w:rFonts w:ascii="Arial" w:eastAsia="Arial"/>
                <w:sz w:val="22"/>
              </w:rPr>
              <w:t>01 </w:t>
            </w:r>
            <w:r>
              <w:rPr>
                <w:sz w:val="22"/>
              </w:rPr>
              <w:t>号、</w:t>
            </w:r>
            <w:r>
              <w:rPr>
                <w:rFonts w:ascii="Arial" w:eastAsia="Arial"/>
                <w:sz w:val="22"/>
              </w:rPr>
              <w:t>2 </w:t>
            </w:r>
            <w:r>
              <w:rPr>
                <w:spacing w:val="-18"/>
                <w:sz w:val="22"/>
              </w:rPr>
              <w:t>单元 </w:t>
            </w:r>
            <w:r>
              <w:rPr>
                <w:rFonts w:ascii="Arial" w:eastAsia="Arial"/>
                <w:sz w:val="22"/>
              </w:rPr>
              <w:t>3 </w:t>
            </w:r>
            <w:r>
              <w:rPr>
                <w:spacing w:val="-27"/>
                <w:sz w:val="22"/>
              </w:rPr>
              <w:t>层 </w:t>
            </w:r>
            <w:r>
              <w:rPr>
                <w:rFonts w:ascii="Arial" w:eastAsia="Arial"/>
                <w:sz w:val="22"/>
              </w:rPr>
              <w:t>02 </w:t>
            </w:r>
            <w:r>
              <w:rPr>
                <w:spacing w:val="-13"/>
                <w:sz w:val="22"/>
              </w:rPr>
              <w:t>号</w:t>
            </w:r>
            <w:r>
              <w:rPr>
                <w:spacing w:val="-2"/>
                <w:sz w:val="22"/>
              </w:rPr>
              <w:t>法定代表人：张岩</w:t>
            </w:r>
          </w:p>
          <w:p>
            <w:pPr>
              <w:pStyle w:val="TableParagraph"/>
              <w:spacing w:line="280" w:lineRule="exact"/>
              <w:ind w:left="108"/>
              <w:rPr>
                <w:sz w:val="22"/>
              </w:rPr>
            </w:pPr>
            <w:r>
              <w:rPr>
                <w:sz w:val="22"/>
              </w:rPr>
              <w:t>联系人：李玉磊</w:t>
            </w:r>
          </w:p>
          <w:p>
            <w:pPr>
              <w:pStyle w:val="TableParagraph"/>
              <w:spacing w:line="266" w:lineRule="auto" w:before="31"/>
              <w:ind w:left="108" w:right="3156"/>
              <w:rPr>
                <w:rFonts w:ascii="Arial" w:eastAsia="Arial"/>
                <w:sz w:val="22"/>
              </w:rPr>
            </w:pPr>
            <w:r>
              <w:rPr>
                <w:sz w:val="22"/>
              </w:rPr>
              <w:t>电话：</w:t>
            </w:r>
            <w:r>
              <w:rPr>
                <w:rFonts w:ascii="Arial" w:eastAsia="Arial"/>
                <w:sz w:val="22"/>
              </w:rPr>
              <w:t>0371-69106682 </w:t>
            </w:r>
            <w:r>
              <w:rPr>
                <w:sz w:val="22"/>
              </w:rPr>
              <w:t>传真：</w:t>
            </w:r>
            <w:r>
              <w:rPr>
                <w:rFonts w:ascii="Arial" w:eastAsia="Arial"/>
                <w:sz w:val="22"/>
              </w:rPr>
              <w:t>0371-69106655</w:t>
            </w:r>
          </w:p>
          <w:p>
            <w:pPr>
              <w:pStyle w:val="TableParagraph"/>
              <w:spacing w:line="280" w:lineRule="exact"/>
              <w:ind w:left="108"/>
              <w:rPr>
                <w:rFonts w:ascii="Arial" w:eastAsia="Arial"/>
                <w:sz w:val="22"/>
              </w:rPr>
            </w:pPr>
            <w:r>
              <w:rPr>
                <w:sz w:val="22"/>
              </w:rPr>
              <w:t>客户服务电话：</w:t>
            </w:r>
            <w:r>
              <w:rPr>
                <w:rFonts w:ascii="Arial" w:eastAsia="Arial"/>
                <w:sz w:val="22"/>
              </w:rPr>
              <w:t>400-6197-666</w:t>
            </w:r>
          </w:p>
          <w:p>
            <w:pPr>
              <w:pStyle w:val="TableParagraph"/>
              <w:spacing w:line="277" w:lineRule="exact" w:before="30"/>
              <w:ind w:left="108"/>
              <w:rPr>
                <w:rFonts w:ascii="Arial" w:eastAsia="Arial"/>
                <w:sz w:val="22"/>
              </w:rPr>
            </w:pPr>
            <w:r>
              <w:rPr>
                <w:sz w:val="22"/>
              </w:rPr>
              <w:t>网址：</w:t>
            </w:r>
            <w:hyperlink r:id="rId161">
              <w:r>
                <w:rPr>
                  <w:rFonts w:ascii="Arial" w:eastAsia="Arial"/>
                  <w:sz w:val="22"/>
                </w:rPr>
                <w:t>http://www.cefcfco.com/</w:t>
              </w:r>
            </w:hyperlink>
          </w:p>
        </w:tc>
      </w:tr>
      <w:tr>
        <w:trPr>
          <w:trHeight w:val="249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98" w:right="88"/>
              <w:jc w:val="center"/>
              <w:rPr>
                <w:rFonts w:ascii="Arial"/>
                <w:sz w:val="21"/>
              </w:rPr>
            </w:pPr>
            <w:r>
              <w:rPr>
                <w:rFonts w:ascii="Arial"/>
                <w:sz w:val="21"/>
              </w:rPr>
              <w:t>15</w:t>
            </w:r>
          </w:p>
          <w:p>
            <w:pPr>
              <w:pStyle w:val="TableParagraph"/>
              <w:spacing w:before="71"/>
              <w:ind w:left="7"/>
              <w:jc w:val="center"/>
              <w:rPr>
                <w:rFonts w:ascii="Arial"/>
                <w:sz w:val="21"/>
              </w:rPr>
            </w:pPr>
            <w:r>
              <w:rPr>
                <w:rFonts w:ascii="Arial"/>
                <w:w w:val="100"/>
                <w:sz w:val="21"/>
              </w:rPr>
              <w:t>9</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4"/>
              <w:ind w:left="360" w:right="129" w:hanging="221"/>
              <w:rPr>
                <w:sz w:val="22"/>
              </w:rPr>
            </w:pPr>
            <w:r>
              <w:rPr>
                <w:sz w:val="22"/>
              </w:rPr>
              <w:t>洪泰财富（青岛）基金销售有限责任公司</w:t>
            </w:r>
          </w:p>
        </w:tc>
        <w:tc>
          <w:tcPr>
            <w:tcW w:w="5480" w:type="dxa"/>
          </w:tcPr>
          <w:p>
            <w:pPr>
              <w:pStyle w:val="TableParagraph"/>
              <w:spacing w:before="17"/>
              <w:ind w:left="108"/>
              <w:rPr>
                <w:rFonts w:ascii="Arial" w:eastAsia="Arial"/>
                <w:sz w:val="22"/>
              </w:rPr>
            </w:pPr>
            <w:r>
              <w:rPr>
                <w:sz w:val="22"/>
              </w:rPr>
              <w:t>注册地址：山东省青岛市香港东路 </w:t>
            </w:r>
            <w:r>
              <w:rPr>
                <w:rFonts w:ascii="Arial" w:eastAsia="Arial"/>
                <w:sz w:val="22"/>
              </w:rPr>
              <w:t>195 </w:t>
            </w:r>
            <w:r>
              <w:rPr>
                <w:sz w:val="22"/>
              </w:rPr>
              <w:t>号 </w:t>
            </w:r>
            <w:r>
              <w:rPr>
                <w:rFonts w:ascii="Arial" w:eastAsia="Arial"/>
                <w:sz w:val="22"/>
              </w:rPr>
              <w:t>9 </w:t>
            </w:r>
            <w:r>
              <w:rPr>
                <w:sz w:val="22"/>
              </w:rPr>
              <w:t>号楼 </w:t>
            </w:r>
            <w:r>
              <w:rPr>
                <w:rFonts w:ascii="Arial" w:eastAsia="Arial"/>
                <w:sz w:val="22"/>
              </w:rPr>
              <w:t>701</w:t>
            </w:r>
          </w:p>
          <w:p>
            <w:pPr>
              <w:pStyle w:val="TableParagraph"/>
              <w:spacing w:before="30"/>
              <w:ind w:left="108"/>
              <w:rPr>
                <w:sz w:val="22"/>
              </w:rPr>
            </w:pPr>
            <w:r>
              <w:rPr>
                <w:w w:val="100"/>
                <w:sz w:val="22"/>
              </w:rPr>
              <w:t>室</w:t>
            </w:r>
          </w:p>
          <w:p>
            <w:pPr>
              <w:pStyle w:val="TableParagraph"/>
              <w:spacing w:before="30"/>
              <w:ind w:left="108"/>
              <w:rPr>
                <w:sz w:val="22"/>
              </w:rPr>
            </w:pPr>
            <w:r>
              <w:rPr>
                <w:sz w:val="22"/>
              </w:rPr>
              <w:t>办公地址：北京市西城区西什库大街 </w:t>
            </w:r>
            <w:r>
              <w:rPr>
                <w:rFonts w:ascii="Arial" w:eastAsia="Arial"/>
                <w:sz w:val="22"/>
              </w:rPr>
              <w:t>31 </w:t>
            </w:r>
            <w:r>
              <w:rPr>
                <w:sz w:val="22"/>
              </w:rPr>
              <w:t>号院九思文创</w:t>
            </w:r>
          </w:p>
          <w:p>
            <w:pPr>
              <w:pStyle w:val="TableParagraph"/>
              <w:spacing w:before="30"/>
              <w:ind w:left="108"/>
              <w:rPr>
                <w:sz w:val="22"/>
              </w:rPr>
            </w:pPr>
            <w:r>
              <w:rPr>
                <w:sz w:val="22"/>
              </w:rPr>
              <w:t>园 </w:t>
            </w:r>
            <w:r>
              <w:rPr>
                <w:rFonts w:ascii="Arial" w:eastAsia="Arial"/>
                <w:sz w:val="22"/>
              </w:rPr>
              <w:t>5 </w:t>
            </w:r>
            <w:r>
              <w:rPr>
                <w:sz w:val="22"/>
              </w:rPr>
              <w:t>号楼 </w:t>
            </w:r>
            <w:r>
              <w:rPr>
                <w:rFonts w:ascii="Arial" w:eastAsia="Arial"/>
                <w:sz w:val="22"/>
              </w:rPr>
              <w:t>501 </w:t>
            </w:r>
            <w:r>
              <w:rPr>
                <w:sz w:val="22"/>
              </w:rPr>
              <w:t>室</w:t>
            </w:r>
          </w:p>
          <w:p>
            <w:pPr>
              <w:pStyle w:val="TableParagraph"/>
              <w:spacing w:line="266" w:lineRule="auto" w:before="31"/>
              <w:ind w:left="108" w:right="3376"/>
              <w:rPr>
                <w:sz w:val="22"/>
              </w:rPr>
            </w:pPr>
            <w:r>
              <w:rPr>
                <w:sz w:val="22"/>
              </w:rPr>
              <w:t>法定代表人：杨雅琴联系人：李慧慧</w:t>
            </w:r>
          </w:p>
          <w:p>
            <w:pPr>
              <w:pStyle w:val="TableParagraph"/>
              <w:spacing w:line="281" w:lineRule="exact"/>
              <w:ind w:left="108"/>
              <w:rPr>
                <w:rFonts w:ascii="Arial" w:eastAsia="Arial"/>
                <w:sz w:val="22"/>
              </w:rPr>
            </w:pPr>
            <w:r>
              <w:rPr>
                <w:sz w:val="22"/>
              </w:rPr>
              <w:t>电话：</w:t>
            </w:r>
            <w:r>
              <w:rPr>
                <w:rFonts w:ascii="Arial" w:eastAsia="Arial"/>
                <w:sz w:val="22"/>
              </w:rPr>
              <w:t>010-66162800</w:t>
            </w:r>
          </w:p>
          <w:p>
            <w:pPr>
              <w:pStyle w:val="TableParagraph"/>
              <w:spacing w:line="277" w:lineRule="exact" w:before="30"/>
              <w:ind w:left="108"/>
              <w:rPr>
                <w:rFonts w:ascii="Arial" w:eastAsia="Arial"/>
                <w:sz w:val="22"/>
              </w:rPr>
            </w:pPr>
            <w:r>
              <w:rPr>
                <w:sz w:val="22"/>
              </w:rPr>
              <w:t>传真：</w:t>
            </w:r>
            <w:r>
              <w:rPr>
                <w:rFonts w:ascii="Arial" w:eastAsia="Arial"/>
                <w:sz w:val="22"/>
              </w:rPr>
              <w:t>0532-66728591</w:t>
            </w:r>
          </w:p>
        </w:tc>
      </w:tr>
    </w:tbl>
    <w:p>
      <w:pPr>
        <w:spacing w:after="0" w:line="277" w:lineRule="exact"/>
        <w:rPr>
          <w:rFonts w:ascii="Arial" w:eastAsia="Arial"/>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624"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rFonts w:ascii="Arial" w:eastAsia="Arial"/>
                <w:sz w:val="22"/>
              </w:rPr>
            </w:pPr>
            <w:r>
              <w:rPr>
                <w:sz w:val="22"/>
              </w:rPr>
              <w:t>客户服务电话：</w:t>
            </w:r>
            <w:r>
              <w:rPr>
                <w:rFonts w:ascii="Arial" w:eastAsia="Arial"/>
                <w:sz w:val="22"/>
              </w:rPr>
              <w:t>4006706863</w:t>
            </w:r>
          </w:p>
          <w:p>
            <w:pPr>
              <w:pStyle w:val="TableParagraph"/>
              <w:spacing w:line="277" w:lineRule="exact" w:before="31"/>
              <w:ind w:left="108"/>
              <w:rPr>
                <w:rFonts w:ascii="Arial" w:eastAsia="Arial"/>
                <w:sz w:val="22"/>
              </w:rPr>
            </w:pPr>
            <w:r>
              <w:rPr>
                <w:sz w:val="22"/>
              </w:rPr>
              <w:t>网址：</w:t>
            </w:r>
            <w:hyperlink r:id="rId162">
              <w:r>
                <w:rPr>
                  <w:rFonts w:ascii="Arial" w:eastAsia="Arial"/>
                  <w:sz w:val="22"/>
                </w:rPr>
                <w:t>www.hongtaiwealth.com</w:t>
              </w:r>
            </w:hyperlink>
          </w:p>
        </w:tc>
      </w:tr>
      <w:tr>
        <w:trPr>
          <w:trHeight w:val="314"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line="279" w:lineRule="exact" w:before="15"/>
              <w:ind w:left="108"/>
              <w:rPr>
                <w:sz w:val="22"/>
              </w:rPr>
            </w:pPr>
            <w:r>
              <w:rPr>
                <w:sz w:val="22"/>
              </w:rPr>
              <w:t>注册地址：上海自由贸易试验区浦东大道 </w:t>
            </w:r>
            <w:r>
              <w:rPr>
                <w:rFonts w:ascii="Arial" w:eastAsia="Arial"/>
                <w:sz w:val="22"/>
              </w:rPr>
              <w:t>2123 </w:t>
            </w:r>
            <w:r>
              <w:rPr>
                <w:sz w:val="22"/>
              </w:rPr>
              <w:t>号 </w:t>
            </w:r>
            <w:r>
              <w:rPr>
                <w:rFonts w:ascii="Arial" w:eastAsia="Arial"/>
                <w:sz w:val="22"/>
              </w:rPr>
              <w:t>3 </w:t>
            </w:r>
            <w:r>
              <w:rPr>
                <w:sz w:val="22"/>
              </w:rPr>
              <w:t>层</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sz w:val="22"/>
              </w:rPr>
            </w:pPr>
            <w:r>
              <w:rPr>
                <w:rFonts w:ascii="Arial" w:eastAsia="Arial"/>
                <w:sz w:val="22"/>
              </w:rPr>
              <w:t>3E-2655 </w:t>
            </w:r>
            <w:r>
              <w:rPr>
                <w:sz w:val="22"/>
              </w:rPr>
              <w:t>室</w:t>
            </w:r>
          </w:p>
        </w:tc>
      </w:tr>
      <w:tr>
        <w:trPr>
          <w:trHeight w:val="317"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before="12"/>
              <w:ind w:left="108"/>
              <w:rPr>
                <w:sz w:val="22"/>
              </w:rPr>
            </w:pPr>
            <w:r>
              <w:rPr>
                <w:sz w:val="22"/>
              </w:rPr>
              <w:t>办公地址：上海徐汇区桂平路 </w:t>
            </w:r>
            <w:r>
              <w:rPr>
                <w:rFonts w:ascii="Arial" w:eastAsia="Arial"/>
                <w:sz w:val="22"/>
              </w:rPr>
              <w:t>391 </w:t>
            </w:r>
            <w:r>
              <w:rPr>
                <w:sz w:val="22"/>
              </w:rPr>
              <w:t>号 </w:t>
            </w:r>
            <w:r>
              <w:rPr>
                <w:rFonts w:ascii="Arial" w:eastAsia="Arial"/>
                <w:sz w:val="22"/>
              </w:rPr>
              <w:t>B </w:t>
            </w:r>
            <w:r>
              <w:rPr>
                <w:sz w:val="22"/>
              </w:rPr>
              <w:t>座 </w:t>
            </w:r>
            <w:r>
              <w:rPr>
                <w:rFonts w:ascii="Arial" w:eastAsia="Arial"/>
                <w:sz w:val="22"/>
              </w:rPr>
              <w:t>19 </w:t>
            </w:r>
            <w:r>
              <w:rPr>
                <w:sz w:val="22"/>
              </w:rPr>
              <w:t>层</w:t>
            </w:r>
          </w:p>
        </w:tc>
      </w:tr>
      <w:tr>
        <w:trPr>
          <w:trHeight w:val="930" w:hRule="atLeast"/>
        </w:trPr>
        <w:tc>
          <w:tcPr>
            <w:tcW w:w="470" w:type="dxa"/>
            <w:tcBorders>
              <w:top w:val="nil"/>
              <w:bottom w:val="nil"/>
            </w:tcBorders>
          </w:tcPr>
          <w:p>
            <w:pPr>
              <w:pStyle w:val="TableParagraph"/>
              <w:spacing w:before="181"/>
              <w:ind w:left="98" w:right="88"/>
              <w:jc w:val="center"/>
              <w:rPr>
                <w:rFonts w:ascii="Arial"/>
                <w:sz w:val="21"/>
              </w:rPr>
            </w:pPr>
            <w:r>
              <w:rPr>
                <w:rFonts w:ascii="Arial"/>
                <w:sz w:val="21"/>
              </w:rPr>
              <w:t>16</w:t>
            </w:r>
          </w:p>
          <w:p>
            <w:pPr>
              <w:pStyle w:val="TableParagraph"/>
              <w:spacing w:before="71"/>
              <w:ind w:left="7"/>
              <w:jc w:val="center"/>
              <w:rPr>
                <w:rFonts w:ascii="Arial"/>
                <w:sz w:val="21"/>
              </w:rPr>
            </w:pPr>
            <w:r>
              <w:rPr>
                <w:rFonts w:ascii="Arial"/>
                <w:w w:val="100"/>
                <w:sz w:val="21"/>
              </w:rPr>
              <w:t>0</w:t>
            </w:r>
          </w:p>
        </w:tc>
        <w:tc>
          <w:tcPr>
            <w:tcW w:w="2484" w:type="dxa"/>
            <w:tcBorders>
              <w:top w:val="nil"/>
              <w:bottom w:val="nil"/>
            </w:tcBorders>
          </w:tcPr>
          <w:p>
            <w:pPr>
              <w:pStyle w:val="TableParagraph"/>
              <w:spacing w:line="266" w:lineRule="auto" w:before="163"/>
              <w:ind w:left="1020" w:right="129" w:hanging="881"/>
              <w:rPr>
                <w:sz w:val="22"/>
              </w:rPr>
            </w:pPr>
            <w:r>
              <w:rPr>
                <w:sz w:val="22"/>
              </w:rPr>
              <w:t>上海有鱼基金销售有限公司</w:t>
            </w:r>
          </w:p>
        </w:tc>
        <w:tc>
          <w:tcPr>
            <w:tcW w:w="5480" w:type="dxa"/>
            <w:tcBorders>
              <w:top w:val="nil"/>
              <w:bottom w:val="nil"/>
            </w:tcBorders>
          </w:tcPr>
          <w:p>
            <w:pPr>
              <w:pStyle w:val="TableParagraph"/>
              <w:spacing w:line="266" w:lineRule="auto" w:before="7"/>
              <w:ind w:left="108" w:right="3597"/>
              <w:rPr>
                <w:sz w:val="22"/>
              </w:rPr>
            </w:pPr>
            <w:r>
              <w:rPr>
                <w:sz w:val="22"/>
              </w:rPr>
              <w:t>法定代表人：林琼联系人：徐海峥</w:t>
            </w:r>
          </w:p>
          <w:p>
            <w:pPr>
              <w:pStyle w:val="TableParagraph"/>
              <w:spacing w:line="278" w:lineRule="exact"/>
              <w:ind w:left="108"/>
              <w:rPr>
                <w:rFonts w:ascii="Arial" w:eastAsia="Arial"/>
                <w:sz w:val="22"/>
              </w:rPr>
            </w:pPr>
            <w:r>
              <w:rPr>
                <w:sz w:val="22"/>
              </w:rPr>
              <w:t>电话：</w:t>
            </w:r>
            <w:r>
              <w:rPr>
                <w:rFonts w:ascii="Arial" w:eastAsia="Arial"/>
                <w:sz w:val="22"/>
              </w:rPr>
              <w:t>021-60907379</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传真：</w:t>
            </w:r>
            <w:r>
              <w:rPr>
                <w:rFonts w:ascii="Arial" w:eastAsia="Arial"/>
                <w:sz w:val="22"/>
              </w:rPr>
              <w:t>021-60907397</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客户服务电话：</w:t>
            </w:r>
            <w:r>
              <w:rPr>
                <w:rFonts w:ascii="Arial" w:eastAsia="Arial"/>
                <w:sz w:val="22"/>
              </w:rPr>
              <w:t>021-60907378</w:t>
            </w:r>
          </w:p>
        </w:tc>
      </w:tr>
      <w:tr>
        <w:trPr>
          <w:trHeight w:val="307" w:hRule="atLeast"/>
        </w:trPr>
        <w:tc>
          <w:tcPr>
            <w:tcW w:w="470" w:type="dxa"/>
            <w:tcBorders>
              <w:top w:val="nil"/>
              <w:bottom w:val="single" w:sz="6" w:space="0" w:color="000000"/>
            </w:tcBorders>
          </w:tcPr>
          <w:p>
            <w:pPr>
              <w:pStyle w:val="TableParagraph"/>
              <w:rPr>
                <w:rFonts w:ascii="Times New Roman"/>
                <w:sz w:val="20"/>
              </w:rPr>
            </w:pPr>
          </w:p>
        </w:tc>
        <w:tc>
          <w:tcPr>
            <w:tcW w:w="2484" w:type="dxa"/>
            <w:tcBorders>
              <w:top w:val="nil"/>
              <w:bottom w:val="single" w:sz="6" w:space="0" w:color="000000"/>
            </w:tcBorders>
          </w:tcPr>
          <w:p>
            <w:pPr>
              <w:pStyle w:val="TableParagraph"/>
              <w:rPr>
                <w:rFonts w:ascii="Times New Roman"/>
                <w:sz w:val="20"/>
              </w:rPr>
            </w:pPr>
          </w:p>
        </w:tc>
        <w:tc>
          <w:tcPr>
            <w:tcW w:w="5480" w:type="dxa"/>
            <w:tcBorders>
              <w:top w:val="nil"/>
              <w:bottom w:val="single" w:sz="6" w:space="0" w:color="000000"/>
            </w:tcBorders>
          </w:tcPr>
          <w:p>
            <w:pPr>
              <w:pStyle w:val="TableParagraph"/>
              <w:spacing w:line="274" w:lineRule="exact" w:before="12"/>
              <w:ind w:left="108"/>
              <w:rPr>
                <w:rFonts w:ascii="Arial" w:eastAsia="Arial"/>
                <w:sz w:val="22"/>
              </w:rPr>
            </w:pPr>
            <w:r>
              <w:rPr>
                <w:sz w:val="22"/>
              </w:rPr>
              <w:t>网址：</w:t>
            </w:r>
            <w:hyperlink r:id="rId163">
              <w:r>
                <w:rPr>
                  <w:rFonts w:ascii="Arial" w:eastAsia="Arial"/>
                  <w:sz w:val="22"/>
                </w:rPr>
                <w:t>www.youyufund.com</w:t>
              </w:r>
            </w:hyperlink>
          </w:p>
        </w:tc>
      </w:tr>
      <w:tr>
        <w:trPr>
          <w:trHeight w:val="304" w:hRule="atLeast"/>
        </w:trPr>
        <w:tc>
          <w:tcPr>
            <w:tcW w:w="470" w:type="dxa"/>
            <w:tcBorders>
              <w:top w:val="single" w:sz="6" w:space="0" w:color="000000"/>
              <w:bottom w:val="nil"/>
            </w:tcBorders>
          </w:tcPr>
          <w:p>
            <w:pPr>
              <w:pStyle w:val="TableParagraph"/>
              <w:rPr>
                <w:rFonts w:ascii="Times New Roman"/>
                <w:sz w:val="20"/>
              </w:rPr>
            </w:pPr>
          </w:p>
        </w:tc>
        <w:tc>
          <w:tcPr>
            <w:tcW w:w="2484" w:type="dxa"/>
            <w:tcBorders>
              <w:top w:val="single" w:sz="6" w:space="0" w:color="000000"/>
              <w:bottom w:val="nil"/>
            </w:tcBorders>
          </w:tcPr>
          <w:p>
            <w:pPr>
              <w:pStyle w:val="TableParagraph"/>
              <w:rPr>
                <w:rFonts w:ascii="Times New Roman"/>
                <w:sz w:val="20"/>
              </w:rPr>
            </w:pPr>
          </w:p>
        </w:tc>
        <w:tc>
          <w:tcPr>
            <w:tcW w:w="5480" w:type="dxa"/>
            <w:tcBorders>
              <w:top w:val="single" w:sz="6" w:space="0" w:color="000000"/>
              <w:bottom w:val="nil"/>
            </w:tcBorders>
          </w:tcPr>
          <w:p>
            <w:pPr>
              <w:pStyle w:val="TableParagraph"/>
              <w:spacing w:line="272" w:lineRule="exact" w:before="12"/>
              <w:ind w:left="108"/>
              <w:rPr>
                <w:sz w:val="22"/>
              </w:rPr>
            </w:pPr>
            <w:r>
              <w:rPr>
                <w:sz w:val="22"/>
              </w:rPr>
              <w:t>注册地址：深圳市福田区莲花街道商报东路英龙商务大</w:t>
            </w:r>
          </w:p>
        </w:tc>
      </w:tr>
      <w:tr>
        <w:trPr>
          <w:trHeight w:val="319"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20"/>
              <w:ind w:left="108"/>
              <w:rPr>
                <w:sz w:val="22"/>
              </w:rPr>
            </w:pPr>
            <w:r>
              <w:rPr>
                <w:sz w:val="22"/>
              </w:rPr>
              <w:t>厦 </w:t>
            </w:r>
            <w:r>
              <w:rPr>
                <w:rFonts w:ascii="Arial" w:eastAsia="Arial"/>
                <w:sz w:val="22"/>
              </w:rPr>
              <w:t>8 </w:t>
            </w:r>
            <w:r>
              <w:rPr>
                <w:sz w:val="22"/>
              </w:rPr>
              <w:t>楼 </w:t>
            </w:r>
            <w:r>
              <w:rPr>
                <w:rFonts w:ascii="Arial" w:eastAsia="Arial"/>
                <w:sz w:val="22"/>
              </w:rPr>
              <w:t>A-1</w:t>
            </w:r>
            <w:r>
              <w:rPr>
                <w:sz w:val="22"/>
              </w:rPr>
              <w:t>（</w:t>
            </w:r>
            <w:r>
              <w:rPr>
                <w:rFonts w:ascii="Arial" w:eastAsia="Arial"/>
                <w:sz w:val="22"/>
              </w:rPr>
              <w:t>811-812</w:t>
            </w:r>
            <w:r>
              <w:rPr>
                <w:sz w:val="22"/>
              </w:rPr>
              <w:t>）</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sz w:val="22"/>
              </w:rPr>
            </w:pPr>
            <w:r>
              <w:rPr>
                <w:spacing w:val="-7"/>
                <w:sz w:val="22"/>
              </w:rPr>
              <w:t>办公地址：大连市中山区南山路 </w:t>
            </w:r>
            <w:r>
              <w:rPr>
                <w:rFonts w:ascii="Arial" w:eastAsia="Arial"/>
                <w:sz w:val="22"/>
              </w:rPr>
              <w:t>155 </w:t>
            </w:r>
            <w:r>
              <w:rPr>
                <w:spacing w:val="-14"/>
                <w:sz w:val="22"/>
              </w:rPr>
              <w:t>号南山 </w:t>
            </w:r>
            <w:r>
              <w:rPr>
                <w:rFonts w:ascii="Arial" w:eastAsia="Arial"/>
                <w:sz w:val="22"/>
              </w:rPr>
              <w:t>1910 </w:t>
            </w:r>
            <w:r>
              <w:rPr>
                <w:sz w:val="22"/>
              </w:rPr>
              <w:t>小区</w:t>
            </w:r>
          </w:p>
        </w:tc>
      </w:tr>
      <w:tr>
        <w:trPr>
          <w:trHeight w:val="928" w:hRule="atLeast"/>
        </w:trPr>
        <w:tc>
          <w:tcPr>
            <w:tcW w:w="470" w:type="dxa"/>
            <w:tcBorders>
              <w:top w:val="nil"/>
              <w:bottom w:val="nil"/>
            </w:tcBorders>
          </w:tcPr>
          <w:p>
            <w:pPr>
              <w:pStyle w:val="TableParagraph"/>
              <w:spacing w:before="186"/>
              <w:ind w:left="98" w:right="88"/>
              <w:jc w:val="center"/>
              <w:rPr>
                <w:rFonts w:ascii="Arial"/>
                <w:sz w:val="21"/>
              </w:rPr>
            </w:pPr>
            <w:r>
              <w:rPr>
                <w:rFonts w:ascii="Arial"/>
                <w:sz w:val="21"/>
              </w:rPr>
              <w:t>16</w:t>
            </w:r>
          </w:p>
          <w:p>
            <w:pPr>
              <w:pStyle w:val="TableParagraph"/>
              <w:spacing w:before="71"/>
              <w:ind w:left="7"/>
              <w:jc w:val="center"/>
              <w:rPr>
                <w:rFonts w:ascii="Arial"/>
                <w:sz w:val="21"/>
              </w:rPr>
            </w:pPr>
            <w:r>
              <w:rPr>
                <w:rFonts w:ascii="Arial"/>
                <w:w w:val="100"/>
                <w:sz w:val="21"/>
              </w:rPr>
              <w:t>1</w:t>
            </w:r>
          </w:p>
        </w:tc>
        <w:tc>
          <w:tcPr>
            <w:tcW w:w="2484" w:type="dxa"/>
            <w:tcBorders>
              <w:top w:val="nil"/>
              <w:bottom w:val="nil"/>
            </w:tcBorders>
          </w:tcPr>
          <w:p>
            <w:pPr>
              <w:pStyle w:val="TableParagraph"/>
              <w:spacing w:line="266" w:lineRule="auto" w:before="168"/>
              <w:ind w:left="1020" w:right="129" w:hanging="881"/>
              <w:rPr>
                <w:sz w:val="22"/>
              </w:rPr>
            </w:pPr>
            <w:r>
              <w:rPr>
                <w:sz w:val="22"/>
              </w:rPr>
              <w:t>深圳盈信基金销售有限公司</w:t>
            </w:r>
          </w:p>
        </w:tc>
        <w:tc>
          <w:tcPr>
            <w:tcW w:w="5480" w:type="dxa"/>
            <w:tcBorders>
              <w:top w:val="nil"/>
              <w:bottom w:val="nil"/>
            </w:tcBorders>
          </w:tcPr>
          <w:p>
            <w:pPr>
              <w:pStyle w:val="TableParagraph"/>
              <w:spacing w:before="26"/>
              <w:ind w:left="108"/>
              <w:rPr>
                <w:rFonts w:ascii="Arial"/>
                <w:sz w:val="22"/>
              </w:rPr>
            </w:pPr>
            <w:r>
              <w:rPr>
                <w:rFonts w:ascii="Arial"/>
                <w:sz w:val="22"/>
              </w:rPr>
              <w:t>A3-1</w:t>
            </w:r>
          </w:p>
          <w:p>
            <w:pPr>
              <w:pStyle w:val="TableParagraph"/>
              <w:spacing w:line="310" w:lineRule="atLeast" w:before="17"/>
              <w:ind w:left="108" w:right="3376"/>
              <w:rPr>
                <w:sz w:val="22"/>
              </w:rPr>
            </w:pPr>
            <w:r>
              <w:rPr>
                <w:sz w:val="22"/>
              </w:rPr>
              <w:t>法定代表人：苗宏升联系人：王清臣</w:t>
            </w:r>
          </w:p>
        </w:tc>
      </w:tr>
      <w:tr>
        <w:trPr>
          <w:trHeight w:val="319"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20"/>
              <w:ind w:left="108"/>
              <w:rPr>
                <w:rFonts w:ascii="Arial" w:eastAsia="Arial"/>
                <w:sz w:val="22"/>
              </w:rPr>
            </w:pPr>
            <w:r>
              <w:rPr>
                <w:sz w:val="22"/>
              </w:rPr>
              <w:t>电话：</w:t>
            </w:r>
            <w:r>
              <w:rPr>
                <w:rFonts w:ascii="Arial" w:eastAsia="Arial"/>
                <w:sz w:val="22"/>
              </w:rPr>
              <w:t>0411-66889805</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传真：</w:t>
            </w:r>
            <w:r>
              <w:rPr>
                <w:rFonts w:ascii="Arial" w:eastAsia="Arial"/>
                <w:sz w:val="22"/>
              </w:rPr>
              <w:t>0411-66889827</w:t>
            </w:r>
          </w:p>
        </w:tc>
      </w:tr>
      <w:tr>
        <w:trPr>
          <w:trHeight w:val="309"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2"/>
              <w:ind w:left="108"/>
              <w:rPr>
                <w:rFonts w:ascii="Arial" w:eastAsia="Arial"/>
                <w:sz w:val="22"/>
              </w:rPr>
            </w:pPr>
            <w:r>
              <w:rPr>
                <w:sz w:val="22"/>
              </w:rPr>
              <w:t>客户服务电话：</w:t>
            </w:r>
            <w:r>
              <w:rPr>
                <w:rFonts w:ascii="Arial" w:eastAsia="Arial"/>
                <w:sz w:val="22"/>
              </w:rPr>
              <w:t>4007-903-688</w:t>
            </w:r>
          </w:p>
        </w:tc>
      </w:tr>
      <w:tr>
        <w:trPr>
          <w:trHeight w:val="314"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line="280" w:lineRule="exact" w:before="15"/>
              <w:ind w:left="108"/>
              <w:rPr>
                <w:sz w:val="22"/>
              </w:rPr>
            </w:pPr>
            <w:r>
              <w:rPr>
                <w:sz w:val="22"/>
              </w:rPr>
              <w:t>注册地址：江苏省扬州市广陵新城信息产业基地 </w:t>
            </w:r>
            <w:r>
              <w:rPr>
                <w:rFonts w:ascii="Arial" w:eastAsia="Arial"/>
                <w:sz w:val="22"/>
              </w:rPr>
              <w:t>3 </w:t>
            </w:r>
            <w:r>
              <w:rPr>
                <w:sz w:val="22"/>
              </w:rPr>
              <w:t>期</w:t>
            </w:r>
          </w:p>
        </w:tc>
      </w:tr>
      <w:tr>
        <w:trPr>
          <w:trHeight w:val="31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sz w:val="22"/>
              </w:rPr>
            </w:pPr>
            <w:r>
              <w:rPr>
                <w:rFonts w:ascii="Arial" w:eastAsia="Arial"/>
                <w:sz w:val="22"/>
              </w:rPr>
              <w:t>20B </w:t>
            </w:r>
            <w:r>
              <w:rPr>
                <w:sz w:val="22"/>
              </w:rPr>
              <w:t>栋</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spacing w:line="279" w:lineRule="exact" w:before="12"/>
              <w:ind w:left="120" w:right="113"/>
              <w:jc w:val="center"/>
              <w:rPr>
                <w:sz w:val="22"/>
              </w:rPr>
            </w:pPr>
            <w:r>
              <w:rPr>
                <w:sz w:val="22"/>
              </w:rPr>
              <w:t>扬州国信嘉利基金销售</w:t>
            </w:r>
          </w:p>
        </w:tc>
        <w:tc>
          <w:tcPr>
            <w:tcW w:w="5480" w:type="dxa"/>
            <w:tcBorders>
              <w:top w:val="nil"/>
              <w:bottom w:val="nil"/>
            </w:tcBorders>
          </w:tcPr>
          <w:p>
            <w:pPr>
              <w:pStyle w:val="TableParagraph"/>
              <w:spacing w:line="279" w:lineRule="exact" w:before="12"/>
              <w:ind w:left="108"/>
              <w:rPr>
                <w:sz w:val="22"/>
              </w:rPr>
            </w:pPr>
            <w:r>
              <w:rPr>
                <w:sz w:val="22"/>
              </w:rPr>
              <w:t>办公地址：江苏省扬州市邗江区文昌西路 </w:t>
            </w:r>
            <w:r>
              <w:rPr>
                <w:rFonts w:ascii="Arial" w:eastAsia="Arial"/>
                <w:sz w:val="22"/>
              </w:rPr>
              <w:t>56 </w:t>
            </w:r>
            <w:r>
              <w:rPr>
                <w:sz w:val="22"/>
              </w:rPr>
              <w:t>号公元国</w:t>
            </w:r>
          </w:p>
        </w:tc>
      </w:tr>
      <w:tr>
        <w:trPr>
          <w:trHeight w:val="928" w:hRule="atLeast"/>
        </w:trPr>
        <w:tc>
          <w:tcPr>
            <w:tcW w:w="470" w:type="dxa"/>
            <w:tcBorders>
              <w:top w:val="nil"/>
              <w:bottom w:val="nil"/>
            </w:tcBorders>
          </w:tcPr>
          <w:p>
            <w:pPr>
              <w:pStyle w:val="TableParagraph"/>
              <w:spacing w:before="186"/>
              <w:ind w:left="98" w:right="88"/>
              <w:jc w:val="center"/>
              <w:rPr>
                <w:rFonts w:ascii="Arial"/>
                <w:sz w:val="21"/>
              </w:rPr>
            </w:pPr>
            <w:r>
              <w:rPr>
                <w:rFonts w:ascii="Arial"/>
                <w:sz w:val="21"/>
              </w:rPr>
              <w:t>16</w:t>
            </w:r>
          </w:p>
          <w:p>
            <w:pPr>
              <w:pStyle w:val="TableParagraph"/>
              <w:spacing w:before="71"/>
              <w:ind w:left="7"/>
              <w:jc w:val="center"/>
              <w:rPr>
                <w:rFonts w:ascii="Arial"/>
                <w:sz w:val="21"/>
              </w:rPr>
            </w:pPr>
            <w:r>
              <w:rPr>
                <w:rFonts w:ascii="Arial"/>
                <w:w w:val="100"/>
                <w:sz w:val="21"/>
              </w:rPr>
              <w:t>2</w:t>
            </w:r>
          </w:p>
        </w:tc>
        <w:tc>
          <w:tcPr>
            <w:tcW w:w="2484" w:type="dxa"/>
            <w:tcBorders>
              <w:top w:val="nil"/>
              <w:bottom w:val="nil"/>
            </w:tcBorders>
          </w:tcPr>
          <w:p>
            <w:pPr>
              <w:pStyle w:val="TableParagraph"/>
              <w:spacing w:before="12"/>
              <w:ind w:left="120" w:right="113"/>
              <w:jc w:val="center"/>
              <w:rPr>
                <w:sz w:val="22"/>
              </w:rPr>
            </w:pPr>
            <w:r>
              <w:rPr>
                <w:sz w:val="22"/>
              </w:rPr>
              <w:t>有限公司</w:t>
            </w:r>
          </w:p>
          <w:p>
            <w:pPr>
              <w:pStyle w:val="TableParagraph"/>
              <w:spacing w:line="310" w:lineRule="atLeast" w:before="2"/>
              <w:ind w:left="139" w:right="129"/>
              <w:jc w:val="center"/>
              <w:rPr>
                <w:sz w:val="22"/>
              </w:rPr>
            </w:pPr>
            <w:r>
              <w:rPr>
                <w:sz w:val="22"/>
              </w:rPr>
              <w:t>（注：仅代销景系列之动力平衡证券投资基</w:t>
            </w:r>
          </w:p>
        </w:tc>
        <w:tc>
          <w:tcPr>
            <w:tcW w:w="5480" w:type="dxa"/>
            <w:tcBorders>
              <w:top w:val="nil"/>
              <w:bottom w:val="nil"/>
            </w:tcBorders>
          </w:tcPr>
          <w:p>
            <w:pPr>
              <w:pStyle w:val="TableParagraph"/>
              <w:spacing w:before="12"/>
              <w:ind w:left="108"/>
              <w:rPr>
                <w:rFonts w:ascii="Arial" w:eastAsia="Arial"/>
                <w:sz w:val="22"/>
              </w:rPr>
            </w:pPr>
            <w:r>
              <w:rPr>
                <w:sz w:val="22"/>
              </w:rPr>
              <w:t>际大厦 </w:t>
            </w:r>
            <w:r>
              <w:rPr>
                <w:rFonts w:ascii="Arial" w:eastAsia="Arial"/>
                <w:sz w:val="22"/>
              </w:rPr>
              <w:t>320</w:t>
            </w:r>
          </w:p>
          <w:p>
            <w:pPr>
              <w:pStyle w:val="TableParagraph"/>
              <w:spacing w:line="310" w:lineRule="atLeast" w:before="2"/>
              <w:ind w:left="108" w:right="3376"/>
              <w:rPr>
                <w:sz w:val="22"/>
              </w:rPr>
            </w:pPr>
            <w:r>
              <w:rPr>
                <w:sz w:val="22"/>
              </w:rPr>
              <w:t>法定代表人：刘晓光联系人：苏曦</w:t>
            </w:r>
          </w:p>
        </w:tc>
      </w:tr>
      <w:tr>
        <w:trPr>
          <w:trHeight w:val="319"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spacing w:line="279" w:lineRule="exact" w:before="20"/>
              <w:ind w:left="120" w:right="113"/>
              <w:jc w:val="center"/>
              <w:rPr>
                <w:sz w:val="22"/>
              </w:rPr>
            </w:pPr>
            <w:r>
              <w:rPr>
                <w:sz w:val="22"/>
              </w:rPr>
              <w:t>金）</w:t>
            </w:r>
          </w:p>
        </w:tc>
        <w:tc>
          <w:tcPr>
            <w:tcW w:w="5480" w:type="dxa"/>
            <w:tcBorders>
              <w:top w:val="nil"/>
              <w:bottom w:val="nil"/>
            </w:tcBorders>
          </w:tcPr>
          <w:p>
            <w:pPr>
              <w:pStyle w:val="TableParagraph"/>
              <w:spacing w:line="279" w:lineRule="exact" w:before="20"/>
              <w:ind w:left="108"/>
              <w:rPr>
                <w:rFonts w:ascii="Arial" w:eastAsia="Arial"/>
                <w:sz w:val="22"/>
              </w:rPr>
            </w:pPr>
            <w:r>
              <w:rPr>
                <w:sz w:val="22"/>
              </w:rPr>
              <w:t>电话：</w:t>
            </w:r>
            <w:r>
              <w:rPr>
                <w:rFonts w:ascii="Arial" w:eastAsia="Arial"/>
                <w:sz w:val="22"/>
              </w:rPr>
              <w:t>0514-82099618-805</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rFonts w:ascii="Arial" w:eastAsia="Arial"/>
                <w:sz w:val="22"/>
              </w:rPr>
            </w:pPr>
            <w:r>
              <w:rPr>
                <w:sz w:val="22"/>
              </w:rPr>
              <w:t>客户服务电话：</w:t>
            </w:r>
            <w:r>
              <w:rPr>
                <w:rFonts w:ascii="Arial" w:eastAsia="Arial"/>
                <w:sz w:val="22"/>
              </w:rPr>
              <w:t>400-021-6088</w:t>
            </w:r>
          </w:p>
        </w:tc>
      </w:tr>
      <w:tr>
        <w:trPr>
          <w:trHeight w:val="309"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2"/>
              <w:ind w:left="108"/>
              <w:rPr>
                <w:rFonts w:ascii="Arial" w:eastAsia="Arial"/>
                <w:sz w:val="22"/>
              </w:rPr>
            </w:pPr>
            <w:r>
              <w:rPr>
                <w:sz w:val="22"/>
              </w:rPr>
              <w:t>网址：</w:t>
            </w:r>
            <w:r>
              <w:rPr>
                <w:rFonts w:ascii="Arial" w:eastAsia="Arial"/>
                <w:sz w:val="22"/>
              </w:rPr>
              <w:t>https://</w:t>
            </w:r>
            <w:hyperlink r:id="rId164">
              <w:r>
                <w:rPr>
                  <w:rFonts w:ascii="Arial" w:eastAsia="Arial"/>
                  <w:sz w:val="22"/>
                </w:rPr>
                <w:t>www.gxjlcn.com/</w:t>
              </w:r>
            </w:hyperlink>
          </w:p>
        </w:tc>
      </w:tr>
      <w:tr>
        <w:trPr>
          <w:trHeight w:val="316"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0"/>
              </w:rPr>
            </w:pPr>
          </w:p>
        </w:tc>
        <w:tc>
          <w:tcPr>
            <w:tcW w:w="5480" w:type="dxa"/>
            <w:tcBorders>
              <w:bottom w:val="nil"/>
            </w:tcBorders>
          </w:tcPr>
          <w:p>
            <w:pPr>
              <w:pStyle w:val="TableParagraph"/>
              <w:spacing w:line="279" w:lineRule="exact" w:before="17"/>
              <w:ind w:left="108"/>
              <w:rPr>
                <w:rFonts w:ascii="Arial" w:eastAsia="Arial"/>
                <w:sz w:val="22"/>
              </w:rPr>
            </w:pPr>
            <w:r>
              <w:rPr>
                <w:spacing w:val="-23"/>
                <w:sz w:val="22"/>
              </w:rPr>
              <w:t>注册地址：中国</w:t>
            </w:r>
            <w:r>
              <w:rPr>
                <w:spacing w:val="-3"/>
                <w:sz w:val="22"/>
              </w:rPr>
              <w:t>（</w:t>
            </w:r>
            <w:r>
              <w:rPr>
                <w:sz w:val="22"/>
              </w:rPr>
              <w:t>上海</w:t>
            </w:r>
            <w:r>
              <w:rPr>
                <w:spacing w:val="-75"/>
                <w:sz w:val="22"/>
              </w:rPr>
              <w:t>）</w:t>
            </w:r>
            <w:r>
              <w:rPr>
                <w:spacing w:val="-7"/>
                <w:sz w:val="22"/>
              </w:rPr>
              <w:t>自由贸易试验区陆家嘴环路 </w:t>
            </w:r>
            <w:r>
              <w:rPr>
                <w:rFonts w:ascii="Arial" w:eastAsia="Arial"/>
                <w:sz w:val="22"/>
              </w:rPr>
              <w:t>333</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sz w:val="22"/>
              </w:rPr>
            </w:pPr>
            <w:r>
              <w:rPr>
                <w:sz w:val="22"/>
              </w:rPr>
              <w:t>号 </w:t>
            </w:r>
            <w:r>
              <w:rPr>
                <w:rFonts w:ascii="Arial" w:eastAsia="Arial"/>
                <w:sz w:val="22"/>
              </w:rPr>
              <w:t>729S </w:t>
            </w:r>
            <w:r>
              <w:rPr>
                <w:sz w:val="22"/>
              </w:rPr>
              <w:t>室</w:t>
            </w:r>
          </w:p>
        </w:tc>
      </w:tr>
      <w:tr>
        <w:trPr>
          <w:trHeight w:val="1872" w:hRule="atLeast"/>
        </w:trPr>
        <w:tc>
          <w:tcPr>
            <w:tcW w:w="470" w:type="dxa"/>
            <w:tcBorders>
              <w:top w:val="nil"/>
              <w:bottom w:val="nil"/>
            </w:tcBorders>
          </w:tcPr>
          <w:p>
            <w:pPr>
              <w:pStyle w:val="TableParagraph"/>
              <w:rPr>
                <w:rFonts w:ascii="Times New Roman"/>
                <w:sz w:val="24"/>
              </w:rPr>
            </w:pPr>
          </w:p>
          <w:p>
            <w:pPr>
              <w:pStyle w:val="TableParagraph"/>
              <w:spacing w:before="11"/>
              <w:rPr>
                <w:rFonts w:ascii="Times New Roman"/>
                <w:sz w:val="32"/>
              </w:rPr>
            </w:pPr>
          </w:p>
          <w:p>
            <w:pPr>
              <w:pStyle w:val="TableParagraph"/>
              <w:ind w:left="98" w:right="88"/>
              <w:jc w:val="center"/>
              <w:rPr>
                <w:rFonts w:ascii="Arial"/>
                <w:sz w:val="21"/>
              </w:rPr>
            </w:pPr>
            <w:r>
              <w:rPr>
                <w:rFonts w:ascii="Arial"/>
                <w:sz w:val="21"/>
              </w:rPr>
              <w:t>16</w:t>
            </w:r>
          </w:p>
          <w:p>
            <w:pPr>
              <w:pStyle w:val="TableParagraph"/>
              <w:spacing w:before="71"/>
              <w:ind w:left="7"/>
              <w:jc w:val="center"/>
              <w:rPr>
                <w:rFonts w:ascii="Arial"/>
                <w:sz w:val="21"/>
              </w:rPr>
            </w:pPr>
            <w:r>
              <w:rPr>
                <w:rFonts w:ascii="Arial"/>
                <w:w w:val="100"/>
                <w:sz w:val="21"/>
              </w:rPr>
              <w:t>3</w:t>
            </w:r>
          </w:p>
        </w:tc>
        <w:tc>
          <w:tcPr>
            <w:tcW w:w="2484" w:type="dxa"/>
            <w:tcBorders>
              <w:top w:val="nil"/>
              <w:bottom w:val="nil"/>
            </w:tcBorders>
          </w:tcPr>
          <w:p>
            <w:pPr>
              <w:pStyle w:val="TableParagraph"/>
              <w:spacing w:before="169"/>
              <w:ind w:left="120" w:right="113"/>
              <w:jc w:val="center"/>
              <w:rPr>
                <w:sz w:val="22"/>
              </w:rPr>
            </w:pPr>
            <w:r>
              <w:rPr>
                <w:sz w:val="22"/>
              </w:rPr>
              <w:t>中欧钱滚滚基金销售</w:t>
            </w:r>
          </w:p>
          <w:p>
            <w:pPr>
              <w:pStyle w:val="TableParagraph"/>
              <w:spacing w:before="30"/>
              <w:ind w:left="120" w:right="113"/>
              <w:jc w:val="center"/>
              <w:rPr>
                <w:sz w:val="22"/>
              </w:rPr>
            </w:pPr>
            <w:r>
              <w:rPr>
                <w:sz w:val="22"/>
              </w:rPr>
              <w:t>（上海）有限公司</w:t>
            </w:r>
          </w:p>
          <w:p>
            <w:pPr>
              <w:pStyle w:val="TableParagraph"/>
              <w:spacing w:line="266" w:lineRule="auto" w:before="30"/>
              <w:ind w:left="139" w:right="129"/>
              <w:jc w:val="center"/>
              <w:rPr>
                <w:sz w:val="22"/>
              </w:rPr>
            </w:pPr>
            <w:r>
              <w:rPr>
                <w:sz w:val="22"/>
              </w:rPr>
              <w:t>（注：仅代销景系列之优选混合型证券投资基金）</w:t>
            </w:r>
          </w:p>
        </w:tc>
        <w:tc>
          <w:tcPr>
            <w:tcW w:w="5480" w:type="dxa"/>
            <w:tcBorders>
              <w:top w:val="nil"/>
              <w:bottom w:val="nil"/>
            </w:tcBorders>
          </w:tcPr>
          <w:p>
            <w:pPr>
              <w:pStyle w:val="TableParagraph"/>
              <w:spacing w:before="12"/>
              <w:ind w:left="108"/>
              <w:rPr>
                <w:rFonts w:ascii="Arial" w:eastAsia="Arial"/>
                <w:sz w:val="22"/>
              </w:rPr>
            </w:pPr>
            <w:r>
              <w:rPr>
                <w:sz w:val="22"/>
              </w:rPr>
              <w:t>办公地址：上海市虹口区公平路 </w:t>
            </w:r>
            <w:r>
              <w:rPr>
                <w:rFonts w:ascii="Arial" w:eastAsia="Arial"/>
                <w:sz w:val="22"/>
              </w:rPr>
              <w:t>18 </w:t>
            </w:r>
            <w:r>
              <w:rPr>
                <w:sz w:val="22"/>
              </w:rPr>
              <w:t>号 </w:t>
            </w:r>
            <w:r>
              <w:rPr>
                <w:rFonts w:ascii="Arial" w:eastAsia="Arial"/>
                <w:sz w:val="22"/>
              </w:rPr>
              <w:t>8 </w:t>
            </w:r>
            <w:r>
              <w:rPr>
                <w:sz w:val="22"/>
              </w:rPr>
              <w:t>栋嘉昱大厦 </w:t>
            </w:r>
            <w:r>
              <w:rPr>
                <w:rFonts w:ascii="Arial" w:eastAsia="Arial"/>
                <w:sz w:val="22"/>
              </w:rPr>
              <w:t>6</w:t>
            </w:r>
          </w:p>
          <w:p>
            <w:pPr>
              <w:pStyle w:val="TableParagraph"/>
              <w:spacing w:before="31"/>
              <w:ind w:left="108"/>
              <w:rPr>
                <w:sz w:val="22"/>
              </w:rPr>
            </w:pPr>
            <w:r>
              <w:rPr>
                <w:w w:val="100"/>
                <w:sz w:val="22"/>
              </w:rPr>
              <w:t>层</w:t>
            </w:r>
          </w:p>
          <w:p>
            <w:pPr>
              <w:pStyle w:val="TableParagraph"/>
              <w:spacing w:line="266" w:lineRule="auto" w:before="30"/>
              <w:ind w:left="108" w:right="3597"/>
              <w:rPr>
                <w:sz w:val="22"/>
              </w:rPr>
            </w:pPr>
            <w:r>
              <w:rPr>
                <w:sz w:val="22"/>
              </w:rPr>
              <w:t>法定代表人：许欣联系人：屠帅颖</w:t>
            </w:r>
          </w:p>
          <w:p>
            <w:pPr>
              <w:pStyle w:val="TableParagraph"/>
              <w:spacing w:line="280" w:lineRule="exact"/>
              <w:ind w:left="108"/>
              <w:rPr>
                <w:rFonts w:ascii="Arial" w:eastAsia="Arial"/>
                <w:sz w:val="22"/>
              </w:rPr>
            </w:pPr>
            <w:r>
              <w:rPr>
                <w:sz w:val="22"/>
              </w:rPr>
              <w:t>电话：</w:t>
            </w:r>
            <w:r>
              <w:rPr>
                <w:rFonts w:ascii="Arial" w:eastAsia="Arial"/>
                <w:sz w:val="22"/>
              </w:rPr>
              <w:t>021-68609600-5905</w:t>
            </w:r>
          </w:p>
          <w:p>
            <w:pPr>
              <w:pStyle w:val="TableParagraph"/>
              <w:spacing w:line="279" w:lineRule="exact" w:before="30"/>
              <w:ind w:left="108"/>
              <w:rPr>
                <w:rFonts w:ascii="Arial" w:eastAsia="Arial"/>
                <w:sz w:val="22"/>
              </w:rPr>
            </w:pPr>
            <w:r>
              <w:rPr>
                <w:sz w:val="22"/>
              </w:rPr>
              <w:t>传真：</w:t>
            </w:r>
            <w:r>
              <w:rPr>
                <w:rFonts w:ascii="Arial" w:eastAsia="Arial"/>
                <w:sz w:val="22"/>
              </w:rPr>
              <w:t>021-33830351</w:t>
            </w:r>
          </w:p>
        </w:tc>
      </w:tr>
      <w:tr>
        <w:trPr>
          <w:trHeight w:val="311"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79" w:lineRule="exact" w:before="12"/>
              <w:ind w:left="108"/>
              <w:rPr>
                <w:sz w:val="22"/>
              </w:rPr>
            </w:pPr>
            <w:r>
              <w:rPr>
                <w:sz w:val="22"/>
              </w:rPr>
              <w:t>客户服务电话：</w:t>
            </w:r>
            <w:r>
              <w:rPr>
                <w:rFonts w:ascii="Arial" w:eastAsia="Arial"/>
                <w:sz w:val="22"/>
              </w:rPr>
              <w:t>400-700-9700</w:t>
            </w:r>
            <w:r>
              <w:rPr>
                <w:sz w:val="22"/>
              </w:rPr>
              <w:t>（钱滚滚专线）</w:t>
            </w:r>
          </w:p>
        </w:tc>
      </w:tr>
      <w:tr>
        <w:trPr>
          <w:trHeight w:val="309"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line="277" w:lineRule="exact" w:before="12"/>
              <w:ind w:left="108"/>
              <w:rPr>
                <w:rFonts w:ascii="Arial" w:eastAsia="Arial"/>
                <w:sz w:val="22"/>
              </w:rPr>
            </w:pPr>
            <w:r>
              <w:rPr>
                <w:sz w:val="22"/>
              </w:rPr>
              <w:t>网址：</w:t>
            </w:r>
            <w:r>
              <w:rPr>
                <w:rFonts w:ascii="Arial" w:eastAsia="Arial"/>
                <w:sz w:val="22"/>
              </w:rPr>
              <w:t>https://</w:t>
            </w:r>
            <w:hyperlink r:id="rId165">
              <w:r>
                <w:rPr>
                  <w:rFonts w:ascii="Arial" w:eastAsia="Arial"/>
                  <w:sz w:val="22"/>
                </w:rPr>
                <w:t>www.qiangungun.com/</w:t>
              </w:r>
            </w:hyperlink>
          </w:p>
        </w:tc>
      </w:tr>
      <w:tr>
        <w:trPr>
          <w:trHeight w:val="311"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spacing w:line="277" w:lineRule="exact" w:before="15"/>
              <w:ind w:left="120" w:right="113"/>
              <w:jc w:val="center"/>
              <w:rPr>
                <w:sz w:val="22"/>
              </w:rPr>
            </w:pPr>
            <w:r>
              <w:rPr>
                <w:sz w:val="22"/>
              </w:rPr>
              <w:t>浙江网商银行股份有限</w:t>
            </w:r>
          </w:p>
        </w:tc>
        <w:tc>
          <w:tcPr>
            <w:tcW w:w="5480" w:type="dxa"/>
            <w:tcBorders>
              <w:bottom w:val="nil"/>
            </w:tcBorders>
          </w:tcPr>
          <w:p>
            <w:pPr>
              <w:pStyle w:val="TableParagraph"/>
              <w:rPr>
                <w:rFonts w:ascii="Times New Roman"/>
                <w:sz w:val="20"/>
              </w:rPr>
            </w:pPr>
          </w:p>
        </w:tc>
      </w:tr>
      <w:tr>
        <w:trPr>
          <w:trHeight w:val="936" w:hRule="atLeast"/>
        </w:trPr>
        <w:tc>
          <w:tcPr>
            <w:tcW w:w="470" w:type="dxa"/>
            <w:tcBorders>
              <w:top w:val="nil"/>
              <w:bottom w:val="nil"/>
            </w:tcBorders>
          </w:tcPr>
          <w:p>
            <w:pPr>
              <w:pStyle w:val="TableParagraph"/>
              <w:spacing w:before="189"/>
              <w:ind w:left="98" w:right="88"/>
              <w:jc w:val="center"/>
              <w:rPr>
                <w:rFonts w:ascii="Arial"/>
                <w:sz w:val="21"/>
              </w:rPr>
            </w:pPr>
            <w:r>
              <w:rPr>
                <w:rFonts w:ascii="Arial"/>
                <w:sz w:val="21"/>
              </w:rPr>
              <w:t>16</w:t>
            </w:r>
          </w:p>
          <w:p>
            <w:pPr>
              <w:pStyle w:val="TableParagraph"/>
              <w:spacing w:before="71"/>
              <w:ind w:left="7"/>
              <w:jc w:val="center"/>
              <w:rPr>
                <w:rFonts w:ascii="Arial"/>
                <w:sz w:val="21"/>
              </w:rPr>
            </w:pPr>
            <w:r>
              <w:rPr>
                <w:rFonts w:ascii="Arial"/>
                <w:w w:val="100"/>
                <w:sz w:val="21"/>
              </w:rPr>
              <w:t>4</w:t>
            </w:r>
          </w:p>
        </w:tc>
        <w:tc>
          <w:tcPr>
            <w:tcW w:w="2484" w:type="dxa"/>
            <w:tcBorders>
              <w:top w:val="nil"/>
              <w:bottom w:val="nil"/>
            </w:tcBorders>
          </w:tcPr>
          <w:p>
            <w:pPr>
              <w:pStyle w:val="TableParagraph"/>
              <w:spacing w:before="15"/>
              <w:ind w:left="120" w:right="113"/>
              <w:jc w:val="center"/>
              <w:rPr>
                <w:sz w:val="22"/>
              </w:rPr>
            </w:pPr>
            <w:r>
              <w:rPr>
                <w:sz w:val="22"/>
              </w:rPr>
              <w:t>公司</w:t>
            </w:r>
          </w:p>
          <w:p>
            <w:pPr>
              <w:pStyle w:val="TableParagraph"/>
              <w:spacing w:line="312" w:lineRule="exact" w:before="1"/>
              <w:ind w:left="139" w:right="129"/>
              <w:jc w:val="center"/>
              <w:rPr>
                <w:sz w:val="22"/>
              </w:rPr>
            </w:pPr>
            <w:r>
              <w:rPr>
                <w:sz w:val="22"/>
              </w:rPr>
              <w:t>（注：仅代销景系列之货币市场证券投资基金</w:t>
            </w:r>
          </w:p>
        </w:tc>
        <w:tc>
          <w:tcPr>
            <w:tcW w:w="5480" w:type="dxa"/>
            <w:tcBorders>
              <w:top w:val="nil"/>
              <w:bottom w:val="nil"/>
            </w:tcBorders>
          </w:tcPr>
          <w:p>
            <w:pPr>
              <w:pStyle w:val="TableParagraph"/>
              <w:spacing w:line="266" w:lineRule="auto" w:before="171"/>
              <w:ind w:left="108" w:right="3008"/>
              <w:rPr>
                <w:rFonts w:ascii="Arial" w:eastAsia="Arial"/>
                <w:sz w:val="22"/>
              </w:rPr>
            </w:pPr>
            <w:r>
              <w:rPr>
                <w:sz w:val="22"/>
              </w:rPr>
              <w:t>客户服务电话：</w:t>
            </w:r>
            <w:r>
              <w:rPr>
                <w:rFonts w:ascii="Arial" w:eastAsia="Arial"/>
                <w:sz w:val="22"/>
              </w:rPr>
              <w:t>95188-3 </w:t>
            </w:r>
            <w:r>
              <w:rPr>
                <w:sz w:val="22"/>
              </w:rPr>
              <w:t>网址：</w:t>
            </w:r>
            <w:hyperlink r:id="rId166">
              <w:r>
                <w:rPr>
                  <w:rFonts w:ascii="Arial" w:eastAsia="Arial"/>
                  <w:sz w:val="22"/>
                </w:rPr>
                <w:t>www.mybank.cn</w:t>
              </w:r>
            </w:hyperlink>
          </w:p>
        </w:tc>
      </w:tr>
      <w:tr>
        <w:trPr>
          <w:trHeight w:val="311"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spacing w:line="277" w:lineRule="exact" w:before="15"/>
              <w:ind w:left="120" w:right="113"/>
              <w:jc w:val="center"/>
              <w:rPr>
                <w:sz w:val="22"/>
              </w:rPr>
            </w:pPr>
            <w:r>
              <w:rPr>
                <w:sz w:val="22"/>
              </w:rPr>
              <w:t>A 类份额）</w:t>
            </w:r>
          </w:p>
        </w:tc>
        <w:tc>
          <w:tcPr>
            <w:tcW w:w="5480" w:type="dxa"/>
            <w:tcBorders>
              <w:top w:val="nil"/>
            </w:tcBorders>
          </w:tcPr>
          <w:p>
            <w:pPr>
              <w:pStyle w:val="TableParagraph"/>
              <w:rPr>
                <w:rFonts w:ascii="Times New Roman"/>
                <w:sz w:val="20"/>
              </w:rPr>
            </w:pPr>
          </w:p>
        </w:tc>
      </w:tr>
    </w:tbl>
    <w:p>
      <w:pPr>
        <w:spacing w:after="0"/>
        <w:rPr>
          <w:rFonts w:ascii="Times New Roman"/>
          <w:sz w:val="20"/>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3120" w:hRule="atLeast"/>
        </w:trPr>
        <w:tc>
          <w:tcPr>
            <w:tcW w:w="470"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98" w:right="88"/>
              <w:jc w:val="center"/>
              <w:rPr>
                <w:rFonts w:ascii="Arial"/>
                <w:sz w:val="21"/>
              </w:rPr>
            </w:pPr>
            <w:r>
              <w:rPr>
                <w:rFonts w:ascii="Arial"/>
                <w:sz w:val="21"/>
              </w:rPr>
              <w:t>16</w:t>
            </w:r>
          </w:p>
          <w:p>
            <w:pPr>
              <w:pStyle w:val="TableParagraph"/>
              <w:spacing w:before="70"/>
              <w:ind w:left="7"/>
              <w:jc w:val="center"/>
              <w:rPr>
                <w:rFonts w:ascii="Arial"/>
                <w:sz w:val="21"/>
              </w:rPr>
            </w:pPr>
            <w:r>
              <w:rPr>
                <w:rFonts w:ascii="Arial"/>
                <w:w w:val="100"/>
                <w:sz w:val="21"/>
              </w:rPr>
              <w:t>5</w:t>
            </w:r>
          </w:p>
        </w:tc>
        <w:tc>
          <w:tcPr>
            <w:tcW w:w="2484"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spacing w:line="266" w:lineRule="auto"/>
              <w:ind w:left="799" w:right="129" w:hanging="660"/>
              <w:rPr>
                <w:sz w:val="22"/>
              </w:rPr>
            </w:pPr>
            <w:r>
              <w:rPr>
                <w:sz w:val="22"/>
              </w:rPr>
              <w:t>民商基金销售（上海） 有限公司</w:t>
            </w:r>
          </w:p>
        </w:tc>
        <w:tc>
          <w:tcPr>
            <w:tcW w:w="5480" w:type="dxa"/>
            <w:tcBorders>
              <w:top w:val="nil"/>
            </w:tcBorders>
          </w:tcPr>
          <w:p>
            <w:pPr>
              <w:pStyle w:val="TableParagraph"/>
              <w:spacing w:line="266" w:lineRule="auto" w:before="15"/>
              <w:ind w:left="108" w:right="92"/>
              <w:rPr>
                <w:sz w:val="22"/>
              </w:rPr>
            </w:pPr>
            <w:r>
              <w:rPr>
                <w:spacing w:val="-7"/>
                <w:sz w:val="22"/>
              </w:rPr>
              <w:t>注册地址：上海黄浦区北京东路 </w:t>
            </w:r>
            <w:r>
              <w:rPr>
                <w:rFonts w:ascii="Arial" w:eastAsia="Arial"/>
                <w:sz w:val="22"/>
              </w:rPr>
              <w:t>666 </w:t>
            </w:r>
            <w:r>
              <w:rPr>
                <w:spacing w:val="-26"/>
                <w:sz w:val="22"/>
              </w:rPr>
              <w:t>号 </w:t>
            </w:r>
            <w:r>
              <w:rPr>
                <w:rFonts w:ascii="Arial" w:eastAsia="Arial"/>
                <w:sz w:val="22"/>
              </w:rPr>
              <w:t>H </w:t>
            </w:r>
            <w:r>
              <w:rPr>
                <w:spacing w:val="-3"/>
                <w:sz w:val="22"/>
              </w:rPr>
              <w:t>区</w:t>
            </w:r>
            <w:r>
              <w:rPr>
                <w:sz w:val="22"/>
              </w:rPr>
              <w:t>（</w:t>
            </w:r>
            <w:r>
              <w:rPr>
                <w:spacing w:val="-2"/>
                <w:sz w:val="22"/>
              </w:rPr>
              <w:t>东座</w:t>
            </w:r>
            <w:r>
              <w:rPr>
                <w:spacing w:val="-8"/>
                <w:sz w:val="22"/>
              </w:rPr>
              <w:t>）</w:t>
            </w:r>
            <w:r>
              <w:rPr>
                <w:rFonts w:ascii="Arial" w:eastAsia="Arial"/>
                <w:spacing w:val="-8"/>
                <w:sz w:val="22"/>
              </w:rPr>
              <w:t>6 </w:t>
            </w:r>
            <w:r>
              <w:rPr>
                <w:spacing w:val="-31"/>
                <w:sz w:val="22"/>
              </w:rPr>
              <w:t>楼 </w:t>
            </w:r>
            <w:r>
              <w:rPr>
                <w:rFonts w:ascii="Arial" w:eastAsia="Arial"/>
                <w:sz w:val="22"/>
              </w:rPr>
              <w:t>A31 </w:t>
            </w:r>
            <w:r>
              <w:rPr>
                <w:sz w:val="22"/>
              </w:rPr>
              <w:t>室</w:t>
            </w:r>
          </w:p>
          <w:p>
            <w:pPr>
              <w:pStyle w:val="TableParagraph"/>
              <w:spacing w:line="280" w:lineRule="exact"/>
              <w:ind w:left="108"/>
              <w:rPr>
                <w:sz w:val="22"/>
              </w:rPr>
            </w:pPr>
            <w:r>
              <w:rPr>
                <w:spacing w:val="-11"/>
                <w:sz w:val="22"/>
              </w:rPr>
              <w:t>办公地址：上海市浦东新区张杨路 </w:t>
            </w:r>
            <w:r>
              <w:rPr>
                <w:rFonts w:ascii="Arial" w:eastAsia="Arial"/>
                <w:sz w:val="22"/>
              </w:rPr>
              <w:t>707 </w:t>
            </w:r>
            <w:r>
              <w:rPr>
                <w:spacing w:val="-2"/>
                <w:sz w:val="22"/>
              </w:rPr>
              <w:t>号生命人寿大厦</w:t>
            </w:r>
          </w:p>
          <w:p>
            <w:pPr>
              <w:pStyle w:val="TableParagraph"/>
              <w:spacing w:before="30"/>
              <w:ind w:left="108"/>
              <w:rPr>
                <w:sz w:val="22"/>
              </w:rPr>
            </w:pPr>
            <w:r>
              <w:rPr>
                <w:rFonts w:ascii="Arial" w:eastAsia="Arial"/>
                <w:sz w:val="22"/>
              </w:rPr>
              <w:t>32 </w:t>
            </w:r>
            <w:r>
              <w:rPr>
                <w:sz w:val="22"/>
              </w:rPr>
              <w:t>楼</w:t>
            </w:r>
          </w:p>
          <w:p>
            <w:pPr>
              <w:pStyle w:val="TableParagraph"/>
              <w:spacing w:line="266" w:lineRule="auto" w:before="31"/>
              <w:ind w:left="108" w:right="3376"/>
              <w:rPr>
                <w:sz w:val="22"/>
              </w:rPr>
            </w:pPr>
            <w:r>
              <w:rPr>
                <w:sz w:val="22"/>
              </w:rPr>
              <w:t>法定代表人：贲惠琴联系人：钟伟</w:t>
            </w:r>
          </w:p>
          <w:p>
            <w:pPr>
              <w:pStyle w:val="TableParagraph"/>
              <w:spacing w:line="266" w:lineRule="auto"/>
              <w:ind w:left="108" w:right="3203"/>
              <w:rPr>
                <w:rFonts w:ascii="Arial" w:eastAsia="Arial"/>
                <w:sz w:val="22"/>
              </w:rPr>
            </w:pPr>
            <w:r>
              <w:rPr>
                <w:sz w:val="22"/>
              </w:rPr>
              <w:t>电话：</w:t>
            </w:r>
            <w:r>
              <w:rPr>
                <w:rFonts w:ascii="Arial" w:eastAsia="Arial"/>
                <w:sz w:val="22"/>
              </w:rPr>
              <w:t>138-2642-0174 </w:t>
            </w:r>
            <w:r>
              <w:rPr>
                <w:sz w:val="22"/>
              </w:rPr>
              <w:t>传真：</w:t>
            </w:r>
            <w:r>
              <w:rPr>
                <w:rFonts w:ascii="Arial" w:eastAsia="Arial"/>
                <w:sz w:val="22"/>
              </w:rPr>
              <w:t>021-50206001</w:t>
            </w:r>
          </w:p>
          <w:p>
            <w:pPr>
              <w:pStyle w:val="TableParagraph"/>
              <w:spacing w:line="280" w:lineRule="exact"/>
              <w:ind w:left="108"/>
              <w:rPr>
                <w:rFonts w:ascii="Arial" w:eastAsia="Arial"/>
                <w:sz w:val="22"/>
              </w:rPr>
            </w:pPr>
            <w:r>
              <w:rPr>
                <w:spacing w:val="-2"/>
                <w:sz w:val="22"/>
              </w:rPr>
              <w:t>客户服务电话：</w:t>
            </w:r>
            <w:r>
              <w:rPr>
                <w:rFonts w:ascii="Arial" w:eastAsia="Arial"/>
                <w:spacing w:val="-1"/>
                <w:sz w:val="22"/>
              </w:rPr>
              <w:t>021-50206003</w:t>
            </w:r>
          </w:p>
          <w:p>
            <w:pPr>
              <w:pStyle w:val="TableParagraph"/>
              <w:spacing w:line="277" w:lineRule="exact" w:before="28"/>
              <w:ind w:left="108"/>
              <w:rPr>
                <w:rFonts w:ascii="Arial" w:eastAsia="Arial"/>
                <w:sz w:val="22"/>
              </w:rPr>
            </w:pPr>
            <w:r>
              <w:rPr>
                <w:spacing w:val="-1"/>
                <w:sz w:val="22"/>
              </w:rPr>
              <w:t>网址：</w:t>
            </w:r>
            <w:hyperlink r:id="rId167">
              <w:r>
                <w:rPr>
                  <w:rFonts w:ascii="Arial" w:eastAsia="Arial"/>
                  <w:spacing w:val="-1"/>
                  <w:sz w:val="22"/>
                </w:rPr>
                <w:t>http://www.msftec.com/</w:t>
              </w:r>
            </w:hyperlink>
          </w:p>
        </w:tc>
      </w:tr>
      <w:tr>
        <w:trPr>
          <w:trHeight w:val="280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98" w:right="88"/>
              <w:jc w:val="center"/>
              <w:rPr>
                <w:rFonts w:ascii="Arial"/>
                <w:sz w:val="21"/>
              </w:rPr>
            </w:pPr>
            <w:r>
              <w:rPr>
                <w:rFonts w:ascii="Arial"/>
                <w:sz w:val="21"/>
              </w:rPr>
              <w:t>16</w:t>
            </w:r>
          </w:p>
          <w:p>
            <w:pPr>
              <w:pStyle w:val="TableParagraph"/>
              <w:spacing w:before="71"/>
              <w:ind w:left="7"/>
              <w:jc w:val="center"/>
              <w:rPr>
                <w:rFonts w:ascii="Arial"/>
                <w:sz w:val="21"/>
              </w:rPr>
            </w:pPr>
            <w:r>
              <w:rPr>
                <w:rFonts w:ascii="Arial"/>
                <w:w w:val="100"/>
                <w:sz w:val="21"/>
              </w:rPr>
              <w:t>6</w:t>
            </w:r>
          </w:p>
        </w:tc>
        <w:tc>
          <w:tcPr>
            <w:tcW w:w="2484" w:type="dxa"/>
          </w:tcPr>
          <w:p>
            <w:pPr>
              <w:pStyle w:val="TableParagraph"/>
              <w:rPr>
                <w:rFonts w:ascii="Times New Roman"/>
                <w:sz w:val="22"/>
              </w:rPr>
            </w:pPr>
          </w:p>
          <w:p>
            <w:pPr>
              <w:pStyle w:val="TableParagraph"/>
              <w:rPr>
                <w:rFonts w:ascii="Times New Roman"/>
                <w:sz w:val="20"/>
              </w:rPr>
            </w:pPr>
          </w:p>
          <w:p>
            <w:pPr>
              <w:pStyle w:val="TableParagraph"/>
              <w:spacing w:line="266" w:lineRule="auto"/>
              <w:ind w:left="139" w:right="129"/>
              <w:jc w:val="center"/>
              <w:rPr>
                <w:sz w:val="22"/>
              </w:rPr>
            </w:pPr>
            <w:r>
              <w:rPr>
                <w:sz w:val="22"/>
              </w:rPr>
              <w:t>腾安基金销售（深圳） 有限公司</w:t>
            </w:r>
          </w:p>
          <w:p>
            <w:pPr>
              <w:pStyle w:val="TableParagraph"/>
              <w:spacing w:line="266" w:lineRule="auto"/>
              <w:ind w:left="139" w:right="129"/>
              <w:jc w:val="center"/>
              <w:rPr>
                <w:sz w:val="22"/>
              </w:rPr>
            </w:pPr>
            <w:r>
              <w:rPr>
                <w:sz w:val="22"/>
              </w:rPr>
              <w:t>（注：仅代销景系列之优选混合型证券投资基金、动力平衡证券投资基金）</w:t>
            </w:r>
          </w:p>
        </w:tc>
        <w:tc>
          <w:tcPr>
            <w:tcW w:w="5480" w:type="dxa"/>
          </w:tcPr>
          <w:p>
            <w:pPr>
              <w:pStyle w:val="TableParagraph"/>
              <w:spacing w:before="15"/>
              <w:ind w:left="108"/>
              <w:rPr>
                <w:sz w:val="22"/>
              </w:rPr>
            </w:pPr>
            <w:r>
              <w:rPr>
                <w:spacing w:val="-6"/>
                <w:sz w:val="22"/>
              </w:rPr>
              <w:t>注册地址：深圳市前海深港合作区前湾一路 </w:t>
            </w:r>
            <w:r>
              <w:rPr>
                <w:rFonts w:ascii="Arial" w:eastAsia="Arial"/>
                <w:sz w:val="22"/>
              </w:rPr>
              <w:t>1 </w:t>
            </w:r>
            <w:r>
              <w:rPr>
                <w:spacing w:val="52"/>
                <w:sz w:val="22"/>
              </w:rPr>
              <w:t>号</w:t>
            </w:r>
            <w:r>
              <w:rPr>
                <w:rFonts w:ascii="Arial" w:eastAsia="Arial"/>
                <w:sz w:val="22"/>
              </w:rPr>
              <w:t>A </w:t>
            </w:r>
            <w:r>
              <w:rPr>
                <w:sz w:val="22"/>
              </w:rPr>
              <w:t>栋</w:t>
            </w:r>
          </w:p>
          <w:p>
            <w:pPr>
              <w:pStyle w:val="TableParagraph"/>
              <w:spacing w:before="30"/>
              <w:ind w:left="108"/>
              <w:rPr>
                <w:sz w:val="22"/>
              </w:rPr>
            </w:pPr>
            <w:r>
              <w:rPr>
                <w:rFonts w:ascii="Arial" w:eastAsia="Arial"/>
                <w:sz w:val="22"/>
              </w:rPr>
              <w:t>201 </w:t>
            </w:r>
            <w:r>
              <w:rPr>
                <w:sz w:val="22"/>
              </w:rPr>
              <w:t>室（入驻深圳市前海商务秘书有限公司）</w:t>
            </w:r>
          </w:p>
          <w:p>
            <w:pPr>
              <w:pStyle w:val="TableParagraph"/>
              <w:spacing w:before="31"/>
              <w:ind w:left="108"/>
              <w:rPr>
                <w:sz w:val="22"/>
              </w:rPr>
            </w:pPr>
            <w:r>
              <w:rPr>
                <w:sz w:val="22"/>
              </w:rPr>
              <w:t>办公地址：深圳市南山区海天二路 </w:t>
            </w:r>
            <w:r>
              <w:rPr>
                <w:rFonts w:ascii="Arial" w:eastAsia="Arial"/>
                <w:sz w:val="22"/>
              </w:rPr>
              <w:t>33 </w:t>
            </w:r>
            <w:r>
              <w:rPr>
                <w:sz w:val="22"/>
              </w:rPr>
              <w:t>号腾讯滨海大厦</w:t>
            </w:r>
          </w:p>
          <w:p>
            <w:pPr>
              <w:pStyle w:val="TableParagraph"/>
              <w:spacing w:before="30"/>
              <w:ind w:left="108"/>
              <w:rPr>
                <w:sz w:val="22"/>
              </w:rPr>
            </w:pPr>
            <w:r>
              <w:rPr>
                <w:rFonts w:ascii="Arial" w:eastAsia="Arial"/>
                <w:sz w:val="22"/>
              </w:rPr>
              <w:t>15 </w:t>
            </w:r>
            <w:r>
              <w:rPr>
                <w:sz w:val="22"/>
              </w:rPr>
              <w:t>楼</w:t>
            </w:r>
          </w:p>
          <w:p>
            <w:pPr>
              <w:pStyle w:val="TableParagraph"/>
              <w:spacing w:line="266" w:lineRule="auto" w:before="30"/>
              <w:ind w:left="108" w:right="3376"/>
              <w:rPr>
                <w:sz w:val="22"/>
              </w:rPr>
            </w:pPr>
            <w:r>
              <w:rPr>
                <w:sz w:val="22"/>
              </w:rPr>
              <w:t>法定代表人：刘明军联系人：谭广锋</w:t>
            </w:r>
          </w:p>
          <w:p>
            <w:pPr>
              <w:pStyle w:val="TableParagraph"/>
              <w:spacing w:line="280" w:lineRule="exact"/>
              <w:ind w:left="108"/>
              <w:rPr>
                <w:rFonts w:ascii="Arial" w:eastAsia="Arial"/>
                <w:sz w:val="22"/>
              </w:rPr>
            </w:pPr>
            <w:r>
              <w:rPr>
                <w:sz w:val="22"/>
              </w:rPr>
              <w:t>电话：</w:t>
            </w:r>
            <w:r>
              <w:rPr>
                <w:rFonts w:ascii="Arial" w:eastAsia="Arial"/>
                <w:sz w:val="22"/>
              </w:rPr>
              <w:t>95017 </w:t>
            </w:r>
            <w:r>
              <w:rPr>
                <w:sz w:val="22"/>
              </w:rPr>
              <w:t>转 </w:t>
            </w:r>
            <w:r>
              <w:rPr>
                <w:rFonts w:ascii="Arial" w:eastAsia="Arial"/>
                <w:sz w:val="22"/>
              </w:rPr>
              <w:t>1 </w:t>
            </w:r>
            <w:r>
              <w:rPr>
                <w:sz w:val="22"/>
              </w:rPr>
              <w:t>转 </w:t>
            </w:r>
            <w:r>
              <w:rPr>
                <w:rFonts w:ascii="Arial" w:eastAsia="Arial"/>
                <w:sz w:val="22"/>
              </w:rPr>
              <w:t>8</w:t>
            </w:r>
          </w:p>
          <w:p>
            <w:pPr>
              <w:pStyle w:val="TableParagraph"/>
              <w:spacing w:before="30"/>
              <w:ind w:left="108"/>
              <w:rPr>
                <w:rFonts w:ascii="Arial" w:eastAsia="Arial"/>
                <w:sz w:val="22"/>
              </w:rPr>
            </w:pPr>
            <w:r>
              <w:rPr>
                <w:sz w:val="22"/>
              </w:rPr>
              <w:t>客户服务电话：</w:t>
            </w:r>
            <w:r>
              <w:rPr>
                <w:rFonts w:ascii="Arial" w:eastAsia="Arial"/>
                <w:sz w:val="22"/>
              </w:rPr>
              <w:t>95017 </w:t>
            </w:r>
            <w:r>
              <w:rPr>
                <w:sz w:val="22"/>
              </w:rPr>
              <w:t>转 </w:t>
            </w:r>
            <w:r>
              <w:rPr>
                <w:rFonts w:ascii="Arial" w:eastAsia="Arial"/>
                <w:sz w:val="22"/>
              </w:rPr>
              <w:t>1 </w:t>
            </w:r>
            <w:r>
              <w:rPr>
                <w:sz w:val="22"/>
              </w:rPr>
              <w:t>转 </w:t>
            </w:r>
            <w:r>
              <w:rPr>
                <w:rFonts w:ascii="Arial" w:eastAsia="Arial"/>
                <w:sz w:val="22"/>
              </w:rPr>
              <w:t>8</w:t>
            </w:r>
          </w:p>
          <w:p>
            <w:pPr>
              <w:pStyle w:val="TableParagraph"/>
              <w:spacing w:line="277" w:lineRule="exact" w:before="30"/>
              <w:ind w:left="108"/>
              <w:rPr>
                <w:rFonts w:ascii="Arial" w:eastAsia="Arial"/>
                <w:sz w:val="22"/>
              </w:rPr>
            </w:pPr>
            <w:r>
              <w:rPr>
                <w:sz w:val="22"/>
              </w:rPr>
              <w:t>网址：</w:t>
            </w:r>
            <w:hyperlink r:id="rId168">
              <w:r>
                <w:rPr>
                  <w:rFonts w:ascii="Arial" w:eastAsia="Arial"/>
                  <w:sz w:val="22"/>
                </w:rPr>
                <w:t>www.tenganxinxi.com</w:t>
              </w:r>
            </w:hyperlink>
          </w:p>
        </w:tc>
      </w:tr>
      <w:tr>
        <w:trPr>
          <w:trHeight w:val="2807"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98" w:right="88"/>
              <w:jc w:val="center"/>
              <w:rPr>
                <w:rFonts w:ascii="Arial"/>
                <w:sz w:val="21"/>
              </w:rPr>
            </w:pPr>
            <w:r>
              <w:rPr>
                <w:rFonts w:ascii="Arial"/>
                <w:sz w:val="21"/>
              </w:rPr>
              <w:t>16</w:t>
            </w:r>
          </w:p>
          <w:p>
            <w:pPr>
              <w:pStyle w:val="TableParagraph"/>
              <w:spacing w:before="70"/>
              <w:ind w:left="7"/>
              <w:jc w:val="center"/>
              <w:rPr>
                <w:rFonts w:ascii="Arial"/>
                <w:sz w:val="21"/>
              </w:rPr>
            </w:pPr>
            <w:r>
              <w:rPr>
                <w:rFonts w:ascii="Arial"/>
                <w:w w:val="100"/>
                <w:sz w:val="21"/>
              </w:rPr>
              <w:t>7</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799" w:right="129" w:hanging="660"/>
              <w:rPr>
                <w:sz w:val="22"/>
              </w:rPr>
            </w:pPr>
            <w:r>
              <w:rPr>
                <w:sz w:val="22"/>
              </w:rPr>
              <w:t>北京百度百盈基金销售有限公司</w:t>
            </w:r>
          </w:p>
        </w:tc>
        <w:tc>
          <w:tcPr>
            <w:tcW w:w="5480" w:type="dxa"/>
          </w:tcPr>
          <w:p>
            <w:pPr>
              <w:pStyle w:val="TableParagraph"/>
              <w:spacing w:before="15"/>
              <w:ind w:left="108"/>
              <w:rPr>
                <w:rFonts w:ascii="Arial" w:eastAsia="Arial"/>
                <w:sz w:val="22"/>
              </w:rPr>
            </w:pPr>
            <w:r>
              <w:rPr>
                <w:spacing w:val="-7"/>
                <w:sz w:val="22"/>
              </w:rPr>
              <w:t>注册地址：北京市海淀区上地十街 </w:t>
            </w:r>
            <w:r>
              <w:rPr>
                <w:rFonts w:ascii="Arial" w:eastAsia="Arial"/>
                <w:sz w:val="22"/>
              </w:rPr>
              <w:t>10 </w:t>
            </w:r>
            <w:r>
              <w:rPr>
                <w:spacing w:val="-27"/>
                <w:sz w:val="22"/>
              </w:rPr>
              <w:t>号 </w:t>
            </w:r>
            <w:r>
              <w:rPr>
                <w:rFonts w:ascii="Arial" w:eastAsia="Arial"/>
                <w:sz w:val="22"/>
              </w:rPr>
              <w:t>1 </w:t>
            </w:r>
            <w:r>
              <w:rPr>
                <w:spacing w:val="-29"/>
                <w:sz w:val="22"/>
              </w:rPr>
              <w:t>幢 </w:t>
            </w:r>
            <w:r>
              <w:rPr>
                <w:rFonts w:ascii="Arial" w:eastAsia="Arial"/>
                <w:sz w:val="22"/>
              </w:rPr>
              <w:t>1 </w:t>
            </w:r>
            <w:r>
              <w:rPr>
                <w:spacing w:val="-28"/>
                <w:sz w:val="22"/>
              </w:rPr>
              <w:t>层 </w:t>
            </w:r>
            <w:r>
              <w:rPr>
                <w:rFonts w:ascii="Arial" w:eastAsia="Arial"/>
                <w:sz w:val="22"/>
              </w:rPr>
              <w:t>101</w:t>
            </w:r>
          </w:p>
          <w:p>
            <w:pPr>
              <w:pStyle w:val="TableParagraph"/>
              <w:spacing w:line="266" w:lineRule="auto" w:before="30"/>
              <w:ind w:left="108" w:right="90"/>
              <w:rPr>
                <w:sz w:val="22"/>
              </w:rPr>
            </w:pPr>
            <w:r>
              <w:rPr>
                <w:spacing w:val="-9"/>
                <w:sz w:val="22"/>
              </w:rPr>
              <w:t>办公地址：北京市海淀区上地信息路甲 </w:t>
            </w:r>
            <w:r>
              <w:rPr>
                <w:rFonts w:ascii="Arial" w:eastAsia="Arial"/>
                <w:sz w:val="22"/>
              </w:rPr>
              <w:t>9 </w:t>
            </w:r>
            <w:r>
              <w:rPr>
                <w:spacing w:val="-5"/>
                <w:sz w:val="22"/>
              </w:rPr>
              <w:t>号奎科科技大</w:t>
            </w:r>
            <w:r>
              <w:rPr>
                <w:sz w:val="22"/>
              </w:rPr>
              <w:t>厦</w:t>
            </w:r>
          </w:p>
          <w:p>
            <w:pPr>
              <w:pStyle w:val="TableParagraph"/>
              <w:spacing w:line="266" w:lineRule="auto"/>
              <w:ind w:left="108" w:right="3376"/>
              <w:rPr>
                <w:sz w:val="22"/>
              </w:rPr>
            </w:pPr>
            <w:r>
              <w:rPr>
                <w:sz w:val="22"/>
              </w:rPr>
              <w:t>法定代表人：张旭阳联系人：孙博超</w:t>
            </w:r>
          </w:p>
          <w:p>
            <w:pPr>
              <w:pStyle w:val="TableParagraph"/>
              <w:spacing w:line="266" w:lineRule="auto"/>
              <w:ind w:left="108" w:right="3278"/>
              <w:rPr>
                <w:rFonts w:ascii="Arial" w:eastAsia="Arial"/>
                <w:sz w:val="22"/>
              </w:rPr>
            </w:pPr>
            <w:r>
              <w:rPr>
                <w:sz w:val="22"/>
              </w:rPr>
              <w:t>电话：</w:t>
            </w:r>
            <w:r>
              <w:rPr>
                <w:rFonts w:ascii="Arial" w:eastAsia="Arial"/>
                <w:sz w:val="22"/>
              </w:rPr>
              <w:t>010-61952703 </w:t>
            </w:r>
            <w:r>
              <w:rPr>
                <w:sz w:val="22"/>
              </w:rPr>
              <w:t>传真：</w:t>
            </w:r>
            <w:r>
              <w:rPr>
                <w:rFonts w:ascii="Arial" w:eastAsia="Arial"/>
                <w:sz w:val="22"/>
              </w:rPr>
              <w:t>010-61951007</w:t>
            </w:r>
          </w:p>
          <w:p>
            <w:pPr>
              <w:pStyle w:val="TableParagraph"/>
              <w:spacing w:line="280" w:lineRule="exact"/>
              <w:ind w:left="108"/>
              <w:rPr>
                <w:rFonts w:ascii="Arial" w:eastAsia="Arial"/>
                <w:sz w:val="22"/>
              </w:rPr>
            </w:pPr>
            <w:r>
              <w:rPr>
                <w:sz w:val="22"/>
              </w:rPr>
              <w:t>客户服务电话：</w:t>
            </w:r>
            <w:r>
              <w:rPr>
                <w:rFonts w:ascii="Arial" w:eastAsia="Arial"/>
                <w:sz w:val="22"/>
              </w:rPr>
              <w:t>95055</w:t>
            </w:r>
          </w:p>
          <w:p>
            <w:pPr>
              <w:pStyle w:val="TableParagraph"/>
              <w:spacing w:line="277" w:lineRule="exact" w:before="27"/>
              <w:ind w:left="108"/>
              <w:rPr>
                <w:rFonts w:ascii="Arial" w:eastAsia="Arial"/>
                <w:sz w:val="22"/>
              </w:rPr>
            </w:pPr>
            <w:r>
              <w:rPr>
                <w:sz w:val="22"/>
              </w:rPr>
              <w:t>网址：</w:t>
            </w:r>
            <w:hyperlink r:id="rId169">
              <w:r>
                <w:rPr>
                  <w:rFonts w:ascii="Arial" w:eastAsia="Arial"/>
                  <w:sz w:val="22"/>
                </w:rPr>
                <w:t>www.baiyingfund.com</w:t>
              </w:r>
            </w:hyperlink>
          </w:p>
        </w:tc>
      </w:tr>
      <w:tr>
        <w:trPr>
          <w:trHeight w:val="2496"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98" w:right="88"/>
              <w:jc w:val="center"/>
              <w:rPr>
                <w:rFonts w:ascii="Arial"/>
                <w:sz w:val="21"/>
              </w:rPr>
            </w:pPr>
            <w:r>
              <w:rPr>
                <w:rFonts w:ascii="Arial"/>
                <w:sz w:val="21"/>
              </w:rPr>
              <w:t>16</w:t>
            </w:r>
          </w:p>
          <w:p>
            <w:pPr>
              <w:pStyle w:val="TableParagraph"/>
              <w:spacing w:before="71"/>
              <w:ind w:left="7"/>
              <w:jc w:val="center"/>
              <w:rPr>
                <w:rFonts w:ascii="Arial"/>
                <w:sz w:val="21"/>
              </w:rPr>
            </w:pPr>
            <w:r>
              <w:rPr>
                <w:rFonts w:ascii="Arial"/>
                <w:w w:val="100"/>
                <w:sz w:val="21"/>
              </w:rPr>
              <w:t>8</w:t>
            </w:r>
          </w:p>
        </w:tc>
        <w:tc>
          <w:tcPr>
            <w:tcW w:w="2484"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9"/>
              <w:rPr>
                <w:sz w:val="22"/>
              </w:rPr>
            </w:pPr>
            <w:r>
              <w:rPr>
                <w:sz w:val="22"/>
              </w:rPr>
              <w:t>玄元保险代理有限公司</w:t>
            </w:r>
          </w:p>
        </w:tc>
        <w:tc>
          <w:tcPr>
            <w:tcW w:w="5480" w:type="dxa"/>
          </w:tcPr>
          <w:p>
            <w:pPr>
              <w:pStyle w:val="TableParagraph"/>
              <w:spacing w:line="266" w:lineRule="auto" w:before="15"/>
              <w:ind w:left="108" w:right="48"/>
              <w:rPr>
                <w:sz w:val="22"/>
              </w:rPr>
            </w:pPr>
            <w:r>
              <w:rPr>
                <w:sz w:val="22"/>
              </w:rPr>
              <w:t>注册（公告）地址：中国（上海）自由贸易试验区张杨路 </w:t>
            </w:r>
            <w:r>
              <w:rPr>
                <w:rFonts w:ascii="Arial" w:eastAsia="Arial"/>
                <w:sz w:val="22"/>
              </w:rPr>
              <w:t>707 </w:t>
            </w:r>
            <w:r>
              <w:rPr>
                <w:sz w:val="22"/>
              </w:rPr>
              <w:t>号 </w:t>
            </w:r>
            <w:r>
              <w:rPr>
                <w:rFonts w:ascii="Arial" w:eastAsia="Arial"/>
                <w:sz w:val="22"/>
              </w:rPr>
              <w:t>1105 </w:t>
            </w:r>
            <w:r>
              <w:rPr>
                <w:sz w:val="22"/>
              </w:rPr>
              <w:t>室</w:t>
            </w:r>
          </w:p>
          <w:p>
            <w:pPr>
              <w:pStyle w:val="TableParagraph"/>
              <w:spacing w:line="266" w:lineRule="auto"/>
              <w:ind w:left="108" w:right="3376"/>
              <w:rPr>
                <w:sz w:val="22"/>
              </w:rPr>
            </w:pPr>
            <w:r>
              <w:rPr>
                <w:sz w:val="22"/>
              </w:rPr>
              <w:t>法定代表人：马永谙联系人：卢亚博</w:t>
            </w:r>
          </w:p>
          <w:p>
            <w:pPr>
              <w:pStyle w:val="TableParagraph"/>
              <w:spacing w:line="266" w:lineRule="auto"/>
              <w:ind w:left="108" w:right="3278"/>
              <w:rPr>
                <w:rFonts w:ascii="Arial" w:eastAsia="Arial"/>
                <w:sz w:val="22"/>
              </w:rPr>
            </w:pPr>
            <w:r>
              <w:rPr>
                <w:sz w:val="22"/>
              </w:rPr>
              <w:t>电话：</w:t>
            </w:r>
            <w:r>
              <w:rPr>
                <w:rFonts w:ascii="Arial" w:eastAsia="Arial"/>
                <w:sz w:val="22"/>
              </w:rPr>
              <w:t>13752528013 </w:t>
            </w:r>
            <w:r>
              <w:rPr>
                <w:sz w:val="22"/>
              </w:rPr>
              <w:t>传真：</w:t>
            </w:r>
            <w:r>
              <w:rPr>
                <w:rFonts w:ascii="Arial" w:eastAsia="Arial"/>
                <w:sz w:val="22"/>
              </w:rPr>
              <w:t>021-50701053</w:t>
            </w:r>
          </w:p>
          <w:p>
            <w:pPr>
              <w:pStyle w:val="TableParagraph"/>
              <w:spacing w:line="280" w:lineRule="exact"/>
              <w:ind w:left="108"/>
              <w:rPr>
                <w:rFonts w:ascii="Arial" w:eastAsia="Arial"/>
                <w:sz w:val="22"/>
              </w:rPr>
            </w:pPr>
            <w:r>
              <w:rPr>
                <w:sz w:val="22"/>
              </w:rPr>
              <w:t>客户服务电话：</w:t>
            </w:r>
            <w:r>
              <w:rPr>
                <w:rFonts w:ascii="Arial" w:eastAsia="Arial"/>
                <w:sz w:val="22"/>
              </w:rPr>
              <w:t>021-50701053</w:t>
            </w:r>
          </w:p>
          <w:p>
            <w:pPr>
              <w:pStyle w:val="TableParagraph"/>
              <w:spacing w:line="277" w:lineRule="exact" w:before="27"/>
              <w:ind w:left="108"/>
              <w:rPr>
                <w:rFonts w:ascii="Arial" w:eastAsia="Arial"/>
                <w:sz w:val="22"/>
              </w:rPr>
            </w:pPr>
            <w:r>
              <w:rPr>
                <w:sz w:val="22"/>
              </w:rPr>
              <w:t>网址：</w:t>
            </w:r>
            <w:r>
              <w:rPr>
                <w:rFonts w:ascii="Arial" w:eastAsia="Arial"/>
                <w:sz w:val="22"/>
              </w:rPr>
              <w:t>http://www.xyinsure.com:7100/kfit_xybx</w:t>
            </w:r>
          </w:p>
        </w:tc>
      </w:tr>
      <w:tr>
        <w:trPr>
          <w:trHeight w:val="2498" w:hRule="atLeast"/>
        </w:trPr>
        <w:tc>
          <w:tcPr>
            <w:tcW w:w="47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98" w:right="88"/>
              <w:jc w:val="center"/>
              <w:rPr>
                <w:rFonts w:ascii="Arial"/>
                <w:sz w:val="21"/>
              </w:rPr>
            </w:pPr>
            <w:r>
              <w:rPr>
                <w:rFonts w:ascii="Arial"/>
                <w:sz w:val="21"/>
              </w:rPr>
              <w:t>16</w:t>
            </w:r>
          </w:p>
          <w:p>
            <w:pPr>
              <w:pStyle w:val="TableParagraph"/>
              <w:spacing w:before="71"/>
              <w:ind w:left="7"/>
              <w:jc w:val="center"/>
              <w:rPr>
                <w:rFonts w:ascii="Arial"/>
                <w:sz w:val="21"/>
              </w:rPr>
            </w:pPr>
            <w:r>
              <w:rPr>
                <w:rFonts w:ascii="Arial"/>
                <w:w w:val="100"/>
                <w:sz w:val="21"/>
              </w:rPr>
              <w:t>9</w:t>
            </w:r>
          </w:p>
        </w:tc>
        <w:tc>
          <w:tcPr>
            <w:tcW w:w="2484" w:type="dxa"/>
          </w:tcPr>
          <w:p>
            <w:pPr>
              <w:pStyle w:val="TableParagraph"/>
              <w:spacing w:before="7"/>
              <w:rPr>
                <w:rFonts w:ascii="Times New Roman"/>
                <w:sz w:val="28"/>
              </w:rPr>
            </w:pPr>
          </w:p>
          <w:p>
            <w:pPr>
              <w:pStyle w:val="TableParagraph"/>
              <w:spacing w:line="266" w:lineRule="auto"/>
              <w:ind w:left="139" w:right="129"/>
              <w:jc w:val="center"/>
              <w:rPr>
                <w:sz w:val="22"/>
              </w:rPr>
            </w:pPr>
            <w:r>
              <w:rPr>
                <w:sz w:val="22"/>
              </w:rPr>
              <w:t>上海陆享基金销售有限公司</w:t>
            </w:r>
          </w:p>
          <w:p>
            <w:pPr>
              <w:pStyle w:val="TableParagraph"/>
              <w:spacing w:line="266" w:lineRule="auto"/>
              <w:ind w:left="139" w:right="129"/>
              <w:jc w:val="center"/>
              <w:rPr>
                <w:sz w:val="22"/>
              </w:rPr>
            </w:pPr>
            <w:r>
              <w:rPr>
                <w:sz w:val="22"/>
              </w:rPr>
              <w:t>（注：仅代销景系列之优选混合型证券投资基金、动力平衡证券投资基金）</w:t>
            </w:r>
          </w:p>
        </w:tc>
        <w:tc>
          <w:tcPr>
            <w:tcW w:w="5480" w:type="dxa"/>
          </w:tcPr>
          <w:p>
            <w:pPr>
              <w:pStyle w:val="TableParagraph"/>
              <w:spacing w:before="17"/>
              <w:ind w:left="108"/>
              <w:rPr>
                <w:rFonts w:ascii="Arial" w:eastAsia="Arial"/>
                <w:sz w:val="22"/>
              </w:rPr>
            </w:pPr>
            <w:r>
              <w:rPr>
                <w:sz w:val="22"/>
              </w:rPr>
              <w:t>注册地址：上海市浦东新区南汇新城镇环湖西二路 </w:t>
            </w:r>
            <w:r>
              <w:rPr>
                <w:rFonts w:ascii="Arial" w:eastAsia="Arial"/>
                <w:sz w:val="22"/>
              </w:rPr>
              <w:t>888</w:t>
            </w:r>
          </w:p>
          <w:p>
            <w:pPr>
              <w:pStyle w:val="TableParagraph"/>
              <w:spacing w:before="30"/>
              <w:ind w:left="108"/>
              <w:rPr>
                <w:sz w:val="22"/>
              </w:rPr>
            </w:pPr>
            <w:r>
              <w:rPr>
                <w:sz w:val="22"/>
              </w:rPr>
              <w:t>号 </w:t>
            </w:r>
            <w:r>
              <w:rPr>
                <w:rFonts w:ascii="Arial" w:eastAsia="Arial"/>
                <w:sz w:val="22"/>
              </w:rPr>
              <w:t>1 </w:t>
            </w:r>
            <w:r>
              <w:rPr>
                <w:sz w:val="22"/>
              </w:rPr>
              <w:t>幢 </w:t>
            </w:r>
            <w:r>
              <w:rPr>
                <w:rFonts w:ascii="Arial" w:eastAsia="Arial"/>
                <w:sz w:val="22"/>
              </w:rPr>
              <w:t>1 </w:t>
            </w:r>
            <w:r>
              <w:rPr>
                <w:sz w:val="22"/>
              </w:rPr>
              <w:t>区 </w:t>
            </w:r>
            <w:r>
              <w:rPr>
                <w:rFonts w:ascii="Arial" w:eastAsia="Arial"/>
                <w:sz w:val="22"/>
              </w:rPr>
              <w:t>14032 </w:t>
            </w:r>
            <w:r>
              <w:rPr>
                <w:sz w:val="22"/>
              </w:rPr>
              <w:t>室</w:t>
            </w:r>
          </w:p>
          <w:p>
            <w:pPr>
              <w:pStyle w:val="TableParagraph"/>
              <w:spacing w:before="30"/>
              <w:ind w:left="108"/>
              <w:rPr>
                <w:sz w:val="22"/>
              </w:rPr>
            </w:pPr>
            <w:r>
              <w:rPr>
                <w:sz w:val="22"/>
              </w:rPr>
              <w:t>办公地址：上海市浦东新区世纪大道 </w:t>
            </w:r>
            <w:r>
              <w:rPr>
                <w:rFonts w:ascii="Arial" w:eastAsia="Arial"/>
                <w:sz w:val="22"/>
              </w:rPr>
              <w:t>1196 </w:t>
            </w:r>
            <w:r>
              <w:rPr>
                <w:sz w:val="22"/>
              </w:rPr>
              <w:t>号世纪汇广</w:t>
            </w:r>
          </w:p>
          <w:p>
            <w:pPr>
              <w:pStyle w:val="TableParagraph"/>
              <w:spacing w:before="30"/>
              <w:ind w:left="108"/>
              <w:rPr>
                <w:sz w:val="22"/>
              </w:rPr>
            </w:pPr>
            <w:r>
              <w:rPr>
                <w:sz w:val="22"/>
              </w:rPr>
              <w:t>场 </w:t>
            </w:r>
            <w:r>
              <w:rPr>
                <w:rFonts w:ascii="Arial" w:eastAsia="Arial"/>
                <w:sz w:val="22"/>
              </w:rPr>
              <w:t>2 </w:t>
            </w:r>
            <w:r>
              <w:rPr>
                <w:sz w:val="22"/>
              </w:rPr>
              <w:t>座 </w:t>
            </w:r>
            <w:r>
              <w:rPr>
                <w:rFonts w:ascii="Arial" w:eastAsia="Arial"/>
                <w:sz w:val="22"/>
              </w:rPr>
              <w:t>16 </w:t>
            </w:r>
            <w:r>
              <w:rPr>
                <w:sz w:val="22"/>
              </w:rPr>
              <w:t>楼</w:t>
            </w:r>
          </w:p>
          <w:p>
            <w:pPr>
              <w:pStyle w:val="TableParagraph"/>
              <w:spacing w:line="266" w:lineRule="auto" w:before="31"/>
              <w:ind w:left="108" w:right="3376"/>
              <w:rPr>
                <w:sz w:val="22"/>
              </w:rPr>
            </w:pPr>
            <w:r>
              <w:rPr>
                <w:sz w:val="22"/>
              </w:rPr>
              <w:t>法定代表人：陈志英联系人：韦巍</w:t>
            </w:r>
          </w:p>
          <w:p>
            <w:pPr>
              <w:pStyle w:val="TableParagraph"/>
              <w:spacing w:line="281" w:lineRule="exact"/>
              <w:ind w:left="108"/>
              <w:rPr>
                <w:rFonts w:ascii="Arial" w:eastAsia="Arial"/>
                <w:sz w:val="22"/>
              </w:rPr>
            </w:pPr>
            <w:r>
              <w:rPr>
                <w:sz w:val="22"/>
              </w:rPr>
              <w:t>电话：</w:t>
            </w:r>
            <w:r>
              <w:rPr>
                <w:rFonts w:ascii="Arial" w:eastAsia="Arial"/>
                <w:sz w:val="22"/>
              </w:rPr>
              <w:t>400-168-1235</w:t>
            </w:r>
          </w:p>
          <w:p>
            <w:pPr>
              <w:pStyle w:val="TableParagraph"/>
              <w:spacing w:line="277" w:lineRule="exact" w:before="30"/>
              <w:ind w:left="108"/>
              <w:rPr>
                <w:rFonts w:ascii="Arial" w:eastAsia="Arial"/>
                <w:sz w:val="22"/>
              </w:rPr>
            </w:pPr>
            <w:r>
              <w:rPr>
                <w:sz w:val="22"/>
              </w:rPr>
              <w:t>传真：</w:t>
            </w:r>
            <w:r>
              <w:rPr>
                <w:rFonts w:ascii="Arial" w:eastAsia="Arial"/>
                <w:sz w:val="22"/>
              </w:rPr>
              <w:t>021-53398801</w:t>
            </w:r>
          </w:p>
        </w:tc>
      </w:tr>
    </w:tbl>
    <w:p>
      <w:pPr>
        <w:spacing w:after="0" w:line="277" w:lineRule="exact"/>
        <w:rPr>
          <w:rFonts w:ascii="Arial" w:eastAsia="Arial"/>
          <w:sz w:val="22"/>
        </w:rPr>
        <w:sectPr>
          <w:pgSz w:w="11910" w:h="16840"/>
          <w:pgMar w:header="852" w:footer="992" w:top="1220" w:bottom="1180" w:left="1140" w:right="480"/>
        </w:sectPr>
      </w:pPr>
    </w:p>
    <w:p>
      <w:pPr>
        <w:pStyle w:val="BodyText"/>
        <w:spacing w:before="4"/>
        <w:rPr>
          <w:rFonts w:ascii="Times New Roman"/>
          <w:sz w:val="18"/>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84"/>
        <w:gridCol w:w="5480"/>
      </w:tblGrid>
      <w:tr>
        <w:trPr>
          <w:trHeight w:val="624" w:hRule="atLeast"/>
        </w:trPr>
        <w:tc>
          <w:tcPr>
            <w:tcW w:w="470" w:type="dxa"/>
            <w:tcBorders>
              <w:top w:val="nil"/>
            </w:tcBorders>
          </w:tcPr>
          <w:p>
            <w:pPr>
              <w:pStyle w:val="TableParagraph"/>
              <w:rPr>
                <w:rFonts w:ascii="Times New Roman"/>
                <w:sz w:val="20"/>
              </w:rPr>
            </w:pPr>
          </w:p>
        </w:tc>
        <w:tc>
          <w:tcPr>
            <w:tcW w:w="2484" w:type="dxa"/>
            <w:tcBorders>
              <w:top w:val="nil"/>
            </w:tcBorders>
          </w:tcPr>
          <w:p>
            <w:pPr>
              <w:pStyle w:val="TableParagraph"/>
              <w:rPr>
                <w:rFonts w:ascii="Times New Roman"/>
                <w:sz w:val="20"/>
              </w:rPr>
            </w:pPr>
          </w:p>
        </w:tc>
        <w:tc>
          <w:tcPr>
            <w:tcW w:w="5480" w:type="dxa"/>
            <w:tcBorders>
              <w:top w:val="nil"/>
            </w:tcBorders>
          </w:tcPr>
          <w:p>
            <w:pPr>
              <w:pStyle w:val="TableParagraph"/>
              <w:spacing w:before="15"/>
              <w:ind w:left="108"/>
              <w:rPr>
                <w:rFonts w:ascii="Arial" w:eastAsia="Arial"/>
                <w:sz w:val="22"/>
              </w:rPr>
            </w:pPr>
            <w:r>
              <w:rPr>
                <w:sz w:val="22"/>
              </w:rPr>
              <w:t>客户服务电话：</w:t>
            </w:r>
            <w:r>
              <w:rPr>
                <w:rFonts w:ascii="Arial" w:eastAsia="Arial"/>
                <w:sz w:val="22"/>
              </w:rPr>
              <w:t>400-168-1235</w:t>
            </w:r>
          </w:p>
          <w:p>
            <w:pPr>
              <w:pStyle w:val="TableParagraph"/>
              <w:spacing w:line="277" w:lineRule="exact" w:before="31"/>
              <w:ind w:left="108"/>
              <w:rPr>
                <w:rFonts w:ascii="Arial" w:eastAsia="Arial"/>
                <w:sz w:val="22"/>
              </w:rPr>
            </w:pPr>
            <w:r>
              <w:rPr>
                <w:sz w:val="22"/>
              </w:rPr>
              <w:t>网址：</w:t>
            </w:r>
            <w:hyperlink r:id="rId170">
              <w:r>
                <w:rPr>
                  <w:rFonts w:ascii="Arial" w:eastAsia="Arial"/>
                  <w:sz w:val="22"/>
                </w:rPr>
                <w:t>http://www.luxxfund.com/</w:t>
              </w:r>
            </w:hyperlink>
          </w:p>
        </w:tc>
      </w:tr>
      <w:tr>
        <w:trPr>
          <w:trHeight w:val="772" w:hRule="atLeast"/>
        </w:trPr>
        <w:tc>
          <w:tcPr>
            <w:tcW w:w="470" w:type="dxa"/>
            <w:tcBorders>
              <w:bottom w:val="nil"/>
            </w:tcBorders>
          </w:tcPr>
          <w:p>
            <w:pPr>
              <w:pStyle w:val="TableParagraph"/>
              <w:rPr>
                <w:rFonts w:ascii="Times New Roman"/>
                <w:sz w:val="20"/>
              </w:rPr>
            </w:pPr>
          </w:p>
        </w:tc>
        <w:tc>
          <w:tcPr>
            <w:tcW w:w="2484" w:type="dxa"/>
            <w:tcBorders>
              <w:bottom w:val="nil"/>
            </w:tcBorders>
          </w:tcPr>
          <w:p>
            <w:pPr>
              <w:pStyle w:val="TableParagraph"/>
              <w:rPr>
                <w:rFonts w:ascii="Times New Roman"/>
                <w:sz w:val="22"/>
              </w:rPr>
            </w:pPr>
          </w:p>
          <w:p>
            <w:pPr>
              <w:pStyle w:val="TableParagraph"/>
              <w:rPr>
                <w:rFonts w:ascii="Times New Roman"/>
                <w:sz w:val="20"/>
              </w:rPr>
            </w:pPr>
          </w:p>
          <w:p>
            <w:pPr>
              <w:pStyle w:val="TableParagraph"/>
              <w:spacing w:line="269" w:lineRule="exact"/>
              <w:ind w:left="120" w:right="113"/>
              <w:jc w:val="center"/>
              <w:rPr>
                <w:sz w:val="22"/>
              </w:rPr>
            </w:pPr>
            <w:r>
              <w:rPr>
                <w:sz w:val="22"/>
              </w:rPr>
              <w:t>江苏汇林保大基金销售</w:t>
            </w:r>
          </w:p>
        </w:tc>
        <w:tc>
          <w:tcPr>
            <w:tcW w:w="5480" w:type="dxa"/>
            <w:vMerge w:val="restart"/>
            <w:tcBorders>
              <w:bottom w:val="single" w:sz="6" w:space="0" w:color="000000"/>
            </w:tcBorders>
          </w:tcPr>
          <w:p>
            <w:pPr>
              <w:pStyle w:val="TableParagraph"/>
              <w:spacing w:before="15"/>
              <w:ind w:left="108"/>
              <w:rPr>
                <w:sz w:val="22"/>
              </w:rPr>
            </w:pPr>
            <w:r>
              <w:rPr>
                <w:sz w:val="22"/>
              </w:rPr>
              <w:t>注册地址：南京市高淳区经济开发区古檀大道 </w:t>
            </w:r>
            <w:r>
              <w:rPr>
                <w:rFonts w:ascii="Arial" w:eastAsia="Arial"/>
                <w:sz w:val="22"/>
              </w:rPr>
              <w:t>47 </w:t>
            </w:r>
            <w:r>
              <w:rPr>
                <w:sz w:val="22"/>
              </w:rPr>
              <w:t>号</w:t>
            </w:r>
          </w:p>
          <w:p>
            <w:pPr>
              <w:pStyle w:val="TableParagraph"/>
              <w:spacing w:before="30"/>
              <w:ind w:left="108"/>
              <w:rPr>
                <w:sz w:val="22"/>
              </w:rPr>
            </w:pPr>
            <w:r>
              <w:rPr>
                <w:sz w:val="22"/>
              </w:rPr>
              <w:t>办公地址：南京市鼓楼区中山北路 </w:t>
            </w:r>
            <w:r>
              <w:rPr>
                <w:rFonts w:ascii="Arial" w:eastAsia="Arial"/>
                <w:sz w:val="22"/>
              </w:rPr>
              <w:t>2 </w:t>
            </w:r>
            <w:r>
              <w:rPr>
                <w:sz w:val="22"/>
              </w:rPr>
              <w:t>号绿地紫峰大厦</w:t>
            </w:r>
          </w:p>
          <w:p>
            <w:pPr>
              <w:pStyle w:val="TableParagraph"/>
              <w:spacing w:before="30"/>
              <w:ind w:left="108"/>
              <w:rPr>
                <w:sz w:val="22"/>
              </w:rPr>
            </w:pPr>
            <w:r>
              <w:rPr>
                <w:rFonts w:ascii="Arial" w:eastAsia="Arial"/>
                <w:sz w:val="22"/>
              </w:rPr>
              <w:t>2005 </w:t>
            </w:r>
            <w:r>
              <w:rPr>
                <w:sz w:val="22"/>
              </w:rPr>
              <w:t>室</w:t>
            </w:r>
          </w:p>
          <w:p>
            <w:pPr>
              <w:pStyle w:val="TableParagraph"/>
              <w:spacing w:line="266" w:lineRule="auto" w:before="30"/>
              <w:ind w:left="108" w:right="3376"/>
              <w:rPr>
                <w:sz w:val="22"/>
              </w:rPr>
            </w:pPr>
            <w:r>
              <w:rPr>
                <w:sz w:val="22"/>
              </w:rPr>
              <w:t>法定代表人：吴言林联系人：林伊灵</w:t>
            </w:r>
          </w:p>
          <w:p>
            <w:pPr>
              <w:pStyle w:val="TableParagraph"/>
              <w:spacing w:line="266" w:lineRule="auto"/>
              <w:ind w:left="108" w:right="3278"/>
              <w:rPr>
                <w:rFonts w:ascii="Arial" w:eastAsia="Arial"/>
                <w:sz w:val="22"/>
              </w:rPr>
            </w:pPr>
            <w:r>
              <w:rPr>
                <w:sz w:val="22"/>
              </w:rPr>
              <w:t>电话：</w:t>
            </w:r>
            <w:r>
              <w:rPr>
                <w:rFonts w:ascii="Arial" w:eastAsia="Arial"/>
                <w:sz w:val="22"/>
              </w:rPr>
              <w:t>025-66046166 </w:t>
            </w:r>
            <w:r>
              <w:rPr>
                <w:sz w:val="22"/>
              </w:rPr>
              <w:t>传真：</w:t>
            </w:r>
            <w:r>
              <w:rPr>
                <w:rFonts w:ascii="Arial" w:eastAsia="Arial"/>
                <w:sz w:val="22"/>
              </w:rPr>
              <w:t>025-56878016</w:t>
            </w:r>
          </w:p>
          <w:p>
            <w:pPr>
              <w:pStyle w:val="TableParagraph"/>
              <w:spacing w:line="280" w:lineRule="exact"/>
              <w:ind w:left="108"/>
              <w:rPr>
                <w:rFonts w:ascii="Arial" w:eastAsia="Arial"/>
                <w:sz w:val="22"/>
              </w:rPr>
            </w:pPr>
            <w:r>
              <w:rPr>
                <w:spacing w:val="-2"/>
                <w:sz w:val="22"/>
              </w:rPr>
              <w:t>客户服务电话：</w:t>
            </w:r>
            <w:r>
              <w:rPr>
                <w:rFonts w:ascii="Arial" w:eastAsia="Arial"/>
                <w:spacing w:val="-1"/>
                <w:sz w:val="22"/>
              </w:rPr>
              <w:t>025-66046166</w:t>
            </w:r>
          </w:p>
          <w:p>
            <w:pPr>
              <w:pStyle w:val="TableParagraph"/>
              <w:spacing w:line="274" w:lineRule="exact" w:before="28"/>
              <w:ind w:left="108"/>
              <w:rPr>
                <w:rFonts w:ascii="Arial" w:eastAsia="Arial"/>
                <w:sz w:val="22"/>
              </w:rPr>
            </w:pPr>
            <w:r>
              <w:rPr>
                <w:spacing w:val="-1"/>
                <w:sz w:val="22"/>
              </w:rPr>
              <w:t>网址：</w:t>
            </w:r>
            <w:hyperlink r:id="rId171">
              <w:r>
                <w:rPr>
                  <w:rFonts w:ascii="Arial" w:eastAsia="Arial"/>
                  <w:spacing w:val="-1"/>
                  <w:sz w:val="22"/>
                </w:rPr>
                <w:t>http://www.huilinbd.com</w:t>
              </w:r>
            </w:hyperlink>
          </w:p>
        </w:tc>
      </w:tr>
      <w:tr>
        <w:trPr>
          <w:trHeight w:val="293"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spacing w:line="266" w:lineRule="exact" w:before="8"/>
              <w:ind w:left="120" w:right="113"/>
              <w:jc w:val="center"/>
              <w:rPr>
                <w:sz w:val="22"/>
              </w:rPr>
            </w:pPr>
            <w:r>
              <w:rPr>
                <w:sz w:val="22"/>
              </w:rPr>
              <w:t>有限公司</w:t>
            </w:r>
          </w:p>
        </w:tc>
        <w:tc>
          <w:tcPr>
            <w:tcW w:w="5480" w:type="dxa"/>
            <w:vMerge/>
            <w:tcBorders>
              <w:top w:val="nil"/>
              <w:bottom w:val="single" w:sz="6" w:space="0" w:color="000000"/>
            </w:tcBorders>
          </w:tcPr>
          <w:p>
            <w:pPr>
              <w:rPr>
                <w:sz w:val="2"/>
                <w:szCs w:val="2"/>
              </w:rPr>
            </w:pPr>
          </w:p>
        </w:tc>
      </w:tr>
      <w:tr>
        <w:trPr>
          <w:trHeight w:val="301" w:hRule="atLeast"/>
        </w:trPr>
        <w:tc>
          <w:tcPr>
            <w:tcW w:w="470" w:type="dxa"/>
            <w:tcBorders>
              <w:top w:val="nil"/>
              <w:bottom w:val="nil"/>
            </w:tcBorders>
          </w:tcPr>
          <w:p>
            <w:pPr>
              <w:pStyle w:val="TableParagraph"/>
              <w:spacing w:before="29"/>
              <w:ind w:left="117"/>
              <w:rPr>
                <w:rFonts w:ascii="Arial"/>
                <w:sz w:val="21"/>
              </w:rPr>
            </w:pPr>
            <w:r>
              <w:rPr>
                <w:rFonts w:ascii="Arial"/>
                <w:sz w:val="21"/>
              </w:rPr>
              <w:t>17</w:t>
            </w:r>
          </w:p>
        </w:tc>
        <w:tc>
          <w:tcPr>
            <w:tcW w:w="2484" w:type="dxa"/>
            <w:tcBorders>
              <w:top w:val="nil"/>
              <w:bottom w:val="nil"/>
            </w:tcBorders>
          </w:tcPr>
          <w:p>
            <w:pPr>
              <w:pStyle w:val="TableParagraph"/>
              <w:spacing w:line="270" w:lineRule="exact" w:before="11"/>
              <w:ind w:left="120" w:right="113"/>
              <w:jc w:val="center"/>
              <w:rPr>
                <w:sz w:val="22"/>
              </w:rPr>
            </w:pPr>
            <w:r>
              <w:rPr>
                <w:sz w:val="22"/>
              </w:rPr>
              <w:t>（注：仅代销景系列之</w:t>
            </w:r>
          </w:p>
        </w:tc>
        <w:tc>
          <w:tcPr>
            <w:tcW w:w="5480" w:type="dxa"/>
            <w:vMerge/>
            <w:tcBorders>
              <w:top w:val="nil"/>
              <w:bottom w:val="single" w:sz="6" w:space="0" w:color="000000"/>
            </w:tcBorders>
          </w:tcPr>
          <w:p>
            <w:pPr>
              <w:rPr>
                <w:sz w:val="2"/>
                <w:szCs w:val="2"/>
              </w:rPr>
            </w:pPr>
          </w:p>
        </w:tc>
      </w:tr>
      <w:tr>
        <w:trPr>
          <w:trHeight w:val="300" w:hRule="atLeast"/>
        </w:trPr>
        <w:tc>
          <w:tcPr>
            <w:tcW w:w="470" w:type="dxa"/>
            <w:tcBorders>
              <w:top w:val="nil"/>
              <w:bottom w:val="nil"/>
            </w:tcBorders>
          </w:tcPr>
          <w:p>
            <w:pPr>
              <w:pStyle w:val="TableParagraph"/>
              <w:spacing w:before="24"/>
              <w:ind w:left="175"/>
              <w:rPr>
                <w:rFonts w:ascii="Arial"/>
                <w:sz w:val="21"/>
              </w:rPr>
            </w:pPr>
            <w:r>
              <w:rPr>
                <w:rFonts w:ascii="Arial"/>
                <w:w w:val="100"/>
                <w:sz w:val="21"/>
              </w:rPr>
              <w:t>0</w:t>
            </w:r>
          </w:p>
        </w:tc>
        <w:tc>
          <w:tcPr>
            <w:tcW w:w="2484" w:type="dxa"/>
            <w:tcBorders>
              <w:top w:val="nil"/>
              <w:bottom w:val="nil"/>
            </w:tcBorders>
          </w:tcPr>
          <w:p>
            <w:pPr>
              <w:pStyle w:val="TableParagraph"/>
              <w:spacing w:line="274" w:lineRule="exact" w:before="6"/>
              <w:ind w:left="120" w:right="113"/>
              <w:jc w:val="center"/>
              <w:rPr>
                <w:sz w:val="22"/>
              </w:rPr>
            </w:pPr>
            <w:r>
              <w:rPr>
                <w:sz w:val="22"/>
              </w:rPr>
              <w:t>优选混合型证券投资基</w:t>
            </w:r>
          </w:p>
        </w:tc>
        <w:tc>
          <w:tcPr>
            <w:tcW w:w="5480" w:type="dxa"/>
            <w:vMerge/>
            <w:tcBorders>
              <w:top w:val="nil"/>
              <w:bottom w:val="single" w:sz="6" w:space="0" w:color="000000"/>
            </w:tcBorders>
          </w:tcPr>
          <w:p>
            <w:pPr>
              <w:rPr>
                <w:sz w:val="2"/>
                <w:szCs w:val="2"/>
              </w:rPr>
            </w:pPr>
          </w:p>
        </w:tc>
      </w:tr>
      <w:tr>
        <w:trPr>
          <w:trHeight w:val="292" w:hRule="atLeast"/>
        </w:trPr>
        <w:tc>
          <w:tcPr>
            <w:tcW w:w="470" w:type="dxa"/>
            <w:tcBorders>
              <w:top w:val="nil"/>
              <w:bottom w:val="nil"/>
            </w:tcBorders>
          </w:tcPr>
          <w:p>
            <w:pPr>
              <w:pStyle w:val="TableParagraph"/>
              <w:rPr>
                <w:rFonts w:ascii="Times New Roman"/>
                <w:sz w:val="20"/>
              </w:rPr>
            </w:pPr>
          </w:p>
        </w:tc>
        <w:tc>
          <w:tcPr>
            <w:tcW w:w="2484" w:type="dxa"/>
            <w:tcBorders>
              <w:top w:val="nil"/>
              <w:bottom w:val="nil"/>
            </w:tcBorders>
          </w:tcPr>
          <w:p>
            <w:pPr>
              <w:pStyle w:val="TableParagraph"/>
              <w:spacing w:line="269" w:lineRule="exact" w:before="3"/>
              <w:ind w:left="120" w:right="113"/>
              <w:jc w:val="center"/>
              <w:rPr>
                <w:sz w:val="22"/>
              </w:rPr>
            </w:pPr>
            <w:r>
              <w:rPr>
                <w:sz w:val="22"/>
              </w:rPr>
              <w:t>金、动力平衡证券投资</w:t>
            </w:r>
          </w:p>
        </w:tc>
        <w:tc>
          <w:tcPr>
            <w:tcW w:w="5480" w:type="dxa"/>
            <w:vMerge/>
            <w:tcBorders>
              <w:top w:val="nil"/>
              <w:bottom w:val="single" w:sz="6" w:space="0" w:color="000000"/>
            </w:tcBorders>
          </w:tcPr>
          <w:p>
            <w:pPr>
              <w:rPr>
                <w:sz w:val="2"/>
                <w:szCs w:val="2"/>
              </w:rPr>
            </w:pPr>
          </w:p>
        </w:tc>
      </w:tr>
      <w:tr>
        <w:trPr>
          <w:trHeight w:val="770" w:hRule="atLeast"/>
        </w:trPr>
        <w:tc>
          <w:tcPr>
            <w:tcW w:w="470" w:type="dxa"/>
            <w:tcBorders>
              <w:top w:val="nil"/>
              <w:bottom w:val="single" w:sz="6" w:space="0" w:color="000000"/>
            </w:tcBorders>
          </w:tcPr>
          <w:p>
            <w:pPr>
              <w:pStyle w:val="TableParagraph"/>
              <w:rPr>
                <w:rFonts w:ascii="Times New Roman"/>
                <w:sz w:val="20"/>
              </w:rPr>
            </w:pPr>
          </w:p>
        </w:tc>
        <w:tc>
          <w:tcPr>
            <w:tcW w:w="2484" w:type="dxa"/>
            <w:tcBorders>
              <w:top w:val="nil"/>
              <w:bottom w:val="single" w:sz="6" w:space="0" w:color="000000"/>
            </w:tcBorders>
          </w:tcPr>
          <w:p>
            <w:pPr>
              <w:pStyle w:val="TableParagraph"/>
              <w:spacing w:before="8"/>
              <w:ind w:left="120" w:right="113"/>
              <w:jc w:val="center"/>
              <w:rPr>
                <w:sz w:val="22"/>
              </w:rPr>
            </w:pPr>
            <w:r>
              <w:rPr>
                <w:sz w:val="22"/>
              </w:rPr>
              <w:t>基金）</w:t>
            </w:r>
          </w:p>
        </w:tc>
        <w:tc>
          <w:tcPr>
            <w:tcW w:w="5480" w:type="dxa"/>
            <w:vMerge/>
            <w:tcBorders>
              <w:top w:val="nil"/>
              <w:bottom w:val="single" w:sz="6" w:space="0" w:color="000000"/>
            </w:tcBorders>
          </w:tcPr>
          <w:p>
            <w:pPr>
              <w:rPr>
                <w:sz w:val="2"/>
                <w:szCs w:val="2"/>
              </w:rPr>
            </w:pPr>
          </w:p>
        </w:tc>
      </w:tr>
    </w:tbl>
    <w:p>
      <w:pPr>
        <w:pStyle w:val="BodyText"/>
        <w:spacing w:line="417" w:lineRule="auto" w:before="99"/>
        <w:ind w:left="658" w:right="1311" w:firstLine="419"/>
      </w:pPr>
      <w:r>
        <w:rPr>
          <w:spacing w:val="-10"/>
        </w:rPr>
        <w:t>基金管理人可根据《销售办法》和基金合同等的规定，选择其他符合要求的机构代理销</w:t>
      </w:r>
      <w:r>
        <w:rPr>
          <w:spacing w:val="-5"/>
        </w:rPr>
        <w:t>售本基金，并及时履行公告义务。</w:t>
      </w:r>
    </w:p>
    <w:p>
      <w:pPr>
        <w:spacing w:line="269" w:lineRule="exact" w:before="0"/>
        <w:ind w:left="658" w:right="0" w:firstLine="0"/>
        <w:jc w:val="left"/>
        <w:rPr>
          <w:b/>
          <w:sz w:val="21"/>
        </w:rPr>
      </w:pPr>
      <w:r>
        <w:rPr>
          <w:b/>
          <w:sz w:val="21"/>
        </w:rPr>
        <w:t>（二）注册登记人</w:t>
      </w:r>
    </w:p>
    <w:p>
      <w:pPr>
        <w:pStyle w:val="BodyText"/>
        <w:spacing w:before="7"/>
        <w:rPr>
          <w:b/>
          <w:sz w:val="15"/>
        </w:rPr>
      </w:pPr>
    </w:p>
    <w:p>
      <w:pPr>
        <w:pStyle w:val="BodyText"/>
        <w:ind w:left="1078"/>
      </w:pPr>
      <w:r>
        <w:rPr/>
        <w:t>名称：景顺长城基金管理有限公司</w:t>
      </w:r>
    </w:p>
    <w:p>
      <w:pPr>
        <w:pStyle w:val="BodyText"/>
        <w:spacing w:before="7"/>
        <w:rPr>
          <w:sz w:val="15"/>
        </w:rPr>
      </w:pPr>
    </w:p>
    <w:p>
      <w:pPr>
        <w:pStyle w:val="BodyText"/>
        <w:spacing w:line="417" w:lineRule="auto"/>
        <w:ind w:left="1078" w:right="3846"/>
      </w:pPr>
      <w:r>
        <w:rPr/>
        <w:t>住所：深圳市福田区中心四路</w:t>
      </w:r>
      <w:r>
        <w:rPr>
          <w:rFonts w:ascii="Times New Roman" w:eastAsia="Times New Roman"/>
        </w:rPr>
        <w:t>1</w:t>
      </w:r>
      <w:r>
        <w:rPr/>
        <w:t>号嘉里建设广场第一座</w:t>
      </w:r>
      <w:r>
        <w:rPr>
          <w:rFonts w:ascii="Times New Roman" w:eastAsia="Times New Roman"/>
        </w:rPr>
        <w:t>21</w:t>
      </w:r>
      <w:r>
        <w:rPr/>
        <w:t>层法定代表人：李进</w:t>
      </w:r>
    </w:p>
    <w:p>
      <w:pPr>
        <w:pStyle w:val="BodyText"/>
        <w:spacing w:line="417" w:lineRule="auto"/>
        <w:ind w:left="1078" w:right="6369"/>
        <w:rPr>
          <w:rFonts w:ascii="Times New Roman" w:eastAsia="Times New Roman"/>
        </w:rPr>
      </w:pPr>
      <w:r>
        <w:rPr>
          <w:spacing w:val="-37"/>
          <w:w w:val="100"/>
        </w:rPr>
        <w:t>电话：</w:t>
      </w:r>
      <w:r>
        <w:rPr>
          <w:spacing w:val="-2"/>
          <w:w w:val="100"/>
        </w:rPr>
        <w:t>（</w:t>
      </w:r>
      <w:r>
        <w:rPr>
          <w:rFonts w:ascii="Times New Roman" w:eastAsia="Times New Roman"/>
          <w:spacing w:val="-1"/>
          <w:w w:val="100"/>
        </w:rPr>
        <w:t>07</w:t>
      </w:r>
      <w:r>
        <w:rPr>
          <w:rFonts w:ascii="Times New Roman" w:eastAsia="Times New Roman"/>
          <w:spacing w:val="-4"/>
          <w:w w:val="100"/>
        </w:rPr>
        <w:t>5</w:t>
      </w:r>
      <w:r>
        <w:rPr>
          <w:rFonts w:ascii="Times New Roman" w:eastAsia="Times New Roman"/>
          <w:spacing w:val="-2"/>
          <w:w w:val="100"/>
        </w:rPr>
        <w:t>5</w:t>
      </w:r>
      <w:r>
        <w:rPr>
          <w:spacing w:val="-1"/>
          <w:w w:val="100"/>
        </w:rPr>
        <w:t>）</w:t>
      </w:r>
      <w:r>
        <w:rPr>
          <w:rFonts w:ascii="Times New Roman" w:eastAsia="Times New Roman"/>
          <w:spacing w:val="-4"/>
          <w:w w:val="100"/>
        </w:rPr>
        <w:t>8</w:t>
      </w:r>
      <w:r>
        <w:rPr>
          <w:rFonts w:ascii="Times New Roman" w:eastAsia="Times New Roman"/>
          <w:spacing w:val="-1"/>
          <w:w w:val="100"/>
        </w:rPr>
        <w:t>237</w:t>
      </w:r>
      <w:r>
        <w:rPr>
          <w:rFonts w:ascii="Times New Roman" w:eastAsia="Times New Roman"/>
          <w:spacing w:val="-4"/>
          <w:w w:val="100"/>
        </w:rPr>
        <w:t>0</w:t>
      </w:r>
      <w:r>
        <w:rPr>
          <w:rFonts w:ascii="Times New Roman" w:eastAsia="Times New Roman"/>
          <w:spacing w:val="-1"/>
          <w:w w:val="100"/>
        </w:rPr>
        <w:t>38</w:t>
      </w:r>
      <w:r>
        <w:rPr>
          <w:rFonts w:ascii="Times New Roman" w:eastAsia="Times New Roman"/>
          <w:spacing w:val="-3"/>
          <w:w w:val="100"/>
        </w:rPr>
        <w:t>8</w:t>
      </w:r>
      <w:r>
        <w:rPr>
          <w:spacing w:val="-4"/>
          <w:w w:val="100"/>
        </w:rPr>
        <w:t>－</w:t>
      </w:r>
      <w:r>
        <w:rPr>
          <w:rFonts w:ascii="Times New Roman" w:eastAsia="Times New Roman"/>
          <w:spacing w:val="-1"/>
          <w:w w:val="100"/>
        </w:rPr>
        <w:t>164</w:t>
      </w:r>
      <w:r>
        <w:rPr>
          <w:rFonts w:ascii="Times New Roman" w:eastAsia="Times New Roman"/>
          <w:spacing w:val="-1"/>
          <w:w w:val="100"/>
        </w:rPr>
        <w:t>6</w:t>
      </w:r>
      <w:r>
        <w:rPr>
          <w:spacing w:val="-36"/>
          <w:w w:val="100"/>
        </w:rPr>
        <w:t>传真：</w:t>
      </w:r>
      <w:r>
        <w:rPr>
          <w:spacing w:val="-1"/>
          <w:w w:val="100"/>
        </w:rPr>
        <w:t>（</w:t>
      </w:r>
      <w:r>
        <w:rPr>
          <w:rFonts w:ascii="Times New Roman" w:eastAsia="Times New Roman"/>
          <w:w w:val="100"/>
        </w:rPr>
        <w:t>07</w:t>
      </w:r>
      <w:r>
        <w:rPr>
          <w:rFonts w:ascii="Times New Roman" w:eastAsia="Times New Roman"/>
          <w:spacing w:val="-3"/>
          <w:w w:val="100"/>
        </w:rPr>
        <w:t>5</w:t>
      </w:r>
      <w:r>
        <w:rPr>
          <w:rFonts w:ascii="Times New Roman" w:eastAsia="Times New Roman"/>
          <w:spacing w:val="-1"/>
          <w:w w:val="100"/>
        </w:rPr>
        <w:t>5</w:t>
      </w:r>
      <w:r>
        <w:rPr>
          <w:w w:val="100"/>
        </w:rPr>
        <w:t>）</w:t>
      </w:r>
      <w:r>
        <w:rPr>
          <w:rFonts w:ascii="Times New Roman" w:eastAsia="Times New Roman"/>
          <w:spacing w:val="-3"/>
          <w:w w:val="100"/>
        </w:rPr>
        <w:t>2</w:t>
      </w:r>
      <w:r>
        <w:rPr>
          <w:rFonts w:ascii="Times New Roman" w:eastAsia="Times New Roman"/>
          <w:w w:val="100"/>
        </w:rPr>
        <w:t>238</w:t>
      </w:r>
      <w:r>
        <w:rPr>
          <w:rFonts w:ascii="Times New Roman" w:eastAsia="Times New Roman"/>
          <w:spacing w:val="-3"/>
          <w:w w:val="100"/>
        </w:rPr>
        <w:t>1</w:t>
      </w:r>
      <w:r>
        <w:rPr>
          <w:rFonts w:ascii="Times New Roman" w:eastAsia="Times New Roman"/>
          <w:w w:val="100"/>
        </w:rPr>
        <w:t>325</w:t>
      </w:r>
    </w:p>
    <w:p>
      <w:pPr>
        <w:pStyle w:val="BodyText"/>
        <w:ind w:left="1078"/>
      </w:pPr>
      <w:r>
        <w:rPr/>
        <w:t>联系人：邹昱</w:t>
      </w:r>
    </w:p>
    <w:p>
      <w:pPr>
        <w:pStyle w:val="BodyText"/>
        <w:rPr>
          <w:sz w:val="20"/>
        </w:rPr>
      </w:pPr>
    </w:p>
    <w:p>
      <w:pPr>
        <w:pStyle w:val="BodyText"/>
        <w:rPr>
          <w:sz w:val="20"/>
        </w:rPr>
      </w:pPr>
    </w:p>
    <w:p>
      <w:pPr>
        <w:spacing w:before="154"/>
        <w:ind w:left="658" w:right="0" w:firstLine="0"/>
        <w:jc w:val="left"/>
        <w:rPr>
          <w:b/>
          <w:sz w:val="21"/>
        </w:rPr>
      </w:pPr>
      <w:r>
        <w:rPr>
          <w:b/>
          <w:sz w:val="21"/>
        </w:rPr>
        <w:t>（三）律师事务所及经办律师</w:t>
      </w:r>
    </w:p>
    <w:p>
      <w:pPr>
        <w:pStyle w:val="BodyText"/>
        <w:spacing w:before="7"/>
        <w:rPr>
          <w:b/>
          <w:sz w:val="15"/>
        </w:rPr>
      </w:pPr>
    </w:p>
    <w:p>
      <w:pPr>
        <w:pStyle w:val="BodyText"/>
        <w:ind w:left="1078"/>
      </w:pPr>
      <w:r>
        <w:rPr/>
        <w:t>名称：北京市金诚同达律师事务所</w:t>
      </w:r>
    </w:p>
    <w:p>
      <w:pPr>
        <w:pStyle w:val="BodyText"/>
        <w:spacing w:before="6"/>
        <w:rPr>
          <w:sz w:val="15"/>
        </w:rPr>
      </w:pPr>
    </w:p>
    <w:p>
      <w:pPr>
        <w:pStyle w:val="BodyText"/>
        <w:spacing w:line="417" w:lineRule="auto"/>
        <w:ind w:left="1078" w:right="5001"/>
      </w:pPr>
      <w:r>
        <w:rPr/>
        <w:t>住所：北京建国门外大街甲</w:t>
      </w:r>
      <w:r>
        <w:rPr>
          <w:rFonts w:ascii="Times New Roman" w:eastAsia="Times New Roman"/>
        </w:rPr>
        <w:t>24</w:t>
      </w:r>
      <w:r>
        <w:rPr/>
        <w:t>号东海中心</w:t>
      </w:r>
      <w:r>
        <w:rPr>
          <w:rFonts w:ascii="Times New Roman" w:eastAsia="Times New Roman"/>
        </w:rPr>
        <w:t>17</w:t>
      </w:r>
      <w:r>
        <w:rPr/>
        <w:t>层负责人：田予</w:t>
      </w:r>
    </w:p>
    <w:p>
      <w:pPr>
        <w:pStyle w:val="BodyText"/>
        <w:spacing w:line="417" w:lineRule="auto" w:before="1"/>
        <w:ind w:left="1078" w:right="7103"/>
        <w:rPr>
          <w:rFonts w:ascii="Times New Roman" w:eastAsia="Times New Roman"/>
        </w:rPr>
      </w:pPr>
      <w:r>
        <w:rPr>
          <w:spacing w:val="-37"/>
          <w:w w:val="100"/>
        </w:rPr>
        <w:t>电话：</w:t>
      </w:r>
      <w:r>
        <w:rPr>
          <w:spacing w:val="-3"/>
          <w:w w:val="100"/>
        </w:rPr>
        <w:t>（</w:t>
      </w:r>
      <w:r>
        <w:rPr>
          <w:rFonts w:ascii="Times New Roman" w:eastAsia="Times New Roman"/>
          <w:spacing w:val="-2"/>
          <w:w w:val="100"/>
        </w:rPr>
        <w:t>01</w:t>
      </w:r>
      <w:r>
        <w:rPr>
          <w:rFonts w:ascii="Times New Roman" w:eastAsia="Times New Roman"/>
          <w:spacing w:val="-5"/>
          <w:w w:val="100"/>
        </w:rPr>
        <w:t>0</w:t>
      </w:r>
      <w:r>
        <w:rPr>
          <w:spacing w:val="-2"/>
          <w:w w:val="100"/>
        </w:rPr>
        <w:t>）</w:t>
      </w:r>
      <w:r>
        <w:rPr>
          <w:rFonts w:ascii="Times New Roman" w:eastAsia="Times New Roman"/>
          <w:spacing w:val="-2"/>
          <w:w w:val="100"/>
        </w:rPr>
        <w:t>6</w:t>
      </w:r>
      <w:r>
        <w:rPr>
          <w:rFonts w:ascii="Times New Roman" w:eastAsia="Times New Roman"/>
          <w:spacing w:val="-5"/>
          <w:w w:val="100"/>
        </w:rPr>
        <w:t>5</w:t>
      </w:r>
      <w:r>
        <w:rPr>
          <w:rFonts w:ascii="Times New Roman" w:eastAsia="Times New Roman"/>
          <w:spacing w:val="-2"/>
          <w:w w:val="100"/>
        </w:rPr>
        <w:t>155</w:t>
      </w:r>
      <w:r>
        <w:rPr>
          <w:rFonts w:ascii="Times New Roman" w:eastAsia="Times New Roman"/>
          <w:spacing w:val="-5"/>
          <w:w w:val="100"/>
        </w:rPr>
        <w:t>5</w:t>
      </w:r>
      <w:r>
        <w:rPr>
          <w:rFonts w:ascii="Times New Roman" w:eastAsia="Times New Roman"/>
          <w:spacing w:val="-2"/>
          <w:w w:val="100"/>
        </w:rPr>
        <w:t>6</w:t>
      </w:r>
      <w:r>
        <w:rPr>
          <w:rFonts w:ascii="Times New Roman" w:eastAsia="Times New Roman"/>
          <w:spacing w:val="-2"/>
          <w:w w:val="100"/>
        </w:rPr>
        <w:t>6</w:t>
      </w:r>
      <w:r>
        <w:rPr>
          <w:spacing w:val="-37"/>
          <w:w w:val="100"/>
        </w:rPr>
        <w:t>传真：</w:t>
      </w:r>
      <w:r>
        <w:rPr>
          <w:spacing w:val="-3"/>
          <w:w w:val="100"/>
        </w:rPr>
        <w:t>（</w:t>
      </w:r>
      <w:r>
        <w:rPr>
          <w:rFonts w:ascii="Times New Roman" w:eastAsia="Times New Roman"/>
          <w:spacing w:val="-2"/>
          <w:w w:val="100"/>
        </w:rPr>
        <w:t>01</w:t>
      </w:r>
      <w:r>
        <w:rPr>
          <w:rFonts w:ascii="Times New Roman" w:eastAsia="Times New Roman"/>
          <w:spacing w:val="-5"/>
          <w:w w:val="100"/>
        </w:rPr>
        <w:t>0</w:t>
      </w:r>
      <w:r>
        <w:rPr>
          <w:spacing w:val="-2"/>
          <w:w w:val="100"/>
        </w:rPr>
        <w:t>）</w:t>
      </w:r>
      <w:r>
        <w:rPr>
          <w:rFonts w:ascii="Times New Roman" w:eastAsia="Times New Roman"/>
          <w:spacing w:val="-2"/>
          <w:w w:val="100"/>
        </w:rPr>
        <w:t>6</w:t>
      </w:r>
      <w:r>
        <w:rPr>
          <w:rFonts w:ascii="Times New Roman" w:eastAsia="Times New Roman"/>
          <w:spacing w:val="-5"/>
          <w:w w:val="100"/>
        </w:rPr>
        <w:t>5</w:t>
      </w:r>
      <w:r>
        <w:rPr>
          <w:rFonts w:ascii="Times New Roman" w:eastAsia="Times New Roman"/>
          <w:spacing w:val="-2"/>
          <w:w w:val="100"/>
        </w:rPr>
        <w:t>263</w:t>
      </w:r>
      <w:r>
        <w:rPr>
          <w:rFonts w:ascii="Times New Roman" w:eastAsia="Times New Roman"/>
          <w:spacing w:val="-5"/>
          <w:w w:val="100"/>
        </w:rPr>
        <w:t>5</w:t>
      </w:r>
      <w:r>
        <w:rPr>
          <w:rFonts w:ascii="Times New Roman" w:eastAsia="Times New Roman"/>
          <w:spacing w:val="-2"/>
          <w:w w:val="100"/>
        </w:rPr>
        <w:t>19</w:t>
      </w:r>
    </w:p>
    <w:p>
      <w:pPr>
        <w:pStyle w:val="BodyText"/>
        <w:spacing w:line="269" w:lineRule="exact"/>
        <w:ind w:left="1078"/>
      </w:pPr>
      <w:r>
        <w:rPr/>
        <w:t>经办律师：贺宝银、徐志浩</w:t>
      </w:r>
    </w:p>
    <w:p>
      <w:pPr>
        <w:pStyle w:val="BodyText"/>
        <w:rPr>
          <w:sz w:val="20"/>
        </w:rPr>
      </w:pPr>
    </w:p>
    <w:p>
      <w:pPr>
        <w:pStyle w:val="BodyText"/>
        <w:rPr>
          <w:sz w:val="20"/>
        </w:rPr>
      </w:pPr>
    </w:p>
    <w:p>
      <w:pPr>
        <w:spacing w:before="154"/>
        <w:ind w:left="658" w:right="0" w:firstLine="0"/>
        <w:jc w:val="left"/>
        <w:rPr>
          <w:b/>
          <w:sz w:val="21"/>
        </w:rPr>
      </w:pPr>
      <w:r>
        <w:rPr>
          <w:b/>
          <w:sz w:val="21"/>
        </w:rPr>
        <w:t>（四）会计师事务所及经办注册会计师</w:t>
      </w:r>
    </w:p>
    <w:p>
      <w:pPr>
        <w:pStyle w:val="BodyText"/>
        <w:spacing w:before="7"/>
        <w:rPr>
          <w:b/>
          <w:sz w:val="15"/>
        </w:rPr>
      </w:pPr>
    </w:p>
    <w:p>
      <w:pPr>
        <w:pStyle w:val="BodyText"/>
        <w:ind w:left="1078"/>
      </w:pPr>
      <w:r>
        <w:rPr/>
        <w:t>法定名称：普华永道中天会计师事务所（特殊普通合伙）</w:t>
      </w:r>
    </w:p>
    <w:p>
      <w:pPr>
        <w:pStyle w:val="BodyText"/>
        <w:spacing w:before="6"/>
        <w:rPr>
          <w:sz w:val="15"/>
        </w:rPr>
      </w:pPr>
    </w:p>
    <w:p>
      <w:pPr>
        <w:pStyle w:val="BodyText"/>
        <w:spacing w:line="417" w:lineRule="auto" w:before="1"/>
        <w:ind w:left="1078" w:right="3426"/>
      </w:pPr>
      <w:r>
        <w:rPr/>
        <w:t>注册地址：上海市浦东新区陆家嘴环路</w:t>
      </w:r>
      <w:r>
        <w:rPr>
          <w:rFonts w:ascii="Times New Roman" w:eastAsia="Times New Roman"/>
        </w:rPr>
        <w:t>1318</w:t>
      </w:r>
      <w:r>
        <w:rPr/>
        <w:t>号星展银行大厦</w:t>
      </w:r>
      <w:r>
        <w:rPr>
          <w:rFonts w:ascii="Times New Roman" w:eastAsia="Times New Roman"/>
        </w:rPr>
        <w:t>6</w:t>
      </w:r>
      <w:r>
        <w:rPr/>
        <w:t>楼办公地址：上海市湖滨路</w:t>
      </w:r>
      <w:r>
        <w:rPr>
          <w:rFonts w:ascii="Times New Roman" w:eastAsia="Times New Roman"/>
        </w:rPr>
        <w:t>202</w:t>
      </w:r>
      <w:r>
        <w:rPr/>
        <w:t>号普华永道中心</w:t>
      </w:r>
      <w:r>
        <w:rPr>
          <w:rFonts w:ascii="Times New Roman" w:eastAsia="Times New Roman"/>
        </w:rPr>
        <w:t>11</w:t>
      </w:r>
      <w:r>
        <w:rPr/>
        <w:t>楼</w:t>
      </w:r>
    </w:p>
    <w:p>
      <w:pPr>
        <w:spacing w:after="0" w:line="417" w:lineRule="auto"/>
        <w:sectPr>
          <w:pgSz w:w="11910" w:h="16840"/>
          <w:pgMar w:header="852" w:footer="992" w:top="1220" w:bottom="1180" w:left="1140" w:right="480"/>
        </w:sectPr>
      </w:pPr>
    </w:p>
    <w:p>
      <w:pPr>
        <w:pStyle w:val="BodyText"/>
        <w:spacing w:before="1"/>
        <w:rPr>
          <w:sz w:val="19"/>
        </w:rPr>
      </w:pPr>
    </w:p>
    <w:p>
      <w:pPr>
        <w:pStyle w:val="BodyText"/>
        <w:spacing w:line="417" w:lineRule="auto" w:before="71"/>
        <w:ind w:left="1078" w:right="7103"/>
        <w:rPr>
          <w:rFonts w:ascii="Times New Roman" w:eastAsia="Times New Roman"/>
        </w:rPr>
      </w:pPr>
      <w:r>
        <w:rPr/>
        <w:t>执行事务合伙人：李丹电 话 ：</w:t>
      </w:r>
      <w:r>
        <w:rPr>
          <w:rFonts w:ascii="Times New Roman" w:eastAsia="Times New Roman"/>
        </w:rPr>
        <w:t>021-23238888 </w:t>
      </w:r>
      <w:r>
        <w:rPr/>
        <w:t>传真：</w:t>
      </w:r>
      <w:r>
        <w:rPr>
          <w:rFonts w:ascii="Times New Roman" w:eastAsia="Times New Roman"/>
        </w:rPr>
        <w:t>021-23238800</w:t>
      </w:r>
    </w:p>
    <w:p>
      <w:pPr>
        <w:pStyle w:val="BodyText"/>
        <w:spacing w:line="269" w:lineRule="exact"/>
        <w:ind w:left="1078"/>
      </w:pPr>
      <w:r>
        <w:rPr/>
        <w:t>经办注册会计师：单峰、陈薇瑶</w:t>
      </w:r>
    </w:p>
    <w:p>
      <w:pPr>
        <w:spacing w:after="0" w:line="269" w:lineRule="exact"/>
        <w:sectPr>
          <w:pgSz w:w="11910" w:h="16840"/>
          <w:pgMar w:header="852" w:footer="992" w:top="1220" w:bottom="1180" w:left="1140" w:right="480"/>
        </w:sectPr>
      </w:pPr>
    </w:p>
    <w:p>
      <w:pPr>
        <w:pStyle w:val="BodyText"/>
        <w:spacing w:before="11"/>
        <w:rPr>
          <w:sz w:val="17"/>
        </w:rPr>
      </w:pPr>
    </w:p>
    <w:p>
      <w:pPr>
        <w:pStyle w:val="Heading1"/>
        <w:spacing w:before="66"/>
        <w:ind w:left="3248"/>
      </w:pPr>
      <w:bookmarkStart w:name="_bookmark9" w:id="10"/>
      <w:bookmarkEnd w:id="10"/>
      <w:r>
        <w:rPr>
          <w:b w:val="0"/>
        </w:rPr>
      </w:r>
      <w:r>
        <w:rPr/>
        <w:t>六、货币市场基金份额的分级</w:t>
      </w:r>
    </w:p>
    <w:p>
      <w:pPr>
        <w:pStyle w:val="BodyText"/>
        <w:spacing w:before="11"/>
        <w:rPr>
          <w:b/>
          <w:sz w:val="32"/>
        </w:rPr>
      </w:pPr>
    </w:p>
    <w:p>
      <w:pPr>
        <w:pStyle w:val="BodyText"/>
        <w:ind w:left="1078"/>
        <w:jc w:val="both"/>
      </w:pPr>
      <w:r>
        <w:rPr/>
        <w:t>本系列基金下设货币市场基金自 2010 年 4 月 30 日起实行基金份额分级，根据投资者持</w:t>
      </w:r>
    </w:p>
    <w:p>
      <w:pPr>
        <w:pStyle w:val="BodyText"/>
        <w:spacing w:before="7"/>
        <w:rPr>
          <w:sz w:val="15"/>
        </w:rPr>
      </w:pPr>
    </w:p>
    <w:p>
      <w:pPr>
        <w:pStyle w:val="BodyText"/>
        <w:spacing w:line="417" w:lineRule="auto"/>
        <w:ind w:left="658" w:right="1308"/>
        <w:jc w:val="both"/>
      </w:pPr>
      <w:r>
        <w:rPr>
          <w:spacing w:val="-7"/>
        </w:rPr>
        <w:t>有货币市场基金的份额等级适用不同的销售服务费率。自 </w:t>
      </w:r>
      <w:r>
        <w:rPr/>
        <w:t>2010</w:t>
      </w:r>
      <w:r>
        <w:rPr>
          <w:spacing w:val="-32"/>
        </w:rPr>
        <w:t> 年 </w:t>
      </w:r>
      <w:r>
        <w:rPr/>
        <w:t>4</w:t>
      </w:r>
      <w:r>
        <w:rPr>
          <w:spacing w:val="-32"/>
        </w:rPr>
        <w:t> 月 </w:t>
      </w:r>
      <w:r>
        <w:rPr/>
        <w:t>30</w:t>
      </w:r>
      <w:r>
        <w:rPr>
          <w:spacing w:val="-14"/>
        </w:rPr>
        <w:t> 日起，货币市场基</w:t>
      </w:r>
      <w:r>
        <w:rPr>
          <w:spacing w:val="-7"/>
        </w:rPr>
        <w:t>金分设两级基金份额：</w:t>
      </w:r>
      <w:r>
        <w:rPr>
          <w:spacing w:val="-6"/>
        </w:rPr>
        <w:t>A</w:t>
      </w:r>
      <w:r>
        <w:rPr>
          <w:spacing w:val="-1"/>
        </w:rPr>
        <w:t> 级基金份额和</w:t>
      </w:r>
      <w:r>
        <w:rPr/>
        <w:t>B</w:t>
      </w:r>
      <w:r>
        <w:rPr>
          <w:spacing w:val="-9"/>
        </w:rPr>
        <w:t> 级基金份额。两级基金份额分设不同基金代码，两</w:t>
      </w:r>
      <w:r>
        <w:rPr>
          <w:spacing w:val="-5"/>
        </w:rPr>
        <w:t>级基金份额单独公布每万份基金净收益和基金七日年化收益率。</w:t>
      </w:r>
    </w:p>
    <w:p>
      <w:pPr>
        <w:spacing w:line="269" w:lineRule="exact" w:before="0"/>
        <w:ind w:left="1080" w:right="0" w:firstLine="0"/>
        <w:jc w:val="left"/>
        <w:rPr>
          <w:b/>
          <w:sz w:val="21"/>
        </w:rPr>
      </w:pPr>
      <w:r>
        <w:rPr>
          <w:b/>
          <w:sz w:val="21"/>
        </w:rPr>
        <w:t>基金费率及分级规则</w:t>
      </w:r>
    </w:p>
    <w:p>
      <w:pPr>
        <w:pStyle w:val="BodyText"/>
        <w:spacing w:before="7"/>
        <w:rPr>
          <w:b/>
          <w:sz w:val="15"/>
        </w:rPr>
      </w:pPr>
    </w:p>
    <w:p>
      <w:pPr>
        <w:pStyle w:val="BodyText"/>
        <w:ind w:left="658"/>
      </w:pPr>
      <w:r>
        <w:rPr/>
        <w:t>1、Ａ级与Ｂ级基金份额的交易限额和适用费率如下表所示：</w:t>
      </w:r>
    </w:p>
    <w:p>
      <w:pPr>
        <w:pStyle w:val="BodyText"/>
        <w:spacing w:before="10"/>
        <w:rPr>
          <w:sz w:val="7"/>
        </w:rPr>
      </w:pPr>
    </w:p>
    <w:tbl>
      <w:tblPr>
        <w:tblW w:w="0" w:type="auto"/>
        <w:jc w:val="left"/>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1"/>
        <w:gridCol w:w="2701"/>
        <w:gridCol w:w="2476"/>
      </w:tblGrid>
      <w:tr>
        <w:trPr>
          <w:trHeight w:val="566" w:hRule="atLeast"/>
        </w:trPr>
        <w:tc>
          <w:tcPr>
            <w:tcW w:w="3061" w:type="dxa"/>
          </w:tcPr>
          <w:p>
            <w:pPr>
              <w:pStyle w:val="TableParagraph"/>
              <w:rPr>
                <w:rFonts w:ascii="Times New Roman"/>
                <w:sz w:val="20"/>
              </w:rPr>
            </w:pPr>
          </w:p>
        </w:tc>
        <w:tc>
          <w:tcPr>
            <w:tcW w:w="2701" w:type="dxa"/>
          </w:tcPr>
          <w:p>
            <w:pPr>
              <w:pStyle w:val="TableParagraph"/>
              <w:spacing w:before="149"/>
              <w:ind w:left="107"/>
              <w:rPr>
                <w:b/>
                <w:sz w:val="21"/>
              </w:rPr>
            </w:pPr>
            <w:r>
              <w:rPr>
                <w:b/>
                <w:sz w:val="21"/>
              </w:rPr>
              <w:t>Ａ级基金份额</w:t>
            </w:r>
          </w:p>
        </w:tc>
        <w:tc>
          <w:tcPr>
            <w:tcW w:w="2476" w:type="dxa"/>
          </w:tcPr>
          <w:p>
            <w:pPr>
              <w:pStyle w:val="TableParagraph"/>
              <w:spacing w:before="149"/>
              <w:ind w:left="106"/>
              <w:rPr>
                <w:b/>
                <w:sz w:val="21"/>
              </w:rPr>
            </w:pPr>
            <w:r>
              <w:rPr>
                <w:b/>
                <w:sz w:val="21"/>
              </w:rPr>
              <w:t>Ｂ级基金份额</w:t>
            </w:r>
          </w:p>
        </w:tc>
      </w:tr>
      <w:tr>
        <w:trPr>
          <w:trHeight w:val="470" w:hRule="atLeast"/>
        </w:trPr>
        <w:tc>
          <w:tcPr>
            <w:tcW w:w="3061" w:type="dxa"/>
          </w:tcPr>
          <w:p>
            <w:pPr>
              <w:pStyle w:val="TableParagraph"/>
              <w:spacing w:before="101"/>
              <w:ind w:left="107"/>
              <w:rPr>
                <w:sz w:val="21"/>
              </w:rPr>
            </w:pPr>
            <w:r>
              <w:rPr>
                <w:sz w:val="21"/>
              </w:rPr>
              <w:t>申购费</w:t>
            </w:r>
          </w:p>
        </w:tc>
        <w:tc>
          <w:tcPr>
            <w:tcW w:w="2701" w:type="dxa"/>
          </w:tcPr>
          <w:p>
            <w:pPr>
              <w:pStyle w:val="TableParagraph"/>
              <w:spacing w:before="101"/>
              <w:ind w:left="107"/>
              <w:rPr>
                <w:sz w:val="21"/>
              </w:rPr>
            </w:pPr>
            <w:r>
              <w:rPr>
                <w:w w:val="100"/>
                <w:sz w:val="21"/>
              </w:rPr>
              <w:t>0</w:t>
            </w:r>
          </w:p>
        </w:tc>
        <w:tc>
          <w:tcPr>
            <w:tcW w:w="2476" w:type="dxa"/>
          </w:tcPr>
          <w:p>
            <w:pPr>
              <w:pStyle w:val="TableParagraph"/>
              <w:spacing w:before="101"/>
              <w:ind w:left="106"/>
              <w:rPr>
                <w:sz w:val="21"/>
              </w:rPr>
            </w:pPr>
            <w:r>
              <w:rPr>
                <w:w w:val="100"/>
                <w:sz w:val="21"/>
              </w:rPr>
              <w:t>0</w:t>
            </w:r>
          </w:p>
        </w:tc>
      </w:tr>
      <w:tr>
        <w:trPr>
          <w:trHeight w:val="467" w:hRule="atLeast"/>
        </w:trPr>
        <w:tc>
          <w:tcPr>
            <w:tcW w:w="3061" w:type="dxa"/>
          </w:tcPr>
          <w:p>
            <w:pPr>
              <w:pStyle w:val="TableParagraph"/>
              <w:spacing w:before="99"/>
              <w:ind w:left="107"/>
              <w:rPr>
                <w:sz w:val="21"/>
              </w:rPr>
            </w:pPr>
            <w:r>
              <w:rPr>
                <w:sz w:val="21"/>
              </w:rPr>
              <w:t>赎回费</w:t>
            </w:r>
          </w:p>
        </w:tc>
        <w:tc>
          <w:tcPr>
            <w:tcW w:w="2701" w:type="dxa"/>
          </w:tcPr>
          <w:p>
            <w:pPr>
              <w:pStyle w:val="TableParagraph"/>
              <w:spacing w:before="99"/>
              <w:ind w:left="107"/>
              <w:rPr>
                <w:sz w:val="21"/>
              </w:rPr>
            </w:pPr>
            <w:r>
              <w:rPr>
                <w:w w:val="100"/>
                <w:sz w:val="21"/>
              </w:rPr>
              <w:t>0</w:t>
            </w:r>
          </w:p>
        </w:tc>
        <w:tc>
          <w:tcPr>
            <w:tcW w:w="2476" w:type="dxa"/>
          </w:tcPr>
          <w:p>
            <w:pPr>
              <w:pStyle w:val="TableParagraph"/>
              <w:spacing w:before="99"/>
              <w:ind w:left="106"/>
              <w:rPr>
                <w:sz w:val="21"/>
              </w:rPr>
            </w:pPr>
            <w:r>
              <w:rPr>
                <w:w w:val="100"/>
                <w:sz w:val="21"/>
              </w:rPr>
              <w:t>0</w:t>
            </w:r>
          </w:p>
        </w:tc>
      </w:tr>
      <w:tr>
        <w:trPr>
          <w:trHeight w:val="467" w:hRule="atLeast"/>
        </w:trPr>
        <w:tc>
          <w:tcPr>
            <w:tcW w:w="3061" w:type="dxa"/>
          </w:tcPr>
          <w:p>
            <w:pPr>
              <w:pStyle w:val="TableParagraph"/>
              <w:spacing w:before="99"/>
              <w:ind w:left="107"/>
              <w:rPr>
                <w:sz w:val="21"/>
              </w:rPr>
            </w:pPr>
            <w:r>
              <w:rPr>
                <w:sz w:val="21"/>
              </w:rPr>
              <w:t>销售服务费</w:t>
            </w:r>
          </w:p>
        </w:tc>
        <w:tc>
          <w:tcPr>
            <w:tcW w:w="2701" w:type="dxa"/>
          </w:tcPr>
          <w:p>
            <w:pPr>
              <w:pStyle w:val="TableParagraph"/>
              <w:spacing w:before="99"/>
              <w:ind w:left="107"/>
              <w:rPr>
                <w:sz w:val="21"/>
              </w:rPr>
            </w:pPr>
            <w:r>
              <w:rPr>
                <w:sz w:val="21"/>
              </w:rPr>
              <w:t>0.25%</w:t>
            </w:r>
          </w:p>
        </w:tc>
        <w:tc>
          <w:tcPr>
            <w:tcW w:w="2476" w:type="dxa"/>
          </w:tcPr>
          <w:p>
            <w:pPr>
              <w:pStyle w:val="TableParagraph"/>
              <w:spacing w:before="99"/>
              <w:ind w:left="106"/>
              <w:rPr>
                <w:sz w:val="21"/>
              </w:rPr>
            </w:pPr>
            <w:r>
              <w:rPr>
                <w:sz w:val="21"/>
              </w:rPr>
              <w:t>0.01%</w:t>
            </w:r>
          </w:p>
        </w:tc>
      </w:tr>
      <w:tr>
        <w:trPr>
          <w:trHeight w:val="563" w:hRule="atLeast"/>
        </w:trPr>
        <w:tc>
          <w:tcPr>
            <w:tcW w:w="3061" w:type="dxa"/>
          </w:tcPr>
          <w:p>
            <w:pPr>
              <w:pStyle w:val="TableParagraph"/>
              <w:spacing w:before="147"/>
              <w:ind w:left="107"/>
              <w:rPr>
                <w:sz w:val="21"/>
              </w:rPr>
            </w:pPr>
            <w:r>
              <w:rPr>
                <w:sz w:val="21"/>
              </w:rPr>
              <w:t>首次申购最低金额</w:t>
            </w:r>
          </w:p>
        </w:tc>
        <w:tc>
          <w:tcPr>
            <w:tcW w:w="2701" w:type="dxa"/>
          </w:tcPr>
          <w:p>
            <w:pPr>
              <w:pStyle w:val="TableParagraph"/>
              <w:spacing w:before="147"/>
              <w:ind w:left="107"/>
              <w:rPr>
                <w:sz w:val="21"/>
              </w:rPr>
            </w:pPr>
            <w:r>
              <w:rPr>
                <w:sz w:val="21"/>
              </w:rPr>
              <w:t>不限</w:t>
            </w:r>
          </w:p>
        </w:tc>
        <w:tc>
          <w:tcPr>
            <w:tcW w:w="2476" w:type="dxa"/>
          </w:tcPr>
          <w:p>
            <w:pPr>
              <w:pStyle w:val="TableParagraph"/>
              <w:spacing w:before="147"/>
              <w:ind w:left="106"/>
              <w:rPr>
                <w:sz w:val="21"/>
              </w:rPr>
            </w:pPr>
            <w:r>
              <w:rPr>
                <w:sz w:val="21"/>
              </w:rPr>
              <w:t>不限</w:t>
            </w:r>
          </w:p>
        </w:tc>
      </w:tr>
      <w:tr>
        <w:trPr>
          <w:trHeight w:val="470" w:hRule="atLeast"/>
        </w:trPr>
        <w:tc>
          <w:tcPr>
            <w:tcW w:w="3061" w:type="dxa"/>
          </w:tcPr>
          <w:p>
            <w:pPr>
              <w:pStyle w:val="TableParagraph"/>
              <w:spacing w:before="101"/>
              <w:ind w:left="107"/>
              <w:rPr>
                <w:sz w:val="21"/>
              </w:rPr>
            </w:pPr>
            <w:r>
              <w:rPr>
                <w:sz w:val="21"/>
              </w:rPr>
              <w:t>追加申购最低金额</w:t>
            </w:r>
          </w:p>
        </w:tc>
        <w:tc>
          <w:tcPr>
            <w:tcW w:w="2701" w:type="dxa"/>
          </w:tcPr>
          <w:p>
            <w:pPr>
              <w:pStyle w:val="TableParagraph"/>
              <w:spacing w:before="101"/>
              <w:ind w:left="107"/>
              <w:rPr>
                <w:sz w:val="21"/>
              </w:rPr>
            </w:pPr>
            <w:r>
              <w:rPr>
                <w:sz w:val="21"/>
              </w:rPr>
              <w:t>不限</w:t>
            </w:r>
          </w:p>
        </w:tc>
        <w:tc>
          <w:tcPr>
            <w:tcW w:w="2476" w:type="dxa"/>
          </w:tcPr>
          <w:p>
            <w:pPr>
              <w:pStyle w:val="TableParagraph"/>
              <w:spacing w:before="101"/>
              <w:ind w:left="106"/>
              <w:rPr>
                <w:sz w:val="21"/>
              </w:rPr>
            </w:pPr>
            <w:r>
              <w:rPr>
                <w:sz w:val="21"/>
              </w:rPr>
              <w:t>不限</w:t>
            </w:r>
          </w:p>
        </w:tc>
      </w:tr>
      <w:tr>
        <w:trPr>
          <w:trHeight w:val="467" w:hRule="atLeast"/>
        </w:trPr>
        <w:tc>
          <w:tcPr>
            <w:tcW w:w="3061" w:type="dxa"/>
          </w:tcPr>
          <w:p>
            <w:pPr>
              <w:pStyle w:val="TableParagraph"/>
              <w:spacing w:before="99"/>
              <w:ind w:left="107"/>
              <w:rPr>
                <w:sz w:val="21"/>
              </w:rPr>
            </w:pPr>
            <w:r>
              <w:rPr>
                <w:sz w:val="21"/>
              </w:rPr>
              <w:t>定期定额申购最低金额</w:t>
            </w:r>
          </w:p>
        </w:tc>
        <w:tc>
          <w:tcPr>
            <w:tcW w:w="2701" w:type="dxa"/>
          </w:tcPr>
          <w:p>
            <w:pPr>
              <w:pStyle w:val="TableParagraph"/>
              <w:spacing w:before="99"/>
              <w:ind w:left="107"/>
              <w:rPr>
                <w:sz w:val="21"/>
              </w:rPr>
            </w:pPr>
            <w:r>
              <w:rPr>
                <w:sz w:val="21"/>
              </w:rPr>
              <w:t>不限</w:t>
            </w:r>
          </w:p>
        </w:tc>
        <w:tc>
          <w:tcPr>
            <w:tcW w:w="2476" w:type="dxa"/>
          </w:tcPr>
          <w:p>
            <w:pPr>
              <w:pStyle w:val="TableParagraph"/>
              <w:spacing w:before="99"/>
              <w:ind w:left="106"/>
              <w:rPr>
                <w:sz w:val="21"/>
              </w:rPr>
            </w:pPr>
            <w:r>
              <w:rPr>
                <w:sz w:val="21"/>
              </w:rPr>
              <w:t>不适用</w:t>
            </w:r>
          </w:p>
        </w:tc>
      </w:tr>
      <w:tr>
        <w:trPr>
          <w:trHeight w:val="935" w:hRule="atLeast"/>
        </w:trPr>
        <w:tc>
          <w:tcPr>
            <w:tcW w:w="3061" w:type="dxa"/>
          </w:tcPr>
          <w:p>
            <w:pPr>
              <w:pStyle w:val="TableParagraph"/>
              <w:spacing w:before="99"/>
              <w:ind w:left="107"/>
              <w:rPr>
                <w:sz w:val="21"/>
              </w:rPr>
            </w:pPr>
            <w:r>
              <w:rPr>
                <w:sz w:val="21"/>
              </w:rPr>
              <w:t>单个基金账户保留的最低持有</w:t>
            </w:r>
          </w:p>
          <w:p>
            <w:pPr>
              <w:pStyle w:val="TableParagraph"/>
              <w:spacing w:before="7"/>
              <w:rPr>
                <w:sz w:val="15"/>
              </w:rPr>
            </w:pPr>
          </w:p>
          <w:p>
            <w:pPr>
              <w:pStyle w:val="TableParagraph"/>
              <w:ind w:left="107"/>
              <w:rPr>
                <w:sz w:val="21"/>
              </w:rPr>
            </w:pPr>
            <w:r>
              <w:rPr>
                <w:sz w:val="21"/>
              </w:rPr>
              <w:t>份额</w:t>
            </w:r>
          </w:p>
        </w:tc>
        <w:tc>
          <w:tcPr>
            <w:tcW w:w="2701" w:type="dxa"/>
          </w:tcPr>
          <w:p>
            <w:pPr>
              <w:pStyle w:val="TableParagraph"/>
              <w:spacing w:before="11"/>
              <w:rPr>
                <w:sz w:val="25"/>
              </w:rPr>
            </w:pPr>
          </w:p>
          <w:p>
            <w:pPr>
              <w:pStyle w:val="TableParagraph"/>
              <w:spacing w:before="1"/>
              <w:ind w:left="107"/>
              <w:rPr>
                <w:sz w:val="21"/>
              </w:rPr>
            </w:pPr>
            <w:r>
              <w:rPr>
                <w:w w:val="100"/>
                <w:sz w:val="21"/>
              </w:rPr>
              <w:t>无</w:t>
            </w:r>
          </w:p>
        </w:tc>
        <w:tc>
          <w:tcPr>
            <w:tcW w:w="2476" w:type="dxa"/>
          </w:tcPr>
          <w:p>
            <w:pPr>
              <w:pStyle w:val="TableParagraph"/>
              <w:spacing w:before="11"/>
              <w:rPr>
                <w:sz w:val="25"/>
              </w:rPr>
            </w:pPr>
          </w:p>
          <w:p>
            <w:pPr>
              <w:pStyle w:val="TableParagraph"/>
              <w:spacing w:before="1"/>
              <w:ind w:left="106"/>
              <w:rPr>
                <w:sz w:val="21"/>
              </w:rPr>
            </w:pPr>
            <w:r>
              <w:rPr>
                <w:sz w:val="21"/>
              </w:rPr>
              <w:t>500 万份</w:t>
            </w:r>
          </w:p>
        </w:tc>
      </w:tr>
    </w:tbl>
    <w:p>
      <w:pPr>
        <w:pStyle w:val="BodyText"/>
        <w:spacing w:line="417" w:lineRule="auto" w:before="99"/>
        <w:ind w:left="658" w:right="1311" w:firstLine="419"/>
      </w:pPr>
      <w:r>
        <w:rPr>
          <w:spacing w:val="-10"/>
        </w:rPr>
        <w:t>注：货币市场基金当期基金收益结转基金份额，不受最低申购金额的限制，货币市场基</w:t>
      </w:r>
      <w:r>
        <w:rPr>
          <w:spacing w:val="-5"/>
        </w:rPr>
        <w:t>金Ｂ级基金份额暂不开通定期定额投资计划。</w:t>
      </w:r>
    </w:p>
    <w:p>
      <w:pPr>
        <w:pStyle w:val="BodyText"/>
        <w:spacing w:line="269" w:lineRule="exact"/>
        <w:ind w:left="658"/>
      </w:pPr>
      <w:r>
        <w:rPr/>
        <w:t>2、份额分级规则：</w:t>
      </w:r>
    </w:p>
    <w:p>
      <w:pPr>
        <w:pStyle w:val="BodyText"/>
        <w:spacing w:before="7"/>
        <w:rPr>
          <w:sz w:val="15"/>
        </w:rPr>
      </w:pPr>
    </w:p>
    <w:p>
      <w:pPr>
        <w:pStyle w:val="BodyText"/>
        <w:spacing w:line="417" w:lineRule="auto"/>
        <w:ind w:left="658" w:right="1309" w:firstLine="419"/>
        <w:jc w:val="both"/>
      </w:pPr>
      <w:r>
        <w:rPr>
          <w:spacing w:val="-22"/>
        </w:rPr>
        <w:t>若 </w:t>
      </w:r>
      <w:r>
        <w:rPr/>
        <w:t>A</w:t>
      </w:r>
      <w:r>
        <w:rPr>
          <w:spacing w:val="-10"/>
        </w:rPr>
        <w:t> 级基金份额持有人在单个基金账户保留的基金份额达到或超过 </w:t>
      </w:r>
      <w:r>
        <w:rPr/>
        <w:t>500</w:t>
      </w:r>
      <w:r>
        <w:rPr>
          <w:spacing w:val="-20"/>
        </w:rPr>
        <w:t> 万份时，本基金</w:t>
      </w:r>
      <w:r>
        <w:rPr>
          <w:spacing w:val="-10"/>
        </w:rPr>
        <w:t>的登记机构自动将其在该基金账户持有的 </w:t>
      </w:r>
      <w:r>
        <w:rPr/>
        <w:t>A</w:t>
      </w:r>
      <w:r>
        <w:rPr>
          <w:spacing w:val="-12"/>
        </w:rPr>
        <w:t> 级基金份额升级为 </w:t>
      </w:r>
      <w:r>
        <w:rPr/>
        <w:t>B</w:t>
      </w:r>
      <w:r>
        <w:rPr>
          <w:spacing w:val="-14"/>
        </w:rPr>
        <w:t> 级基金份额，未结转收益将</w:t>
      </w:r>
      <w:r>
        <w:rPr>
          <w:spacing w:val="-13"/>
        </w:rPr>
        <w:t>不结转，一并带入 </w:t>
      </w:r>
      <w:r>
        <w:rPr/>
        <w:t>B</w:t>
      </w:r>
      <w:r>
        <w:rPr>
          <w:spacing w:val="-13"/>
        </w:rPr>
        <w:t> 级份额，并于升级当日适用 </w:t>
      </w:r>
      <w:r>
        <w:rPr/>
        <w:t>B</w:t>
      </w:r>
      <w:r>
        <w:rPr>
          <w:spacing w:val="-13"/>
        </w:rPr>
        <w:t> 级的相关费率</w:t>
      </w:r>
      <w:r>
        <w:rPr/>
        <w:t>（</w:t>
      </w:r>
      <w:r>
        <w:rPr>
          <w:spacing w:val="-6"/>
        </w:rPr>
        <w:t>年销售服务费率除外，年</w:t>
      </w:r>
      <w:r>
        <w:rPr>
          <w:spacing w:val="-7"/>
        </w:rPr>
        <w:t>销售服务费率自其升级后的下一个工作日起享受 </w:t>
      </w:r>
      <w:r>
        <w:rPr/>
        <w:t>B</w:t>
      </w:r>
      <w:r>
        <w:rPr>
          <w:spacing w:val="-9"/>
        </w:rPr>
        <w:t> 级基金份额的费率</w:t>
      </w:r>
      <w:r>
        <w:rPr>
          <w:spacing w:val="-3"/>
        </w:rPr>
        <w:t>）</w:t>
      </w:r>
      <w:r>
        <w:rPr/>
        <w:t>。</w:t>
      </w:r>
    </w:p>
    <w:p>
      <w:pPr>
        <w:pStyle w:val="BodyText"/>
        <w:spacing w:line="417" w:lineRule="auto"/>
        <w:ind w:left="658" w:right="1309" w:firstLine="419"/>
      </w:pPr>
      <w:r>
        <w:rPr>
          <w:spacing w:val="-24"/>
        </w:rPr>
        <w:t>若 </w:t>
      </w:r>
      <w:r>
        <w:rPr/>
        <w:t>B</w:t>
      </w:r>
      <w:r>
        <w:rPr>
          <w:spacing w:val="-9"/>
        </w:rPr>
        <w:t> 级基金份额持有人在单个基金账户保留的基金份额低于 </w:t>
      </w:r>
      <w:r>
        <w:rPr/>
        <w:t>500</w:t>
      </w:r>
      <w:r>
        <w:rPr>
          <w:spacing w:val="-9"/>
        </w:rPr>
        <w:t> 万份时，本基金的登</w:t>
      </w:r>
      <w:r>
        <w:rPr>
          <w:spacing w:val="-8"/>
        </w:rPr>
        <w:t>记机构自动将其在该基金账户持有的 </w:t>
      </w:r>
      <w:r>
        <w:rPr/>
        <w:t>B</w:t>
      </w:r>
      <w:r>
        <w:rPr>
          <w:spacing w:val="-12"/>
        </w:rPr>
        <w:t> 级基金份额降级为 </w:t>
      </w:r>
      <w:r>
        <w:rPr/>
        <w:t>A</w:t>
      </w:r>
      <w:r>
        <w:rPr>
          <w:spacing w:val="-14"/>
        </w:rPr>
        <w:t> 级基金份额，未结转收益将不结</w:t>
      </w:r>
      <w:r>
        <w:rPr>
          <w:spacing w:val="-15"/>
        </w:rPr>
        <w:t>转，一并带入 </w:t>
      </w:r>
      <w:r>
        <w:rPr/>
        <w:t>A</w:t>
      </w:r>
      <w:r>
        <w:rPr>
          <w:spacing w:val="-13"/>
        </w:rPr>
        <w:t> 级份额，并于降级当日适用 </w:t>
      </w:r>
      <w:r>
        <w:rPr/>
        <w:t>A</w:t>
      </w:r>
      <w:r>
        <w:rPr>
          <w:spacing w:val="-12"/>
        </w:rPr>
        <w:t> 级的相关费率</w:t>
      </w:r>
      <w:r>
        <w:rPr/>
        <w:t>（</w:t>
      </w:r>
      <w:r>
        <w:rPr>
          <w:spacing w:val="-6"/>
        </w:rPr>
        <w:t>年销售服务费率除外，年销售</w:t>
      </w:r>
      <w:r>
        <w:rPr>
          <w:spacing w:val="-7"/>
        </w:rPr>
        <w:t>服务费率自其降级后的下一个工作日起适用 </w:t>
      </w:r>
      <w:r>
        <w:rPr/>
        <w:t>A</w:t>
      </w:r>
      <w:r>
        <w:rPr>
          <w:spacing w:val="-9"/>
        </w:rPr>
        <w:t> 级基金份额的费率</w:t>
      </w:r>
      <w:r>
        <w:rPr>
          <w:spacing w:val="-3"/>
        </w:rPr>
        <w:t>）</w:t>
      </w:r>
      <w:r>
        <w:rPr/>
        <w:t>。</w:t>
      </w:r>
    </w:p>
    <w:p>
      <w:pPr>
        <w:spacing w:after="0" w:line="417" w:lineRule="auto"/>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8" w:firstLine="419"/>
      </w:pPr>
      <w:r>
        <w:rPr>
          <w:spacing w:val="-8"/>
        </w:rPr>
        <w:t>如销售机构仅销售 </w:t>
      </w:r>
      <w:r>
        <w:rPr/>
        <w:t>A</w:t>
      </w:r>
      <w:r>
        <w:rPr>
          <w:spacing w:val="-24"/>
        </w:rPr>
        <w:t> 级或 </w:t>
      </w:r>
      <w:r>
        <w:rPr/>
        <w:t>B</w:t>
      </w:r>
      <w:r>
        <w:rPr>
          <w:spacing w:val="-13"/>
        </w:rPr>
        <w:t> 级基金份额，则投资者在该销售机构内的基金份额不参与自</w:t>
      </w:r>
      <w:r>
        <w:rPr>
          <w:spacing w:val="-7"/>
        </w:rPr>
        <w:t>动升降级。</w:t>
      </w:r>
    </w:p>
    <w:p>
      <w:pPr>
        <w:pStyle w:val="BodyText"/>
        <w:spacing w:line="417" w:lineRule="auto"/>
        <w:ind w:left="658" w:right="1203" w:firstLine="419"/>
      </w:pPr>
      <w:r>
        <w:rPr>
          <w:spacing w:val="-8"/>
        </w:rPr>
        <w:t>根据上述基金份额升降级规则，登记机构将在确认投资者的各项交易申请后，根据投资</w:t>
      </w:r>
      <w:r>
        <w:rPr>
          <w:spacing w:val="-9"/>
        </w:rPr>
        <w:t>者单个基金账户内保留的基金份额余额进行升降级判定。对当日持有 </w:t>
      </w:r>
      <w:r>
        <w:rPr/>
        <w:t>A</w:t>
      </w:r>
      <w:r>
        <w:rPr>
          <w:spacing w:val="-12"/>
        </w:rPr>
        <w:t> 级基金份额超过 </w:t>
      </w:r>
      <w:r>
        <w:rPr/>
        <w:t>500 </w:t>
      </w:r>
      <w:r>
        <w:rPr>
          <w:spacing w:val="-16"/>
        </w:rPr>
        <w:t>万份</w:t>
      </w:r>
      <w:r>
        <w:rPr/>
        <w:t>（</w:t>
      </w:r>
      <w:r>
        <w:rPr>
          <w:spacing w:val="-18"/>
        </w:rPr>
        <w:t>包含 </w:t>
      </w:r>
      <w:r>
        <w:rPr/>
        <w:t>500</w:t>
      </w:r>
      <w:r>
        <w:rPr>
          <w:spacing w:val="-18"/>
        </w:rPr>
        <w:t> 万份</w:t>
      </w:r>
      <w:r>
        <w:rPr>
          <w:spacing w:val="-32"/>
        </w:rPr>
        <w:t>）</w:t>
      </w:r>
      <w:r>
        <w:rPr>
          <w:spacing w:val="-9"/>
        </w:rPr>
        <w:t>的，登记机构将自动升级其基金账户内持有的 </w:t>
      </w:r>
      <w:r>
        <w:rPr/>
        <w:t>A</w:t>
      </w:r>
      <w:r>
        <w:rPr>
          <w:spacing w:val="-15"/>
        </w:rPr>
        <w:t> 级基金份额为 </w:t>
      </w:r>
      <w:r>
        <w:rPr/>
        <w:t>B</w:t>
      </w:r>
      <w:r>
        <w:rPr>
          <w:spacing w:val="-19"/>
        </w:rPr>
        <w:t> 级基</w:t>
      </w:r>
      <w:r>
        <w:rPr>
          <w:spacing w:val="-11"/>
        </w:rPr>
        <w:t>金份额；对当日持有 </w:t>
      </w:r>
      <w:r>
        <w:rPr/>
        <w:t>B</w:t>
      </w:r>
      <w:r>
        <w:rPr>
          <w:spacing w:val="-13"/>
        </w:rPr>
        <w:t> 级基金份额低于 </w:t>
      </w:r>
      <w:r>
        <w:rPr/>
        <w:t>500</w:t>
      </w:r>
      <w:r>
        <w:rPr>
          <w:spacing w:val="-26"/>
        </w:rPr>
        <w:t> 万份</w:t>
      </w:r>
      <w:r>
        <w:rPr>
          <w:spacing w:val="-3"/>
        </w:rPr>
        <w:t>（</w:t>
      </w:r>
      <w:r>
        <w:rPr>
          <w:spacing w:val="-16"/>
        </w:rPr>
        <w:t>不含 </w:t>
      </w:r>
      <w:r>
        <w:rPr/>
        <w:t>500</w:t>
      </w:r>
      <w:r>
        <w:rPr>
          <w:spacing w:val="-19"/>
        </w:rPr>
        <w:t> 万份</w:t>
      </w:r>
      <w:r>
        <w:rPr>
          <w:spacing w:val="-22"/>
        </w:rPr>
        <w:t>）</w:t>
      </w:r>
      <w:r>
        <w:rPr>
          <w:spacing w:val="-7"/>
        </w:rPr>
        <w:t>的，登记机构将自动降级</w:t>
      </w:r>
      <w:r>
        <w:rPr>
          <w:spacing w:val="-2"/>
        </w:rPr>
        <w:t>其基金账户内持有的</w:t>
      </w:r>
      <w:r>
        <w:rPr/>
        <w:t>B</w:t>
      </w:r>
      <w:r>
        <w:rPr>
          <w:spacing w:val="-7"/>
        </w:rPr>
        <w:t> 级基金份额为</w:t>
      </w:r>
      <w:r>
        <w:rPr/>
        <w:t>A</w:t>
      </w:r>
      <w:r>
        <w:rPr>
          <w:spacing w:val="-15"/>
        </w:rPr>
        <w:t> 级基金份额。基金份额分级规则自公告生效日起生效， </w:t>
      </w:r>
      <w:r>
        <w:rPr>
          <w:spacing w:val="-11"/>
        </w:rPr>
        <w:t>自该日起，注册登记机构将根据投资者基金账户所持有的货币市场基金份额数量，进行份额</w:t>
      </w:r>
      <w:r>
        <w:rPr>
          <w:spacing w:val="-6"/>
        </w:rPr>
        <w:t>级别判断和处理，并适用Ａ、Ｂ级相关费率。</w:t>
      </w:r>
    </w:p>
    <w:p>
      <w:pPr>
        <w:pStyle w:val="BodyText"/>
        <w:spacing w:line="417" w:lineRule="auto"/>
        <w:ind w:left="658" w:right="1309" w:firstLine="419"/>
      </w:pPr>
      <w:r>
        <w:rPr>
          <w:spacing w:val="-10"/>
        </w:rPr>
        <w:t>基金份额分级后，对在开放日参与基金份额升降级确认的投资者，其在当日提交的货币</w:t>
      </w:r>
      <w:r>
        <w:rPr>
          <w:spacing w:val="-5"/>
        </w:rPr>
        <w:t>市场基金转换转出、转托管转出等申请，注册登记机构将在下一开放日做失败确认处理。</w:t>
      </w:r>
    </w:p>
    <w:p>
      <w:pPr>
        <w:spacing w:after="0" w:line="417" w:lineRule="auto"/>
        <w:sectPr>
          <w:pgSz w:w="11910" w:h="16840"/>
          <w:pgMar w:header="852" w:footer="992" w:top="1220" w:bottom="1180" w:left="1140" w:right="480"/>
        </w:sectPr>
      </w:pPr>
    </w:p>
    <w:p>
      <w:pPr>
        <w:pStyle w:val="BodyText"/>
        <w:spacing w:before="11"/>
        <w:rPr>
          <w:sz w:val="17"/>
        </w:rPr>
      </w:pPr>
    </w:p>
    <w:p>
      <w:pPr>
        <w:pStyle w:val="Heading1"/>
        <w:spacing w:before="66"/>
        <w:ind w:left="0" w:right="4267"/>
        <w:jc w:val="right"/>
      </w:pPr>
      <w:bookmarkStart w:name="_bookmark10" w:id="11"/>
      <w:bookmarkEnd w:id="11"/>
      <w:r>
        <w:rPr>
          <w:b w:val="0"/>
        </w:rPr>
      </w:r>
      <w:r>
        <w:rPr>
          <w:w w:val="95"/>
        </w:rPr>
        <w:t>七、基金的申购、赎回</w:t>
      </w:r>
    </w:p>
    <w:p>
      <w:pPr>
        <w:pStyle w:val="BodyText"/>
        <w:spacing w:before="11"/>
        <w:rPr>
          <w:b/>
          <w:sz w:val="32"/>
        </w:rPr>
      </w:pPr>
    </w:p>
    <w:p>
      <w:pPr>
        <w:pStyle w:val="BodyText"/>
        <w:spacing w:line="417" w:lineRule="auto"/>
        <w:ind w:left="658" w:right="1309" w:firstLine="309"/>
        <w:jc w:val="both"/>
      </w:pPr>
      <w:r>
        <w:rPr>
          <w:spacing w:val="-18"/>
        </w:rPr>
        <w:t>本章中第</w:t>
      </w:r>
      <w:r>
        <w:rPr>
          <w:spacing w:val="-3"/>
        </w:rPr>
        <w:t>（</w:t>
      </w:r>
      <w:r>
        <w:rPr/>
        <w:t>一</w:t>
      </w:r>
      <w:r>
        <w:rPr>
          <w:spacing w:val="-68"/>
        </w:rPr>
        <w:t>）</w:t>
      </w:r>
      <w:r>
        <w:rPr>
          <w:spacing w:val="-24"/>
        </w:rPr>
        <w:t>节至第</w:t>
      </w:r>
      <w:r>
        <w:rPr>
          <w:spacing w:val="-3"/>
        </w:rPr>
        <w:t>（</w:t>
      </w:r>
      <w:r>
        <w:rPr>
          <w:spacing w:val="-2"/>
        </w:rPr>
        <w:t>十二</w:t>
      </w:r>
      <w:r>
        <w:rPr>
          <w:spacing w:val="-68"/>
        </w:rPr>
        <w:t>）</w:t>
      </w:r>
      <w:r>
        <w:rPr>
          <w:spacing w:val="-10"/>
        </w:rPr>
        <w:t>节的内容适用于优选混合型基金和动力平衡基金，第</w:t>
      </w:r>
      <w:r>
        <w:rPr/>
        <w:t>（</w:t>
      </w:r>
      <w:r>
        <w:rPr>
          <w:spacing w:val="-3"/>
        </w:rPr>
        <w:t>一</w:t>
      </w:r>
      <w:r>
        <w:rPr/>
        <w:t>） </w:t>
      </w:r>
      <w:r>
        <w:rPr>
          <w:spacing w:val="-3"/>
        </w:rPr>
        <w:t>节至第（四</w:t>
      </w:r>
      <w:r>
        <w:rPr>
          <w:spacing w:val="-5"/>
        </w:rPr>
        <w:t>）</w:t>
      </w:r>
      <w:r>
        <w:rPr>
          <w:spacing w:val="-7"/>
        </w:rPr>
        <w:t>节、第</w:t>
      </w:r>
      <w:r>
        <w:rPr/>
        <w:t>（</w:t>
      </w:r>
      <w:r>
        <w:rPr>
          <w:spacing w:val="-3"/>
        </w:rPr>
        <w:t>七</w:t>
      </w:r>
      <w:r>
        <w:rPr>
          <w:spacing w:val="-5"/>
        </w:rPr>
        <w:t>）</w:t>
      </w:r>
      <w:r>
        <w:rPr>
          <w:spacing w:val="-7"/>
        </w:rPr>
        <w:t>节、第</w:t>
      </w:r>
      <w:r>
        <w:rPr/>
        <w:t>（</w:t>
      </w:r>
      <w:r>
        <w:rPr>
          <w:spacing w:val="-3"/>
        </w:rPr>
        <w:t>九</w:t>
      </w:r>
      <w:r>
        <w:rPr>
          <w:spacing w:val="-8"/>
        </w:rPr>
        <w:t>）</w:t>
      </w:r>
      <w:r>
        <w:rPr>
          <w:spacing w:val="-4"/>
        </w:rPr>
        <w:t>节至第</w:t>
      </w:r>
      <w:r>
        <w:rPr>
          <w:spacing w:val="-3"/>
        </w:rPr>
        <w:t>（</w:t>
      </w:r>
      <w:r>
        <w:rPr>
          <w:spacing w:val="-2"/>
        </w:rPr>
        <w:t>十一</w:t>
      </w:r>
      <w:r>
        <w:rPr>
          <w:spacing w:val="-5"/>
        </w:rPr>
        <w:t>）</w:t>
      </w:r>
      <w:r>
        <w:rPr>
          <w:spacing w:val="-7"/>
        </w:rPr>
        <w:t>节、第</w:t>
      </w:r>
      <w:r>
        <w:rPr/>
        <w:t>（</w:t>
      </w:r>
      <w:r>
        <w:rPr>
          <w:spacing w:val="-3"/>
        </w:rPr>
        <w:t>十三</w:t>
      </w:r>
      <w:r>
        <w:rPr>
          <w:spacing w:val="-5"/>
        </w:rPr>
        <w:t>）</w:t>
      </w:r>
      <w:r>
        <w:rPr>
          <w:spacing w:val="-4"/>
        </w:rPr>
        <w:t>节至第</w:t>
      </w:r>
      <w:r>
        <w:rPr/>
        <w:t>（</w:t>
      </w:r>
      <w:r>
        <w:rPr>
          <w:spacing w:val="-3"/>
        </w:rPr>
        <w:t>十六</w:t>
      </w:r>
      <w:r>
        <w:rPr>
          <w:spacing w:val="-5"/>
        </w:rPr>
        <w:t>）</w:t>
      </w:r>
      <w:r>
        <w:rPr/>
        <w:t>节</w:t>
      </w:r>
      <w:r>
        <w:rPr>
          <w:spacing w:val="-3"/>
        </w:rPr>
        <w:t>的内容适用于货币市场基金。</w:t>
      </w:r>
    </w:p>
    <w:p>
      <w:pPr>
        <w:spacing w:line="269" w:lineRule="exact" w:before="0"/>
        <w:ind w:left="658" w:right="0" w:firstLine="0"/>
        <w:jc w:val="left"/>
        <w:rPr>
          <w:b/>
          <w:sz w:val="21"/>
        </w:rPr>
      </w:pPr>
      <w:r>
        <w:rPr>
          <w:b/>
          <w:sz w:val="21"/>
        </w:rPr>
        <w:t>（一）基金投资者范围</w:t>
      </w:r>
    </w:p>
    <w:p>
      <w:pPr>
        <w:pStyle w:val="BodyText"/>
        <w:spacing w:before="7"/>
        <w:rPr>
          <w:b/>
          <w:sz w:val="15"/>
        </w:rPr>
      </w:pPr>
    </w:p>
    <w:p>
      <w:pPr>
        <w:pStyle w:val="BodyText"/>
        <w:spacing w:line="417" w:lineRule="auto"/>
        <w:ind w:left="658" w:right="1311" w:firstLine="419"/>
      </w:pPr>
      <w:r>
        <w:rPr>
          <w:spacing w:val="-6"/>
        </w:rPr>
        <w:t>中华人民共和国境内的个人投资者、机构投资者及合格境外机构投资者</w:t>
      </w:r>
      <w:r>
        <w:rPr>
          <w:spacing w:val="-3"/>
        </w:rPr>
        <w:t>（</w:t>
      </w:r>
      <w:r>
        <w:rPr>
          <w:spacing w:val="-7"/>
        </w:rPr>
        <w:t>法律、法规及</w:t>
      </w:r>
      <w:r>
        <w:rPr>
          <w:spacing w:val="-5"/>
        </w:rPr>
        <w:t>其他有关规定禁止投资证券投资基金的除外</w:t>
      </w:r>
      <w:r>
        <w:rPr>
          <w:spacing w:val="-108"/>
        </w:rPr>
        <w:t>）</w:t>
      </w:r>
      <w:r>
        <w:rPr/>
        <w:t>。</w:t>
      </w:r>
    </w:p>
    <w:p>
      <w:pPr>
        <w:pStyle w:val="BodyText"/>
        <w:rPr>
          <w:sz w:val="20"/>
        </w:rPr>
      </w:pPr>
    </w:p>
    <w:p>
      <w:pPr>
        <w:pStyle w:val="BodyText"/>
        <w:spacing w:before="7"/>
        <w:rPr>
          <w:sz w:val="16"/>
        </w:rPr>
      </w:pPr>
    </w:p>
    <w:p>
      <w:pPr>
        <w:spacing w:before="0"/>
        <w:ind w:left="658" w:right="0" w:firstLine="0"/>
        <w:jc w:val="left"/>
        <w:rPr>
          <w:b/>
          <w:sz w:val="21"/>
        </w:rPr>
      </w:pPr>
      <w:r>
        <w:rPr>
          <w:b/>
          <w:sz w:val="21"/>
        </w:rPr>
        <w:t>（二）申购、赎回场所</w:t>
      </w:r>
    </w:p>
    <w:p>
      <w:pPr>
        <w:pStyle w:val="BodyText"/>
        <w:spacing w:before="7"/>
        <w:rPr>
          <w:b/>
          <w:sz w:val="15"/>
        </w:rPr>
      </w:pPr>
    </w:p>
    <w:p>
      <w:pPr>
        <w:pStyle w:val="BodyText"/>
        <w:ind w:right="4268"/>
        <w:jc w:val="right"/>
      </w:pPr>
      <w:r>
        <w:rPr/>
        <w:t>1、景顺长城基金管理有限公司设在深圳的直销中心。</w:t>
      </w:r>
    </w:p>
    <w:p>
      <w:pPr>
        <w:pStyle w:val="BodyText"/>
        <w:spacing w:before="6"/>
        <w:rPr>
          <w:sz w:val="15"/>
        </w:rPr>
      </w:pPr>
    </w:p>
    <w:p>
      <w:pPr>
        <w:pStyle w:val="BodyText"/>
        <w:spacing w:before="1"/>
        <w:ind w:left="1078"/>
      </w:pPr>
      <w:r>
        <w:rPr/>
        <w:t>2、中国银行和基金管理人指定的其他代理销售机构的代销网点。</w:t>
      </w:r>
    </w:p>
    <w:p>
      <w:pPr>
        <w:pStyle w:val="BodyText"/>
        <w:rPr>
          <w:sz w:val="20"/>
        </w:rPr>
      </w:pPr>
    </w:p>
    <w:p>
      <w:pPr>
        <w:pStyle w:val="BodyText"/>
        <w:rPr>
          <w:sz w:val="20"/>
        </w:rPr>
      </w:pPr>
    </w:p>
    <w:p>
      <w:pPr>
        <w:spacing w:before="154"/>
        <w:ind w:left="658" w:right="0" w:firstLine="0"/>
        <w:jc w:val="left"/>
        <w:rPr>
          <w:b/>
          <w:sz w:val="21"/>
        </w:rPr>
      </w:pPr>
      <w:r>
        <w:rPr>
          <w:b/>
          <w:sz w:val="21"/>
        </w:rPr>
        <w:t>（三）申购、赎回的开放日及开放时间</w:t>
      </w:r>
    </w:p>
    <w:p>
      <w:pPr>
        <w:pStyle w:val="BodyText"/>
        <w:spacing w:before="7"/>
        <w:rPr>
          <w:b/>
          <w:sz w:val="15"/>
        </w:rPr>
      </w:pPr>
    </w:p>
    <w:p>
      <w:pPr>
        <w:pStyle w:val="BodyText"/>
        <w:ind w:left="1078"/>
        <w:jc w:val="both"/>
      </w:pPr>
      <w:r>
        <w:rPr/>
        <w:t>本系列基金已于 </w:t>
      </w:r>
      <w:r>
        <w:rPr>
          <w:rFonts w:ascii="Times New Roman" w:eastAsia="Times New Roman"/>
        </w:rPr>
        <w:t>2003 </w:t>
      </w:r>
      <w:r>
        <w:rPr/>
        <w:t>年 </w:t>
      </w:r>
      <w:r>
        <w:rPr>
          <w:rFonts w:ascii="Times New Roman" w:eastAsia="Times New Roman"/>
        </w:rPr>
        <w:t>12 </w:t>
      </w:r>
      <w:r>
        <w:rPr/>
        <w:t>月 </w:t>
      </w:r>
      <w:r>
        <w:rPr>
          <w:rFonts w:ascii="Times New Roman" w:eastAsia="Times New Roman"/>
        </w:rPr>
        <w:t>5 </w:t>
      </w:r>
      <w:r>
        <w:rPr/>
        <w:t>日起开始办理日常申购、赎回业务。</w:t>
      </w:r>
    </w:p>
    <w:p>
      <w:pPr>
        <w:pStyle w:val="BodyText"/>
        <w:spacing w:before="7"/>
        <w:rPr>
          <w:sz w:val="15"/>
        </w:rPr>
      </w:pPr>
    </w:p>
    <w:p>
      <w:pPr>
        <w:pStyle w:val="BodyText"/>
        <w:spacing w:line="417" w:lineRule="auto"/>
        <w:ind w:left="658" w:right="1310" w:firstLine="419"/>
        <w:jc w:val="both"/>
      </w:pPr>
      <w:r>
        <w:rPr>
          <w:spacing w:val="-8"/>
        </w:rPr>
        <w:t>申购和赎回的开放日为证券交易所交易日，开放日的具体业务办理时间为上海证券交易</w:t>
      </w:r>
      <w:r>
        <w:rPr>
          <w:spacing w:val="-10"/>
        </w:rPr>
        <w:t>所、深圳证券交易所交易日的交易时间。投资者在《基金合同》约定的日期和时间之外提出</w:t>
      </w:r>
      <w:r>
        <w:rPr>
          <w:spacing w:val="-11"/>
        </w:rPr>
        <w:t>申购、赎回申请且注册登记机构确认接收的，其基金份额申购、赎回价格为下次办理基金份</w:t>
      </w:r>
      <w:r>
        <w:rPr>
          <w:spacing w:val="-6"/>
        </w:rPr>
        <w:t>额申购、赎回时间所在开放日的价格。</w:t>
      </w:r>
    </w:p>
    <w:p>
      <w:pPr>
        <w:pStyle w:val="BodyText"/>
        <w:spacing w:line="417" w:lineRule="auto"/>
        <w:ind w:left="658" w:right="1311" w:firstLine="419"/>
      </w:pPr>
      <w:r>
        <w:rPr>
          <w:spacing w:val="-8"/>
        </w:rPr>
        <w:t>基金管理人如果对申购、赎回时间进行调整，应当依照《信息披露办法》的有关规定在</w:t>
      </w:r>
      <w:r>
        <w:rPr>
          <w:spacing w:val="-5"/>
        </w:rPr>
        <w:t>指定媒介上公告。</w:t>
      </w:r>
    </w:p>
    <w:p>
      <w:pPr>
        <w:pStyle w:val="BodyText"/>
        <w:spacing w:line="269" w:lineRule="exact"/>
        <w:ind w:left="1078"/>
      </w:pPr>
      <w:r>
        <w:rPr/>
        <w:t>此外，本系列基金已于 2004 年 8 月 13 日在中国银行、2007 年 2 月 27 日在招商银行、</w:t>
      </w:r>
    </w:p>
    <w:p>
      <w:pPr>
        <w:pStyle w:val="BodyText"/>
        <w:spacing w:before="6"/>
        <w:rPr>
          <w:sz w:val="15"/>
        </w:rPr>
      </w:pPr>
    </w:p>
    <w:p>
      <w:pPr>
        <w:pStyle w:val="BodyText"/>
        <w:spacing w:before="1"/>
        <w:ind w:left="658"/>
      </w:pPr>
      <w:r>
        <w:rPr/>
        <w:t>2007</w:t>
      </w:r>
      <w:r>
        <w:rPr>
          <w:spacing w:val="-35"/>
        </w:rPr>
        <w:t> 年 </w:t>
      </w:r>
      <w:r>
        <w:rPr/>
        <w:t>10</w:t>
      </w:r>
      <w:r>
        <w:rPr>
          <w:spacing w:val="-34"/>
        </w:rPr>
        <w:t> 月 </w:t>
      </w:r>
      <w:r>
        <w:rPr/>
        <w:t>9</w:t>
      </w:r>
      <w:r>
        <w:rPr>
          <w:spacing w:val="-9"/>
        </w:rPr>
        <w:t> 日在农业银行、</w:t>
      </w:r>
      <w:r>
        <w:rPr/>
        <w:t>2007</w:t>
      </w:r>
      <w:r>
        <w:rPr>
          <w:spacing w:val="-35"/>
        </w:rPr>
        <w:t> 年 </w:t>
      </w:r>
      <w:r>
        <w:rPr/>
        <w:t>10</w:t>
      </w:r>
      <w:r>
        <w:rPr>
          <w:spacing w:val="-34"/>
        </w:rPr>
        <w:t> 月 </w:t>
      </w:r>
      <w:r>
        <w:rPr/>
        <w:t>18</w:t>
      </w:r>
      <w:r>
        <w:rPr>
          <w:spacing w:val="-26"/>
        </w:rPr>
        <w:t> 日及 </w:t>
      </w:r>
      <w:r>
        <w:rPr/>
        <w:t>2007</w:t>
      </w:r>
      <w:r>
        <w:rPr>
          <w:spacing w:val="-34"/>
        </w:rPr>
        <w:t> 年 </w:t>
      </w:r>
      <w:r>
        <w:rPr/>
        <w:t>12</w:t>
      </w:r>
      <w:r>
        <w:rPr>
          <w:spacing w:val="-35"/>
        </w:rPr>
        <w:t> 月 </w:t>
      </w:r>
      <w:r>
        <w:rPr/>
        <w:t>18</w:t>
      </w:r>
      <w:r>
        <w:rPr>
          <w:spacing w:val="-8"/>
        </w:rPr>
        <w:t> 日在光大银行、</w:t>
      </w:r>
      <w:r>
        <w:rPr/>
        <w:t>2008</w:t>
      </w:r>
    </w:p>
    <w:p>
      <w:pPr>
        <w:pStyle w:val="BodyText"/>
        <w:spacing w:before="6"/>
        <w:rPr>
          <w:sz w:val="15"/>
        </w:rPr>
      </w:pPr>
    </w:p>
    <w:p>
      <w:pPr>
        <w:pStyle w:val="BodyText"/>
        <w:ind w:left="658"/>
      </w:pPr>
      <w:r>
        <w:rPr>
          <w:spacing w:val="-26"/>
        </w:rPr>
        <w:t>年 </w:t>
      </w:r>
      <w:r>
        <w:rPr/>
        <w:t>1</w:t>
      </w:r>
      <w:r>
        <w:rPr>
          <w:spacing w:val="-34"/>
        </w:rPr>
        <w:t> 月 </w:t>
      </w:r>
      <w:r>
        <w:rPr/>
        <w:t>25</w:t>
      </w:r>
      <w:r>
        <w:rPr>
          <w:spacing w:val="-22"/>
        </w:rPr>
        <w:t> 日在交通银行、</w:t>
      </w:r>
      <w:r>
        <w:rPr/>
        <w:t>2008</w:t>
      </w:r>
      <w:r>
        <w:rPr>
          <w:spacing w:val="-35"/>
        </w:rPr>
        <w:t> 年 </w:t>
      </w:r>
      <w:r>
        <w:rPr/>
        <w:t>4</w:t>
      </w:r>
      <w:r>
        <w:rPr>
          <w:spacing w:val="-34"/>
        </w:rPr>
        <w:t> 月 </w:t>
      </w:r>
      <w:r>
        <w:rPr/>
        <w:t>14</w:t>
      </w:r>
      <w:r>
        <w:rPr>
          <w:spacing w:val="-23"/>
        </w:rPr>
        <w:t> 日在中信银行、</w:t>
      </w:r>
      <w:r>
        <w:rPr/>
        <w:t>2008</w:t>
      </w:r>
      <w:r>
        <w:rPr>
          <w:spacing w:val="-35"/>
        </w:rPr>
        <w:t> 年 </w:t>
      </w:r>
      <w:r>
        <w:rPr/>
        <w:t>4</w:t>
      </w:r>
      <w:r>
        <w:rPr>
          <w:spacing w:val="-34"/>
        </w:rPr>
        <w:t> 月 </w:t>
      </w:r>
      <w:r>
        <w:rPr/>
        <w:t>23</w:t>
      </w:r>
      <w:r>
        <w:rPr>
          <w:spacing w:val="-21"/>
        </w:rPr>
        <w:t> 日在北京银行、</w:t>
      </w:r>
      <w:r>
        <w:rPr/>
        <w:t>2008</w:t>
      </w:r>
    </w:p>
    <w:p>
      <w:pPr>
        <w:pStyle w:val="BodyText"/>
        <w:spacing w:before="7"/>
        <w:rPr>
          <w:sz w:val="15"/>
        </w:rPr>
      </w:pPr>
    </w:p>
    <w:p>
      <w:pPr>
        <w:pStyle w:val="BodyText"/>
        <w:ind w:left="658"/>
      </w:pPr>
      <w:r>
        <w:rPr>
          <w:spacing w:val="2"/>
        </w:rPr>
        <w:t>年 </w:t>
      </w:r>
      <w:r>
        <w:rPr/>
        <w:t>7</w:t>
      </w:r>
      <w:r>
        <w:rPr>
          <w:spacing w:val="-35"/>
        </w:rPr>
        <w:t> 月 </w:t>
      </w:r>
      <w:r>
        <w:rPr/>
        <w:t>14</w:t>
      </w:r>
      <w:r>
        <w:rPr>
          <w:spacing w:val="-20"/>
        </w:rPr>
        <w:t> 日在民生银行、</w:t>
      </w:r>
      <w:r>
        <w:rPr/>
        <w:t>2008</w:t>
      </w:r>
      <w:r>
        <w:rPr>
          <w:spacing w:val="-35"/>
        </w:rPr>
        <w:t> 年 </w:t>
      </w:r>
      <w:r>
        <w:rPr/>
        <w:t>11</w:t>
      </w:r>
      <w:r>
        <w:rPr>
          <w:spacing w:val="-34"/>
        </w:rPr>
        <w:t> 月 </w:t>
      </w:r>
      <w:r>
        <w:rPr/>
        <w:t>12</w:t>
      </w:r>
      <w:r>
        <w:rPr>
          <w:spacing w:val="-19"/>
        </w:rPr>
        <w:t> 日在广发银行、</w:t>
      </w:r>
      <w:r>
        <w:rPr/>
        <w:t>2009</w:t>
      </w:r>
      <w:r>
        <w:rPr>
          <w:spacing w:val="-35"/>
        </w:rPr>
        <w:t> 年 </w:t>
      </w:r>
      <w:r>
        <w:rPr/>
        <w:t>1</w:t>
      </w:r>
      <w:r>
        <w:rPr>
          <w:spacing w:val="-35"/>
        </w:rPr>
        <w:t> 月 </w:t>
      </w:r>
      <w:r>
        <w:rPr/>
        <w:t>12</w:t>
      </w:r>
      <w:r>
        <w:rPr>
          <w:spacing w:val="-22"/>
        </w:rPr>
        <w:t> 日在平安银行</w:t>
      </w:r>
      <w:r>
        <w:rPr/>
        <w:t>（原</w:t>
      </w:r>
    </w:p>
    <w:p>
      <w:pPr>
        <w:pStyle w:val="BodyText"/>
        <w:spacing w:before="7"/>
        <w:rPr>
          <w:sz w:val="15"/>
        </w:rPr>
      </w:pPr>
    </w:p>
    <w:p>
      <w:pPr>
        <w:pStyle w:val="BodyText"/>
        <w:ind w:left="658"/>
      </w:pPr>
      <w:r>
        <w:rPr>
          <w:spacing w:val="-2"/>
        </w:rPr>
        <w:t>深圳发展银行</w:t>
      </w:r>
      <w:r>
        <w:rPr>
          <w:spacing w:val="-108"/>
        </w:rPr>
        <w:t>）</w:t>
      </w:r>
      <w:r>
        <w:rPr/>
        <w:t>、2009</w:t>
      </w:r>
      <w:r>
        <w:rPr>
          <w:spacing w:val="-28"/>
        </w:rPr>
        <w:t> 年 </w:t>
      </w:r>
      <w:r>
        <w:rPr/>
        <w:t>1</w:t>
      </w:r>
      <w:r>
        <w:rPr>
          <w:spacing w:val="-27"/>
        </w:rPr>
        <w:t> 月 </w:t>
      </w:r>
      <w:r>
        <w:rPr/>
        <w:t>22</w:t>
      </w:r>
      <w:r>
        <w:rPr>
          <w:spacing w:val="-8"/>
        </w:rPr>
        <w:t> 日在浙商银行、</w:t>
      </w:r>
      <w:r>
        <w:rPr/>
        <w:t>2009</w:t>
      </w:r>
      <w:r>
        <w:rPr>
          <w:spacing w:val="-28"/>
        </w:rPr>
        <w:t> 年 </w:t>
      </w:r>
      <w:r>
        <w:rPr/>
        <w:t>4</w:t>
      </w:r>
      <w:r>
        <w:rPr>
          <w:spacing w:val="-28"/>
        </w:rPr>
        <w:t> 月 </w:t>
      </w:r>
      <w:r>
        <w:rPr/>
        <w:t>27</w:t>
      </w:r>
      <w:r>
        <w:rPr>
          <w:spacing w:val="-7"/>
        </w:rPr>
        <w:t> 日在兴业银行、</w:t>
      </w:r>
      <w:r>
        <w:rPr/>
        <w:t>2009</w:t>
      </w:r>
      <w:r>
        <w:rPr>
          <w:spacing w:val="-28"/>
        </w:rPr>
        <w:t> 年 </w:t>
      </w:r>
      <w:r>
        <w:rPr/>
        <w:t>7</w:t>
      </w:r>
    </w:p>
    <w:p>
      <w:pPr>
        <w:pStyle w:val="BodyText"/>
        <w:spacing w:before="6"/>
        <w:rPr>
          <w:sz w:val="15"/>
        </w:rPr>
      </w:pPr>
    </w:p>
    <w:p>
      <w:pPr>
        <w:pStyle w:val="BodyText"/>
        <w:spacing w:before="1"/>
        <w:ind w:left="658"/>
      </w:pPr>
      <w:r>
        <w:rPr>
          <w:spacing w:val="-21"/>
        </w:rPr>
        <w:t>月 </w:t>
      </w:r>
      <w:r>
        <w:rPr/>
        <w:t>14</w:t>
      </w:r>
      <w:r>
        <w:rPr>
          <w:spacing w:val="-7"/>
        </w:rPr>
        <w:t> 日在中信建投、</w:t>
      </w:r>
      <w:r>
        <w:rPr/>
        <w:t>2009</w:t>
      </w:r>
      <w:r>
        <w:rPr>
          <w:spacing w:val="-28"/>
        </w:rPr>
        <w:t> 年 </w:t>
      </w:r>
      <w:r>
        <w:rPr/>
        <w:t>11</w:t>
      </w:r>
      <w:r>
        <w:rPr>
          <w:spacing w:val="-28"/>
        </w:rPr>
        <w:t> 月 </w:t>
      </w:r>
      <w:r>
        <w:rPr/>
        <w:t>25</w:t>
      </w:r>
      <w:r>
        <w:rPr>
          <w:spacing w:val="-7"/>
        </w:rPr>
        <w:t> 日在平安银行、</w:t>
      </w:r>
      <w:r>
        <w:rPr/>
        <w:t>2010</w:t>
      </w:r>
      <w:r>
        <w:rPr>
          <w:spacing w:val="-28"/>
        </w:rPr>
        <w:t> 年 </w:t>
      </w:r>
      <w:r>
        <w:rPr/>
        <w:t>1</w:t>
      </w:r>
      <w:r>
        <w:rPr>
          <w:spacing w:val="-28"/>
        </w:rPr>
        <w:t> 月 </w:t>
      </w:r>
      <w:r>
        <w:rPr/>
        <w:t>4</w:t>
      </w:r>
      <w:r>
        <w:rPr>
          <w:spacing w:val="-8"/>
        </w:rPr>
        <w:t> 日在爱建证券、</w:t>
      </w:r>
      <w:r>
        <w:rPr/>
        <w:t>2010</w:t>
      </w:r>
    </w:p>
    <w:p>
      <w:pPr>
        <w:pStyle w:val="BodyText"/>
        <w:spacing w:before="6"/>
        <w:rPr>
          <w:sz w:val="15"/>
        </w:rPr>
      </w:pPr>
    </w:p>
    <w:p>
      <w:pPr>
        <w:pStyle w:val="BodyText"/>
        <w:ind w:left="658"/>
      </w:pPr>
      <w:r>
        <w:rPr>
          <w:spacing w:val="-23"/>
        </w:rPr>
        <w:t>年 </w:t>
      </w:r>
      <w:r>
        <w:rPr/>
        <w:t>3</w:t>
      </w:r>
      <w:r>
        <w:rPr>
          <w:spacing w:val="-31"/>
        </w:rPr>
        <w:t> 月 </w:t>
      </w:r>
      <w:r>
        <w:rPr/>
        <w:t>4</w:t>
      </w:r>
      <w:r>
        <w:rPr>
          <w:spacing w:val="-10"/>
        </w:rPr>
        <w:t> 日在银河证券、</w:t>
      </w:r>
      <w:r>
        <w:rPr/>
        <w:t>2010</w:t>
      </w:r>
      <w:r>
        <w:rPr>
          <w:spacing w:val="-32"/>
        </w:rPr>
        <w:t> 年 </w:t>
      </w:r>
      <w:r>
        <w:rPr/>
        <w:t>3</w:t>
      </w:r>
      <w:r>
        <w:rPr>
          <w:spacing w:val="-32"/>
        </w:rPr>
        <w:t> 月 </w:t>
      </w:r>
      <w:r>
        <w:rPr/>
        <w:t>11</w:t>
      </w:r>
      <w:r>
        <w:rPr>
          <w:spacing w:val="-8"/>
        </w:rPr>
        <w:t> 日在本公司深圳直销中心、</w:t>
      </w:r>
      <w:r>
        <w:rPr>
          <w:rFonts w:ascii="Times New Roman" w:eastAsia="Times New Roman"/>
          <w:sz w:val="20"/>
        </w:rPr>
        <w:t>2010</w:t>
      </w:r>
      <w:r>
        <w:rPr>
          <w:rFonts w:ascii="Times New Roman" w:eastAsia="Times New Roman"/>
          <w:spacing w:val="4"/>
          <w:sz w:val="20"/>
        </w:rPr>
        <w:t> </w:t>
      </w:r>
      <w:r>
        <w:rPr>
          <w:spacing w:val="-23"/>
        </w:rPr>
        <w:t>年 </w:t>
      </w:r>
      <w:r>
        <w:rPr>
          <w:rFonts w:ascii="Times New Roman" w:eastAsia="Times New Roman"/>
          <w:sz w:val="20"/>
        </w:rPr>
        <w:t>4</w:t>
      </w:r>
      <w:r>
        <w:rPr>
          <w:rFonts w:ascii="Times New Roman" w:eastAsia="Times New Roman"/>
          <w:spacing w:val="4"/>
          <w:sz w:val="20"/>
        </w:rPr>
        <w:t> </w:t>
      </w:r>
      <w:r>
        <w:rPr>
          <w:spacing w:val="-23"/>
        </w:rPr>
        <w:t>月 </w:t>
      </w:r>
      <w:r>
        <w:rPr>
          <w:rFonts w:ascii="Times New Roman" w:eastAsia="Times New Roman"/>
          <w:sz w:val="20"/>
        </w:rPr>
        <w:t>20</w:t>
      </w:r>
      <w:r>
        <w:rPr>
          <w:rFonts w:ascii="Times New Roman" w:eastAsia="Times New Roman"/>
          <w:spacing w:val="4"/>
          <w:sz w:val="20"/>
        </w:rPr>
        <w:t> </w:t>
      </w:r>
      <w:r>
        <w:rPr>
          <w:spacing w:val="-2"/>
        </w:rPr>
        <w:t>日在国</w:t>
      </w:r>
    </w:p>
    <w:p>
      <w:pPr>
        <w:pStyle w:val="BodyText"/>
        <w:spacing w:before="7"/>
        <w:rPr>
          <w:sz w:val="15"/>
        </w:rPr>
      </w:pPr>
    </w:p>
    <w:p>
      <w:pPr>
        <w:pStyle w:val="BodyText"/>
        <w:ind w:left="658"/>
        <w:rPr>
          <w:rFonts w:ascii="Times New Roman" w:eastAsia="Times New Roman"/>
        </w:rPr>
      </w:pPr>
      <w:r>
        <w:rPr>
          <w:spacing w:val="-2"/>
        </w:rPr>
        <w:t>泰君安证券、</w:t>
      </w:r>
      <w:r>
        <w:rPr>
          <w:rFonts w:ascii="Times New Roman" w:eastAsia="Times New Roman"/>
        </w:rPr>
        <w:t>2010</w:t>
      </w:r>
      <w:r>
        <w:rPr>
          <w:rFonts w:ascii="Times New Roman" w:eastAsia="Times New Roman"/>
          <w:spacing w:val="12"/>
        </w:rPr>
        <w:t> </w:t>
      </w:r>
      <w:r>
        <w:rPr>
          <w:spacing w:val="-20"/>
        </w:rPr>
        <w:t>年 </w:t>
      </w:r>
      <w:r>
        <w:rPr>
          <w:rFonts w:ascii="Times New Roman" w:eastAsia="Times New Roman"/>
        </w:rPr>
        <w:t>6</w:t>
      </w:r>
      <w:r>
        <w:rPr>
          <w:rFonts w:ascii="Times New Roman" w:eastAsia="Times New Roman"/>
          <w:spacing w:val="10"/>
        </w:rPr>
        <w:t> </w:t>
      </w:r>
      <w:r>
        <w:rPr>
          <w:spacing w:val="-21"/>
        </w:rPr>
        <w:t>月 </w:t>
      </w:r>
      <w:r>
        <w:rPr>
          <w:rFonts w:ascii="Times New Roman" w:eastAsia="Times New Roman"/>
        </w:rPr>
        <w:t>7</w:t>
      </w:r>
      <w:r>
        <w:rPr>
          <w:rFonts w:ascii="Times New Roman" w:eastAsia="Times New Roman"/>
          <w:spacing w:val="12"/>
        </w:rPr>
        <w:t> </w:t>
      </w:r>
      <w:r>
        <w:rPr>
          <w:spacing w:val="-3"/>
        </w:rPr>
        <w:t>日在申银万国证券、</w:t>
      </w:r>
      <w:r>
        <w:rPr>
          <w:rFonts w:ascii="Times New Roman" w:eastAsia="Times New Roman"/>
        </w:rPr>
        <w:t>2010</w:t>
      </w:r>
      <w:r>
        <w:rPr>
          <w:rFonts w:ascii="Times New Roman" w:eastAsia="Times New Roman"/>
          <w:spacing w:val="13"/>
        </w:rPr>
        <w:t> </w:t>
      </w:r>
      <w:r>
        <w:rPr>
          <w:spacing w:val="-20"/>
        </w:rPr>
        <w:t>年 </w:t>
      </w:r>
      <w:r>
        <w:rPr>
          <w:rFonts w:ascii="Times New Roman" w:eastAsia="Times New Roman"/>
        </w:rPr>
        <w:t>6</w:t>
      </w:r>
      <w:r>
        <w:rPr>
          <w:rFonts w:ascii="Times New Roman" w:eastAsia="Times New Roman"/>
          <w:spacing w:val="12"/>
        </w:rPr>
        <w:t> </w:t>
      </w:r>
      <w:r>
        <w:rPr>
          <w:spacing w:val="-20"/>
        </w:rPr>
        <w:t>月 </w:t>
      </w:r>
      <w:r>
        <w:rPr>
          <w:rFonts w:ascii="Times New Roman" w:eastAsia="Times New Roman"/>
        </w:rPr>
        <w:t>10</w:t>
      </w:r>
      <w:r>
        <w:rPr>
          <w:rFonts w:ascii="Times New Roman" w:eastAsia="Times New Roman"/>
          <w:spacing w:val="10"/>
        </w:rPr>
        <w:t> </w:t>
      </w:r>
      <w:r>
        <w:rPr>
          <w:spacing w:val="-3"/>
        </w:rPr>
        <w:t>日在温州银行、</w:t>
      </w:r>
      <w:r>
        <w:rPr>
          <w:rFonts w:ascii="Times New Roman" w:eastAsia="Times New Roman"/>
        </w:rPr>
        <w:t>2010</w:t>
      </w:r>
      <w:r>
        <w:rPr>
          <w:rFonts w:ascii="Times New Roman" w:eastAsia="Times New Roman"/>
          <w:spacing w:val="10"/>
        </w:rPr>
        <w:t> </w:t>
      </w:r>
      <w:r>
        <w:rPr>
          <w:spacing w:val="-20"/>
        </w:rPr>
        <w:t>年 </w:t>
      </w:r>
      <w:r>
        <w:rPr>
          <w:rFonts w:ascii="Times New Roman" w:eastAsia="Times New Roman"/>
        </w:rPr>
        <w:t>6</w:t>
      </w:r>
    </w:p>
    <w:p>
      <w:pPr>
        <w:pStyle w:val="BodyText"/>
        <w:spacing w:before="4"/>
        <w:rPr>
          <w:rFonts w:ascii="Times New Roman"/>
          <w:sz w:val="17"/>
        </w:rPr>
      </w:pPr>
    </w:p>
    <w:p>
      <w:pPr>
        <w:pStyle w:val="BodyText"/>
        <w:ind w:left="658"/>
        <w:rPr>
          <w:rFonts w:ascii="Times New Roman" w:eastAsia="Times New Roman"/>
        </w:rPr>
      </w:pPr>
      <w:r>
        <w:rPr>
          <w:spacing w:val="-26"/>
        </w:rPr>
        <w:t>月 </w:t>
      </w:r>
      <w:r>
        <w:rPr>
          <w:rFonts w:ascii="Times New Roman" w:eastAsia="Times New Roman"/>
        </w:rPr>
        <w:t>21 </w:t>
      </w:r>
      <w:r>
        <w:rPr>
          <w:spacing w:val="-5"/>
        </w:rPr>
        <w:t>日在安信证券、</w:t>
      </w:r>
      <w:r>
        <w:rPr>
          <w:rFonts w:ascii="Times New Roman" w:eastAsia="Times New Roman"/>
        </w:rPr>
        <w:t>2010 </w:t>
      </w:r>
      <w:r>
        <w:rPr>
          <w:spacing w:val="-25"/>
        </w:rPr>
        <w:t>年 </w:t>
      </w:r>
      <w:r>
        <w:rPr>
          <w:rFonts w:ascii="Times New Roman" w:eastAsia="Times New Roman"/>
        </w:rPr>
        <w:t>7</w:t>
      </w:r>
      <w:r>
        <w:rPr>
          <w:rFonts w:ascii="Times New Roman" w:eastAsia="Times New Roman"/>
          <w:spacing w:val="3"/>
        </w:rPr>
        <w:t> </w:t>
      </w:r>
      <w:r>
        <w:rPr>
          <w:spacing w:val="1"/>
        </w:rPr>
        <w:t>月 </w:t>
      </w:r>
      <w:r>
        <w:rPr>
          <w:rFonts w:ascii="Times New Roman" w:eastAsia="Times New Roman"/>
        </w:rPr>
        <w:t>20 </w:t>
      </w:r>
      <w:r>
        <w:rPr>
          <w:spacing w:val="-5"/>
        </w:rPr>
        <w:t>日在国信证券、</w:t>
      </w:r>
      <w:r>
        <w:rPr>
          <w:rFonts w:ascii="Times New Roman" w:eastAsia="Times New Roman"/>
        </w:rPr>
        <w:t>2010</w:t>
      </w:r>
      <w:r>
        <w:rPr>
          <w:rFonts w:ascii="Times New Roman" w:eastAsia="Times New Roman"/>
          <w:spacing w:val="-1"/>
        </w:rPr>
        <w:t> </w:t>
      </w:r>
      <w:r>
        <w:rPr>
          <w:spacing w:val="-25"/>
        </w:rPr>
        <w:t>年 </w:t>
      </w:r>
      <w:r>
        <w:rPr>
          <w:rFonts w:ascii="Times New Roman" w:eastAsia="Times New Roman"/>
        </w:rPr>
        <w:t>8 </w:t>
      </w:r>
      <w:r>
        <w:rPr>
          <w:spacing w:val="2"/>
        </w:rPr>
        <w:t>月 </w:t>
      </w:r>
      <w:r>
        <w:rPr>
          <w:rFonts w:ascii="Times New Roman" w:eastAsia="Times New Roman"/>
        </w:rPr>
        <w:t>13</w:t>
      </w:r>
      <w:r>
        <w:rPr>
          <w:rFonts w:ascii="Times New Roman" w:eastAsia="Times New Roman"/>
          <w:spacing w:val="2"/>
        </w:rPr>
        <w:t>  </w:t>
      </w:r>
      <w:r>
        <w:rPr>
          <w:spacing w:val="-5"/>
        </w:rPr>
        <w:t>日在广发证券、</w:t>
      </w:r>
      <w:r>
        <w:rPr>
          <w:rFonts w:ascii="Times New Roman" w:eastAsia="Times New Roman"/>
        </w:rPr>
        <w:t>2010</w:t>
      </w:r>
    </w:p>
    <w:p>
      <w:pPr>
        <w:spacing w:after="0"/>
        <w:rPr>
          <w:rFonts w:ascii="Times New Roman" w:eastAsia="Times New Roman"/>
        </w:rPr>
        <w:sectPr>
          <w:pgSz w:w="11910" w:h="16840"/>
          <w:pgMar w:header="852" w:footer="992" w:top="1220" w:bottom="1180" w:left="1140" w:right="480"/>
        </w:sectPr>
      </w:pPr>
    </w:p>
    <w:p>
      <w:pPr>
        <w:pStyle w:val="BodyText"/>
        <w:spacing w:before="7"/>
        <w:rPr>
          <w:rFonts w:ascii="Times New Roman"/>
          <w:sz w:val="20"/>
        </w:rPr>
      </w:pPr>
    </w:p>
    <w:p>
      <w:pPr>
        <w:pStyle w:val="BodyText"/>
        <w:spacing w:before="79"/>
        <w:ind w:left="658"/>
      </w:pPr>
      <w:r>
        <w:rPr>
          <w:spacing w:val="-26"/>
        </w:rPr>
        <w:t>年 </w:t>
      </w:r>
      <w:r>
        <w:rPr>
          <w:rFonts w:ascii="Times New Roman" w:eastAsia="Times New Roman"/>
        </w:rPr>
        <w:t>8</w:t>
      </w:r>
      <w:r>
        <w:rPr>
          <w:rFonts w:ascii="Times New Roman" w:eastAsia="Times New Roman"/>
          <w:spacing w:val="3"/>
        </w:rPr>
        <w:t> </w:t>
      </w:r>
      <w:r>
        <w:rPr>
          <w:spacing w:val="-26"/>
        </w:rPr>
        <w:t>月 </w:t>
      </w:r>
      <w:r>
        <w:rPr>
          <w:rFonts w:ascii="Times New Roman" w:eastAsia="Times New Roman"/>
        </w:rPr>
        <w:t>13</w:t>
      </w:r>
      <w:r>
        <w:rPr>
          <w:rFonts w:ascii="Times New Roman" w:eastAsia="Times New Roman"/>
          <w:spacing w:val="3"/>
        </w:rPr>
        <w:t> </w:t>
      </w:r>
      <w:r>
        <w:rPr>
          <w:spacing w:val="-2"/>
        </w:rPr>
        <w:t>日在信达证券、</w:t>
      </w:r>
      <w:r>
        <w:rPr>
          <w:rFonts w:ascii="Times New Roman" w:eastAsia="Times New Roman"/>
        </w:rPr>
        <w:t>2010</w:t>
      </w:r>
      <w:r>
        <w:rPr>
          <w:rFonts w:ascii="Times New Roman" w:eastAsia="Times New Roman"/>
          <w:spacing w:val="2"/>
        </w:rPr>
        <w:t> </w:t>
      </w:r>
      <w:r>
        <w:rPr>
          <w:spacing w:val="-25"/>
        </w:rPr>
        <w:t>年 </w:t>
      </w:r>
      <w:r>
        <w:rPr>
          <w:rFonts w:ascii="Times New Roman" w:eastAsia="Times New Roman"/>
        </w:rPr>
        <w:t>8</w:t>
      </w:r>
      <w:r>
        <w:rPr>
          <w:rFonts w:ascii="Times New Roman" w:eastAsia="Times New Roman"/>
          <w:spacing w:val="2"/>
        </w:rPr>
        <w:t> </w:t>
      </w:r>
      <w:r>
        <w:rPr>
          <w:spacing w:val="-25"/>
        </w:rPr>
        <w:t>月 </w:t>
      </w:r>
      <w:r>
        <w:rPr>
          <w:rFonts w:ascii="Times New Roman" w:eastAsia="Times New Roman"/>
        </w:rPr>
        <w:t>30</w:t>
      </w:r>
      <w:r>
        <w:rPr>
          <w:rFonts w:ascii="Times New Roman" w:eastAsia="Times New Roman"/>
          <w:spacing w:val="1"/>
        </w:rPr>
        <w:t>  </w:t>
      </w:r>
      <w:r>
        <w:rPr>
          <w:spacing w:val="-3"/>
        </w:rPr>
        <w:t>日在光大证券、</w:t>
      </w:r>
      <w:r>
        <w:rPr>
          <w:rFonts w:ascii="Times New Roman" w:eastAsia="Times New Roman"/>
        </w:rPr>
        <w:t>2010</w:t>
      </w:r>
      <w:r>
        <w:rPr>
          <w:rFonts w:ascii="Times New Roman" w:eastAsia="Times New Roman"/>
          <w:spacing w:val="2"/>
        </w:rPr>
        <w:t> </w:t>
      </w:r>
      <w:r>
        <w:rPr>
          <w:spacing w:val="-25"/>
        </w:rPr>
        <w:t>年 </w:t>
      </w:r>
      <w:r>
        <w:rPr>
          <w:rFonts w:ascii="Times New Roman" w:eastAsia="Times New Roman"/>
        </w:rPr>
        <w:t>8</w:t>
      </w:r>
      <w:r>
        <w:rPr>
          <w:rFonts w:ascii="Times New Roman" w:eastAsia="Times New Roman"/>
          <w:spacing w:val="3"/>
        </w:rPr>
        <w:t> </w:t>
      </w:r>
      <w:r>
        <w:rPr>
          <w:spacing w:val="-26"/>
        </w:rPr>
        <w:t>月 </w:t>
      </w:r>
      <w:r>
        <w:rPr>
          <w:rFonts w:ascii="Times New Roman" w:eastAsia="Times New Roman"/>
        </w:rPr>
        <w:t>30</w:t>
      </w:r>
      <w:r>
        <w:rPr>
          <w:rFonts w:ascii="Times New Roman" w:eastAsia="Times New Roman"/>
          <w:spacing w:val="1"/>
        </w:rPr>
        <w:t>  </w:t>
      </w:r>
      <w:r>
        <w:rPr>
          <w:spacing w:val="-3"/>
        </w:rPr>
        <w:t>日在宏源证券、</w:t>
      </w:r>
    </w:p>
    <w:p>
      <w:pPr>
        <w:pStyle w:val="BodyText"/>
        <w:spacing w:before="6"/>
        <w:rPr>
          <w:sz w:val="15"/>
        </w:rPr>
      </w:pPr>
    </w:p>
    <w:p>
      <w:pPr>
        <w:pStyle w:val="BodyText"/>
        <w:ind w:left="658"/>
      </w:pPr>
      <w:r>
        <w:rPr>
          <w:rFonts w:ascii="Times New Roman" w:eastAsia="Times New Roman"/>
        </w:rPr>
        <w:t>2010</w:t>
      </w:r>
      <w:r>
        <w:rPr>
          <w:rFonts w:ascii="Times New Roman" w:eastAsia="Times New Roman"/>
          <w:spacing w:val="-5"/>
        </w:rPr>
        <w:t> </w:t>
      </w:r>
      <w:r>
        <w:rPr>
          <w:spacing w:val="-29"/>
        </w:rPr>
        <w:t>年 </w:t>
      </w:r>
      <w:r>
        <w:rPr>
          <w:rFonts w:ascii="Times New Roman" w:eastAsia="Times New Roman"/>
        </w:rPr>
        <w:t>9</w:t>
      </w:r>
      <w:r>
        <w:rPr>
          <w:rFonts w:ascii="Times New Roman" w:eastAsia="Times New Roman"/>
          <w:spacing w:val="-5"/>
        </w:rPr>
        <w:t> </w:t>
      </w:r>
      <w:r>
        <w:rPr>
          <w:spacing w:val="-29"/>
        </w:rPr>
        <w:t>月 </w:t>
      </w:r>
      <w:r>
        <w:rPr>
          <w:rFonts w:ascii="Times New Roman" w:eastAsia="Times New Roman"/>
        </w:rPr>
        <w:t>1</w:t>
      </w:r>
      <w:r>
        <w:rPr>
          <w:rFonts w:ascii="Times New Roman" w:eastAsia="Times New Roman"/>
          <w:spacing w:val="2"/>
        </w:rPr>
        <w:t>  </w:t>
      </w:r>
      <w:r>
        <w:rPr>
          <w:spacing w:val="-18"/>
        </w:rPr>
        <w:t>日在海通证券、</w:t>
      </w:r>
      <w:r>
        <w:rPr>
          <w:rFonts w:ascii="Times New Roman" w:eastAsia="Times New Roman"/>
        </w:rPr>
        <w:t>2010</w:t>
      </w:r>
      <w:r>
        <w:rPr>
          <w:rFonts w:ascii="Times New Roman" w:eastAsia="Times New Roman"/>
          <w:spacing w:val="-8"/>
        </w:rPr>
        <w:t> </w:t>
      </w:r>
      <w:r>
        <w:rPr>
          <w:spacing w:val="-29"/>
        </w:rPr>
        <w:t>年 </w:t>
      </w:r>
      <w:r>
        <w:rPr>
          <w:rFonts w:ascii="Times New Roman" w:eastAsia="Times New Roman"/>
        </w:rPr>
        <w:t>9</w:t>
      </w:r>
      <w:r>
        <w:rPr>
          <w:rFonts w:ascii="Times New Roman" w:eastAsia="Times New Roman"/>
          <w:spacing w:val="-5"/>
        </w:rPr>
        <w:t> </w:t>
      </w:r>
      <w:r>
        <w:rPr>
          <w:spacing w:val="-29"/>
        </w:rPr>
        <w:t>月 </w:t>
      </w:r>
      <w:r>
        <w:rPr>
          <w:rFonts w:ascii="Times New Roman" w:eastAsia="Times New Roman"/>
        </w:rPr>
        <w:t>3</w:t>
      </w:r>
      <w:r>
        <w:rPr>
          <w:rFonts w:ascii="Times New Roman" w:eastAsia="Times New Roman"/>
          <w:spacing w:val="-5"/>
        </w:rPr>
        <w:t> </w:t>
      </w:r>
      <w:r>
        <w:rPr>
          <w:spacing w:val="-18"/>
        </w:rPr>
        <w:t>日在华泰证券、</w:t>
      </w:r>
      <w:r>
        <w:rPr>
          <w:rFonts w:ascii="Times New Roman" w:eastAsia="Times New Roman"/>
        </w:rPr>
        <w:t>2010</w:t>
      </w:r>
      <w:r>
        <w:rPr>
          <w:rFonts w:ascii="Times New Roman" w:eastAsia="Times New Roman"/>
          <w:spacing w:val="-4"/>
        </w:rPr>
        <w:t> </w:t>
      </w:r>
      <w:r>
        <w:rPr>
          <w:spacing w:val="-29"/>
        </w:rPr>
        <w:t>年 </w:t>
      </w:r>
      <w:r>
        <w:rPr>
          <w:rFonts w:ascii="Times New Roman" w:eastAsia="Times New Roman"/>
        </w:rPr>
        <w:t>10</w:t>
      </w:r>
      <w:r>
        <w:rPr>
          <w:rFonts w:ascii="Times New Roman" w:eastAsia="Times New Roman"/>
          <w:spacing w:val="-7"/>
        </w:rPr>
        <w:t> </w:t>
      </w:r>
      <w:r>
        <w:rPr>
          <w:spacing w:val="-29"/>
        </w:rPr>
        <w:t>月 </w:t>
      </w:r>
      <w:r>
        <w:rPr>
          <w:rFonts w:ascii="Times New Roman" w:eastAsia="Times New Roman"/>
        </w:rPr>
        <w:t>26</w:t>
      </w:r>
      <w:r>
        <w:rPr>
          <w:rFonts w:ascii="Times New Roman" w:eastAsia="Times New Roman"/>
          <w:spacing w:val="-4"/>
        </w:rPr>
        <w:t> </w:t>
      </w:r>
      <w:r>
        <w:rPr>
          <w:spacing w:val="-3"/>
        </w:rPr>
        <w:t>日在渤海银行、</w:t>
      </w:r>
    </w:p>
    <w:p>
      <w:pPr>
        <w:pStyle w:val="BodyText"/>
        <w:spacing w:before="7"/>
        <w:rPr>
          <w:sz w:val="15"/>
        </w:rPr>
      </w:pPr>
    </w:p>
    <w:p>
      <w:pPr>
        <w:pStyle w:val="BodyText"/>
        <w:ind w:left="658"/>
      </w:pPr>
      <w:r>
        <w:rPr>
          <w:rFonts w:ascii="Times New Roman" w:eastAsia="Times New Roman"/>
        </w:rPr>
        <w:t>2010</w:t>
      </w:r>
      <w:r>
        <w:rPr>
          <w:rFonts w:ascii="Times New Roman" w:eastAsia="Times New Roman"/>
          <w:spacing w:val="7"/>
        </w:rPr>
        <w:t> </w:t>
      </w:r>
      <w:r>
        <w:rPr>
          <w:spacing w:val="-23"/>
        </w:rPr>
        <w:t>年 </w:t>
      </w:r>
      <w:r>
        <w:rPr>
          <w:rFonts w:ascii="Times New Roman" w:eastAsia="Times New Roman"/>
          <w:spacing w:val="-4"/>
        </w:rPr>
        <w:t>11</w:t>
      </w:r>
      <w:r>
        <w:rPr>
          <w:rFonts w:ascii="Times New Roman" w:eastAsia="Times New Roman"/>
          <w:spacing w:val="7"/>
        </w:rPr>
        <w:t> </w:t>
      </w:r>
      <w:r>
        <w:rPr>
          <w:spacing w:val="-23"/>
        </w:rPr>
        <w:t>月 </w:t>
      </w:r>
      <w:r>
        <w:rPr>
          <w:rFonts w:ascii="Times New Roman" w:eastAsia="Times New Roman"/>
        </w:rPr>
        <w:t>8</w:t>
      </w:r>
      <w:r>
        <w:rPr>
          <w:rFonts w:ascii="Times New Roman" w:eastAsia="Times New Roman"/>
          <w:spacing w:val="7"/>
        </w:rPr>
        <w:t> </w:t>
      </w:r>
      <w:r>
        <w:rPr>
          <w:spacing w:val="-3"/>
        </w:rPr>
        <w:t>日在华龙证券、</w:t>
      </w:r>
      <w:r>
        <w:rPr>
          <w:rFonts w:ascii="Times New Roman" w:eastAsia="Times New Roman"/>
        </w:rPr>
        <w:t>2011</w:t>
      </w:r>
      <w:r>
        <w:rPr>
          <w:rFonts w:ascii="Times New Roman" w:eastAsia="Times New Roman"/>
          <w:spacing w:val="7"/>
        </w:rPr>
        <w:t> </w:t>
      </w:r>
      <w:r>
        <w:rPr>
          <w:spacing w:val="-23"/>
        </w:rPr>
        <w:t>年 </w:t>
      </w:r>
      <w:r>
        <w:rPr>
          <w:rFonts w:ascii="Times New Roman" w:eastAsia="Times New Roman"/>
        </w:rPr>
        <w:t>1</w:t>
      </w:r>
      <w:r>
        <w:rPr>
          <w:rFonts w:ascii="Times New Roman" w:eastAsia="Times New Roman"/>
          <w:spacing w:val="8"/>
        </w:rPr>
        <w:t> </w:t>
      </w:r>
      <w:r>
        <w:rPr>
          <w:spacing w:val="-23"/>
        </w:rPr>
        <w:t>月 </w:t>
      </w:r>
      <w:r>
        <w:rPr>
          <w:rFonts w:ascii="Times New Roman" w:eastAsia="Times New Roman"/>
        </w:rPr>
        <w:t>31</w:t>
      </w:r>
      <w:r>
        <w:rPr>
          <w:rFonts w:ascii="Times New Roman" w:eastAsia="Times New Roman"/>
          <w:spacing w:val="4"/>
        </w:rPr>
        <w:t> </w:t>
      </w:r>
      <w:r>
        <w:rPr>
          <w:spacing w:val="-3"/>
        </w:rPr>
        <w:t>日在浙商证券、</w:t>
      </w:r>
      <w:r>
        <w:rPr>
          <w:rFonts w:ascii="Times New Roman" w:eastAsia="Times New Roman"/>
          <w:spacing w:val="-3"/>
        </w:rPr>
        <w:t>2011</w:t>
      </w:r>
      <w:r>
        <w:rPr>
          <w:rFonts w:ascii="Times New Roman" w:eastAsia="Times New Roman"/>
          <w:spacing w:val="7"/>
        </w:rPr>
        <w:t> </w:t>
      </w:r>
      <w:r>
        <w:rPr>
          <w:spacing w:val="-23"/>
        </w:rPr>
        <w:t>年 </w:t>
      </w:r>
      <w:r>
        <w:rPr>
          <w:rFonts w:ascii="Times New Roman" w:eastAsia="Times New Roman"/>
        </w:rPr>
        <w:t>2</w:t>
      </w:r>
      <w:r>
        <w:rPr>
          <w:rFonts w:ascii="Times New Roman" w:eastAsia="Times New Roman"/>
          <w:spacing w:val="8"/>
        </w:rPr>
        <w:t> </w:t>
      </w:r>
      <w:r>
        <w:rPr>
          <w:spacing w:val="-24"/>
        </w:rPr>
        <w:t>月 </w:t>
      </w:r>
      <w:r>
        <w:rPr>
          <w:rFonts w:ascii="Times New Roman" w:eastAsia="Times New Roman"/>
        </w:rPr>
        <w:t>21</w:t>
      </w:r>
      <w:r>
        <w:rPr>
          <w:rFonts w:ascii="Times New Roman" w:eastAsia="Times New Roman"/>
          <w:spacing w:val="7"/>
        </w:rPr>
        <w:t> </w:t>
      </w:r>
      <w:r>
        <w:rPr>
          <w:spacing w:val="-3"/>
        </w:rPr>
        <w:t>日在中信证</w:t>
      </w:r>
    </w:p>
    <w:p>
      <w:pPr>
        <w:pStyle w:val="BodyText"/>
        <w:spacing w:before="7"/>
        <w:rPr>
          <w:sz w:val="15"/>
        </w:rPr>
      </w:pPr>
    </w:p>
    <w:p>
      <w:pPr>
        <w:pStyle w:val="BodyText"/>
        <w:ind w:left="658"/>
      </w:pPr>
      <w:r>
        <w:rPr>
          <w:spacing w:val="-12"/>
        </w:rPr>
        <w:t>券、</w:t>
      </w:r>
      <w:r>
        <w:rPr>
          <w:rFonts w:ascii="Times New Roman" w:eastAsia="Times New Roman"/>
          <w:spacing w:val="-3"/>
        </w:rPr>
        <w:t>2011</w:t>
      </w:r>
      <w:r>
        <w:rPr>
          <w:rFonts w:ascii="Times New Roman" w:eastAsia="Times New Roman"/>
          <w:spacing w:val="-2"/>
        </w:rPr>
        <w:t> </w:t>
      </w:r>
      <w:r>
        <w:rPr>
          <w:spacing w:val="-25"/>
        </w:rPr>
        <w:t>年 </w:t>
      </w:r>
      <w:r>
        <w:rPr>
          <w:rFonts w:ascii="Times New Roman" w:eastAsia="Times New Roman"/>
        </w:rPr>
        <w:t>4</w:t>
      </w:r>
      <w:r>
        <w:rPr>
          <w:rFonts w:ascii="Times New Roman" w:eastAsia="Times New Roman"/>
          <w:spacing w:val="-1"/>
        </w:rPr>
        <w:t> </w:t>
      </w:r>
      <w:r>
        <w:rPr>
          <w:spacing w:val="-26"/>
        </w:rPr>
        <w:t>月 </w:t>
      </w:r>
      <w:r>
        <w:rPr>
          <w:rFonts w:ascii="Times New Roman" w:eastAsia="Times New Roman"/>
        </w:rPr>
        <w:t>29</w:t>
      </w:r>
      <w:r>
        <w:rPr>
          <w:rFonts w:ascii="Times New Roman" w:eastAsia="Times New Roman"/>
          <w:spacing w:val="2"/>
        </w:rPr>
        <w:t> </w:t>
      </w:r>
      <w:r>
        <w:rPr>
          <w:spacing w:val="-6"/>
        </w:rPr>
        <w:t>日在华泰联合证券</w:t>
      </w:r>
      <w:r>
        <w:rPr>
          <w:spacing w:val="-3"/>
        </w:rPr>
        <w:t>（</w:t>
      </w:r>
      <w:r>
        <w:rPr>
          <w:spacing w:val="-26"/>
        </w:rPr>
        <w:t>自 </w:t>
      </w:r>
      <w:r>
        <w:rPr/>
        <w:t>2011</w:t>
      </w:r>
      <w:r>
        <w:rPr>
          <w:spacing w:val="-35"/>
        </w:rPr>
        <w:t> 年 </w:t>
      </w:r>
      <w:r>
        <w:rPr/>
        <w:t>11</w:t>
      </w:r>
      <w:r>
        <w:rPr>
          <w:spacing w:val="-35"/>
        </w:rPr>
        <w:t> 月 </w:t>
      </w:r>
      <w:r>
        <w:rPr/>
        <w:t>8</w:t>
      </w:r>
      <w:r>
        <w:rPr>
          <w:spacing w:val="-13"/>
        </w:rPr>
        <w:t> 日起停止</w:t>
      </w:r>
      <w:r>
        <w:rPr>
          <w:spacing w:val="-106"/>
        </w:rPr>
        <w:t>）</w:t>
      </w:r>
      <w:r>
        <w:rPr>
          <w:spacing w:val="-24"/>
        </w:rPr>
        <w:t>、</w:t>
      </w:r>
      <w:r>
        <w:rPr>
          <w:rFonts w:ascii="Times New Roman" w:eastAsia="Times New Roman"/>
          <w:spacing w:val="-3"/>
        </w:rPr>
        <w:t>2011</w:t>
      </w:r>
      <w:r>
        <w:rPr>
          <w:rFonts w:ascii="Times New Roman" w:eastAsia="Times New Roman"/>
          <w:spacing w:val="-1"/>
        </w:rPr>
        <w:t> </w:t>
      </w:r>
      <w:r>
        <w:rPr>
          <w:spacing w:val="-26"/>
        </w:rPr>
        <w:t>年 </w:t>
      </w:r>
      <w:r>
        <w:rPr>
          <w:rFonts w:ascii="Times New Roman" w:eastAsia="Times New Roman"/>
        </w:rPr>
        <w:t>4</w:t>
      </w:r>
      <w:r>
        <w:rPr>
          <w:rFonts w:ascii="Times New Roman" w:eastAsia="Times New Roman"/>
          <w:spacing w:val="2"/>
        </w:rPr>
        <w:t> </w:t>
      </w:r>
      <w:r>
        <w:rPr>
          <w:spacing w:val="-26"/>
        </w:rPr>
        <w:t>月 </w:t>
      </w:r>
      <w:r>
        <w:rPr>
          <w:rFonts w:ascii="Times New Roman" w:eastAsia="Times New Roman"/>
        </w:rPr>
        <w:t>29</w:t>
      </w:r>
      <w:r>
        <w:rPr>
          <w:rFonts w:ascii="Times New Roman" w:eastAsia="Times New Roman"/>
          <w:spacing w:val="2"/>
        </w:rPr>
        <w:t> </w:t>
      </w:r>
      <w:r>
        <w:rPr>
          <w:spacing w:val="-3"/>
        </w:rPr>
        <w:t>日在</w:t>
      </w:r>
    </w:p>
    <w:p>
      <w:pPr>
        <w:pStyle w:val="BodyText"/>
        <w:spacing w:before="7"/>
        <w:rPr>
          <w:sz w:val="15"/>
        </w:rPr>
      </w:pPr>
    </w:p>
    <w:p>
      <w:pPr>
        <w:pStyle w:val="BodyText"/>
        <w:ind w:left="658"/>
      </w:pPr>
      <w:r>
        <w:rPr>
          <w:spacing w:val="-9"/>
        </w:rPr>
        <w:t>招商证券、</w:t>
      </w:r>
      <w:r>
        <w:rPr>
          <w:rFonts w:ascii="Times New Roman" w:eastAsia="Times New Roman"/>
          <w:spacing w:val="-3"/>
        </w:rPr>
        <w:t>2011</w:t>
      </w:r>
      <w:r>
        <w:rPr>
          <w:rFonts w:ascii="Times New Roman" w:eastAsia="Times New Roman"/>
          <w:spacing w:val="1"/>
        </w:rPr>
        <w:t> </w:t>
      </w:r>
      <w:r>
        <w:rPr>
          <w:spacing w:val="-24"/>
        </w:rPr>
        <w:t>年 </w:t>
      </w:r>
      <w:r>
        <w:rPr>
          <w:rFonts w:ascii="Times New Roman" w:eastAsia="Times New Roman"/>
        </w:rPr>
        <w:t>5</w:t>
      </w:r>
      <w:r>
        <w:rPr>
          <w:rFonts w:ascii="Times New Roman" w:eastAsia="Times New Roman"/>
          <w:spacing w:val="1"/>
        </w:rPr>
        <w:t> </w:t>
      </w:r>
      <w:r>
        <w:rPr>
          <w:spacing w:val="-24"/>
        </w:rPr>
        <w:t>月 </w:t>
      </w:r>
      <w:r>
        <w:rPr>
          <w:rFonts w:ascii="Times New Roman" w:eastAsia="Times New Roman"/>
        </w:rPr>
        <w:t>9</w:t>
      </w:r>
      <w:r>
        <w:rPr>
          <w:rFonts w:ascii="Times New Roman" w:eastAsia="Times New Roman"/>
          <w:spacing w:val="1"/>
        </w:rPr>
        <w:t> </w:t>
      </w:r>
      <w:r>
        <w:rPr>
          <w:spacing w:val="-5"/>
        </w:rPr>
        <w:t>日在长江证券开通了定期定额投资业务、</w:t>
      </w:r>
      <w:r>
        <w:rPr>
          <w:rFonts w:ascii="Times New Roman" w:eastAsia="Times New Roman"/>
          <w:spacing w:val="-3"/>
        </w:rPr>
        <w:t>2011</w:t>
      </w:r>
      <w:r>
        <w:rPr>
          <w:rFonts w:ascii="Times New Roman" w:eastAsia="Times New Roman"/>
          <w:spacing w:val="1"/>
        </w:rPr>
        <w:t> </w:t>
      </w:r>
      <w:r>
        <w:rPr>
          <w:spacing w:val="-24"/>
        </w:rPr>
        <w:t>年 </w:t>
      </w:r>
      <w:r>
        <w:rPr>
          <w:rFonts w:ascii="Times New Roman" w:eastAsia="Times New Roman"/>
        </w:rPr>
        <w:t>5</w:t>
      </w:r>
      <w:r>
        <w:rPr>
          <w:rFonts w:ascii="Times New Roman" w:eastAsia="Times New Roman"/>
          <w:spacing w:val="1"/>
        </w:rPr>
        <w:t> </w:t>
      </w:r>
      <w:r>
        <w:rPr>
          <w:spacing w:val="-24"/>
        </w:rPr>
        <w:t>月 </w:t>
      </w:r>
      <w:r>
        <w:rPr>
          <w:rFonts w:ascii="Times New Roman" w:eastAsia="Times New Roman"/>
        </w:rPr>
        <w:t>30</w:t>
      </w:r>
      <w:r>
        <w:rPr>
          <w:rFonts w:ascii="Times New Roman" w:eastAsia="Times New Roman"/>
          <w:spacing w:val="1"/>
        </w:rPr>
        <w:t> </w:t>
      </w:r>
      <w:r>
        <w:rPr>
          <w:spacing w:val="-2"/>
        </w:rPr>
        <w:t>日开通了</w:t>
      </w:r>
    </w:p>
    <w:p>
      <w:pPr>
        <w:pStyle w:val="BodyText"/>
        <w:spacing w:before="6"/>
        <w:rPr>
          <w:sz w:val="15"/>
        </w:rPr>
      </w:pPr>
    </w:p>
    <w:p>
      <w:pPr>
        <w:pStyle w:val="BodyText"/>
        <w:ind w:left="658"/>
      </w:pPr>
      <w:r>
        <w:rPr>
          <w:spacing w:val="-8"/>
        </w:rPr>
        <w:t>本公司直销网上交易“精明 </w:t>
      </w:r>
      <w:r>
        <w:rPr>
          <w:rFonts w:ascii="Times New Roman" w:hAnsi="Times New Roman" w:eastAsia="Times New Roman"/>
        </w:rPr>
        <w:t>i</w:t>
      </w:r>
      <w:r>
        <w:rPr>
          <w:rFonts w:ascii="Times New Roman" w:hAnsi="Times New Roman" w:eastAsia="Times New Roman"/>
          <w:spacing w:val="3"/>
        </w:rPr>
        <w:t> </w:t>
      </w:r>
      <w:r>
        <w:rPr>
          <w:spacing w:val="-5"/>
        </w:rPr>
        <w:t>定投”业务、</w:t>
      </w:r>
      <w:r>
        <w:rPr>
          <w:rFonts w:ascii="Times New Roman" w:hAnsi="Times New Roman" w:eastAsia="Times New Roman"/>
          <w:spacing w:val="-3"/>
        </w:rPr>
        <w:t>2011</w:t>
      </w:r>
      <w:r>
        <w:rPr>
          <w:rFonts w:ascii="Times New Roman" w:hAnsi="Times New Roman" w:eastAsia="Times New Roman"/>
        </w:rPr>
        <w:t> </w:t>
      </w:r>
      <w:r>
        <w:rPr>
          <w:spacing w:val="-26"/>
        </w:rPr>
        <w:t>年 </w:t>
      </w:r>
      <w:r>
        <w:rPr>
          <w:rFonts w:ascii="Times New Roman" w:hAnsi="Times New Roman" w:eastAsia="Times New Roman"/>
        </w:rPr>
        <w:t>6</w:t>
      </w:r>
      <w:r>
        <w:rPr>
          <w:rFonts w:ascii="Times New Roman" w:hAnsi="Times New Roman" w:eastAsia="Times New Roman"/>
          <w:spacing w:val="4"/>
        </w:rPr>
        <w:t> </w:t>
      </w:r>
      <w:r>
        <w:rPr>
          <w:spacing w:val="-25"/>
        </w:rPr>
        <w:t>月 </w:t>
      </w:r>
      <w:r>
        <w:rPr>
          <w:rFonts w:ascii="Times New Roman" w:hAnsi="Times New Roman" w:eastAsia="Times New Roman"/>
        </w:rPr>
        <w:t>29</w:t>
      </w:r>
      <w:r>
        <w:rPr>
          <w:rFonts w:ascii="Times New Roman" w:hAnsi="Times New Roman" w:eastAsia="Times New Roman"/>
          <w:spacing w:val="3"/>
        </w:rPr>
        <w:t> </w:t>
      </w:r>
      <w:r>
        <w:rPr>
          <w:spacing w:val="-4"/>
        </w:rPr>
        <w:t>日在华夏银行、</w:t>
      </w:r>
      <w:r>
        <w:rPr>
          <w:rFonts w:ascii="Times New Roman" w:hAnsi="Times New Roman" w:eastAsia="Times New Roman"/>
          <w:spacing w:val="-4"/>
        </w:rPr>
        <w:t>2011</w:t>
      </w:r>
      <w:r>
        <w:rPr>
          <w:rFonts w:ascii="Times New Roman" w:hAnsi="Times New Roman" w:eastAsia="Times New Roman"/>
          <w:spacing w:val="4"/>
        </w:rPr>
        <w:t> </w:t>
      </w:r>
      <w:r>
        <w:rPr>
          <w:spacing w:val="-25"/>
        </w:rPr>
        <w:t>年 </w:t>
      </w:r>
      <w:r>
        <w:rPr>
          <w:rFonts w:ascii="Times New Roman" w:hAnsi="Times New Roman" w:eastAsia="Times New Roman"/>
        </w:rPr>
        <w:t>8 </w:t>
      </w:r>
      <w:r>
        <w:rPr>
          <w:spacing w:val="-25"/>
        </w:rPr>
        <w:t>月 </w:t>
      </w:r>
      <w:r>
        <w:rPr>
          <w:rFonts w:ascii="Times New Roman" w:hAnsi="Times New Roman" w:eastAsia="Times New Roman"/>
        </w:rPr>
        <w:t>1</w:t>
      </w:r>
      <w:r>
        <w:rPr>
          <w:rFonts w:ascii="Times New Roman" w:hAnsi="Times New Roman" w:eastAsia="Times New Roman"/>
          <w:spacing w:val="1"/>
        </w:rPr>
        <w:t> </w:t>
      </w:r>
      <w:r>
        <w:rPr/>
        <w:t>日</w:t>
      </w:r>
    </w:p>
    <w:p>
      <w:pPr>
        <w:pStyle w:val="BodyText"/>
        <w:spacing w:before="7"/>
        <w:rPr>
          <w:sz w:val="15"/>
        </w:rPr>
      </w:pPr>
    </w:p>
    <w:p>
      <w:pPr>
        <w:pStyle w:val="BodyText"/>
        <w:ind w:left="658"/>
        <w:rPr>
          <w:rFonts w:ascii="Times New Roman" w:eastAsia="Times New Roman"/>
        </w:rPr>
      </w:pPr>
      <w:r>
        <w:rPr>
          <w:spacing w:val="-5"/>
        </w:rPr>
        <w:t>在长城证券、</w:t>
      </w:r>
      <w:r>
        <w:rPr>
          <w:rFonts w:ascii="Times New Roman" w:eastAsia="Times New Roman"/>
          <w:spacing w:val="-3"/>
        </w:rPr>
        <w:t>2011</w:t>
      </w:r>
      <w:r>
        <w:rPr>
          <w:rFonts w:ascii="Times New Roman" w:eastAsia="Times New Roman"/>
        </w:rPr>
        <w:t> </w:t>
      </w:r>
      <w:r>
        <w:rPr>
          <w:spacing w:val="-25"/>
        </w:rPr>
        <w:t>年 </w:t>
      </w:r>
      <w:r>
        <w:rPr>
          <w:rFonts w:ascii="Times New Roman" w:eastAsia="Times New Roman"/>
        </w:rPr>
        <w:t>8</w:t>
      </w:r>
      <w:r>
        <w:rPr>
          <w:rFonts w:ascii="Times New Roman" w:eastAsia="Times New Roman"/>
          <w:spacing w:val="2"/>
        </w:rPr>
        <w:t> </w:t>
      </w:r>
      <w:r>
        <w:rPr>
          <w:spacing w:val="-26"/>
        </w:rPr>
        <w:t>月 </w:t>
      </w:r>
      <w:r>
        <w:rPr>
          <w:rFonts w:ascii="Times New Roman" w:eastAsia="Times New Roman"/>
        </w:rPr>
        <w:t>1</w:t>
      </w:r>
      <w:r>
        <w:rPr>
          <w:rFonts w:ascii="Times New Roman" w:eastAsia="Times New Roman"/>
          <w:spacing w:val="4"/>
        </w:rPr>
        <w:t> </w:t>
      </w:r>
      <w:r>
        <w:rPr>
          <w:spacing w:val="-5"/>
        </w:rPr>
        <w:t>日在国盛证券、</w:t>
      </w:r>
      <w:r>
        <w:rPr>
          <w:rFonts w:ascii="Times New Roman" w:eastAsia="Times New Roman"/>
          <w:spacing w:val="-3"/>
        </w:rPr>
        <w:t>2011</w:t>
      </w:r>
      <w:r>
        <w:rPr>
          <w:rFonts w:ascii="Times New Roman" w:eastAsia="Times New Roman"/>
          <w:spacing w:val="1"/>
        </w:rPr>
        <w:t> </w:t>
      </w:r>
      <w:r>
        <w:rPr>
          <w:spacing w:val="-26"/>
        </w:rPr>
        <w:t>年 </w:t>
      </w:r>
      <w:r>
        <w:rPr>
          <w:rFonts w:ascii="Times New Roman" w:eastAsia="Times New Roman"/>
        </w:rPr>
        <w:t>8</w:t>
      </w:r>
      <w:r>
        <w:rPr>
          <w:rFonts w:ascii="Times New Roman" w:eastAsia="Times New Roman"/>
          <w:spacing w:val="4"/>
        </w:rPr>
        <w:t> </w:t>
      </w:r>
      <w:r>
        <w:rPr>
          <w:spacing w:val="-25"/>
        </w:rPr>
        <w:t>月 </w:t>
      </w:r>
      <w:r>
        <w:rPr>
          <w:rFonts w:ascii="Times New Roman" w:eastAsia="Times New Roman"/>
        </w:rPr>
        <w:t>5</w:t>
      </w:r>
      <w:r>
        <w:rPr>
          <w:rFonts w:ascii="Times New Roman" w:eastAsia="Times New Roman"/>
          <w:spacing w:val="1"/>
        </w:rPr>
        <w:t> </w:t>
      </w:r>
      <w:r>
        <w:rPr>
          <w:spacing w:val="-6"/>
        </w:rPr>
        <w:t>日在中信证券</w:t>
      </w:r>
      <w:r>
        <w:rPr/>
        <w:t>（</w:t>
      </w:r>
      <w:r>
        <w:rPr>
          <w:spacing w:val="-3"/>
        </w:rPr>
        <w:t>浙江</w:t>
      </w:r>
      <w:r>
        <w:rPr>
          <w:spacing w:val="-106"/>
        </w:rPr>
        <w:t>）</w:t>
      </w:r>
      <w:r>
        <w:rPr>
          <w:spacing w:val="-17"/>
        </w:rPr>
        <w:t>、</w:t>
      </w:r>
      <w:r>
        <w:rPr>
          <w:rFonts w:ascii="Times New Roman" w:eastAsia="Times New Roman"/>
          <w:spacing w:val="-3"/>
        </w:rPr>
        <w:t>2011</w:t>
      </w:r>
      <w:r>
        <w:rPr>
          <w:rFonts w:ascii="Times New Roman" w:eastAsia="Times New Roman"/>
          <w:spacing w:val="4"/>
        </w:rPr>
        <w:t> </w:t>
      </w:r>
      <w:r>
        <w:rPr>
          <w:spacing w:val="-26"/>
        </w:rPr>
        <w:t>年 </w:t>
      </w:r>
      <w:r>
        <w:rPr>
          <w:rFonts w:ascii="Times New Roman" w:eastAsia="Times New Roman"/>
        </w:rPr>
        <w:t>9</w:t>
      </w:r>
    </w:p>
    <w:p>
      <w:pPr>
        <w:pStyle w:val="BodyText"/>
        <w:spacing w:before="4"/>
        <w:rPr>
          <w:rFonts w:ascii="Times New Roman"/>
          <w:sz w:val="17"/>
        </w:rPr>
      </w:pPr>
    </w:p>
    <w:p>
      <w:pPr>
        <w:pStyle w:val="BodyText"/>
        <w:ind w:left="658"/>
      </w:pPr>
      <w:r>
        <w:rPr>
          <w:spacing w:val="-24"/>
        </w:rPr>
        <w:t>月 </w:t>
      </w:r>
      <w:r>
        <w:rPr>
          <w:rFonts w:ascii="Times New Roman" w:eastAsia="Times New Roman"/>
        </w:rPr>
        <w:t>1</w:t>
      </w:r>
      <w:r>
        <w:rPr>
          <w:rFonts w:ascii="Times New Roman" w:eastAsia="Times New Roman"/>
          <w:spacing w:val="5"/>
        </w:rPr>
        <w:t> </w:t>
      </w:r>
      <w:r>
        <w:rPr>
          <w:spacing w:val="-3"/>
        </w:rPr>
        <w:t>日在华宝证券、</w:t>
      </w:r>
      <w:r>
        <w:rPr>
          <w:rFonts w:ascii="Times New Roman" w:eastAsia="Times New Roman"/>
          <w:spacing w:val="-3"/>
        </w:rPr>
        <w:t>2011</w:t>
      </w:r>
      <w:r>
        <w:rPr>
          <w:rFonts w:ascii="Times New Roman" w:eastAsia="Times New Roman"/>
          <w:spacing w:val="3"/>
        </w:rPr>
        <w:t> </w:t>
      </w:r>
      <w:r>
        <w:rPr>
          <w:spacing w:val="-24"/>
        </w:rPr>
        <w:t>年 </w:t>
      </w:r>
      <w:r>
        <w:rPr>
          <w:rFonts w:ascii="Times New Roman" w:eastAsia="Times New Roman"/>
          <w:spacing w:val="-4"/>
        </w:rPr>
        <w:t>11</w:t>
      </w:r>
      <w:r>
        <w:rPr>
          <w:rFonts w:ascii="Times New Roman" w:eastAsia="Times New Roman"/>
          <w:spacing w:val="5"/>
        </w:rPr>
        <w:t> </w:t>
      </w:r>
      <w:r>
        <w:rPr>
          <w:spacing w:val="-24"/>
        </w:rPr>
        <w:t>月 </w:t>
      </w:r>
      <w:r>
        <w:rPr>
          <w:rFonts w:ascii="Times New Roman" w:eastAsia="Times New Roman"/>
        </w:rPr>
        <w:t>4</w:t>
      </w:r>
      <w:r>
        <w:rPr>
          <w:rFonts w:ascii="Times New Roman" w:eastAsia="Times New Roman"/>
          <w:spacing w:val="5"/>
        </w:rPr>
        <w:t> </w:t>
      </w:r>
      <w:r>
        <w:rPr>
          <w:spacing w:val="-3"/>
        </w:rPr>
        <w:t>日在网上直销天天盈支付方式、</w:t>
      </w:r>
      <w:r>
        <w:rPr>
          <w:rFonts w:ascii="Times New Roman" w:eastAsia="Times New Roman"/>
        </w:rPr>
        <w:t>2011</w:t>
      </w:r>
      <w:r>
        <w:rPr>
          <w:rFonts w:ascii="Times New Roman" w:eastAsia="Times New Roman"/>
          <w:spacing w:val="2"/>
        </w:rPr>
        <w:t> </w:t>
      </w:r>
      <w:r>
        <w:rPr>
          <w:spacing w:val="-24"/>
        </w:rPr>
        <w:t>年 </w:t>
      </w:r>
      <w:r>
        <w:rPr>
          <w:rFonts w:ascii="Times New Roman" w:eastAsia="Times New Roman"/>
        </w:rPr>
        <w:t>12</w:t>
      </w:r>
      <w:r>
        <w:rPr>
          <w:rFonts w:ascii="Times New Roman" w:eastAsia="Times New Roman"/>
          <w:spacing w:val="6"/>
        </w:rPr>
        <w:t> </w:t>
      </w:r>
      <w:r>
        <w:rPr>
          <w:spacing w:val="-24"/>
        </w:rPr>
        <w:t>月 </w:t>
      </w:r>
      <w:r>
        <w:rPr>
          <w:rFonts w:ascii="Times New Roman" w:eastAsia="Times New Roman"/>
        </w:rPr>
        <w:t>1</w:t>
      </w:r>
      <w:r>
        <w:rPr>
          <w:rFonts w:ascii="Times New Roman" w:eastAsia="Times New Roman"/>
          <w:spacing w:val="4"/>
        </w:rPr>
        <w:t> </w:t>
      </w:r>
      <w:r>
        <w:rPr>
          <w:spacing w:val="-2"/>
        </w:rPr>
        <w:t>日在国</w:t>
      </w:r>
    </w:p>
    <w:p>
      <w:pPr>
        <w:pStyle w:val="BodyText"/>
        <w:spacing w:before="7"/>
        <w:rPr>
          <w:sz w:val="15"/>
        </w:rPr>
      </w:pPr>
    </w:p>
    <w:p>
      <w:pPr>
        <w:pStyle w:val="BodyText"/>
        <w:spacing w:line="417" w:lineRule="auto"/>
        <w:ind w:left="658" w:right="1309"/>
      </w:pPr>
      <w:r>
        <w:rPr>
          <w:spacing w:val="-5"/>
          <w:w w:val="100"/>
        </w:rPr>
        <w:t>海证券、</w:t>
      </w:r>
      <w:r>
        <w:rPr>
          <w:rFonts w:ascii="Times New Roman" w:eastAsia="Times New Roman"/>
          <w:w w:val="100"/>
        </w:rPr>
        <w:t>2</w:t>
      </w:r>
      <w:r>
        <w:rPr>
          <w:rFonts w:ascii="Times New Roman" w:eastAsia="Times New Roman"/>
          <w:spacing w:val="-3"/>
          <w:w w:val="100"/>
        </w:rPr>
        <w:t>0</w:t>
      </w:r>
      <w:r>
        <w:rPr>
          <w:rFonts w:ascii="Times New Roman" w:eastAsia="Times New Roman"/>
          <w:spacing w:val="-8"/>
          <w:w w:val="100"/>
        </w:rPr>
        <w:t>1</w:t>
      </w:r>
      <w:r>
        <w:rPr>
          <w:rFonts w:ascii="Times New Roman" w:eastAsia="Times New Roman"/>
          <w:w w:val="100"/>
        </w:rPr>
        <w:t>1</w:t>
      </w:r>
      <w:r>
        <w:rPr>
          <w:rFonts w:ascii="Times New Roman" w:eastAsia="Times New Roman"/>
          <w:spacing w:val="-3"/>
        </w:rPr>
        <w:t> </w:t>
      </w:r>
      <w:r>
        <w:rPr>
          <w:w w:val="100"/>
        </w:rPr>
        <w:t>年</w:t>
      </w:r>
      <w:r>
        <w:rPr>
          <w:spacing w:val="-53"/>
        </w:rPr>
        <w:t> </w:t>
      </w:r>
      <w:r>
        <w:rPr>
          <w:rFonts w:ascii="Times New Roman" w:eastAsia="Times New Roman"/>
          <w:w w:val="100"/>
        </w:rPr>
        <w:t>12</w:t>
      </w:r>
      <w:r>
        <w:rPr>
          <w:rFonts w:ascii="Times New Roman" w:eastAsia="Times New Roman"/>
          <w:spacing w:val="-3"/>
        </w:rPr>
        <w:t> </w:t>
      </w:r>
      <w:r>
        <w:rPr>
          <w:w w:val="100"/>
        </w:rPr>
        <w:t>月</w:t>
      </w:r>
      <w:r>
        <w:rPr>
          <w:spacing w:val="-52"/>
        </w:rPr>
        <w:t> </w:t>
      </w:r>
      <w:r>
        <w:rPr>
          <w:rFonts w:ascii="Times New Roman" w:eastAsia="Times New Roman"/>
          <w:spacing w:val="-3"/>
          <w:w w:val="100"/>
        </w:rPr>
        <w:t>1</w:t>
      </w:r>
      <w:r>
        <w:rPr>
          <w:rFonts w:ascii="Times New Roman" w:eastAsia="Times New Roman"/>
          <w:w w:val="100"/>
        </w:rPr>
        <w:t>5</w:t>
      </w:r>
      <w:r>
        <w:rPr>
          <w:rFonts w:ascii="Times New Roman" w:eastAsia="Times New Roman"/>
          <w:spacing w:val="-3"/>
        </w:rPr>
        <w:t> </w:t>
      </w:r>
      <w:r>
        <w:rPr>
          <w:spacing w:val="-3"/>
          <w:w w:val="100"/>
        </w:rPr>
        <w:t>日在中信万通证券开通了定期定额投资业务</w:t>
      </w:r>
      <w:r>
        <w:rPr>
          <w:spacing w:val="-120"/>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2007</w:t>
      </w:r>
      <w:r>
        <w:rPr>
          <w:spacing w:val="-37"/>
        </w:rPr>
        <w:t> 年 </w:t>
      </w:r>
      <w:r>
        <w:rPr/>
        <w:t>6</w:t>
      </w:r>
      <w:r>
        <w:rPr>
          <w:spacing w:val="-36"/>
        </w:rPr>
        <w:t> 月 </w:t>
      </w:r>
      <w:r>
        <w:rPr/>
        <w:t>27</w:t>
      </w:r>
      <w:r>
        <w:rPr>
          <w:spacing w:val="-28"/>
        </w:rPr>
        <w:t> 日及 </w:t>
      </w:r>
      <w:r>
        <w:rPr/>
        <w:t>2007</w:t>
      </w:r>
      <w:r>
        <w:rPr>
          <w:spacing w:val="-37"/>
        </w:rPr>
        <w:t> 年 </w:t>
      </w:r>
      <w:r>
        <w:rPr/>
        <w:t>8</w:t>
      </w:r>
      <w:r>
        <w:rPr>
          <w:spacing w:val="-36"/>
        </w:rPr>
        <w:t> 月 </w:t>
      </w:r>
      <w:r>
        <w:rPr/>
        <w:t>16</w:t>
      </w:r>
      <w:r>
        <w:rPr>
          <w:spacing w:val="-9"/>
        </w:rPr>
        <w:t> 日在上海浦东发展银行分别开通了优选股票基金和</w:t>
      </w:r>
      <w:r>
        <w:rPr>
          <w:spacing w:val="-9"/>
          <w:w w:val="100"/>
        </w:rPr>
        <w:t>动力平衡基金的个人网上银行及柜台“定期定额投资计划”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2008</w:t>
      </w:r>
      <w:r>
        <w:rPr>
          <w:spacing w:val="-37"/>
        </w:rPr>
        <w:t> 年 </w:t>
      </w:r>
      <w:r>
        <w:rPr/>
        <w:t>1</w:t>
      </w:r>
      <w:r>
        <w:rPr>
          <w:spacing w:val="-36"/>
        </w:rPr>
        <w:t> 月 </w:t>
      </w:r>
      <w:r>
        <w:rPr/>
        <w:t>15</w:t>
      </w:r>
      <w:r>
        <w:rPr>
          <w:spacing w:val="-28"/>
        </w:rPr>
        <w:t> 日及 </w:t>
      </w:r>
      <w:r>
        <w:rPr/>
        <w:t>2008</w:t>
      </w:r>
      <w:r>
        <w:rPr>
          <w:spacing w:val="-37"/>
        </w:rPr>
        <w:t> 年 </w:t>
      </w:r>
      <w:r>
        <w:rPr/>
        <w:t>3</w:t>
      </w:r>
      <w:r>
        <w:rPr>
          <w:spacing w:val="-36"/>
        </w:rPr>
        <w:t> 月 </w:t>
      </w:r>
      <w:r>
        <w:rPr/>
        <w:t>20</w:t>
      </w:r>
      <w:r>
        <w:rPr>
          <w:spacing w:val="-9"/>
        </w:rPr>
        <w:t> 日在工商银行开通了优选股票基金和动力平衡基金</w:t>
      </w:r>
      <w:r>
        <w:rPr>
          <w:spacing w:val="-15"/>
          <w:w w:val="100"/>
        </w:rPr>
        <w:t>的“定期定额投资计划”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2009</w:t>
      </w:r>
      <w:r>
        <w:rPr>
          <w:spacing w:val="-23"/>
        </w:rPr>
        <w:t> 年 </w:t>
      </w:r>
      <w:r>
        <w:rPr/>
        <w:t>1</w:t>
      </w:r>
      <w:r>
        <w:rPr>
          <w:spacing w:val="-22"/>
        </w:rPr>
        <w:t> 月 </w:t>
      </w:r>
      <w:r>
        <w:rPr/>
        <w:t>1</w:t>
      </w:r>
      <w:r>
        <w:rPr>
          <w:spacing w:val="-7"/>
        </w:rPr>
        <w:t> 日在建设银行开通了优选股票基金和动力平衡基金的“定期定额投资计</w:t>
      </w:r>
      <w:r>
        <w:rPr>
          <w:spacing w:val="-57"/>
          <w:w w:val="100"/>
        </w:rPr>
        <w:t>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2010</w:t>
      </w:r>
      <w:r>
        <w:rPr>
          <w:spacing w:val="-34"/>
        </w:rPr>
        <w:t> 年 </w:t>
      </w:r>
      <w:r>
        <w:rPr/>
        <w:t>4</w:t>
      </w:r>
      <w:r>
        <w:rPr>
          <w:spacing w:val="-34"/>
        </w:rPr>
        <w:t> 月 </w:t>
      </w:r>
      <w:r>
        <w:rPr/>
        <w:t>12</w:t>
      </w:r>
      <w:r>
        <w:rPr>
          <w:spacing w:val="-14"/>
        </w:rPr>
        <w:t> 日在兴业证券、</w:t>
      </w:r>
      <w:r>
        <w:rPr>
          <w:rFonts w:ascii="Times New Roman" w:hAnsi="Times New Roman" w:eastAsia="Times New Roman"/>
        </w:rPr>
        <w:t>2010 </w:t>
      </w:r>
      <w:r>
        <w:rPr>
          <w:spacing w:val="-25"/>
        </w:rPr>
        <w:t>年 </w:t>
      </w:r>
      <w:r>
        <w:rPr>
          <w:rFonts w:ascii="Times New Roman" w:hAnsi="Times New Roman" w:eastAsia="Times New Roman"/>
        </w:rPr>
        <w:t>7 </w:t>
      </w:r>
      <w:r>
        <w:rPr>
          <w:spacing w:val="-25"/>
        </w:rPr>
        <w:t>月 </w:t>
      </w:r>
      <w:r>
        <w:rPr>
          <w:rFonts w:ascii="Times New Roman" w:hAnsi="Times New Roman" w:eastAsia="Times New Roman"/>
        </w:rPr>
        <w:t>30 </w:t>
      </w:r>
      <w:r>
        <w:rPr>
          <w:spacing w:val="-3"/>
        </w:rPr>
        <w:t>日在平安证券开通了优选股票基金和动</w:t>
      </w:r>
      <w:r>
        <w:rPr>
          <w:spacing w:val="-10"/>
          <w:w w:val="100"/>
        </w:rPr>
        <w:t>力平衡基金的“定期定额投资计划”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1" w:firstLine="419"/>
      </w:pPr>
      <w:r>
        <w:rPr>
          <w:w w:val="100"/>
        </w:rPr>
        <w:t>2010</w:t>
      </w:r>
      <w:r>
        <w:rPr>
          <w:spacing w:val="-55"/>
        </w:rPr>
        <w:t> </w:t>
      </w:r>
      <w:r>
        <w:rPr>
          <w:w w:val="100"/>
        </w:rPr>
        <w:t>年</w:t>
      </w:r>
      <w:r>
        <w:rPr>
          <w:spacing w:val="-53"/>
        </w:rPr>
        <w:t> </w:t>
      </w:r>
      <w:r>
        <w:rPr>
          <w:w w:val="100"/>
        </w:rPr>
        <w:t>11</w:t>
      </w:r>
      <w:r>
        <w:rPr>
          <w:spacing w:val="-55"/>
        </w:rPr>
        <w:t> </w:t>
      </w:r>
      <w:r>
        <w:rPr>
          <w:w w:val="100"/>
        </w:rPr>
        <w:t>月</w:t>
      </w:r>
      <w:r>
        <w:rPr>
          <w:spacing w:val="-53"/>
        </w:rPr>
        <w:t> </w:t>
      </w:r>
      <w:r>
        <w:rPr>
          <w:spacing w:val="-3"/>
          <w:w w:val="100"/>
        </w:rPr>
        <w:t>2</w:t>
      </w:r>
      <w:r>
        <w:rPr>
          <w:w w:val="100"/>
        </w:rPr>
        <w:t>9</w:t>
      </w:r>
      <w:r>
        <w:rPr>
          <w:spacing w:val="-53"/>
        </w:rPr>
        <w:t> </w:t>
      </w:r>
      <w:r>
        <w:rPr>
          <w:spacing w:val="-5"/>
          <w:w w:val="100"/>
        </w:rPr>
        <w:t>日在兴业证券开通了货币基金的“定期定额投资计划</w:t>
      </w:r>
      <w:r>
        <w:rPr>
          <w:spacing w:val="-125"/>
          <w:w w:val="100"/>
        </w:rPr>
        <w:t>”</w:t>
      </w:r>
      <w:r>
        <w:rPr>
          <w:spacing w:val="-3"/>
          <w:w w:val="100"/>
        </w:rPr>
        <w:t>（详情请参见相</w:t>
      </w:r>
      <w:r>
        <w:rPr>
          <w:spacing w:val="-3"/>
        </w:rPr>
        <w:t>关业务公告</w:t>
      </w:r>
      <w:r>
        <w:rPr>
          <w:spacing w:val="-106"/>
        </w:rPr>
        <w:t>）</w:t>
      </w:r>
      <w:r>
        <w:rPr/>
        <w:t>。</w:t>
      </w:r>
    </w:p>
    <w:p>
      <w:pPr>
        <w:pStyle w:val="BodyText"/>
        <w:spacing w:line="417" w:lineRule="auto"/>
        <w:ind w:left="658" w:right="1308" w:firstLine="419"/>
      </w:pPr>
      <w:r>
        <w:rPr/>
        <w:t>2011</w:t>
      </w:r>
      <w:r>
        <w:rPr>
          <w:spacing w:val="-23"/>
        </w:rPr>
        <w:t> 年 </w:t>
      </w:r>
      <w:r>
        <w:rPr/>
        <w:t>6</w:t>
      </w:r>
      <w:r>
        <w:rPr>
          <w:spacing w:val="-22"/>
        </w:rPr>
        <w:t> 月 </w:t>
      </w:r>
      <w:r>
        <w:rPr/>
        <w:t>3</w:t>
      </w:r>
      <w:r>
        <w:rPr>
          <w:spacing w:val="-7"/>
        </w:rPr>
        <w:t> 日在齐鲁证券开通了优选股票基金和动力平衡基金的“定期定额投资计</w:t>
      </w:r>
      <w:r>
        <w:rPr>
          <w:spacing w:val="-57"/>
          <w:w w:val="100"/>
        </w:rPr>
        <w:t>划”</w:t>
      </w:r>
      <w:r>
        <w:rPr>
          <w:spacing w:val="-3"/>
          <w:w w:val="100"/>
        </w:rPr>
        <w:t>（详情请参见相关业务公告</w:t>
      </w:r>
      <w:r>
        <w:rPr>
          <w:spacing w:val="-108"/>
          <w:w w:val="100"/>
        </w:rPr>
        <w:t>）</w:t>
      </w:r>
      <w:r>
        <w:rPr>
          <w:w w:val="100"/>
        </w:rPr>
        <w:t>。</w:t>
      </w:r>
    </w:p>
    <w:p>
      <w:pPr>
        <w:pStyle w:val="BodyText"/>
        <w:spacing w:line="417" w:lineRule="auto"/>
        <w:ind w:left="658" w:right="1310" w:firstLine="419"/>
      </w:pPr>
      <w:r>
        <w:rPr/>
        <w:t>2011</w:t>
      </w:r>
      <w:r>
        <w:rPr>
          <w:spacing w:val="-31"/>
        </w:rPr>
        <w:t> 年 </w:t>
      </w:r>
      <w:r>
        <w:rPr/>
        <w:t>6</w:t>
      </w:r>
      <w:r>
        <w:rPr>
          <w:spacing w:val="-31"/>
        </w:rPr>
        <w:t> 月 </w:t>
      </w:r>
      <w:r>
        <w:rPr/>
        <w:t>29</w:t>
      </w:r>
      <w:r>
        <w:rPr>
          <w:spacing w:val="-10"/>
        </w:rPr>
        <w:t> 日在华夏银行开通了优选股票基金、动力平衡基金和货币基金的“定期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2011</w:t>
      </w:r>
      <w:r>
        <w:rPr>
          <w:spacing w:val="-23"/>
        </w:rPr>
        <w:t> 年 </w:t>
      </w:r>
      <w:r>
        <w:rPr/>
        <w:t>8</w:t>
      </w:r>
      <w:r>
        <w:rPr>
          <w:spacing w:val="-22"/>
        </w:rPr>
        <w:t> 月 </w:t>
      </w:r>
      <w:r>
        <w:rPr/>
        <w:t>1</w:t>
      </w:r>
      <w:r>
        <w:rPr>
          <w:spacing w:val="-7"/>
        </w:rPr>
        <w:t> 日在长城证券开通了优选股票基金、动力平衡基金和货币基金的“定期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2011</w:t>
      </w:r>
      <w:r>
        <w:rPr>
          <w:spacing w:val="-23"/>
        </w:rPr>
        <w:t> 年 </w:t>
      </w:r>
      <w:r>
        <w:rPr/>
        <w:t>8</w:t>
      </w:r>
      <w:r>
        <w:rPr>
          <w:spacing w:val="-22"/>
        </w:rPr>
        <w:t> 月 </w:t>
      </w:r>
      <w:r>
        <w:rPr/>
        <w:t>1</w:t>
      </w:r>
      <w:r>
        <w:rPr>
          <w:spacing w:val="-7"/>
        </w:rPr>
        <w:t> 日在国盛证券开通了优选股票基金、动力平衡基金和货币基金的“定期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2011</w:t>
      </w:r>
      <w:r>
        <w:rPr>
          <w:spacing w:val="-23"/>
        </w:rPr>
        <w:t> 年 </w:t>
      </w:r>
      <w:r>
        <w:rPr/>
        <w:t>8</w:t>
      </w:r>
      <w:r>
        <w:rPr>
          <w:spacing w:val="-22"/>
        </w:rPr>
        <w:t> 月 </w:t>
      </w:r>
      <w:r>
        <w:rPr/>
        <w:t>5</w:t>
      </w:r>
      <w:r>
        <w:rPr>
          <w:spacing w:val="-7"/>
        </w:rPr>
        <w:t> 日在中信金通开通了优选股票基金、动力平衡基金和货币基金的“定期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spacing w:after="0" w:line="417" w:lineRule="auto"/>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8" w:firstLine="419"/>
      </w:pPr>
      <w:r>
        <w:rPr/>
        <w:t>2011</w:t>
      </w:r>
      <w:r>
        <w:rPr>
          <w:spacing w:val="-23"/>
        </w:rPr>
        <w:t> 年 </w:t>
      </w:r>
      <w:r>
        <w:rPr/>
        <w:t>9</w:t>
      </w:r>
      <w:r>
        <w:rPr>
          <w:spacing w:val="-22"/>
        </w:rPr>
        <w:t> 月 </w:t>
      </w:r>
      <w:r>
        <w:rPr/>
        <w:t>1</w:t>
      </w:r>
      <w:r>
        <w:rPr>
          <w:spacing w:val="-7"/>
        </w:rPr>
        <w:t> 日在华宝证券开通了优选股票基金、动力平衡基金和货币基金的“定期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0" w:firstLine="419"/>
      </w:pPr>
      <w:r>
        <w:rPr/>
        <w:t>2011</w:t>
      </w:r>
      <w:r>
        <w:rPr>
          <w:spacing w:val="-31"/>
        </w:rPr>
        <w:t> 年 </w:t>
      </w:r>
      <w:r>
        <w:rPr/>
        <w:t>12</w:t>
      </w:r>
      <w:r>
        <w:rPr>
          <w:spacing w:val="-31"/>
        </w:rPr>
        <w:t> 月 </w:t>
      </w:r>
      <w:r>
        <w:rPr/>
        <w:t>1</w:t>
      </w:r>
      <w:r>
        <w:rPr>
          <w:spacing w:val="-10"/>
        </w:rPr>
        <w:t> 日在国海证券开通了优选股票基金、动力平衡基金和货币基金的“定期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2011</w:t>
      </w:r>
      <w:r>
        <w:rPr>
          <w:spacing w:val="-23"/>
        </w:rPr>
        <w:t> 年 </w:t>
      </w:r>
      <w:r>
        <w:rPr/>
        <w:t>12</w:t>
      </w:r>
      <w:r>
        <w:rPr>
          <w:spacing w:val="-22"/>
        </w:rPr>
        <w:t> 月 </w:t>
      </w:r>
      <w:r>
        <w:rPr/>
        <w:t>15</w:t>
      </w:r>
      <w:r>
        <w:rPr>
          <w:spacing w:val="-7"/>
        </w:rPr>
        <w:t> 日在中信万通开通了优选股票基金、动力平衡基金和货币基金的“定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8" w:firstLine="419"/>
      </w:pPr>
      <w:r>
        <w:rPr/>
        <w:t>2012</w:t>
      </w:r>
      <w:r>
        <w:rPr>
          <w:spacing w:val="-23"/>
        </w:rPr>
        <w:t> 年 </w:t>
      </w:r>
      <w:r>
        <w:rPr/>
        <w:t>6</w:t>
      </w:r>
      <w:r>
        <w:rPr>
          <w:spacing w:val="-22"/>
        </w:rPr>
        <w:t> 月 </w:t>
      </w:r>
      <w:r>
        <w:rPr/>
        <w:t>6</w:t>
      </w:r>
      <w:r>
        <w:rPr>
          <w:spacing w:val="-7"/>
        </w:rPr>
        <w:t> 日在众禄基金开通了优选股票基金、动力平衡基金和货币基金的“定期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2012</w:t>
      </w:r>
      <w:r>
        <w:rPr>
          <w:spacing w:val="-23"/>
        </w:rPr>
        <w:t> 年 </w:t>
      </w:r>
      <w:r>
        <w:rPr/>
        <w:t>7</w:t>
      </w:r>
      <w:r>
        <w:rPr>
          <w:spacing w:val="-22"/>
        </w:rPr>
        <w:t> 月 </w:t>
      </w:r>
      <w:r>
        <w:rPr/>
        <w:t>4</w:t>
      </w:r>
      <w:r>
        <w:rPr>
          <w:spacing w:val="-7"/>
        </w:rPr>
        <w:t> 日在中投证券开通了优选股票基金、动力平衡基金和货币基金的“定期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0" w:firstLine="419"/>
      </w:pPr>
      <w:r>
        <w:rPr/>
        <w:t>2012</w:t>
      </w:r>
      <w:r>
        <w:rPr>
          <w:spacing w:val="-31"/>
        </w:rPr>
        <w:t> 年 </w:t>
      </w:r>
      <w:r>
        <w:rPr/>
        <w:t>7</w:t>
      </w:r>
      <w:r>
        <w:rPr>
          <w:spacing w:val="-31"/>
        </w:rPr>
        <w:t> 月 </w:t>
      </w:r>
      <w:r>
        <w:rPr/>
        <w:t>12</w:t>
      </w:r>
      <w:r>
        <w:rPr>
          <w:spacing w:val="-10"/>
        </w:rPr>
        <w:t> 日在金华银行开通了优选股票基金、动力平衡基金和货币基金的“定期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0" w:firstLine="419"/>
      </w:pPr>
      <w:r>
        <w:rPr/>
        <w:t>2012</w:t>
      </w:r>
      <w:r>
        <w:rPr>
          <w:spacing w:val="-31"/>
        </w:rPr>
        <w:t> 年 </w:t>
      </w:r>
      <w:r>
        <w:rPr/>
        <w:t>7</w:t>
      </w:r>
      <w:r>
        <w:rPr>
          <w:spacing w:val="-31"/>
        </w:rPr>
        <w:t> 月 </w:t>
      </w:r>
      <w:r>
        <w:rPr/>
        <w:t>20</w:t>
      </w:r>
      <w:r>
        <w:rPr>
          <w:spacing w:val="-10"/>
        </w:rPr>
        <w:t> 日在招商银行开通了优选股票基金、动力平衡基金和货币基金的“定期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2012</w:t>
      </w:r>
      <w:r>
        <w:rPr>
          <w:spacing w:val="-32"/>
        </w:rPr>
        <w:t> 年 </w:t>
      </w:r>
      <w:r>
        <w:rPr/>
        <w:t>7</w:t>
      </w:r>
      <w:r>
        <w:rPr>
          <w:spacing w:val="-31"/>
        </w:rPr>
        <w:t> 月 </w:t>
      </w:r>
      <w:r>
        <w:rPr/>
        <w:t>20</w:t>
      </w:r>
      <w:r>
        <w:rPr>
          <w:spacing w:val="-10"/>
        </w:rPr>
        <w:t> 日在浙商银行开通了优选股票基金、动力平衡基金和货币基金的“定期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0" w:firstLine="419"/>
      </w:pPr>
      <w:r>
        <w:rPr/>
        <w:t>2012</w:t>
      </w:r>
      <w:r>
        <w:rPr>
          <w:spacing w:val="-31"/>
        </w:rPr>
        <w:t> 年 </w:t>
      </w:r>
      <w:r>
        <w:rPr/>
        <w:t>7</w:t>
      </w:r>
      <w:r>
        <w:rPr>
          <w:spacing w:val="-31"/>
        </w:rPr>
        <w:t> 月 </w:t>
      </w:r>
      <w:r>
        <w:rPr/>
        <w:t>25</w:t>
      </w:r>
      <w:r>
        <w:rPr>
          <w:spacing w:val="-10"/>
        </w:rPr>
        <w:t> 日在嘉兴银行开通了优选股票基金、动力平衡基金和货币基金的“定期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2012</w:t>
      </w:r>
      <w:r>
        <w:rPr>
          <w:spacing w:val="-31"/>
        </w:rPr>
        <w:t> 年 </w:t>
      </w:r>
      <w:r>
        <w:rPr/>
        <w:t>12</w:t>
      </w:r>
      <w:r>
        <w:rPr>
          <w:spacing w:val="-31"/>
        </w:rPr>
        <w:t> 月 </w:t>
      </w:r>
      <w:r>
        <w:rPr/>
        <w:t>21</w:t>
      </w:r>
      <w:r>
        <w:rPr>
          <w:spacing w:val="-15"/>
        </w:rPr>
        <w:t> 日在数米基金网开通了优选股票基金、动力平衡基金和货币基金的“定</w:t>
      </w:r>
      <w:r>
        <w:rPr>
          <w:spacing w:val="-20"/>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8" w:firstLine="419"/>
      </w:pPr>
      <w:r>
        <w:rPr/>
        <w:t>2012</w:t>
      </w:r>
      <w:r>
        <w:rPr>
          <w:spacing w:val="-23"/>
        </w:rPr>
        <w:t> 年 </w:t>
      </w:r>
      <w:r>
        <w:rPr/>
        <w:t>12</w:t>
      </w:r>
      <w:r>
        <w:rPr>
          <w:spacing w:val="-22"/>
        </w:rPr>
        <w:t> 月 </w:t>
      </w:r>
      <w:r>
        <w:rPr/>
        <w:t>28</w:t>
      </w:r>
      <w:r>
        <w:rPr>
          <w:spacing w:val="-7"/>
        </w:rPr>
        <w:t> 日在诺亚正行开通了优选股票基金、动力平衡基金和货币基金的“定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11" w:firstLine="419"/>
      </w:pPr>
      <w:r>
        <w:rPr/>
        <w:t>2013</w:t>
      </w:r>
      <w:r>
        <w:rPr>
          <w:spacing w:val="-31"/>
        </w:rPr>
        <w:t> 年 </w:t>
      </w:r>
      <w:r>
        <w:rPr/>
        <w:t>1</w:t>
      </w:r>
      <w:r>
        <w:rPr>
          <w:spacing w:val="-31"/>
        </w:rPr>
        <w:t> 月 </w:t>
      </w:r>
      <w:r>
        <w:rPr/>
        <w:t>11</w:t>
      </w:r>
      <w:r>
        <w:rPr>
          <w:spacing w:val="-10"/>
        </w:rPr>
        <w:t> 日在长量基金开通了优选股票基金、动力平衡基金和货币基金的“定期</w:t>
      </w:r>
      <w:r>
        <w:rPr>
          <w:spacing w:val="-18"/>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0" w:firstLine="419"/>
      </w:pPr>
      <w:r>
        <w:rPr/>
        <w:t>2013</w:t>
      </w:r>
      <w:r>
        <w:rPr>
          <w:spacing w:val="-31"/>
        </w:rPr>
        <w:t> 年 </w:t>
      </w:r>
      <w:r>
        <w:rPr/>
        <w:t>1</w:t>
      </w:r>
      <w:r>
        <w:rPr>
          <w:spacing w:val="-31"/>
        </w:rPr>
        <w:t> 月 </w:t>
      </w:r>
      <w:r>
        <w:rPr/>
        <w:t>22</w:t>
      </w:r>
      <w:r>
        <w:rPr>
          <w:spacing w:val="-10"/>
        </w:rPr>
        <w:t> 日在西南证券开通了优选股票基金、动力平衡基金和货币基金的“定期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0" w:firstLine="419"/>
      </w:pPr>
      <w:r>
        <w:rPr/>
        <w:t>2013</w:t>
      </w:r>
      <w:r>
        <w:rPr>
          <w:spacing w:val="-31"/>
        </w:rPr>
        <w:t> 年 </w:t>
      </w:r>
      <w:r>
        <w:rPr/>
        <w:t>3</w:t>
      </w:r>
      <w:r>
        <w:rPr>
          <w:spacing w:val="-31"/>
        </w:rPr>
        <w:t> 月 </w:t>
      </w:r>
      <w:r>
        <w:rPr/>
        <w:t>15</w:t>
      </w:r>
      <w:r>
        <w:rPr>
          <w:spacing w:val="-10"/>
        </w:rPr>
        <w:t> 日在展恒基金开通了优选股票基金、动力平衡基金和货币基金的“定期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2013</w:t>
      </w:r>
      <w:r>
        <w:rPr>
          <w:spacing w:val="-23"/>
        </w:rPr>
        <w:t> 年 </w:t>
      </w:r>
      <w:r>
        <w:rPr/>
        <w:t>4</w:t>
      </w:r>
      <w:r>
        <w:rPr>
          <w:spacing w:val="-22"/>
        </w:rPr>
        <w:t> 月 </w:t>
      </w:r>
      <w:r>
        <w:rPr/>
        <w:t>1</w:t>
      </w:r>
      <w:r>
        <w:rPr>
          <w:spacing w:val="-7"/>
        </w:rPr>
        <w:t> 日在好买基金开通了优选股票基金、动力平衡基金和货币基金的“定期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spacing w:after="0" w:line="417" w:lineRule="auto"/>
        <w:sectPr>
          <w:footerReference w:type="default" r:id="rId172"/>
          <w:pgSz w:w="11910" w:h="16840"/>
          <w:pgMar w:footer="992" w:header="852" w:top="1220" w:bottom="1180" w:left="1140" w:right="480"/>
          <w:pgNumType w:start="64"/>
        </w:sectPr>
      </w:pPr>
    </w:p>
    <w:p>
      <w:pPr>
        <w:pStyle w:val="BodyText"/>
        <w:spacing w:before="1"/>
        <w:rPr>
          <w:sz w:val="19"/>
        </w:rPr>
      </w:pPr>
    </w:p>
    <w:p>
      <w:pPr>
        <w:pStyle w:val="BodyText"/>
        <w:spacing w:line="417" w:lineRule="auto" w:before="71"/>
        <w:ind w:left="658" w:right="1309" w:firstLine="419"/>
      </w:pPr>
      <w:r>
        <w:rPr/>
        <w:t>2013</w:t>
      </w:r>
      <w:r>
        <w:rPr>
          <w:spacing w:val="-31"/>
        </w:rPr>
        <w:t> 年 </w:t>
      </w:r>
      <w:r>
        <w:rPr/>
        <w:t>4</w:t>
      </w:r>
      <w:r>
        <w:rPr>
          <w:spacing w:val="-31"/>
        </w:rPr>
        <w:t> 月 </w:t>
      </w:r>
      <w:r>
        <w:rPr/>
        <w:t>19</w:t>
      </w:r>
      <w:r>
        <w:rPr>
          <w:spacing w:val="-10"/>
        </w:rPr>
        <w:t> 日在和讯科技开通了优选股票基金、动力平衡基金和货币基金的“定期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2013</w:t>
      </w:r>
      <w:r>
        <w:rPr>
          <w:spacing w:val="-31"/>
        </w:rPr>
        <w:t> 年 </w:t>
      </w:r>
      <w:r>
        <w:rPr/>
        <w:t>6</w:t>
      </w:r>
      <w:r>
        <w:rPr>
          <w:spacing w:val="-31"/>
        </w:rPr>
        <w:t> 月 </w:t>
      </w:r>
      <w:r>
        <w:rPr/>
        <w:t>27</w:t>
      </w:r>
      <w:r>
        <w:rPr>
          <w:spacing w:val="-10"/>
        </w:rPr>
        <w:t> 日在天天基金开通了优选股票基金、动力平衡基金和货币基金的“定期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2013</w:t>
      </w:r>
      <w:r>
        <w:rPr>
          <w:spacing w:val="-23"/>
        </w:rPr>
        <w:t> 年 </w:t>
      </w:r>
      <w:r>
        <w:rPr/>
        <w:t>7</w:t>
      </w:r>
      <w:r>
        <w:rPr>
          <w:spacing w:val="-22"/>
        </w:rPr>
        <w:t> 月 </w:t>
      </w:r>
      <w:r>
        <w:rPr/>
        <w:t>9</w:t>
      </w:r>
      <w:r>
        <w:rPr>
          <w:spacing w:val="-7"/>
        </w:rPr>
        <w:t> 日在同花顺基金开通了优选股票基金、动力平衡基金和货币基金的“定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w w:val="100"/>
        </w:rPr>
        <w:t>2013</w:t>
      </w:r>
      <w:r>
        <w:rPr>
          <w:spacing w:val="-41"/>
        </w:rPr>
        <w:t> </w:t>
      </w:r>
      <w:r>
        <w:rPr>
          <w:w w:val="100"/>
        </w:rPr>
        <w:t>年</w:t>
      </w:r>
      <w:r>
        <w:rPr>
          <w:spacing w:val="-41"/>
        </w:rPr>
        <w:t> </w:t>
      </w:r>
      <w:r>
        <w:rPr>
          <w:w w:val="100"/>
        </w:rPr>
        <w:t>8</w:t>
      </w:r>
      <w:r>
        <w:rPr>
          <w:spacing w:val="-41"/>
        </w:rPr>
        <w:t> </w:t>
      </w:r>
      <w:r>
        <w:rPr>
          <w:w w:val="100"/>
        </w:rPr>
        <w:t>月</w:t>
      </w:r>
      <w:r>
        <w:rPr>
          <w:spacing w:val="-38"/>
        </w:rPr>
        <w:t> </w:t>
      </w:r>
      <w:r>
        <w:rPr>
          <w:w w:val="100"/>
        </w:rPr>
        <w:t>16</w:t>
      </w:r>
      <w:r>
        <w:rPr>
          <w:spacing w:val="-41"/>
        </w:rPr>
        <w:t> </w:t>
      </w:r>
      <w:r>
        <w:rPr>
          <w:spacing w:val="-8"/>
          <w:w w:val="100"/>
        </w:rPr>
        <w:t>日在包商银行开通了货币基金的“定期定额投资计划”</w:t>
      </w:r>
      <w:r>
        <w:rPr>
          <w:w w:val="100"/>
        </w:rPr>
        <w:t>（</w:t>
      </w:r>
      <w:r>
        <w:rPr>
          <w:spacing w:val="-3"/>
          <w:w w:val="100"/>
        </w:rPr>
        <w:t>详情请参见相</w:t>
      </w:r>
      <w:r>
        <w:rPr>
          <w:spacing w:val="-3"/>
        </w:rPr>
        <w:t>关业务公告</w:t>
      </w:r>
      <w:r>
        <w:rPr>
          <w:spacing w:val="-106"/>
        </w:rPr>
        <w:t>）</w:t>
      </w:r>
      <w:r>
        <w:rPr/>
        <w:t>。</w:t>
      </w:r>
    </w:p>
    <w:p>
      <w:pPr>
        <w:pStyle w:val="BodyText"/>
        <w:spacing w:line="417" w:lineRule="auto"/>
        <w:ind w:left="658" w:right="1309" w:firstLine="419"/>
      </w:pPr>
      <w:r>
        <w:rPr/>
        <w:t>2013</w:t>
      </w:r>
      <w:r>
        <w:rPr>
          <w:spacing w:val="-31"/>
        </w:rPr>
        <w:t> 年 </w:t>
      </w:r>
      <w:r>
        <w:rPr/>
        <w:t>8</w:t>
      </w:r>
      <w:r>
        <w:rPr>
          <w:spacing w:val="-31"/>
        </w:rPr>
        <w:t> 月 </w:t>
      </w:r>
      <w:r>
        <w:rPr/>
        <w:t>26</w:t>
      </w:r>
      <w:r>
        <w:rPr>
          <w:spacing w:val="-10"/>
        </w:rPr>
        <w:t> 日在万银财富开通了优选股票基金、动力平衡基金和货币基金的“定期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2013</w:t>
      </w:r>
      <w:r>
        <w:rPr>
          <w:spacing w:val="-23"/>
        </w:rPr>
        <w:t> 年 </w:t>
      </w:r>
      <w:r>
        <w:rPr/>
        <w:t>11</w:t>
      </w:r>
      <w:r>
        <w:rPr>
          <w:spacing w:val="-22"/>
        </w:rPr>
        <w:t> 月 </w:t>
      </w:r>
      <w:r>
        <w:rPr/>
        <w:t>18</w:t>
      </w:r>
      <w:r>
        <w:rPr>
          <w:spacing w:val="-7"/>
        </w:rPr>
        <w:t> 日在宜信普泽开通了优选股票基金、动力平衡基金和货币基金的“定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2013</w:t>
      </w:r>
      <w:r>
        <w:rPr>
          <w:spacing w:val="-31"/>
        </w:rPr>
        <w:t> 年 </w:t>
      </w:r>
      <w:r>
        <w:rPr/>
        <w:t>12</w:t>
      </w:r>
      <w:r>
        <w:rPr>
          <w:spacing w:val="-31"/>
        </w:rPr>
        <w:t> 月 </w:t>
      </w:r>
      <w:r>
        <w:rPr/>
        <w:t>4</w:t>
      </w:r>
      <w:r>
        <w:rPr>
          <w:spacing w:val="-10"/>
        </w:rPr>
        <w:t> 日在増财基金开通了优选股票基金、动力平衡基金和货币基金的“定期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2014</w:t>
      </w:r>
      <w:r>
        <w:rPr>
          <w:spacing w:val="-31"/>
        </w:rPr>
        <w:t> 年 </w:t>
      </w:r>
      <w:r>
        <w:rPr/>
        <w:t>1</w:t>
      </w:r>
      <w:r>
        <w:rPr>
          <w:spacing w:val="-31"/>
        </w:rPr>
        <w:t> 月 </w:t>
      </w:r>
      <w:r>
        <w:rPr/>
        <w:t>14</w:t>
      </w:r>
      <w:r>
        <w:rPr>
          <w:spacing w:val="-10"/>
        </w:rPr>
        <w:t> 日在包商银行开通了优选股票基金和动力平衡基金的“定期定额投资计</w:t>
      </w:r>
      <w:r>
        <w:rPr>
          <w:spacing w:val="-58"/>
          <w:w w:val="100"/>
        </w:rPr>
        <w:t>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w w:val="100"/>
        </w:rPr>
        <w:t>2014</w:t>
      </w:r>
      <w:r>
        <w:rPr>
          <w:spacing w:val="-55"/>
        </w:rPr>
        <w:t> </w:t>
      </w:r>
      <w:r>
        <w:rPr>
          <w:w w:val="100"/>
        </w:rPr>
        <w:t>年</w:t>
      </w:r>
      <w:r>
        <w:rPr>
          <w:spacing w:val="-53"/>
        </w:rPr>
        <w:t> </w:t>
      </w:r>
      <w:r>
        <w:rPr>
          <w:w w:val="100"/>
        </w:rPr>
        <w:t>5</w:t>
      </w:r>
      <w:r>
        <w:rPr>
          <w:spacing w:val="-55"/>
        </w:rPr>
        <w:t> </w:t>
      </w:r>
      <w:r>
        <w:rPr>
          <w:w w:val="100"/>
        </w:rPr>
        <w:t>月</w:t>
      </w:r>
      <w:r>
        <w:rPr>
          <w:spacing w:val="-53"/>
        </w:rPr>
        <w:t> </w:t>
      </w:r>
      <w:r>
        <w:rPr>
          <w:w w:val="100"/>
        </w:rPr>
        <w:t>5</w:t>
      </w:r>
      <w:r>
        <w:rPr>
          <w:spacing w:val="-55"/>
        </w:rPr>
        <w:t> </w:t>
      </w:r>
      <w:r>
        <w:rPr>
          <w:spacing w:val="-5"/>
          <w:w w:val="100"/>
        </w:rPr>
        <w:t>日在华侨银行开通了优选股票基金的“定期定额投资计划</w:t>
      </w:r>
      <w:r>
        <w:rPr>
          <w:spacing w:val="-125"/>
          <w:w w:val="100"/>
        </w:rPr>
        <w:t>”</w:t>
      </w:r>
      <w:r>
        <w:rPr>
          <w:w w:val="100"/>
        </w:rPr>
        <w:t>（</w:t>
      </w:r>
      <w:r>
        <w:rPr>
          <w:spacing w:val="-3"/>
          <w:w w:val="100"/>
        </w:rPr>
        <w:t>详情请参见</w:t>
      </w:r>
      <w:r>
        <w:rPr>
          <w:spacing w:val="-3"/>
        </w:rPr>
        <w:t>相关业务公告</w:t>
      </w:r>
      <w:r>
        <w:rPr>
          <w:spacing w:val="-108"/>
        </w:rPr>
        <w:t>）</w:t>
      </w:r>
      <w:r>
        <w:rPr/>
        <w:t>。</w:t>
      </w:r>
    </w:p>
    <w:p>
      <w:pPr>
        <w:pStyle w:val="BodyText"/>
        <w:spacing w:line="417" w:lineRule="auto"/>
        <w:ind w:left="658" w:right="1309" w:firstLine="419"/>
      </w:pPr>
      <w:r>
        <w:rPr/>
        <w:t>2014</w:t>
      </w:r>
      <w:r>
        <w:rPr>
          <w:spacing w:val="-31"/>
        </w:rPr>
        <w:t> 年 </w:t>
      </w:r>
      <w:r>
        <w:rPr/>
        <w:t>5</w:t>
      </w:r>
      <w:r>
        <w:rPr>
          <w:spacing w:val="-31"/>
        </w:rPr>
        <w:t> 月 </w:t>
      </w:r>
      <w:r>
        <w:rPr/>
        <w:t>23</w:t>
      </w:r>
      <w:r>
        <w:rPr>
          <w:spacing w:val="-10"/>
        </w:rPr>
        <w:t> 日在新兰德开通了优选股票基金、动力平衡基金和货币基金的“定期定</w:t>
      </w:r>
      <w:r>
        <w:rPr>
          <w:spacing w:val="-23"/>
          <w:w w:val="100"/>
        </w:rPr>
        <w:t>额投资计划”</w:t>
      </w:r>
      <w:r>
        <w:rPr>
          <w:spacing w:val="-3"/>
          <w:w w:val="100"/>
        </w:rPr>
        <w:t>（详情请参见相关业务公告</w:t>
      </w:r>
      <w:r>
        <w:rPr>
          <w:spacing w:val="-108"/>
          <w:w w:val="100"/>
        </w:rPr>
        <w:t>）</w:t>
      </w:r>
      <w:r>
        <w:rPr>
          <w:w w:val="100"/>
        </w:rPr>
        <w:t>。</w:t>
      </w:r>
    </w:p>
    <w:p>
      <w:pPr>
        <w:pStyle w:val="BodyText"/>
        <w:spacing w:line="269" w:lineRule="exact"/>
        <w:ind w:left="1078"/>
      </w:pPr>
      <w:r>
        <w:rPr/>
        <w:t>2014 年 5 月 26 日在南京银行开通了优选股票基金和货币基金的“定期定额投资计划”</w:t>
      </w:r>
    </w:p>
    <w:p>
      <w:pPr>
        <w:pStyle w:val="BodyText"/>
        <w:spacing w:before="5"/>
        <w:rPr>
          <w:sz w:val="15"/>
        </w:rPr>
      </w:pPr>
    </w:p>
    <w:p>
      <w:pPr>
        <w:pStyle w:val="BodyText"/>
        <w:spacing w:before="1"/>
        <w:ind w:left="658"/>
      </w:pPr>
      <w:r>
        <w:rPr/>
        <w:t>（</w:t>
      </w:r>
      <w:r>
        <w:rPr>
          <w:spacing w:val="-3"/>
        </w:rPr>
        <w:t>详情请参见相关业务公告</w:t>
      </w:r>
      <w:r>
        <w:rPr>
          <w:spacing w:val="-106"/>
        </w:rPr>
        <w:t>）</w:t>
      </w:r>
      <w:r>
        <w:rPr/>
        <w:t>。</w:t>
      </w:r>
    </w:p>
    <w:p>
      <w:pPr>
        <w:pStyle w:val="BodyText"/>
        <w:spacing w:before="6"/>
        <w:rPr>
          <w:sz w:val="15"/>
        </w:rPr>
      </w:pPr>
    </w:p>
    <w:p>
      <w:pPr>
        <w:pStyle w:val="BodyText"/>
        <w:ind w:left="1078"/>
      </w:pPr>
      <w:r>
        <w:rPr/>
        <w:t>2014 年 5 月 27 日在晟视天下开通了优选股票基金、动力平衡基金和货币基金的“定期</w:t>
      </w:r>
    </w:p>
    <w:p>
      <w:pPr>
        <w:pStyle w:val="BodyText"/>
        <w:spacing w:before="7"/>
        <w:rPr>
          <w:sz w:val="15"/>
        </w:rPr>
      </w:pPr>
    </w:p>
    <w:p>
      <w:pPr>
        <w:pStyle w:val="BodyText"/>
        <w:spacing w:line="417" w:lineRule="auto"/>
        <w:ind w:left="658" w:right="1311"/>
      </w:pPr>
      <w:r>
        <w:rPr>
          <w:spacing w:val="-2"/>
          <w:w w:val="100"/>
        </w:rPr>
        <w:t>定额投资计划</w:t>
      </w:r>
      <w:r>
        <w:rPr>
          <w:spacing w:val="-125"/>
          <w:w w:val="100"/>
        </w:rPr>
        <w:t>”</w:t>
      </w:r>
      <w:r>
        <w:rPr>
          <w:spacing w:val="-3"/>
          <w:w w:val="100"/>
        </w:rPr>
        <w:t>（详情请参见相关业务公告</w:t>
      </w:r>
      <w:r>
        <w:rPr>
          <w:spacing w:val="-108"/>
          <w:w w:val="100"/>
        </w:rPr>
        <w:t>）</w:t>
      </w:r>
      <w:r>
        <w:rPr>
          <w:spacing w:val="-17"/>
          <w:w w:val="100"/>
        </w:rPr>
        <w:t>。</w:t>
      </w:r>
      <w:r>
        <w:rPr>
          <w:w w:val="100"/>
        </w:rPr>
        <w:t>20</w:t>
      </w:r>
      <w:r>
        <w:rPr>
          <w:spacing w:val="-3"/>
          <w:w w:val="100"/>
        </w:rPr>
        <w:t>1</w:t>
      </w:r>
      <w:r>
        <w:rPr>
          <w:w w:val="100"/>
        </w:rPr>
        <w:t>4</w:t>
      </w:r>
      <w:r>
        <w:rPr>
          <w:spacing w:val="-55"/>
        </w:rPr>
        <w:t> </w:t>
      </w:r>
      <w:r>
        <w:rPr>
          <w:w w:val="100"/>
        </w:rPr>
        <w:t>年</w:t>
      </w:r>
      <w:r>
        <w:rPr>
          <w:spacing w:val="-53"/>
        </w:rPr>
        <w:t> </w:t>
      </w:r>
      <w:r>
        <w:rPr>
          <w:w w:val="100"/>
        </w:rPr>
        <w:t>6</w:t>
      </w:r>
      <w:r>
        <w:rPr>
          <w:spacing w:val="-55"/>
        </w:rPr>
        <w:t> </w:t>
      </w:r>
      <w:r>
        <w:rPr>
          <w:w w:val="100"/>
        </w:rPr>
        <w:t>月</w:t>
      </w:r>
      <w:r>
        <w:rPr>
          <w:spacing w:val="-53"/>
        </w:rPr>
        <w:t> </w:t>
      </w:r>
      <w:r>
        <w:rPr>
          <w:w w:val="100"/>
        </w:rPr>
        <w:t>18</w:t>
      </w:r>
      <w:r>
        <w:rPr>
          <w:spacing w:val="-55"/>
        </w:rPr>
        <w:t> </w:t>
      </w:r>
      <w:r>
        <w:rPr>
          <w:spacing w:val="-3"/>
          <w:w w:val="100"/>
        </w:rPr>
        <w:t>日在一路财富开通了优选股票</w:t>
      </w:r>
      <w:r>
        <w:rPr>
          <w:spacing w:val="-8"/>
          <w:w w:val="100"/>
        </w:rPr>
        <w:t>基金、动力平衡基金和货币基金的“定期定额投资计划”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2014</w:t>
      </w:r>
      <w:r>
        <w:rPr>
          <w:spacing w:val="-31"/>
        </w:rPr>
        <w:t> 年 </w:t>
      </w:r>
      <w:r>
        <w:rPr/>
        <w:t>6</w:t>
      </w:r>
      <w:r>
        <w:rPr>
          <w:spacing w:val="-31"/>
        </w:rPr>
        <w:t> 月 </w:t>
      </w:r>
      <w:r>
        <w:rPr/>
        <w:t>26</w:t>
      </w:r>
      <w:r>
        <w:rPr>
          <w:spacing w:val="-10"/>
        </w:rPr>
        <w:t> 日在恒天明泽开通了优选股票基金、动力平衡基金和货币基金的“定期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2014</w:t>
      </w:r>
      <w:r>
        <w:rPr>
          <w:spacing w:val="-31"/>
        </w:rPr>
        <w:t> 年 </w:t>
      </w:r>
      <w:r>
        <w:rPr/>
        <w:t>6</w:t>
      </w:r>
      <w:r>
        <w:rPr>
          <w:spacing w:val="-31"/>
        </w:rPr>
        <w:t> 月 </w:t>
      </w:r>
      <w:r>
        <w:rPr/>
        <w:t>30</w:t>
      </w:r>
      <w:r>
        <w:rPr>
          <w:spacing w:val="-10"/>
        </w:rPr>
        <w:t> 日在钱景财富开通了优选股票基金、动力平衡基金和货币基金的“定期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ind w:left="1078"/>
      </w:pPr>
      <w:r>
        <w:rPr/>
        <w:t>2014 年 7 月 7 日在腾元基金开通了优选股票基金、动力平衡基金和货币基金的“定期</w:t>
      </w:r>
    </w:p>
    <w:p>
      <w:pPr>
        <w:spacing w:after="0"/>
        <w:sectPr>
          <w:pgSz w:w="11910" w:h="16840"/>
          <w:pgMar w:header="852" w:footer="992" w:top="1220" w:bottom="1180" w:left="1140" w:right="480"/>
        </w:sectPr>
      </w:pPr>
    </w:p>
    <w:p>
      <w:pPr>
        <w:pStyle w:val="BodyText"/>
        <w:spacing w:before="1"/>
        <w:rPr>
          <w:sz w:val="19"/>
        </w:rPr>
      </w:pPr>
    </w:p>
    <w:p>
      <w:pPr>
        <w:pStyle w:val="BodyText"/>
        <w:spacing w:before="71"/>
        <w:ind w:left="658"/>
      </w:pPr>
      <w:r>
        <w:rPr>
          <w:spacing w:val="-18"/>
          <w:w w:val="100"/>
        </w:rPr>
        <w:t>定额投资计划”</w:t>
      </w:r>
      <w:r>
        <w:rPr>
          <w:w w:val="100"/>
        </w:rPr>
        <w:t>（</w:t>
      </w:r>
      <w:r>
        <w:rPr>
          <w:spacing w:val="-3"/>
          <w:w w:val="100"/>
        </w:rPr>
        <w:t>详情请参见相关业务公告</w:t>
      </w:r>
      <w:r>
        <w:rPr>
          <w:spacing w:val="-106"/>
          <w:w w:val="100"/>
        </w:rPr>
        <w:t>）</w:t>
      </w:r>
      <w:r>
        <w:rPr>
          <w:w w:val="100"/>
        </w:rPr>
        <w:t>。</w:t>
      </w:r>
    </w:p>
    <w:p>
      <w:pPr>
        <w:pStyle w:val="BodyText"/>
        <w:spacing w:before="7"/>
        <w:rPr>
          <w:sz w:val="15"/>
        </w:rPr>
      </w:pPr>
    </w:p>
    <w:p>
      <w:pPr>
        <w:pStyle w:val="BodyText"/>
        <w:spacing w:line="417" w:lineRule="auto"/>
        <w:ind w:left="658" w:right="1308" w:firstLine="419"/>
      </w:pPr>
      <w:r>
        <w:rPr/>
        <w:t>2014</w:t>
      </w:r>
      <w:r>
        <w:rPr>
          <w:spacing w:val="-31"/>
        </w:rPr>
        <w:t> 年 </w:t>
      </w:r>
      <w:r>
        <w:rPr/>
        <w:t>7</w:t>
      </w:r>
      <w:r>
        <w:rPr>
          <w:spacing w:val="-31"/>
        </w:rPr>
        <w:t> 月 </w:t>
      </w:r>
      <w:r>
        <w:rPr/>
        <w:t>30</w:t>
      </w:r>
      <w:r>
        <w:rPr>
          <w:spacing w:val="-10"/>
        </w:rPr>
        <w:t> 日在创金启富开通了优选股票基金、动力平衡基金和货币基金的“定期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2014</w:t>
      </w:r>
      <w:r>
        <w:rPr>
          <w:spacing w:val="-23"/>
        </w:rPr>
        <w:t> 年 </w:t>
      </w:r>
      <w:r>
        <w:rPr/>
        <w:t>9</w:t>
      </w:r>
      <w:r>
        <w:rPr>
          <w:spacing w:val="-22"/>
        </w:rPr>
        <w:t> 月 </w:t>
      </w:r>
      <w:r>
        <w:rPr/>
        <w:t>4</w:t>
      </w:r>
      <w:r>
        <w:rPr>
          <w:spacing w:val="-7"/>
        </w:rPr>
        <w:t> 日在唐鼎耀华开通了优选股票基金、动力平衡基金和货币基金的“定期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2014</w:t>
      </w:r>
      <w:r>
        <w:rPr>
          <w:spacing w:val="-23"/>
        </w:rPr>
        <w:t> 年 </w:t>
      </w:r>
      <w:r>
        <w:rPr/>
        <w:t>11</w:t>
      </w:r>
      <w:r>
        <w:rPr>
          <w:spacing w:val="-22"/>
        </w:rPr>
        <w:t> 月 </w:t>
      </w:r>
      <w:r>
        <w:rPr/>
        <w:t>27</w:t>
      </w:r>
      <w:r>
        <w:rPr>
          <w:spacing w:val="-7"/>
        </w:rPr>
        <w:t> 日在第一创业开通了优选股票基金、动力平衡基金和货币基金的“定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2015</w:t>
      </w:r>
      <w:r>
        <w:rPr>
          <w:spacing w:val="-31"/>
        </w:rPr>
        <w:t> 年 </w:t>
      </w:r>
      <w:r>
        <w:rPr/>
        <w:t>1</w:t>
      </w:r>
      <w:r>
        <w:rPr>
          <w:spacing w:val="-31"/>
        </w:rPr>
        <w:t> 月 </w:t>
      </w:r>
      <w:r>
        <w:rPr/>
        <w:t>16</w:t>
      </w:r>
      <w:r>
        <w:rPr>
          <w:spacing w:val="-10"/>
        </w:rPr>
        <w:t> 日在苏州银行开通了优选股票基金、动力平衡基金和货币基金的“定期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w w:val="100"/>
        </w:rPr>
        <w:t>2015</w:t>
      </w:r>
      <w:r>
        <w:rPr>
          <w:spacing w:val="-41"/>
        </w:rPr>
        <w:t> </w:t>
      </w:r>
      <w:r>
        <w:rPr>
          <w:w w:val="100"/>
        </w:rPr>
        <w:t>年</w:t>
      </w:r>
      <w:r>
        <w:rPr>
          <w:spacing w:val="-41"/>
        </w:rPr>
        <w:t> </w:t>
      </w:r>
      <w:r>
        <w:rPr>
          <w:w w:val="100"/>
        </w:rPr>
        <w:t>3</w:t>
      </w:r>
      <w:r>
        <w:rPr>
          <w:spacing w:val="-41"/>
        </w:rPr>
        <w:t> </w:t>
      </w:r>
      <w:r>
        <w:rPr>
          <w:w w:val="100"/>
        </w:rPr>
        <w:t>月</w:t>
      </w:r>
      <w:r>
        <w:rPr>
          <w:spacing w:val="-38"/>
        </w:rPr>
        <w:t> </w:t>
      </w:r>
      <w:r>
        <w:rPr>
          <w:w w:val="100"/>
        </w:rPr>
        <w:t>10</w:t>
      </w:r>
      <w:r>
        <w:rPr>
          <w:spacing w:val="-41"/>
        </w:rPr>
        <w:t> </w:t>
      </w:r>
      <w:r>
        <w:rPr>
          <w:spacing w:val="-8"/>
          <w:w w:val="100"/>
        </w:rPr>
        <w:t>日在星展银行开通了货币基金的“定期定额投资计划”</w:t>
      </w:r>
      <w:r>
        <w:rPr>
          <w:w w:val="100"/>
        </w:rPr>
        <w:t>（</w:t>
      </w:r>
      <w:r>
        <w:rPr>
          <w:spacing w:val="-3"/>
          <w:w w:val="100"/>
        </w:rPr>
        <w:t>详情请参见相</w:t>
      </w:r>
      <w:r>
        <w:rPr>
          <w:spacing w:val="-3"/>
        </w:rPr>
        <w:t>关业务公告</w:t>
      </w:r>
      <w:r>
        <w:rPr>
          <w:spacing w:val="-106"/>
        </w:rPr>
        <w:t>）</w:t>
      </w:r>
      <w:r>
        <w:rPr/>
        <w:t>。</w:t>
      </w:r>
    </w:p>
    <w:p>
      <w:pPr>
        <w:pStyle w:val="BodyText"/>
        <w:spacing w:line="417" w:lineRule="auto"/>
        <w:ind w:left="658" w:right="1309" w:firstLine="419"/>
      </w:pPr>
      <w:r>
        <w:rPr>
          <w:w w:val="100"/>
        </w:rPr>
        <w:t>2015</w:t>
      </w:r>
      <w:r>
        <w:rPr>
          <w:spacing w:val="-41"/>
        </w:rPr>
        <w:t> </w:t>
      </w:r>
      <w:r>
        <w:rPr>
          <w:w w:val="100"/>
        </w:rPr>
        <w:t>年</w:t>
      </w:r>
      <w:r>
        <w:rPr>
          <w:spacing w:val="-41"/>
        </w:rPr>
        <w:t> </w:t>
      </w:r>
      <w:r>
        <w:rPr>
          <w:w w:val="100"/>
        </w:rPr>
        <w:t>4</w:t>
      </w:r>
      <w:r>
        <w:rPr>
          <w:spacing w:val="-41"/>
        </w:rPr>
        <w:t> </w:t>
      </w:r>
      <w:r>
        <w:rPr>
          <w:w w:val="100"/>
        </w:rPr>
        <w:t>月</w:t>
      </w:r>
      <w:r>
        <w:rPr>
          <w:spacing w:val="-38"/>
        </w:rPr>
        <w:t> </w:t>
      </w:r>
      <w:r>
        <w:rPr>
          <w:w w:val="100"/>
        </w:rPr>
        <w:t>22</w:t>
      </w:r>
      <w:r>
        <w:rPr>
          <w:spacing w:val="-41"/>
        </w:rPr>
        <w:t> </w:t>
      </w:r>
      <w:r>
        <w:rPr>
          <w:spacing w:val="-8"/>
          <w:w w:val="100"/>
        </w:rPr>
        <w:t>日在东亚银行开通了优选股票基金的“定期定额投资计划”</w:t>
      </w:r>
      <w:r>
        <w:rPr>
          <w:spacing w:val="-3"/>
          <w:w w:val="100"/>
        </w:rPr>
        <w:t>（</w:t>
      </w:r>
      <w:r>
        <w:rPr>
          <w:spacing w:val="-1"/>
          <w:w w:val="100"/>
        </w:rPr>
        <w:t>详情请参</w:t>
      </w:r>
      <w:r>
        <w:rPr>
          <w:spacing w:val="-3"/>
        </w:rPr>
        <w:t>见相关业务公告</w:t>
      </w:r>
      <w:r>
        <w:rPr>
          <w:spacing w:val="-106"/>
        </w:rPr>
        <w:t>）</w:t>
      </w:r>
      <w:r>
        <w:rPr/>
        <w:t>。</w:t>
      </w:r>
    </w:p>
    <w:p>
      <w:pPr>
        <w:pStyle w:val="BodyText"/>
        <w:spacing w:line="417" w:lineRule="auto"/>
        <w:ind w:left="658" w:right="1309" w:firstLine="419"/>
      </w:pPr>
      <w:r>
        <w:rPr/>
        <w:t>2015</w:t>
      </w:r>
      <w:r>
        <w:rPr>
          <w:spacing w:val="-31"/>
        </w:rPr>
        <w:t> 年 </w:t>
      </w:r>
      <w:r>
        <w:rPr/>
        <w:t>4</w:t>
      </w:r>
      <w:r>
        <w:rPr>
          <w:spacing w:val="-31"/>
        </w:rPr>
        <w:t> 月 </w:t>
      </w:r>
      <w:r>
        <w:rPr/>
        <w:t>30</w:t>
      </w:r>
      <w:r>
        <w:rPr>
          <w:spacing w:val="-10"/>
        </w:rPr>
        <w:t> 日在汇付金融开通了优选混合基金、动力平衡基金和货币基金的“定期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2015</w:t>
      </w:r>
      <w:r>
        <w:rPr>
          <w:spacing w:val="-23"/>
        </w:rPr>
        <w:t> 年 </w:t>
      </w:r>
      <w:r>
        <w:rPr/>
        <w:t>5</w:t>
      </w:r>
      <w:r>
        <w:rPr>
          <w:spacing w:val="-22"/>
        </w:rPr>
        <w:t> 月 </w:t>
      </w:r>
      <w:r>
        <w:rPr/>
        <w:t>8</w:t>
      </w:r>
      <w:r>
        <w:rPr>
          <w:spacing w:val="-7"/>
        </w:rPr>
        <w:t> 日在利得基金开通了优选混合基金、动力平衡基金和货币基金的“定期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2015</w:t>
      </w:r>
      <w:r>
        <w:rPr>
          <w:spacing w:val="-31"/>
        </w:rPr>
        <w:t> 年 </w:t>
      </w:r>
      <w:r>
        <w:rPr/>
        <w:t>5</w:t>
      </w:r>
      <w:r>
        <w:rPr>
          <w:spacing w:val="-31"/>
        </w:rPr>
        <w:t> 月 </w:t>
      </w:r>
      <w:r>
        <w:rPr/>
        <w:t>21</w:t>
      </w:r>
      <w:r>
        <w:rPr>
          <w:spacing w:val="-10"/>
        </w:rPr>
        <w:t> 日在花旗银行开通了优选混合基金、动力平衡基金和货币基金的“定期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2015</w:t>
      </w:r>
      <w:r>
        <w:rPr>
          <w:spacing w:val="-31"/>
        </w:rPr>
        <w:t> 年 </w:t>
      </w:r>
      <w:r>
        <w:rPr/>
        <w:t>5</w:t>
      </w:r>
      <w:r>
        <w:rPr>
          <w:spacing w:val="-31"/>
        </w:rPr>
        <w:t> 月 </w:t>
      </w:r>
      <w:r>
        <w:rPr/>
        <w:t>29</w:t>
      </w:r>
      <w:r>
        <w:rPr>
          <w:spacing w:val="-10"/>
        </w:rPr>
        <w:t> 日在川财证券开通了优选混合基金、动力平衡基金和货币基金的“定期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2015</w:t>
      </w:r>
      <w:r>
        <w:rPr>
          <w:spacing w:val="-23"/>
        </w:rPr>
        <w:t> 年 </w:t>
      </w:r>
      <w:r>
        <w:rPr/>
        <w:t>6</w:t>
      </w:r>
      <w:r>
        <w:rPr>
          <w:spacing w:val="-22"/>
        </w:rPr>
        <w:t> 月 </w:t>
      </w:r>
      <w:r>
        <w:rPr/>
        <w:t>4</w:t>
      </w:r>
      <w:r>
        <w:rPr>
          <w:spacing w:val="-7"/>
        </w:rPr>
        <w:t> 日在天风证券开通了优选混合基金、动力平衡基金和货币基金的“定期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2015</w:t>
      </w:r>
      <w:r>
        <w:rPr>
          <w:spacing w:val="-31"/>
        </w:rPr>
        <w:t> 年 </w:t>
      </w:r>
      <w:r>
        <w:rPr/>
        <w:t>7</w:t>
      </w:r>
      <w:r>
        <w:rPr>
          <w:spacing w:val="-31"/>
        </w:rPr>
        <w:t> 月 </w:t>
      </w:r>
      <w:r>
        <w:rPr/>
        <w:t>27</w:t>
      </w:r>
      <w:r>
        <w:rPr>
          <w:spacing w:val="-10"/>
        </w:rPr>
        <w:t> 日在中信期货开通了优选混合基金、动力平衡基金和货币基金的“定期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2015</w:t>
      </w:r>
      <w:r>
        <w:rPr>
          <w:spacing w:val="-31"/>
        </w:rPr>
        <w:t> 年 </w:t>
      </w:r>
      <w:r>
        <w:rPr/>
        <w:t>9</w:t>
      </w:r>
      <w:r>
        <w:rPr>
          <w:spacing w:val="-31"/>
        </w:rPr>
        <w:t> 月 </w:t>
      </w:r>
      <w:r>
        <w:rPr/>
        <w:t>22</w:t>
      </w:r>
      <w:r>
        <w:rPr>
          <w:spacing w:val="-10"/>
        </w:rPr>
        <w:t> 日在泰诚财富开通了优选混合基金、动力平衡基金和货币基金的“定期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2015</w:t>
      </w:r>
      <w:r>
        <w:rPr>
          <w:spacing w:val="-31"/>
        </w:rPr>
        <w:t> 年 </w:t>
      </w:r>
      <w:r>
        <w:rPr/>
        <w:t>9</w:t>
      </w:r>
      <w:r>
        <w:rPr>
          <w:spacing w:val="-31"/>
        </w:rPr>
        <w:t> 月 </w:t>
      </w:r>
      <w:r>
        <w:rPr/>
        <w:t>25</w:t>
      </w:r>
      <w:r>
        <w:rPr>
          <w:spacing w:val="-10"/>
        </w:rPr>
        <w:t> 日在富济财富开通了优选混合基金、动力平衡基金和货币基金的“定期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ind w:left="1078"/>
      </w:pPr>
      <w:r>
        <w:rPr/>
        <w:t>2015 年 10 月 14 日在积木基金开通了优选混合基金、动力平衡基金和货币基金的“定</w:t>
      </w:r>
    </w:p>
    <w:p>
      <w:pPr>
        <w:spacing w:after="0"/>
        <w:sectPr>
          <w:footerReference w:type="default" r:id="rId173"/>
          <w:pgSz w:w="11910" w:h="16840"/>
          <w:pgMar w:footer="992" w:header="852" w:top="1220" w:bottom="1180" w:left="1140" w:right="480"/>
          <w:pgNumType w:start="66"/>
        </w:sectPr>
      </w:pPr>
    </w:p>
    <w:p>
      <w:pPr>
        <w:pStyle w:val="BodyText"/>
        <w:spacing w:before="1"/>
        <w:rPr>
          <w:sz w:val="19"/>
        </w:rPr>
      </w:pPr>
    </w:p>
    <w:p>
      <w:pPr>
        <w:pStyle w:val="BodyText"/>
        <w:spacing w:before="71"/>
        <w:ind w:left="658"/>
      </w:pPr>
      <w:r>
        <w:rPr>
          <w:spacing w:val="-16"/>
          <w:w w:val="100"/>
        </w:rPr>
        <w:t>期定额投资计划”</w:t>
      </w:r>
      <w:r>
        <w:rPr>
          <w:spacing w:val="-3"/>
          <w:w w:val="100"/>
        </w:rPr>
        <w:t>（详情请参见相关业务公告</w:t>
      </w:r>
      <w:r>
        <w:rPr>
          <w:spacing w:val="-108"/>
          <w:w w:val="100"/>
        </w:rPr>
        <w:t>）</w:t>
      </w:r>
      <w:r>
        <w:rPr>
          <w:w w:val="100"/>
        </w:rPr>
        <w:t>。</w:t>
      </w:r>
    </w:p>
    <w:p>
      <w:pPr>
        <w:pStyle w:val="BodyText"/>
        <w:spacing w:before="7"/>
        <w:rPr>
          <w:sz w:val="15"/>
        </w:rPr>
      </w:pPr>
    </w:p>
    <w:p>
      <w:pPr>
        <w:pStyle w:val="BodyText"/>
        <w:spacing w:line="417" w:lineRule="auto"/>
        <w:ind w:left="658" w:right="1308" w:firstLine="419"/>
      </w:pPr>
      <w:r>
        <w:rPr/>
        <w:t>2015</w:t>
      </w:r>
      <w:r>
        <w:rPr>
          <w:spacing w:val="-23"/>
        </w:rPr>
        <w:t> 年 </w:t>
      </w:r>
      <w:r>
        <w:rPr/>
        <w:t>10</w:t>
      </w:r>
      <w:r>
        <w:rPr>
          <w:spacing w:val="-22"/>
        </w:rPr>
        <w:t> 月 </w:t>
      </w:r>
      <w:r>
        <w:rPr/>
        <w:t>26</w:t>
      </w:r>
      <w:r>
        <w:rPr>
          <w:spacing w:val="-7"/>
        </w:rPr>
        <w:t> 日在上海证券开通了优选混合基金、动力平衡基金和货币基金的“定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8" w:firstLine="419"/>
      </w:pPr>
      <w:r>
        <w:rPr/>
        <w:t>2015</w:t>
      </w:r>
      <w:r>
        <w:rPr>
          <w:spacing w:val="-23"/>
        </w:rPr>
        <w:t> 年 </w:t>
      </w:r>
      <w:r>
        <w:rPr/>
        <w:t>10</w:t>
      </w:r>
      <w:r>
        <w:rPr>
          <w:spacing w:val="-22"/>
        </w:rPr>
        <w:t> 月 </w:t>
      </w:r>
      <w:r>
        <w:rPr/>
        <w:t>26</w:t>
      </w:r>
      <w:r>
        <w:rPr>
          <w:spacing w:val="-7"/>
        </w:rPr>
        <w:t> 日在盈米财富开通了优选混合基金、动力平衡基金和货币基金的“定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8" w:firstLine="419"/>
      </w:pPr>
      <w:r>
        <w:rPr/>
        <w:t>2015</w:t>
      </w:r>
      <w:r>
        <w:rPr>
          <w:spacing w:val="-23"/>
        </w:rPr>
        <w:t> 年 </w:t>
      </w:r>
      <w:r>
        <w:rPr/>
        <w:t>12</w:t>
      </w:r>
      <w:r>
        <w:rPr>
          <w:spacing w:val="-22"/>
        </w:rPr>
        <w:t> 月 </w:t>
      </w:r>
      <w:r>
        <w:rPr/>
        <w:t>31</w:t>
      </w:r>
      <w:r>
        <w:rPr>
          <w:spacing w:val="-7"/>
        </w:rPr>
        <w:t> 日在开源证券开通了优选混合基金、动力平衡基金和货币基金的“定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2016</w:t>
      </w:r>
      <w:r>
        <w:rPr>
          <w:spacing w:val="-31"/>
        </w:rPr>
        <w:t> 年 </w:t>
      </w:r>
      <w:r>
        <w:rPr/>
        <w:t>1</w:t>
      </w:r>
      <w:r>
        <w:rPr>
          <w:spacing w:val="-31"/>
        </w:rPr>
        <w:t> 月 </w:t>
      </w:r>
      <w:r>
        <w:rPr/>
        <w:t>18</w:t>
      </w:r>
      <w:r>
        <w:rPr>
          <w:spacing w:val="-10"/>
        </w:rPr>
        <w:t> 日在中证金牛开通了优选混合基金、动力平衡基金和货币基金的“定期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2016</w:t>
      </w:r>
      <w:r>
        <w:rPr>
          <w:spacing w:val="-31"/>
        </w:rPr>
        <w:t> 年 </w:t>
      </w:r>
      <w:r>
        <w:rPr/>
        <w:t>1</w:t>
      </w:r>
      <w:r>
        <w:rPr>
          <w:spacing w:val="-31"/>
        </w:rPr>
        <w:t> 月 </w:t>
      </w:r>
      <w:r>
        <w:rPr/>
        <w:t>29</w:t>
      </w:r>
      <w:r>
        <w:rPr>
          <w:spacing w:val="-10"/>
        </w:rPr>
        <w:t> 日在奕丰公司开通了优选混合基金、动力平衡基金和货币基金的“定期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2016</w:t>
      </w:r>
      <w:r>
        <w:rPr>
          <w:spacing w:val="-23"/>
        </w:rPr>
        <w:t> 年 </w:t>
      </w:r>
      <w:r>
        <w:rPr/>
        <w:t>2</w:t>
      </w:r>
      <w:r>
        <w:rPr>
          <w:spacing w:val="-22"/>
        </w:rPr>
        <w:t> 月 </w:t>
      </w:r>
      <w:r>
        <w:rPr/>
        <w:t>2</w:t>
      </w:r>
      <w:r>
        <w:rPr>
          <w:spacing w:val="-7"/>
        </w:rPr>
        <w:t> 日在和耕传承开通了优选混合基金、动力平衡基金和货币基金的“定期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2016</w:t>
      </w:r>
      <w:r>
        <w:rPr>
          <w:spacing w:val="-31"/>
        </w:rPr>
        <w:t> 年 </w:t>
      </w:r>
      <w:r>
        <w:rPr/>
        <w:t>2</w:t>
      </w:r>
      <w:r>
        <w:rPr>
          <w:spacing w:val="-31"/>
        </w:rPr>
        <w:t> 月 </w:t>
      </w:r>
      <w:r>
        <w:rPr/>
        <w:t>25</w:t>
      </w:r>
      <w:r>
        <w:rPr>
          <w:spacing w:val="-10"/>
        </w:rPr>
        <w:t> 日在凯石财富开通了优选混合基金、动力平衡基金和货币基金的“定期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1" w:firstLine="419"/>
      </w:pPr>
      <w:r>
        <w:rPr>
          <w:w w:val="100"/>
        </w:rPr>
        <w:t>2016</w:t>
      </w:r>
      <w:r>
        <w:rPr>
          <w:spacing w:val="-55"/>
        </w:rPr>
        <w:t> </w:t>
      </w:r>
      <w:r>
        <w:rPr>
          <w:w w:val="100"/>
        </w:rPr>
        <w:t>年</w:t>
      </w:r>
      <w:r>
        <w:rPr>
          <w:spacing w:val="-53"/>
        </w:rPr>
        <w:t> </w:t>
      </w:r>
      <w:r>
        <w:rPr>
          <w:w w:val="100"/>
        </w:rPr>
        <w:t>3</w:t>
      </w:r>
      <w:r>
        <w:rPr>
          <w:spacing w:val="-55"/>
        </w:rPr>
        <w:t> </w:t>
      </w:r>
      <w:r>
        <w:rPr>
          <w:w w:val="100"/>
        </w:rPr>
        <w:t>月</w:t>
      </w:r>
      <w:r>
        <w:rPr>
          <w:spacing w:val="-53"/>
        </w:rPr>
        <w:t> </w:t>
      </w:r>
      <w:r>
        <w:rPr>
          <w:w w:val="100"/>
        </w:rPr>
        <w:t>7</w:t>
      </w:r>
      <w:r>
        <w:rPr>
          <w:spacing w:val="-55"/>
        </w:rPr>
        <w:t> </w:t>
      </w:r>
      <w:r>
        <w:rPr>
          <w:spacing w:val="-5"/>
          <w:w w:val="100"/>
        </w:rPr>
        <w:t>日在平安证券开通了货币基金的“定期定额投资计划</w:t>
      </w:r>
      <w:r>
        <w:rPr>
          <w:spacing w:val="-125"/>
          <w:w w:val="100"/>
        </w:rPr>
        <w:t>”</w:t>
      </w:r>
      <w:r>
        <w:rPr>
          <w:w w:val="100"/>
        </w:rPr>
        <w:t>（</w:t>
      </w:r>
      <w:r>
        <w:rPr>
          <w:spacing w:val="-3"/>
          <w:w w:val="100"/>
        </w:rPr>
        <w:t>详情请参见相关</w:t>
      </w:r>
      <w:r>
        <w:rPr>
          <w:spacing w:val="-3"/>
        </w:rPr>
        <w:t>业务公告</w:t>
      </w:r>
      <w:r>
        <w:rPr>
          <w:spacing w:val="-108"/>
        </w:rPr>
        <w:t>）</w:t>
      </w:r>
      <w:r>
        <w:rPr/>
        <w:t>。</w:t>
      </w:r>
    </w:p>
    <w:p>
      <w:pPr>
        <w:pStyle w:val="BodyText"/>
        <w:spacing w:line="417" w:lineRule="auto"/>
        <w:ind w:left="658" w:right="1309" w:firstLine="419"/>
      </w:pPr>
      <w:r>
        <w:rPr/>
        <w:t>2016</w:t>
      </w:r>
      <w:r>
        <w:rPr>
          <w:spacing w:val="-31"/>
        </w:rPr>
        <w:t> 年 </w:t>
      </w:r>
      <w:r>
        <w:rPr/>
        <w:t>5</w:t>
      </w:r>
      <w:r>
        <w:rPr>
          <w:spacing w:val="-31"/>
        </w:rPr>
        <w:t> 月 </w:t>
      </w:r>
      <w:r>
        <w:rPr/>
        <w:t>11</w:t>
      </w:r>
      <w:r>
        <w:rPr>
          <w:spacing w:val="-10"/>
        </w:rPr>
        <w:t> 日在金斧子开通了优选混合基金、动力平衡基金和货币基金的“定期定</w:t>
      </w:r>
      <w:r>
        <w:rPr>
          <w:spacing w:val="-23"/>
          <w:w w:val="100"/>
        </w:rPr>
        <w:t>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2016</w:t>
      </w:r>
      <w:r>
        <w:rPr>
          <w:spacing w:val="-31"/>
        </w:rPr>
        <w:t> 年 </w:t>
      </w:r>
      <w:r>
        <w:rPr/>
        <w:t>5</w:t>
      </w:r>
      <w:r>
        <w:rPr>
          <w:spacing w:val="-31"/>
        </w:rPr>
        <w:t> 月 </w:t>
      </w:r>
      <w:r>
        <w:rPr/>
        <w:t>16</w:t>
      </w:r>
      <w:r>
        <w:rPr>
          <w:spacing w:val="-10"/>
        </w:rPr>
        <w:t> 日在伯嘉基金开通了优选混合基金、动力平衡基金和货币基金的“定期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2016</w:t>
      </w:r>
      <w:r>
        <w:rPr>
          <w:spacing w:val="-31"/>
        </w:rPr>
        <w:t> 年 </w:t>
      </w:r>
      <w:r>
        <w:rPr/>
        <w:t>5</w:t>
      </w:r>
      <w:r>
        <w:rPr>
          <w:spacing w:val="-31"/>
        </w:rPr>
        <w:t> 月 </w:t>
      </w:r>
      <w:r>
        <w:rPr/>
        <w:t>26</w:t>
      </w:r>
      <w:r>
        <w:rPr>
          <w:spacing w:val="-10"/>
        </w:rPr>
        <w:t> 日在金观诚开通了优选混合基金、动力平衡基金和货币基金的“定期定</w:t>
      </w:r>
      <w:r>
        <w:rPr>
          <w:spacing w:val="-23"/>
          <w:w w:val="100"/>
        </w:rPr>
        <w:t>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2016</w:t>
      </w:r>
      <w:r>
        <w:rPr>
          <w:spacing w:val="-31"/>
        </w:rPr>
        <w:t> 年 </w:t>
      </w:r>
      <w:r>
        <w:rPr/>
        <w:t>5</w:t>
      </w:r>
      <w:r>
        <w:rPr>
          <w:spacing w:val="-31"/>
        </w:rPr>
        <w:t> 月 </w:t>
      </w:r>
      <w:r>
        <w:rPr/>
        <w:t>27</w:t>
      </w:r>
      <w:r>
        <w:rPr>
          <w:spacing w:val="-10"/>
        </w:rPr>
        <w:t> 日在汇成基金开通了优选混合基金、动力平衡基金和货币基金的“定期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2016</w:t>
      </w:r>
      <w:r>
        <w:rPr>
          <w:spacing w:val="-31"/>
        </w:rPr>
        <w:t> 年 </w:t>
      </w:r>
      <w:r>
        <w:rPr/>
        <w:t>6</w:t>
      </w:r>
      <w:r>
        <w:rPr>
          <w:spacing w:val="-31"/>
        </w:rPr>
        <w:t> 月 </w:t>
      </w:r>
      <w:r>
        <w:rPr/>
        <w:t>22</w:t>
      </w:r>
      <w:r>
        <w:rPr>
          <w:spacing w:val="-10"/>
        </w:rPr>
        <w:t> 日在新浪仓石开通了优选混合基金、动力平衡基金和货币基金的“定期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2016</w:t>
      </w:r>
      <w:r>
        <w:rPr>
          <w:spacing w:val="-31"/>
        </w:rPr>
        <w:t> 年 </w:t>
      </w:r>
      <w:r>
        <w:rPr/>
        <w:t>6</w:t>
      </w:r>
      <w:r>
        <w:rPr>
          <w:spacing w:val="-31"/>
        </w:rPr>
        <w:t> 月 </w:t>
      </w:r>
      <w:r>
        <w:rPr/>
        <w:t>24</w:t>
      </w:r>
      <w:r>
        <w:rPr>
          <w:spacing w:val="-10"/>
        </w:rPr>
        <w:t> 日在陆金所资管开通了优选混合基金、动力平衡基金和货币基金的“定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ind w:left="1078"/>
      </w:pPr>
      <w:r>
        <w:rPr/>
        <w:t>2016 年 7 月 7 日在鑫鼎盛开通了优选混合基金、动力平衡基金和货币基金的“定期定</w:t>
      </w:r>
    </w:p>
    <w:p>
      <w:pPr>
        <w:spacing w:after="0"/>
        <w:sectPr>
          <w:pgSz w:w="11910" w:h="16840"/>
          <w:pgMar w:header="852" w:footer="992" w:top="1220" w:bottom="1180" w:left="1140" w:right="480"/>
        </w:sectPr>
      </w:pPr>
    </w:p>
    <w:p>
      <w:pPr>
        <w:pStyle w:val="BodyText"/>
        <w:spacing w:before="1"/>
        <w:rPr>
          <w:sz w:val="19"/>
        </w:rPr>
      </w:pPr>
    </w:p>
    <w:p>
      <w:pPr>
        <w:pStyle w:val="BodyText"/>
        <w:spacing w:before="71"/>
        <w:ind w:left="658"/>
      </w:pPr>
      <w:r>
        <w:rPr>
          <w:spacing w:val="-20"/>
          <w:w w:val="100"/>
        </w:rPr>
        <w:t>额投资计划”</w:t>
      </w:r>
      <w:r>
        <w:rPr>
          <w:spacing w:val="-3"/>
          <w:w w:val="100"/>
        </w:rPr>
        <w:t>（详情请参见相关业务公告</w:t>
      </w:r>
      <w:r>
        <w:rPr>
          <w:spacing w:val="-108"/>
          <w:w w:val="100"/>
        </w:rPr>
        <w:t>）</w:t>
      </w:r>
      <w:r>
        <w:rPr>
          <w:w w:val="100"/>
        </w:rPr>
        <w:t>。</w:t>
      </w:r>
    </w:p>
    <w:p>
      <w:pPr>
        <w:pStyle w:val="BodyText"/>
        <w:spacing w:before="7"/>
        <w:rPr>
          <w:sz w:val="15"/>
        </w:rPr>
      </w:pPr>
    </w:p>
    <w:p>
      <w:pPr>
        <w:pStyle w:val="BodyText"/>
        <w:spacing w:line="417" w:lineRule="auto"/>
        <w:ind w:left="658" w:right="1309" w:firstLine="419"/>
      </w:pPr>
      <w:r>
        <w:rPr/>
        <w:t>2016</w:t>
      </w:r>
      <w:r>
        <w:rPr>
          <w:spacing w:val="-31"/>
        </w:rPr>
        <w:t> 年 </w:t>
      </w:r>
      <w:r>
        <w:rPr/>
        <w:t>7</w:t>
      </w:r>
      <w:r>
        <w:rPr>
          <w:spacing w:val="-31"/>
        </w:rPr>
        <w:t> 月 </w:t>
      </w:r>
      <w:r>
        <w:rPr/>
        <w:t>20</w:t>
      </w:r>
      <w:r>
        <w:rPr>
          <w:spacing w:val="-10"/>
        </w:rPr>
        <w:t> 日在牛股王开通了优选混合基金、动力平衡基金和货币基金的“定期定</w:t>
      </w:r>
      <w:r>
        <w:rPr>
          <w:spacing w:val="-23"/>
          <w:w w:val="100"/>
        </w:rPr>
        <w:t>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w w:val="100"/>
        </w:rPr>
        <w:t>2016</w:t>
      </w:r>
      <w:r>
        <w:rPr>
          <w:spacing w:val="-41"/>
        </w:rPr>
        <w:t> </w:t>
      </w:r>
      <w:r>
        <w:rPr>
          <w:w w:val="100"/>
        </w:rPr>
        <w:t>年</w:t>
      </w:r>
      <w:r>
        <w:rPr>
          <w:spacing w:val="-41"/>
        </w:rPr>
        <w:t> </w:t>
      </w:r>
      <w:r>
        <w:rPr>
          <w:w w:val="100"/>
        </w:rPr>
        <w:t>7</w:t>
      </w:r>
      <w:r>
        <w:rPr>
          <w:spacing w:val="-41"/>
        </w:rPr>
        <w:t> </w:t>
      </w:r>
      <w:r>
        <w:rPr>
          <w:w w:val="100"/>
        </w:rPr>
        <w:t>月</w:t>
      </w:r>
      <w:r>
        <w:rPr>
          <w:spacing w:val="-38"/>
        </w:rPr>
        <w:t> </w:t>
      </w:r>
      <w:r>
        <w:rPr>
          <w:w w:val="100"/>
        </w:rPr>
        <w:t>26</w:t>
      </w:r>
      <w:r>
        <w:rPr>
          <w:spacing w:val="-41"/>
        </w:rPr>
        <w:t> </w:t>
      </w:r>
      <w:r>
        <w:rPr>
          <w:spacing w:val="-8"/>
          <w:w w:val="100"/>
        </w:rPr>
        <w:t>日在上海农商行开通了货币基金的“定期定额投资计划”</w:t>
      </w:r>
      <w:r>
        <w:rPr>
          <w:spacing w:val="-3"/>
          <w:w w:val="100"/>
        </w:rPr>
        <w:t>（详情请参见</w:t>
      </w:r>
      <w:r>
        <w:rPr>
          <w:spacing w:val="-3"/>
        </w:rPr>
        <w:t>相关业务公告</w:t>
      </w:r>
      <w:r>
        <w:rPr>
          <w:spacing w:val="-108"/>
        </w:rPr>
        <w:t>）</w:t>
      </w:r>
      <w:r>
        <w:rPr/>
        <w:t>。</w:t>
      </w:r>
    </w:p>
    <w:p>
      <w:pPr>
        <w:pStyle w:val="BodyText"/>
        <w:spacing w:line="417" w:lineRule="auto"/>
        <w:ind w:left="658" w:right="1309" w:firstLine="419"/>
      </w:pPr>
      <w:r>
        <w:rPr/>
        <w:t>2016</w:t>
      </w:r>
      <w:r>
        <w:rPr>
          <w:spacing w:val="-31"/>
        </w:rPr>
        <w:t> 年 </w:t>
      </w:r>
      <w:r>
        <w:rPr/>
        <w:t>7</w:t>
      </w:r>
      <w:r>
        <w:rPr>
          <w:spacing w:val="-31"/>
        </w:rPr>
        <w:t> 月 </w:t>
      </w:r>
      <w:r>
        <w:rPr/>
        <w:t>27</w:t>
      </w:r>
      <w:r>
        <w:rPr>
          <w:spacing w:val="-10"/>
        </w:rPr>
        <w:t> 日在中正财富开通了优选混合基金、动力平衡基金和货币基金的“定期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2016</w:t>
      </w:r>
      <w:r>
        <w:rPr>
          <w:spacing w:val="-31"/>
        </w:rPr>
        <w:t> 年 </w:t>
      </w:r>
      <w:r>
        <w:rPr/>
        <w:t>7</w:t>
      </w:r>
      <w:r>
        <w:rPr>
          <w:spacing w:val="-31"/>
        </w:rPr>
        <w:t> 月 </w:t>
      </w:r>
      <w:r>
        <w:rPr/>
        <w:t>28</w:t>
      </w:r>
      <w:r>
        <w:rPr>
          <w:spacing w:val="-10"/>
        </w:rPr>
        <w:t> 日在海银基金开通了优选混合基金、动力平衡基金和货币基金的“定期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2016</w:t>
      </w:r>
      <w:r>
        <w:rPr>
          <w:spacing w:val="-31"/>
        </w:rPr>
        <w:t> 年 </w:t>
      </w:r>
      <w:r>
        <w:rPr/>
        <w:t>8</w:t>
      </w:r>
      <w:r>
        <w:rPr>
          <w:spacing w:val="-31"/>
        </w:rPr>
        <w:t> 月 </w:t>
      </w:r>
      <w:r>
        <w:rPr/>
        <w:t>10</w:t>
      </w:r>
      <w:r>
        <w:rPr>
          <w:spacing w:val="-10"/>
        </w:rPr>
        <w:t> 日在万得投顾开通了优选混合基金、动力平衡基金和货币基金的“定期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2016</w:t>
      </w:r>
      <w:r>
        <w:rPr>
          <w:spacing w:val="-31"/>
        </w:rPr>
        <w:t> 年 </w:t>
      </w:r>
      <w:r>
        <w:rPr/>
        <w:t>8</w:t>
      </w:r>
      <w:r>
        <w:rPr>
          <w:spacing w:val="-31"/>
        </w:rPr>
        <w:t> 月 </w:t>
      </w:r>
      <w:r>
        <w:rPr/>
        <w:t>26</w:t>
      </w:r>
      <w:r>
        <w:rPr>
          <w:spacing w:val="-10"/>
        </w:rPr>
        <w:t> 日在前海凯恩斯开通了优选混合基金、动力平衡基金和货币基金的“定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2016</w:t>
      </w:r>
      <w:r>
        <w:rPr>
          <w:spacing w:val="-31"/>
        </w:rPr>
        <w:t> 年 </w:t>
      </w:r>
      <w:r>
        <w:rPr/>
        <w:t>8</w:t>
      </w:r>
      <w:r>
        <w:rPr>
          <w:spacing w:val="-31"/>
        </w:rPr>
        <w:t> 月 </w:t>
      </w:r>
      <w:r>
        <w:rPr/>
        <w:t>30</w:t>
      </w:r>
      <w:r>
        <w:rPr>
          <w:spacing w:val="-10"/>
        </w:rPr>
        <w:t> 日在中民财富开通了优选混合基金、动力平衡基金和货币基金的“定期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2016</w:t>
      </w:r>
      <w:r>
        <w:rPr>
          <w:spacing w:val="-31"/>
        </w:rPr>
        <w:t> 年 </w:t>
      </w:r>
      <w:r>
        <w:rPr/>
        <w:t>9</w:t>
      </w:r>
      <w:r>
        <w:rPr>
          <w:spacing w:val="-31"/>
        </w:rPr>
        <w:t> 月 </w:t>
      </w:r>
      <w:r>
        <w:rPr/>
        <w:t>28</w:t>
      </w:r>
      <w:r>
        <w:rPr>
          <w:spacing w:val="-10"/>
        </w:rPr>
        <w:t> 日在国美基金开通了优选混合基金、动力平衡基金和货币基金的“定期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1" w:firstLine="419"/>
      </w:pPr>
      <w:r>
        <w:rPr/>
        <w:t>2016</w:t>
      </w:r>
      <w:r>
        <w:rPr>
          <w:spacing w:val="-23"/>
        </w:rPr>
        <w:t> 年 </w:t>
      </w:r>
      <w:r>
        <w:rPr/>
        <w:t>10</w:t>
      </w:r>
      <w:r>
        <w:rPr>
          <w:spacing w:val="-22"/>
        </w:rPr>
        <w:t> 月 </w:t>
      </w:r>
      <w:r>
        <w:rPr/>
        <w:t>13</w:t>
      </w:r>
      <w:r>
        <w:rPr>
          <w:spacing w:val="-7"/>
        </w:rPr>
        <w:t> 日在蛋卷基金开通了优选混合基金、动力平衡基金和货币基金的“定</w:t>
      </w:r>
      <w:r>
        <w:rPr>
          <w:spacing w:val="-16"/>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8" w:firstLine="419"/>
      </w:pPr>
      <w:r>
        <w:rPr/>
        <w:t>2016</w:t>
      </w:r>
      <w:r>
        <w:rPr>
          <w:spacing w:val="-23"/>
        </w:rPr>
        <w:t> 年 </w:t>
      </w:r>
      <w:r>
        <w:rPr/>
        <w:t>11</w:t>
      </w:r>
      <w:r>
        <w:rPr>
          <w:spacing w:val="-22"/>
        </w:rPr>
        <w:t> 月 </w:t>
      </w:r>
      <w:r>
        <w:rPr/>
        <w:t>23</w:t>
      </w:r>
      <w:r>
        <w:rPr>
          <w:spacing w:val="-7"/>
        </w:rPr>
        <w:t> 日在凤凰金信开通了优选混合基金、动力平衡基金和货币基金的“定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2016</w:t>
      </w:r>
      <w:r>
        <w:rPr>
          <w:spacing w:val="-31"/>
        </w:rPr>
        <w:t> 年 </w:t>
      </w:r>
      <w:r>
        <w:rPr/>
        <w:t>12</w:t>
      </w:r>
      <w:r>
        <w:rPr>
          <w:spacing w:val="-31"/>
        </w:rPr>
        <w:t> 月 </w:t>
      </w:r>
      <w:r>
        <w:rPr/>
        <w:t>9</w:t>
      </w:r>
      <w:r>
        <w:rPr>
          <w:spacing w:val="-10"/>
        </w:rPr>
        <w:t> 日在联泰资产开通了优选混合基金、动力平衡基金和货币基金的“定期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2016</w:t>
      </w:r>
      <w:r>
        <w:rPr>
          <w:spacing w:val="-23"/>
        </w:rPr>
        <w:t> 年 </w:t>
      </w:r>
      <w:r>
        <w:rPr/>
        <w:t>12</w:t>
      </w:r>
      <w:r>
        <w:rPr>
          <w:spacing w:val="-22"/>
        </w:rPr>
        <w:t> 月 </w:t>
      </w:r>
      <w:r>
        <w:rPr/>
        <w:t>22</w:t>
      </w:r>
      <w:r>
        <w:rPr>
          <w:spacing w:val="-7"/>
        </w:rPr>
        <w:t> 日在微动利开通了优选混合基金、动力平衡基金和货币基金的“定期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1" w:firstLine="419"/>
      </w:pPr>
      <w:r>
        <w:rPr>
          <w:w w:val="100"/>
        </w:rPr>
        <w:t>2016</w:t>
      </w:r>
      <w:r>
        <w:rPr>
          <w:spacing w:val="-55"/>
        </w:rPr>
        <w:t> </w:t>
      </w:r>
      <w:r>
        <w:rPr>
          <w:w w:val="100"/>
        </w:rPr>
        <w:t>年</w:t>
      </w:r>
      <w:r>
        <w:rPr>
          <w:spacing w:val="-53"/>
        </w:rPr>
        <w:t> </w:t>
      </w:r>
      <w:r>
        <w:rPr>
          <w:w w:val="100"/>
        </w:rPr>
        <w:t>12</w:t>
      </w:r>
      <w:r>
        <w:rPr>
          <w:spacing w:val="-55"/>
        </w:rPr>
        <w:t> </w:t>
      </w:r>
      <w:r>
        <w:rPr>
          <w:w w:val="100"/>
        </w:rPr>
        <w:t>月</w:t>
      </w:r>
      <w:r>
        <w:rPr>
          <w:spacing w:val="-53"/>
        </w:rPr>
        <w:t> </w:t>
      </w:r>
      <w:r>
        <w:rPr>
          <w:spacing w:val="-3"/>
          <w:w w:val="100"/>
        </w:rPr>
        <w:t>2</w:t>
      </w:r>
      <w:r>
        <w:rPr>
          <w:w w:val="100"/>
        </w:rPr>
        <w:t>2</w:t>
      </w:r>
      <w:r>
        <w:rPr>
          <w:spacing w:val="-53"/>
        </w:rPr>
        <w:t> </w:t>
      </w:r>
      <w:r>
        <w:rPr>
          <w:spacing w:val="-5"/>
          <w:w w:val="100"/>
        </w:rPr>
        <w:t>日在中原银行开通了货币基金的“定期定额投资计划</w:t>
      </w:r>
      <w:r>
        <w:rPr>
          <w:spacing w:val="-125"/>
          <w:w w:val="100"/>
        </w:rPr>
        <w:t>”</w:t>
      </w:r>
      <w:r>
        <w:rPr>
          <w:spacing w:val="-3"/>
          <w:w w:val="100"/>
        </w:rPr>
        <w:t>（详情请参见相</w:t>
      </w:r>
      <w:r>
        <w:rPr>
          <w:spacing w:val="-3"/>
        </w:rPr>
        <w:t>关业务公告</w:t>
      </w:r>
      <w:r>
        <w:rPr>
          <w:spacing w:val="-106"/>
        </w:rPr>
        <w:t>）</w:t>
      </w:r>
      <w:r>
        <w:rPr/>
        <w:t>。</w:t>
      </w:r>
    </w:p>
    <w:p>
      <w:pPr>
        <w:pStyle w:val="BodyText"/>
        <w:spacing w:line="417" w:lineRule="auto"/>
        <w:ind w:left="658" w:right="1308" w:firstLine="419"/>
      </w:pPr>
      <w:r>
        <w:rPr/>
        <w:t>2016</w:t>
      </w:r>
      <w:r>
        <w:rPr>
          <w:spacing w:val="-23"/>
        </w:rPr>
        <w:t> 年 </w:t>
      </w:r>
      <w:r>
        <w:rPr/>
        <w:t>12</w:t>
      </w:r>
      <w:r>
        <w:rPr>
          <w:spacing w:val="-22"/>
        </w:rPr>
        <w:t> 月 </w:t>
      </w:r>
      <w:r>
        <w:rPr/>
        <w:t>29</w:t>
      </w:r>
      <w:r>
        <w:rPr>
          <w:spacing w:val="-7"/>
        </w:rPr>
        <w:t> 日在格上富信开通了优选混合基金、动力平衡基金和货币基金的“定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ind w:left="1078"/>
      </w:pPr>
      <w:r>
        <w:rPr/>
        <w:t>2017 年 1 月 20 日在肯特瑞财富开通了优选混合基金、动力平衡基金和货币基金的“定</w:t>
      </w:r>
    </w:p>
    <w:p>
      <w:pPr>
        <w:spacing w:after="0"/>
        <w:sectPr>
          <w:footerReference w:type="default" r:id="rId174"/>
          <w:pgSz w:w="11910" w:h="16840"/>
          <w:pgMar w:footer="992" w:header="852" w:top="1220" w:bottom="1180" w:left="1140" w:right="480"/>
          <w:pgNumType w:start="68"/>
        </w:sectPr>
      </w:pPr>
    </w:p>
    <w:p>
      <w:pPr>
        <w:pStyle w:val="BodyText"/>
        <w:spacing w:before="1"/>
        <w:rPr>
          <w:sz w:val="19"/>
        </w:rPr>
      </w:pPr>
    </w:p>
    <w:p>
      <w:pPr>
        <w:pStyle w:val="BodyText"/>
        <w:spacing w:before="71"/>
        <w:ind w:left="658"/>
      </w:pPr>
      <w:r>
        <w:rPr>
          <w:spacing w:val="-16"/>
          <w:w w:val="100"/>
        </w:rPr>
        <w:t>期定额投资计划”</w:t>
      </w:r>
      <w:r>
        <w:rPr>
          <w:spacing w:val="-3"/>
          <w:w w:val="100"/>
        </w:rPr>
        <w:t>（详情请参见相关业务公告</w:t>
      </w:r>
      <w:r>
        <w:rPr>
          <w:spacing w:val="-108"/>
          <w:w w:val="100"/>
        </w:rPr>
        <w:t>）</w:t>
      </w:r>
      <w:r>
        <w:rPr>
          <w:w w:val="100"/>
        </w:rPr>
        <w:t>。</w:t>
      </w:r>
    </w:p>
    <w:p>
      <w:pPr>
        <w:pStyle w:val="BodyText"/>
        <w:spacing w:before="7"/>
        <w:rPr>
          <w:sz w:val="15"/>
        </w:rPr>
      </w:pPr>
    </w:p>
    <w:p>
      <w:pPr>
        <w:pStyle w:val="BodyText"/>
        <w:spacing w:line="417" w:lineRule="auto"/>
        <w:ind w:left="658" w:right="1309" w:firstLine="419"/>
      </w:pPr>
      <w:r>
        <w:rPr/>
        <w:t>2017</w:t>
      </w:r>
      <w:r>
        <w:rPr>
          <w:spacing w:val="-23"/>
        </w:rPr>
        <w:t> 年 </w:t>
      </w:r>
      <w:r>
        <w:rPr/>
        <w:t>3</w:t>
      </w:r>
      <w:r>
        <w:rPr>
          <w:spacing w:val="-22"/>
        </w:rPr>
        <w:t> 月 </w:t>
      </w:r>
      <w:r>
        <w:rPr/>
        <w:t>2</w:t>
      </w:r>
      <w:r>
        <w:rPr>
          <w:spacing w:val="-7"/>
        </w:rPr>
        <w:t> 日在华信证券开通了优选混合基金、动力平衡基金和货币基金的“定期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2017</w:t>
      </w:r>
      <w:r>
        <w:rPr>
          <w:spacing w:val="-31"/>
        </w:rPr>
        <w:t> 年 </w:t>
      </w:r>
      <w:r>
        <w:rPr/>
        <w:t>3</w:t>
      </w:r>
      <w:r>
        <w:rPr>
          <w:spacing w:val="-31"/>
        </w:rPr>
        <w:t> 月 </w:t>
      </w:r>
      <w:r>
        <w:rPr/>
        <w:t>10</w:t>
      </w:r>
      <w:r>
        <w:rPr>
          <w:spacing w:val="-10"/>
        </w:rPr>
        <w:t> 日在好买基金开通了优选混合基金、动力平衡基金和货币基金的“定期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2017</w:t>
      </w:r>
      <w:r>
        <w:rPr>
          <w:spacing w:val="-31"/>
        </w:rPr>
        <w:t> 年 </w:t>
      </w:r>
      <w:r>
        <w:rPr/>
        <w:t>3</w:t>
      </w:r>
      <w:r>
        <w:rPr>
          <w:spacing w:val="-31"/>
        </w:rPr>
        <w:t> 月 </w:t>
      </w:r>
      <w:r>
        <w:rPr/>
        <w:t>22</w:t>
      </w:r>
      <w:r>
        <w:rPr>
          <w:spacing w:val="-10"/>
        </w:rPr>
        <w:t> 日在泛华普益开通了优选混合基金、动力平衡基金和货币基金的“定期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2017</w:t>
      </w:r>
      <w:r>
        <w:rPr>
          <w:spacing w:val="-31"/>
        </w:rPr>
        <w:t> 年 </w:t>
      </w:r>
      <w:r>
        <w:rPr/>
        <w:t>4</w:t>
      </w:r>
      <w:r>
        <w:rPr>
          <w:spacing w:val="-31"/>
        </w:rPr>
        <w:t> 月 </w:t>
      </w:r>
      <w:r>
        <w:rPr/>
        <w:t>17</w:t>
      </w:r>
      <w:r>
        <w:rPr>
          <w:spacing w:val="-10"/>
        </w:rPr>
        <w:t> 日在云湾投资开通了优选混合基金、动力平衡基金和货币基金的“定期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2017</w:t>
      </w:r>
      <w:r>
        <w:rPr>
          <w:spacing w:val="-31"/>
        </w:rPr>
        <w:t> 年 </w:t>
      </w:r>
      <w:r>
        <w:rPr/>
        <w:t>4</w:t>
      </w:r>
      <w:r>
        <w:rPr>
          <w:spacing w:val="-31"/>
        </w:rPr>
        <w:t> 月 </w:t>
      </w:r>
      <w:r>
        <w:rPr/>
        <w:t>17</w:t>
      </w:r>
      <w:r>
        <w:rPr>
          <w:spacing w:val="-10"/>
        </w:rPr>
        <w:t> 日在中银国际开通了优选混合基金、动力平衡基金和货币基金的“定期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2017</w:t>
      </w:r>
      <w:r>
        <w:rPr>
          <w:spacing w:val="-31"/>
        </w:rPr>
        <w:t> 年 </w:t>
      </w:r>
      <w:r>
        <w:rPr/>
        <w:t>4</w:t>
      </w:r>
      <w:r>
        <w:rPr>
          <w:spacing w:val="-31"/>
        </w:rPr>
        <w:t> 月 </w:t>
      </w:r>
      <w:r>
        <w:rPr/>
        <w:t>21</w:t>
      </w:r>
      <w:r>
        <w:rPr>
          <w:spacing w:val="-10"/>
        </w:rPr>
        <w:t> 日在挖财金融开通了优选混合基金、动力平衡基金和货币基金的“定期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2017</w:t>
      </w:r>
      <w:r>
        <w:rPr>
          <w:spacing w:val="-31"/>
        </w:rPr>
        <w:t> 年 </w:t>
      </w:r>
      <w:r>
        <w:rPr/>
        <w:t>4</w:t>
      </w:r>
      <w:r>
        <w:rPr>
          <w:spacing w:val="-31"/>
        </w:rPr>
        <w:t> 月 </w:t>
      </w:r>
      <w:r>
        <w:rPr/>
        <w:t>27</w:t>
      </w:r>
      <w:r>
        <w:rPr>
          <w:spacing w:val="-10"/>
        </w:rPr>
        <w:t> 日在江南农商行开通了优选混合基金、动力平衡基金和货币基金的“定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2017</w:t>
      </w:r>
      <w:r>
        <w:rPr>
          <w:spacing w:val="-31"/>
        </w:rPr>
        <w:t> 年 </w:t>
      </w:r>
      <w:r>
        <w:rPr/>
        <w:t>5</w:t>
      </w:r>
      <w:r>
        <w:rPr>
          <w:spacing w:val="-31"/>
        </w:rPr>
        <w:t> 月 </w:t>
      </w:r>
      <w:r>
        <w:rPr/>
        <w:t>11</w:t>
      </w:r>
      <w:r>
        <w:rPr>
          <w:spacing w:val="-10"/>
        </w:rPr>
        <w:t> 日在秋实财富开通了优选混合基金、动力平衡基金和货币基金的“定期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2017</w:t>
      </w:r>
      <w:r>
        <w:rPr>
          <w:spacing w:val="-23"/>
        </w:rPr>
        <w:t> 年 </w:t>
      </w:r>
      <w:r>
        <w:rPr/>
        <w:t>6</w:t>
      </w:r>
      <w:r>
        <w:rPr>
          <w:spacing w:val="-22"/>
        </w:rPr>
        <w:t> 月 </w:t>
      </w:r>
      <w:r>
        <w:rPr/>
        <w:t>2</w:t>
      </w:r>
      <w:r>
        <w:rPr>
          <w:spacing w:val="-7"/>
        </w:rPr>
        <w:t> 日在大河财富开通了优选混合基金、动力平衡基金和货币基金的“定期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2017</w:t>
      </w:r>
      <w:r>
        <w:rPr>
          <w:spacing w:val="-31"/>
        </w:rPr>
        <w:t> 年 </w:t>
      </w:r>
      <w:r>
        <w:rPr/>
        <w:t>8</w:t>
      </w:r>
      <w:r>
        <w:rPr>
          <w:spacing w:val="-31"/>
        </w:rPr>
        <w:t> 月 </w:t>
      </w:r>
      <w:r>
        <w:rPr/>
        <w:t>16</w:t>
      </w:r>
      <w:r>
        <w:rPr>
          <w:spacing w:val="-10"/>
        </w:rPr>
        <w:t> 日在华夏财富开通了优选混合基金、动力平衡基金和货币基金的“定期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2017</w:t>
      </w:r>
      <w:r>
        <w:rPr>
          <w:spacing w:val="-31"/>
        </w:rPr>
        <w:t> 年 </w:t>
      </w:r>
      <w:r>
        <w:rPr/>
        <w:t>8</w:t>
      </w:r>
      <w:r>
        <w:rPr>
          <w:spacing w:val="-31"/>
        </w:rPr>
        <w:t> 月 </w:t>
      </w:r>
      <w:r>
        <w:rPr/>
        <w:t>22</w:t>
      </w:r>
      <w:r>
        <w:rPr>
          <w:spacing w:val="-10"/>
        </w:rPr>
        <w:t> 日在恒丰银行开通了优选混合基金和动力平衡基金的“定期定额投资计</w:t>
      </w:r>
      <w:r>
        <w:rPr>
          <w:spacing w:val="-58"/>
          <w:w w:val="100"/>
        </w:rPr>
        <w:t>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2017</w:t>
      </w:r>
      <w:r>
        <w:rPr>
          <w:spacing w:val="-31"/>
        </w:rPr>
        <w:t> 年 </w:t>
      </w:r>
      <w:r>
        <w:rPr/>
        <w:t>8</w:t>
      </w:r>
      <w:r>
        <w:rPr>
          <w:spacing w:val="-31"/>
        </w:rPr>
        <w:t> 月 </w:t>
      </w:r>
      <w:r>
        <w:rPr/>
        <w:t>25</w:t>
      </w:r>
      <w:r>
        <w:rPr>
          <w:spacing w:val="-10"/>
        </w:rPr>
        <w:t> 日在大智慧开通了优选混合基金、动力平衡基金和货币基金的“定期定</w:t>
      </w:r>
      <w:r>
        <w:rPr>
          <w:spacing w:val="-23"/>
          <w:w w:val="100"/>
        </w:rPr>
        <w:t>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w w:val="100"/>
        </w:rPr>
        <w:t>2017</w:t>
      </w:r>
      <w:r>
        <w:rPr>
          <w:spacing w:val="-62"/>
        </w:rPr>
        <w:t> </w:t>
      </w:r>
      <w:r>
        <w:rPr>
          <w:w w:val="100"/>
        </w:rPr>
        <w:t>年</w:t>
      </w:r>
      <w:r>
        <w:rPr>
          <w:spacing w:val="-60"/>
        </w:rPr>
        <w:t> </w:t>
      </w:r>
      <w:r>
        <w:rPr>
          <w:w w:val="100"/>
        </w:rPr>
        <w:t>9</w:t>
      </w:r>
      <w:r>
        <w:rPr>
          <w:spacing w:val="-62"/>
        </w:rPr>
        <w:t> </w:t>
      </w:r>
      <w:r>
        <w:rPr>
          <w:w w:val="100"/>
        </w:rPr>
        <w:t>月</w:t>
      </w:r>
      <w:r>
        <w:rPr>
          <w:spacing w:val="-60"/>
        </w:rPr>
        <w:t> </w:t>
      </w:r>
      <w:r>
        <w:rPr>
          <w:w w:val="100"/>
        </w:rPr>
        <w:t>1</w:t>
      </w:r>
      <w:r>
        <w:rPr>
          <w:spacing w:val="-60"/>
        </w:rPr>
        <w:t> </w:t>
      </w:r>
      <w:r>
        <w:rPr>
          <w:spacing w:val="-8"/>
          <w:w w:val="100"/>
        </w:rPr>
        <w:t>日在方正证券和民族证券开通了优选混合基金的“定期定额投资计划</w:t>
      </w:r>
      <w:r>
        <w:rPr>
          <w:spacing w:val="-212"/>
          <w:w w:val="100"/>
        </w:rPr>
        <w:t>”</w:t>
      </w:r>
      <w:r>
        <w:rPr>
          <w:spacing w:val="-3"/>
          <w:w w:val="100"/>
        </w:rPr>
        <w:t>（</w:t>
      </w:r>
      <w:r>
        <w:rPr>
          <w:w w:val="100"/>
        </w:rPr>
        <w:t>详</w:t>
      </w:r>
      <w:r>
        <w:rPr>
          <w:spacing w:val="-3"/>
        </w:rPr>
        <w:t>情请参见相关业务公告</w:t>
      </w:r>
      <w:r>
        <w:rPr>
          <w:spacing w:val="-108"/>
        </w:rPr>
        <w:t>）</w:t>
      </w:r>
      <w:r>
        <w:rPr/>
        <w:t>。</w:t>
      </w:r>
    </w:p>
    <w:p>
      <w:pPr>
        <w:pStyle w:val="BodyText"/>
        <w:spacing w:line="417" w:lineRule="auto"/>
        <w:ind w:left="658" w:right="1309" w:firstLine="419"/>
      </w:pPr>
      <w:r>
        <w:rPr/>
        <w:t>2017</w:t>
      </w:r>
      <w:r>
        <w:rPr>
          <w:spacing w:val="-31"/>
        </w:rPr>
        <w:t> 年 </w:t>
      </w:r>
      <w:r>
        <w:rPr/>
        <w:t>9</w:t>
      </w:r>
      <w:r>
        <w:rPr>
          <w:spacing w:val="-31"/>
        </w:rPr>
        <w:t> 月 </w:t>
      </w:r>
      <w:r>
        <w:rPr/>
        <w:t>18</w:t>
      </w:r>
      <w:r>
        <w:rPr>
          <w:spacing w:val="-10"/>
        </w:rPr>
        <w:t> 日在东莞证券开通了优选混合基金、动力平衡基金和货币基金的“定期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ind w:left="1078"/>
      </w:pPr>
      <w:r>
        <w:rPr/>
        <w:t>2017 年 10 月 11 日在电盈基金开通了优选混合基金、动力平衡基金和货币基金的“定</w:t>
      </w:r>
    </w:p>
    <w:p>
      <w:pPr>
        <w:spacing w:after="0"/>
        <w:sectPr>
          <w:pgSz w:w="11910" w:h="16840"/>
          <w:pgMar w:header="852" w:footer="992" w:top="1220" w:bottom="1180" w:left="1140" w:right="480"/>
        </w:sectPr>
      </w:pPr>
    </w:p>
    <w:p>
      <w:pPr>
        <w:pStyle w:val="BodyText"/>
        <w:spacing w:before="1"/>
        <w:rPr>
          <w:sz w:val="19"/>
        </w:rPr>
      </w:pPr>
    </w:p>
    <w:p>
      <w:pPr>
        <w:pStyle w:val="BodyText"/>
        <w:spacing w:before="71"/>
        <w:ind w:left="658"/>
      </w:pPr>
      <w:r>
        <w:rPr>
          <w:spacing w:val="-16"/>
          <w:w w:val="100"/>
        </w:rPr>
        <w:t>期定额投资计划”</w:t>
      </w:r>
      <w:r>
        <w:rPr>
          <w:spacing w:val="-3"/>
          <w:w w:val="100"/>
        </w:rPr>
        <w:t>（详情请参见相关业务公告</w:t>
      </w:r>
      <w:r>
        <w:rPr>
          <w:spacing w:val="-108"/>
          <w:w w:val="100"/>
        </w:rPr>
        <w:t>）</w:t>
      </w:r>
      <w:r>
        <w:rPr>
          <w:w w:val="100"/>
        </w:rPr>
        <w:t>。</w:t>
      </w:r>
    </w:p>
    <w:p>
      <w:pPr>
        <w:pStyle w:val="BodyText"/>
        <w:spacing w:before="7"/>
        <w:rPr>
          <w:sz w:val="15"/>
        </w:rPr>
      </w:pPr>
    </w:p>
    <w:p>
      <w:pPr>
        <w:pStyle w:val="BodyText"/>
        <w:spacing w:line="417" w:lineRule="auto"/>
        <w:ind w:left="658" w:right="1309" w:firstLine="419"/>
      </w:pPr>
      <w:r>
        <w:rPr/>
        <w:t>2017</w:t>
      </w:r>
      <w:r>
        <w:rPr>
          <w:spacing w:val="-31"/>
        </w:rPr>
        <w:t> 年 </w:t>
      </w:r>
      <w:r>
        <w:rPr/>
        <w:t>11</w:t>
      </w:r>
      <w:r>
        <w:rPr>
          <w:spacing w:val="-31"/>
        </w:rPr>
        <w:t> 月 </w:t>
      </w:r>
      <w:r>
        <w:rPr/>
        <w:t>3</w:t>
      </w:r>
      <w:r>
        <w:rPr>
          <w:spacing w:val="-10"/>
        </w:rPr>
        <w:t> 日在喜鹊财富开通了优选混合基金、动力平衡基金和货币基金的“定期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2017</w:t>
      </w:r>
      <w:r>
        <w:rPr>
          <w:spacing w:val="-23"/>
        </w:rPr>
        <w:t> 年 </w:t>
      </w:r>
      <w:r>
        <w:rPr/>
        <w:t>11</w:t>
      </w:r>
      <w:r>
        <w:rPr>
          <w:spacing w:val="-22"/>
        </w:rPr>
        <w:t> 月 </w:t>
      </w:r>
      <w:r>
        <w:rPr/>
        <w:t>17</w:t>
      </w:r>
      <w:r>
        <w:rPr>
          <w:spacing w:val="-7"/>
        </w:rPr>
        <w:t> 日在济安财富开通了优选混合基金、动力平衡基金和货币基金的“定</w:t>
      </w:r>
      <w:r>
        <w:rPr>
          <w:spacing w:val="-18"/>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2017</w:t>
      </w:r>
      <w:r>
        <w:rPr>
          <w:spacing w:val="-31"/>
        </w:rPr>
        <w:t> 年 </w:t>
      </w:r>
      <w:r>
        <w:rPr/>
        <w:t>12</w:t>
      </w:r>
      <w:r>
        <w:rPr>
          <w:spacing w:val="-31"/>
        </w:rPr>
        <w:t> 月 </w:t>
      </w:r>
      <w:r>
        <w:rPr/>
        <w:t>8</w:t>
      </w:r>
      <w:r>
        <w:rPr>
          <w:spacing w:val="-10"/>
        </w:rPr>
        <w:t> 日在华信期货开通了优选混合基金、动力平衡基金和货币基金的“定期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2018</w:t>
      </w:r>
      <w:r>
        <w:rPr>
          <w:spacing w:val="-31"/>
        </w:rPr>
        <w:t> 年 </w:t>
      </w:r>
      <w:r>
        <w:rPr/>
        <w:t>1</w:t>
      </w:r>
      <w:r>
        <w:rPr>
          <w:spacing w:val="-31"/>
        </w:rPr>
        <w:t> 月 </w:t>
      </w:r>
      <w:r>
        <w:rPr/>
        <w:t>22</w:t>
      </w:r>
      <w:r>
        <w:rPr>
          <w:spacing w:val="-10"/>
        </w:rPr>
        <w:t> 日在洪泰财富开通了优选混合基金、动力平衡基金和货币基金的“定期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2018</w:t>
      </w:r>
      <w:r>
        <w:rPr>
          <w:spacing w:val="-31"/>
        </w:rPr>
        <w:t> 年 </w:t>
      </w:r>
      <w:r>
        <w:rPr/>
        <w:t>2</w:t>
      </w:r>
      <w:r>
        <w:rPr>
          <w:spacing w:val="-31"/>
        </w:rPr>
        <w:t> 月 </w:t>
      </w:r>
      <w:r>
        <w:rPr/>
        <w:t>28</w:t>
      </w:r>
      <w:r>
        <w:rPr>
          <w:spacing w:val="-10"/>
        </w:rPr>
        <w:t> 日在有鱼基金开通了优选混合基金、动力平衡基金和货币基金的“定期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2018</w:t>
      </w:r>
      <w:r>
        <w:rPr>
          <w:spacing w:val="-31"/>
        </w:rPr>
        <w:t> 年 </w:t>
      </w:r>
      <w:r>
        <w:rPr/>
        <w:t>3</w:t>
      </w:r>
      <w:r>
        <w:rPr>
          <w:spacing w:val="-31"/>
        </w:rPr>
        <w:t> 月 </w:t>
      </w:r>
      <w:r>
        <w:rPr/>
        <w:t>30</w:t>
      </w:r>
      <w:r>
        <w:rPr>
          <w:spacing w:val="-10"/>
        </w:rPr>
        <w:t> 日在西部证券开通了优选混合基金、动力平衡基金和货币基金的“定期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2018</w:t>
      </w:r>
      <w:r>
        <w:rPr>
          <w:spacing w:val="-31"/>
        </w:rPr>
        <w:t> 年 </w:t>
      </w:r>
      <w:r>
        <w:rPr/>
        <w:t>4</w:t>
      </w:r>
      <w:r>
        <w:rPr>
          <w:spacing w:val="-31"/>
        </w:rPr>
        <w:t> 月 </w:t>
      </w:r>
      <w:r>
        <w:rPr/>
        <w:t>11</w:t>
      </w:r>
      <w:r>
        <w:rPr>
          <w:spacing w:val="-10"/>
        </w:rPr>
        <w:t> 日在盈信基金开通了优选混合基金、动力平衡基金和货币基金的“定期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2018</w:t>
      </w:r>
      <w:r>
        <w:rPr>
          <w:spacing w:val="-31"/>
        </w:rPr>
        <w:t> 年 </w:t>
      </w:r>
      <w:r>
        <w:rPr/>
        <w:t>4</w:t>
      </w:r>
      <w:r>
        <w:rPr>
          <w:spacing w:val="-31"/>
        </w:rPr>
        <w:t> 月 </w:t>
      </w:r>
      <w:r>
        <w:rPr/>
        <w:t>19</w:t>
      </w:r>
      <w:r>
        <w:rPr>
          <w:spacing w:val="-10"/>
        </w:rPr>
        <w:t> 日在华福证券开通了优选混合基金、动力平衡基金和货币基金的“定期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2018</w:t>
      </w:r>
      <w:r>
        <w:rPr>
          <w:spacing w:val="-31"/>
        </w:rPr>
        <w:t> 年 </w:t>
      </w:r>
      <w:r>
        <w:rPr/>
        <w:t>4</w:t>
      </w:r>
      <w:r>
        <w:rPr>
          <w:spacing w:val="-31"/>
        </w:rPr>
        <w:t> 月 </w:t>
      </w:r>
      <w:r>
        <w:rPr/>
        <w:t>23</w:t>
      </w:r>
      <w:r>
        <w:rPr>
          <w:spacing w:val="-10"/>
        </w:rPr>
        <w:t> 日在钜派钰茂开通了优选混合基金、动力平衡基金和货币基金的“定期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2018</w:t>
      </w:r>
      <w:r>
        <w:rPr>
          <w:spacing w:val="-31"/>
        </w:rPr>
        <w:t> 年 </w:t>
      </w:r>
      <w:r>
        <w:rPr/>
        <w:t>4</w:t>
      </w:r>
      <w:r>
        <w:rPr>
          <w:spacing w:val="-31"/>
        </w:rPr>
        <w:t> 月 </w:t>
      </w:r>
      <w:r>
        <w:rPr/>
        <w:t>27</w:t>
      </w:r>
      <w:r>
        <w:rPr>
          <w:spacing w:val="-10"/>
        </w:rPr>
        <w:t> 日在华鑫证券开通了优选混合基金、动力平衡基金和货币基金的“定期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1" w:firstLine="419"/>
      </w:pPr>
      <w:r>
        <w:rPr>
          <w:w w:val="100"/>
        </w:rPr>
        <w:t>2018</w:t>
      </w:r>
      <w:r>
        <w:rPr>
          <w:spacing w:val="-55"/>
        </w:rPr>
        <w:t> </w:t>
      </w:r>
      <w:r>
        <w:rPr>
          <w:w w:val="100"/>
        </w:rPr>
        <w:t>年</w:t>
      </w:r>
      <w:r>
        <w:rPr>
          <w:spacing w:val="-53"/>
        </w:rPr>
        <w:t> </w:t>
      </w:r>
      <w:r>
        <w:rPr>
          <w:w w:val="100"/>
        </w:rPr>
        <w:t>5</w:t>
      </w:r>
      <w:r>
        <w:rPr>
          <w:spacing w:val="-55"/>
        </w:rPr>
        <w:t> </w:t>
      </w:r>
      <w:r>
        <w:rPr>
          <w:w w:val="100"/>
        </w:rPr>
        <w:t>月</w:t>
      </w:r>
      <w:r>
        <w:rPr>
          <w:spacing w:val="-53"/>
        </w:rPr>
        <w:t> </w:t>
      </w:r>
      <w:r>
        <w:rPr>
          <w:w w:val="100"/>
        </w:rPr>
        <w:t>3</w:t>
      </w:r>
      <w:r>
        <w:rPr>
          <w:spacing w:val="-55"/>
        </w:rPr>
        <w:t> </w:t>
      </w:r>
      <w:r>
        <w:rPr>
          <w:spacing w:val="-5"/>
          <w:w w:val="100"/>
        </w:rPr>
        <w:t>日在钱滚滚开通了优选混合基金的“定期定额投资计划</w:t>
      </w:r>
      <w:r>
        <w:rPr>
          <w:spacing w:val="-125"/>
          <w:w w:val="100"/>
        </w:rPr>
        <w:t>”</w:t>
      </w:r>
      <w:r>
        <w:rPr>
          <w:spacing w:val="-3"/>
          <w:w w:val="100"/>
        </w:rPr>
        <w:t>（详情请参见相</w:t>
      </w:r>
      <w:r>
        <w:rPr>
          <w:spacing w:val="-3"/>
        </w:rPr>
        <w:t>关业务公告</w:t>
      </w:r>
      <w:r>
        <w:rPr>
          <w:spacing w:val="-106"/>
        </w:rPr>
        <w:t>）</w:t>
      </w:r>
      <w:r>
        <w:rPr/>
        <w:t>。</w:t>
      </w:r>
    </w:p>
    <w:p>
      <w:pPr>
        <w:pStyle w:val="BodyText"/>
        <w:spacing w:line="417" w:lineRule="auto"/>
        <w:ind w:left="658" w:right="1311" w:firstLine="419"/>
      </w:pPr>
      <w:r>
        <w:rPr/>
        <w:t>2018</w:t>
      </w:r>
      <w:r>
        <w:rPr>
          <w:spacing w:val="-36"/>
        </w:rPr>
        <w:t> 年 </w:t>
      </w:r>
      <w:r>
        <w:rPr/>
        <w:t>5</w:t>
      </w:r>
      <w:r>
        <w:rPr>
          <w:spacing w:val="-35"/>
        </w:rPr>
        <w:t> 月 </w:t>
      </w:r>
      <w:r>
        <w:rPr/>
        <w:t>23</w:t>
      </w:r>
      <w:r>
        <w:rPr>
          <w:spacing w:val="-18"/>
        </w:rPr>
        <w:t> 日在四川天府银行开通了优选混合基金、动力平衡基金和货币基金的“定</w:t>
      </w:r>
      <w:r>
        <w:rPr>
          <w:spacing w:val="-21"/>
          <w:w w:val="100"/>
        </w:rPr>
        <w:t>期定额投资计划”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w w:val="100"/>
        </w:rPr>
        <w:t>2018</w:t>
      </w:r>
      <w:r>
        <w:rPr>
          <w:spacing w:val="-41"/>
        </w:rPr>
        <w:t> </w:t>
      </w:r>
      <w:r>
        <w:rPr>
          <w:w w:val="100"/>
        </w:rPr>
        <w:t>年</w:t>
      </w:r>
      <w:r>
        <w:rPr>
          <w:spacing w:val="-41"/>
        </w:rPr>
        <w:t> </w:t>
      </w:r>
      <w:r>
        <w:rPr>
          <w:w w:val="100"/>
        </w:rPr>
        <w:t>5</w:t>
      </w:r>
      <w:r>
        <w:rPr>
          <w:spacing w:val="-41"/>
        </w:rPr>
        <w:t> </w:t>
      </w:r>
      <w:r>
        <w:rPr>
          <w:w w:val="100"/>
        </w:rPr>
        <w:t>月</w:t>
      </w:r>
      <w:r>
        <w:rPr>
          <w:spacing w:val="-38"/>
        </w:rPr>
        <w:t> </w:t>
      </w:r>
      <w:r>
        <w:rPr>
          <w:w w:val="100"/>
        </w:rPr>
        <w:t>31</w:t>
      </w:r>
      <w:r>
        <w:rPr>
          <w:spacing w:val="-41"/>
        </w:rPr>
        <w:t> </w:t>
      </w:r>
      <w:r>
        <w:rPr>
          <w:spacing w:val="-8"/>
          <w:w w:val="100"/>
        </w:rPr>
        <w:t>日在国信嘉利开通了动力平衡基金的“定期定额投资计划”</w:t>
      </w:r>
      <w:r>
        <w:rPr>
          <w:spacing w:val="-3"/>
          <w:w w:val="100"/>
        </w:rPr>
        <w:t>（</w:t>
      </w:r>
      <w:r>
        <w:rPr>
          <w:spacing w:val="-1"/>
          <w:w w:val="100"/>
        </w:rPr>
        <w:t>详情请参</w:t>
      </w:r>
      <w:r>
        <w:rPr>
          <w:spacing w:val="-3"/>
        </w:rPr>
        <w:t>见相关业务公告</w:t>
      </w:r>
      <w:r>
        <w:rPr>
          <w:spacing w:val="-106"/>
        </w:rPr>
        <w:t>）</w:t>
      </w:r>
      <w:r>
        <w:rPr/>
        <w:t>。</w:t>
      </w:r>
    </w:p>
    <w:p>
      <w:pPr>
        <w:pStyle w:val="BodyText"/>
        <w:spacing w:line="417" w:lineRule="auto"/>
        <w:ind w:left="658" w:right="1309" w:firstLine="419"/>
      </w:pPr>
      <w:r>
        <w:rPr/>
        <w:t>2018</w:t>
      </w:r>
      <w:r>
        <w:rPr>
          <w:spacing w:val="-31"/>
        </w:rPr>
        <w:t> 年 </w:t>
      </w:r>
      <w:r>
        <w:rPr/>
        <w:t>6</w:t>
      </w:r>
      <w:r>
        <w:rPr>
          <w:spacing w:val="-31"/>
        </w:rPr>
        <w:t> 月 </w:t>
      </w:r>
      <w:r>
        <w:rPr/>
        <w:t>20</w:t>
      </w:r>
      <w:r>
        <w:rPr>
          <w:spacing w:val="-10"/>
        </w:rPr>
        <w:t> 日在民商基金开通了优选混合基金、动力平衡基金和货币基金的“定期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ind w:left="1078"/>
      </w:pPr>
      <w:r>
        <w:rPr/>
        <w:t>2018 年 7 月 12 日在广州证券开通了优选混合基金、动力平衡基金和货币基金的“定期</w:t>
      </w:r>
    </w:p>
    <w:p>
      <w:pPr>
        <w:spacing w:after="0"/>
        <w:sectPr>
          <w:footerReference w:type="default" r:id="rId175"/>
          <w:pgSz w:w="11910" w:h="16840"/>
          <w:pgMar w:footer="992" w:header="852" w:top="1220" w:bottom="1180" w:left="1140" w:right="480"/>
          <w:pgNumType w:start="70"/>
        </w:sectPr>
      </w:pPr>
    </w:p>
    <w:p>
      <w:pPr>
        <w:pStyle w:val="BodyText"/>
        <w:spacing w:before="1"/>
        <w:rPr>
          <w:sz w:val="19"/>
        </w:rPr>
      </w:pPr>
    </w:p>
    <w:p>
      <w:pPr>
        <w:pStyle w:val="BodyText"/>
        <w:spacing w:before="71"/>
        <w:ind w:left="658"/>
      </w:pPr>
      <w:r>
        <w:rPr>
          <w:spacing w:val="-18"/>
          <w:w w:val="100"/>
        </w:rPr>
        <w:t>定额投资计划”</w:t>
      </w:r>
      <w:r>
        <w:rPr>
          <w:w w:val="100"/>
        </w:rPr>
        <w:t>（</w:t>
      </w:r>
      <w:r>
        <w:rPr>
          <w:spacing w:val="-3"/>
          <w:w w:val="100"/>
        </w:rPr>
        <w:t>详情请参见相关业务公告</w:t>
      </w:r>
      <w:r>
        <w:rPr>
          <w:spacing w:val="-106"/>
          <w:w w:val="100"/>
        </w:rPr>
        <w:t>）</w:t>
      </w:r>
      <w:r>
        <w:rPr>
          <w:w w:val="100"/>
        </w:rPr>
        <w:t>。</w:t>
      </w:r>
    </w:p>
    <w:p>
      <w:pPr>
        <w:pStyle w:val="BodyText"/>
        <w:spacing w:before="7"/>
        <w:rPr>
          <w:sz w:val="15"/>
        </w:rPr>
      </w:pPr>
    </w:p>
    <w:p>
      <w:pPr>
        <w:pStyle w:val="BodyText"/>
        <w:spacing w:line="417" w:lineRule="auto"/>
        <w:ind w:left="658" w:right="1308" w:firstLine="419"/>
      </w:pPr>
      <w:r>
        <w:rPr/>
        <w:t>2018</w:t>
      </w:r>
      <w:r>
        <w:rPr>
          <w:spacing w:val="-23"/>
        </w:rPr>
        <w:t> 年 </w:t>
      </w:r>
      <w:r>
        <w:rPr/>
        <w:t>8</w:t>
      </w:r>
      <w:r>
        <w:rPr>
          <w:spacing w:val="-22"/>
        </w:rPr>
        <w:t> 月 </w:t>
      </w:r>
      <w:r>
        <w:rPr/>
        <w:t>3</w:t>
      </w:r>
      <w:r>
        <w:rPr>
          <w:spacing w:val="-7"/>
        </w:rPr>
        <w:t> 日在腾安基金开通了优选混合基金和动力平衡基金的“定期定额投资计</w:t>
      </w:r>
      <w:r>
        <w:rPr>
          <w:spacing w:val="-57"/>
          <w:w w:val="100"/>
        </w:rPr>
        <w:t>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2018</w:t>
      </w:r>
      <w:r>
        <w:rPr>
          <w:spacing w:val="-31"/>
        </w:rPr>
        <w:t> 年 </w:t>
      </w:r>
      <w:r>
        <w:rPr/>
        <w:t>8</w:t>
      </w:r>
      <w:r>
        <w:rPr>
          <w:spacing w:val="-31"/>
        </w:rPr>
        <w:t> 月 </w:t>
      </w:r>
      <w:r>
        <w:rPr/>
        <w:t>15</w:t>
      </w:r>
      <w:r>
        <w:rPr>
          <w:spacing w:val="-10"/>
        </w:rPr>
        <w:t> 日在国金证券开通了优选混合基金、动力平衡基金和货币基金的“定期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2018</w:t>
      </w:r>
      <w:r>
        <w:rPr>
          <w:spacing w:val="-31"/>
        </w:rPr>
        <w:t> 年 </w:t>
      </w:r>
      <w:r>
        <w:rPr/>
        <w:t>8</w:t>
      </w:r>
      <w:r>
        <w:rPr>
          <w:spacing w:val="-31"/>
        </w:rPr>
        <w:t> 月 </w:t>
      </w:r>
      <w:r>
        <w:rPr/>
        <w:t>16</w:t>
      </w:r>
      <w:r>
        <w:rPr>
          <w:spacing w:val="-10"/>
        </w:rPr>
        <w:t> 日在财通证券开通了优选混合基金、动力平衡基金和货币基金的“定期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2018</w:t>
      </w:r>
      <w:r>
        <w:rPr>
          <w:spacing w:val="-31"/>
        </w:rPr>
        <w:t> 年 </w:t>
      </w:r>
      <w:r>
        <w:rPr/>
        <w:t>8</w:t>
      </w:r>
      <w:r>
        <w:rPr>
          <w:spacing w:val="-31"/>
        </w:rPr>
        <w:t> 月 </w:t>
      </w:r>
      <w:r>
        <w:rPr/>
        <w:t>17</w:t>
      </w:r>
      <w:r>
        <w:rPr>
          <w:spacing w:val="-10"/>
        </w:rPr>
        <w:t> 日在微众银行开通了优选混合基金和动力平衡基金的“定期定额投资计</w:t>
      </w:r>
      <w:r>
        <w:rPr>
          <w:spacing w:val="-58"/>
          <w:w w:val="100"/>
        </w:rPr>
        <w:t>划”</w:t>
      </w:r>
      <w:r>
        <w:rPr>
          <w:spacing w:val="-3"/>
          <w:w w:val="100"/>
        </w:rPr>
        <w:t>（详情请参见相关业务公告</w:t>
      </w:r>
      <w:r>
        <w:rPr>
          <w:spacing w:val="-108"/>
          <w:w w:val="100"/>
        </w:rPr>
        <w:t>）</w:t>
      </w:r>
      <w:r>
        <w:rPr>
          <w:w w:val="100"/>
        </w:rPr>
        <w:t>。</w:t>
      </w:r>
    </w:p>
    <w:p>
      <w:pPr>
        <w:pStyle w:val="BodyText"/>
        <w:spacing w:line="417" w:lineRule="auto"/>
        <w:ind w:left="658" w:right="1308" w:firstLine="419"/>
      </w:pPr>
      <w:r>
        <w:rPr/>
        <w:t>2018</w:t>
      </w:r>
      <w:r>
        <w:rPr>
          <w:spacing w:val="-31"/>
        </w:rPr>
        <w:t> 年 </w:t>
      </w:r>
      <w:r>
        <w:rPr/>
        <w:t>8</w:t>
      </w:r>
      <w:r>
        <w:rPr>
          <w:spacing w:val="-31"/>
        </w:rPr>
        <w:t> 月 </w:t>
      </w:r>
      <w:r>
        <w:rPr/>
        <w:t>30</w:t>
      </w:r>
      <w:r>
        <w:rPr>
          <w:spacing w:val="-10"/>
        </w:rPr>
        <w:t> 日在中金公司开通了优选混合基金和动力平衡基金的“定期定额投资计</w:t>
      </w:r>
      <w:r>
        <w:rPr>
          <w:spacing w:val="-58"/>
          <w:w w:val="100"/>
        </w:rPr>
        <w:t>划”</w:t>
      </w:r>
      <w:r>
        <w:rPr>
          <w:spacing w:val="-3"/>
          <w:w w:val="100"/>
        </w:rPr>
        <w:t>（详情请参见相关业务公告</w:t>
      </w:r>
      <w:r>
        <w:rPr>
          <w:spacing w:val="-108"/>
          <w:w w:val="100"/>
        </w:rPr>
        <w:t>）</w:t>
      </w:r>
      <w:r>
        <w:rPr>
          <w:w w:val="100"/>
        </w:rPr>
        <w:t>。</w:t>
      </w:r>
    </w:p>
    <w:p>
      <w:pPr>
        <w:pStyle w:val="BodyText"/>
        <w:spacing w:line="417" w:lineRule="auto"/>
        <w:ind w:left="658" w:right="1309" w:firstLine="419"/>
      </w:pPr>
      <w:r>
        <w:rPr/>
        <w:t>2018</w:t>
      </w:r>
      <w:r>
        <w:rPr>
          <w:spacing w:val="-31"/>
        </w:rPr>
        <w:t> 年 </w:t>
      </w:r>
      <w:r>
        <w:rPr/>
        <w:t>9</w:t>
      </w:r>
      <w:r>
        <w:rPr>
          <w:spacing w:val="-31"/>
        </w:rPr>
        <w:t> 月 </w:t>
      </w:r>
      <w:r>
        <w:rPr/>
        <w:t>10</w:t>
      </w:r>
      <w:r>
        <w:rPr>
          <w:spacing w:val="-10"/>
        </w:rPr>
        <w:t> 日在东海证券开通了优选混合基金、动力平衡基金和货币基金的“定期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2018</w:t>
      </w:r>
      <w:r>
        <w:rPr>
          <w:spacing w:val="-23"/>
        </w:rPr>
        <w:t> 年 </w:t>
      </w:r>
      <w:r>
        <w:rPr/>
        <w:t>12</w:t>
      </w:r>
      <w:r>
        <w:rPr>
          <w:spacing w:val="-22"/>
        </w:rPr>
        <w:t> 月 </w:t>
      </w:r>
      <w:r>
        <w:rPr/>
        <w:t>18</w:t>
      </w:r>
      <w:r>
        <w:rPr>
          <w:spacing w:val="-7"/>
        </w:rPr>
        <w:t> 日在百度百盈开通了优选混合基金、动力平衡基金的“定期定额投资</w:t>
      </w:r>
      <w:r>
        <w:rPr>
          <w:spacing w:val="-41"/>
          <w:w w:val="100"/>
        </w:rPr>
        <w:t>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11" w:firstLine="419"/>
      </w:pPr>
      <w:r>
        <w:rPr>
          <w:w w:val="100"/>
        </w:rPr>
        <w:t>2018</w:t>
      </w:r>
      <w:r>
        <w:rPr>
          <w:spacing w:val="-55"/>
        </w:rPr>
        <w:t> </w:t>
      </w:r>
      <w:r>
        <w:rPr>
          <w:w w:val="100"/>
        </w:rPr>
        <w:t>年</w:t>
      </w:r>
      <w:r>
        <w:rPr>
          <w:spacing w:val="-53"/>
        </w:rPr>
        <w:t> </w:t>
      </w:r>
      <w:r>
        <w:rPr>
          <w:w w:val="100"/>
        </w:rPr>
        <w:t>12</w:t>
      </w:r>
      <w:r>
        <w:rPr>
          <w:spacing w:val="-55"/>
        </w:rPr>
        <w:t> </w:t>
      </w:r>
      <w:r>
        <w:rPr>
          <w:w w:val="100"/>
        </w:rPr>
        <w:t>月</w:t>
      </w:r>
      <w:r>
        <w:rPr>
          <w:spacing w:val="-53"/>
        </w:rPr>
        <w:t> </w:t>
      </w:r>
      <w:r>
        <w:rPr>
          <w:spacing w:val="-3"/>
          <w:w w:val="100"/>
        </w:rPr>
        <w:t>2</w:t>
      </w:r>
      <w:r>
        <w:rPr>
          <w:w w:val="100"/>
        </w:rPr>
        <w:t>5</w:t>
      </w:r>
      <w:r>
        <w:rPr>
          <w:spacing w:val="-53"/>
        </w:rPr>
        <w:t> </w:t>
      </w:r>
      <w:r>
        <w:rPr>
          <w:spacing w:val="-5"/>
          <w:w w:val="100"/>
        </w:rPr>
        <w:t>日在江苏银行开通了货币基金的“定期定额投资计划</w:t>
      </w:r>
      <w:r>
        <w:rPr>
          <w:spacing w:val="-125"/>
          <w:w w:val="100"/>
        </w:rPr>
        <w:t>”</w:t>
      </w:r>
      <w:r>
        <w:rPr>
          <w:spacing w:val="-3"/>
          <w:w w:val="100"/>
        </w:rPr>
        <w:t>（详情请参见相</w:t>
      </w:r>
      <w:r>
        <w:rPr>
          <w:spacing w:val="-3"/>
        </w:rPr>
        <w:t>关业务公告</w:t>
      </w:r>
      <w:r>
        <w:rPr>
          <w:spacing w:val="-106"/>
        </w:rPr>
        <w:t>）</w:t>
      </w:r>
      <w:r>
        <w:rPr/>
        <w:t>。</w:t>
      </w:r>
    </w:p>
    <w:p>
      <w:pPr>
        <w:pStyle w:val="BodyText"/>
        <w:spacing w:line="417" w:lineRule="auto"/>
        <w:ind w:left="658" w:right="1308" w:firstLine="419"/>
      </w:pPr>
      <w:r>
        <w:rPr/>
        <w:t>2019</w:t>
      </w:r>
      <w:r>
        <w:rPr>
          <w:spacing w:val="-23"/>
        </w:rPr>
        <w:t> 年 </w:t>
      </w:r>
      <w:r>
        <w:rPr/>
        <w:t>4</w:t>
      </w:r>
      <w:r>
        <w:rPr>
          <w:spacing w:val="-22"/>
        </w:rPr>
        <w:t> 月 </w:t>
      </w:r>
      <w:r>
        <w:rPr/>
        <w:t>4</w:t>
      </w:r>
      <w:r>
        <w:rPr>
          <w:spacing w:val="-7"/>
        </w:rPr>
        <w:t> 日在玄元保险开通了优选混合基金、动力平衡基金和货币基金的“定期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8" w:firstLine="419"/>
      </w:pPr>
      <w:r>
        <w:rPr/>
        <w:t>2019</w:t>
      </w:r>
      <w:r>
        <w:rPr>
          <w:spacing w:val="-23"/>
        </w:rPr>
        <w:t> 年 </w:t>
      </w:r>
      <w:r>
        <w:rPr/>
        <w:t>9</w:t>
      </w:r>
      <w:r>
        <w:rPr>
          <w:spacing w:val="-22"/>
        </w:rPr>
        <w:t> 月 </w:t>
      </w:r>
      <w:r>
        <w:rPr/>
        <w:t>3</w:t>
      </w:r>
      <w:r>
        <w:rPr>
          <w:spacing w:val="-7"/>
        </w:rPr>
        <w:t> 日在宁波银行开通了优选混合基金、动力平衡基金的“定期定额投资计</w:t>
      </w:r>
      <w:r>
        <w:rPr>
          <w:spacing w:val="-57"/>
          <w:w w:val="100"/>
        </w:rPr>
        <w:t>划”</w:t>
      </w:r>
      <w:r>
        <w:rPr>
          <w:spacing w:val="-3"/>
          <w:w w:val="100"/>
        </w:rPr>
        <w:t>（详情请参见相关业务公告</w:t>
      </w:r>
      <w:r>
        <w:rPr>
          <w:spacing w:val="-108"/>
          <w:w w:val="100"/>
        </w:rPr>
        <w:t>）</w:t>
      </w:r>
      <w:r>
        <w:rPr>
          <w:w w:val="100"/>
        </w:rPr>
        <w:t>。</w:t>
      </w:r>
    </w:p>
    <w:p>
      <w:pPr>
        <w:pStyle w:val="BodyText"/>
        <w:spacing w:line="417" w:lineRule="auto"/>
        <w:ind w:left="658" w:right="1308" w:firstLine="419"/>
      </w:pPr>
      <w:r>
        <w:rPr/>
        <w:t>2019</w:t>
      </w:r>
      <w:r>
        <w:rPr>
          <w:spacing w:val="-23"/>
        </w:rPr>
        <w:t> 年 </w:t>
      </w:r>
      <w:r>
        <w:rPr/>
        <w:t>9</w:t>
      </w:r>
      <w:r>
        <w:rPr>
          <w:spacing w:val="-22"/>
        </w:rPr>
        <w:t> 月 </w:t>
      </w:r>
      <w:r>
        <w:rPr/>
        <w:t>5</w:t>
      </w:r>
      <w:r>
        <w:rPr>
          <w:spacing w:val="-7"/>
        </w:rPr>
        <w:t> 日在嘉实财富开通了优选混合基金、动力平衡基金和货币基金的“定期</w:t>
      </w:r>
      <w:r>
        <w:rPr>
          <w:spacing w:val="-20"/>
          <w:w w:val="100"/>
        </w:rPr>
        <w:t>定额投资计划”</w:t>
      </w:r>
      <w:r>
        <w:rPr>
          <w:w w:val="100"/>
        </w:rPr>
        <w:t>（</w:t>
      </w:r>
      <w:r>
        <w:rPr>
          <w:spacing w:val="-3"/>
          <w:w w:val="100"/>
        </w:rPr>
        <w:t>详情请参见相关业务公告</w:t>
      </w:r>
      <w:r>
        <w:rPr>
          <w:spacing w:val="-106"/>
          <w:w w:val="100"/>
        </w:rPr>
        <w:t>）</w:t>
      </w:r>
      <w:r>
        <w:rPr>
          <w:w w:val="100"/>
        </w:rPr>
        <w:t>。</w:t>
      </w:r>
    </w:p>
    <w:p>
      <w:pPr>
        <w:pStyle w:val="BodyText"/>
        <w:spacing w:line="417" w:lineRule="auto"/>
        <w:ind w:left="658" w:right="1309" w:firstLine="419"/>
      </w:pPr>
      <w:r>
        <w:rPr/>
        <w:t>2019</w:t>
      </w:r>
      <w:r>
        <w:rPr>
          <w:spacing w:val="-31"/>
        </w:rPr>
        <w:t> 年 </w:t>
      </w:r>
      <w:r>
        <w:rPr/>
        <w:t>9</w:t>
      </w:r>
      <w:r>
        <w:rPr>
          <w:spacing w:val="-31"/>
        </w:rPr>
        <w:t> 月 </w:t>
      </w:r>
      <w:r>
        <w:rPr/>
        <w:t>12</w:t>
      </w:r>
      <w:r>
        <w:rPr>
          <w:spacing w:val="-10"/>
        </w:rPr>
        <w:t> 日在联储证券开通了优选混合基金、动力平衡基金的“定期定额投资计</w:t>
      </w:r>
      <w:r>
        <w:rPr>
          <w:spacing w:val="-58"/>
          <w:w w:val="100"/>
        </w:rPr>
        <w:t>划”</w:t>
      </w:r>
      <w:r>
        <w:rPr>
          <w:spacing w:val="-3"/>
          <w:w w:val="100"/>
        </w:rPr>
        <w:t>（详情请参见相关业务公告</w:t>
      </w:r>
      <w:r>
        <w:rPr>
          <w:spacing w:val="-108"/>
          <w:w w:val="100"/>
        </w:rPr>
        <w:t>）</w:t>
      </w:r>
      <w:r>
        <w:rPr>
          <w:w w:val="100"/>
        </w:rPr>
        <w:t>。</w:t>
      </w:r>
    </w:p>
    <w:p>
      <w:pPr>
        <w:pStyle w:val="BodyText"/>
        <w:spacing w:line="417" w:lineRule="auto"/>
        <w:ind w:left="658" w:right="1310" w:firstLine="419"/>
      </w:pPr>
      <w:r>
        <w:rPr/>
        <w:t>2019</w:t>
      </w:r>
      <w:r>
        <w:rPr>
          <w:spacing w:val="-31"/>
        </w:rPr>
        <w:t> 年 </w:t>
      </w:r>
      <w:r>
        <w:rPr/>
        <w:t>9</w:t>
      </w:r>
      <w:r>
        <w:rPr>
          <w:spacing w:val="-31"/>
        </w:rPr>
        <w:t> 月 </w:t>
      </w:r>
      <w:r>
        <w:rPr/>
        <w:t>18</w:t>
      </w:r>
      <w:r>
        <w:rPr>
          <w:spacing w:val="-10"/>
        </w:rPr>
        <w:t> 日在江苏银行开通了优选混合基金、动力平衡基金的“定期定额投资计</w:t>
      </w:r>
      <w:r>
        <w:rPr>
          <w:spacing w:val="-58"/>
          <w:w w:val="100"/>
        </w:rPr>
        <w:t>划”</w:t>
      </w:r>
      <w:r>
        <w:rPr>
          <w:spacing w:val="-3"/>
          <w:w w:val="100"/>
        </w:rPr>
        <w:t>（详情请参见相关业务公告</w:t>
      </w:r>
      <w:r>
        <w:rPr>
          <w:spacing w:val="-108"/>
          <w:w w:val="100"/>
        </w:rPr>
        <w:t>）</w:t>
      </w:r>
      <w:r>
        <w:rPr>
          <w:w w:val="100"/>
        </w:rPr>
        <w:t>。</w:t>
      </w:r>
    </w:p>
    <w:p>
      <w:pPr>
        <w:pStyle w:val="BodyText"/>
        <w:spacing w:line="269" w:lineRule="exact"/>
        <w:ind w:left="1078"/>
      </w:pPr>
      <w:r>
        <w:rPr/>
        <w:t>本系列基金货币市场基金Ｂ级基金份额暂不开通定期定额投资计划。</w:t>
      </w:r>
    </w:p>
    <w:p>
      <w:pPr>
        <w:pStyle w:val="BodyText"/>
        <w:rPr>
          <w:sz w:val="20"/>
        </w:rPr>
      </w:pPr>
    </w:p>
    <w:p>
      <w:pPr>
        <w:pStyle w:val="BodyText"/>
        <w:rPr>
          <w:sz w:val="20"/>
        </w:rPr>
      </w:pPr>
    </w:p>
    <w:p>
      <w:pPr>
        <w:pStyle w:val="BodyText"/>
        <w:spacing w:before="152"/>
        <w:ind w:left="1078"/>
      </w:pPr>
      <w:r>
        <w:rPr/>
        <w:t>投资人到销售网点办理开通“定期定额投资计划”后，代理销售机构将每月定期从投资</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9"/>
        <w:jc w:val="both"/>
      </w:pPr>
      <w:r>
        <w:rPr>
          <w:spacing w:val="-8"/>
        </w:rPr>
        <w:t>人指定的银行账户中划走定额款项，作为投资人每月用于申购本系列基金的款项。具体操作</w:t>
      </w:r>
      <w:r>
        <w:rPr>
          <w:spacing w:val="-9"/>
        </w:rPr>
        <w:t>程序请参见指定代理网点的有关规定。其他代销机构根据实际需要也将适时开通，景顺长城</w:t>
      </w:r>
      <w:r>
        <w:rPr>
          <w:spacing w:val="-5"/>
        </w:rPr>
        <w:t>基金管理有限公司将及时予以公告。</w:t>
      </w:r>
    </w:p>
    <w:p>
      <w:pPr>
        <w:pStyle w:val="BodyText"/>
        <w:rPr>
          <w:sz w:val="20"/>
        </w:rPr>
      </w:pPr>
    </w:p>
    <w:p>
      <w:pPr>
        <w:pStyle w:val="BodyText"/>
        <w:spacing w:before="6"/>
        <w:rPr>
          <w:sz w:val="16"/>
        </w:rPr>
      </w:pPr>
    </w:p>
    <w:p>
      <w:pPr>
        <w:spacing w:before="1"/>
        <w:ind w:left="658" w:right="0" w:firstLine="0"/>
        <w:jc w:val="left"/>
        <w:rPr>
          <w:b/>
          <w:sz w:val="21"/>
        </w:rPr>
      </w:pPr>
      <w:r>
        <w:rPr>
          <w:b/>
          <w:sz w:val="21"/>
        </w:rPr>
        <w:t>（四）申购、赎回的原则</w:t>
      </w:r>
    </w:p>
    <w:p>
      <w:pPr>
        <w:pStyle w:val="BodyText"/>
        <w:spacing w:before="6"/>
        <w:rPr>
          <w:b/>
          <w:sz w:val="15"/>
        </w:rPr>
      </w:pPr>
    </w:p>
    <w:p>
      <w:pPr>
        <w:pStyle w:val="BodyText"/>
        <w:ind w:left="1078"/>
      </w:pPr>
      <w:r>
        <w:rPr/>
        <w:t>1、“未知价”原则，即申购、赎回价格以申请当日的基金份额净值为基准进行计算；</w:t>
      </w:r>
    </w:p>
    <w:p>
      <w:pPr>
        <w:pStyle w:val="BodyText"/>
        <w:spacing w:before="7"/>
        <w:rPr>
          <w:sz w:val="15"/>
        </w:rPr>
      </w:pPr>
    </w:p>
    <w:p>
      <w:pPr>
        <w:pStyle w:val="BodyText"/>
        <w:ind w:left="1078"/>
      </w:pPr>
      <w:r>
        <w:rPr/>
        <w:t>2、“金额申购、份额赎回”原则，即申购以金额申请，赎回以</w:t>
      </w:r>
      <w:r>
        <w:rPr>
          <w:sz w:val="20"/>
        </w:rPr>
        <w:t>持有的基金份额</w:t>
      </w:r>
      <w:r>
        <w:rPr/>
        <w:t>申请；</w:t>
      </w:r>
    </w:p>
    <w:p>
      <w:pPr>
        <w:pStyle w:val="BodyText"/>
        <w:spacing w:before="7"/>
        <w:rPr>
          <w:sz w:val="15"/>
        </w:rPr>
      </w:pPr>
    </w:p>
    <w:p>
      <w:pPr>
        <w:pStyle w:val="BodyText"/>
        <w:spacing w:line="417" w:lineRule="auto"/>
        <w:ind w:left="658" w:right="1309" w:firstLine="419"/>
      </w:pPr>
      <w:r>
        <w:rPr/>
        <w:t>3、投资者可同时申购、赎回本系列基金中的单只基金或多只基金。当日的申购、赎回申请可以在当日业务办理时间结束前撤销；</w:t>
      </w:r>
    </w:p>
    <w:p>
      <w:pPr>
        <w:pStyle w:val="BodyText"/>
        <w:spacing w:line="417" w:lineRule="auto"/>
        <w:ind w:left="658" w:right="1309" w:firstLine="419"/>
      </w:pPr>
      <w:r>
        <w:rPr/>
        <w:t>4、基金管理人在不损害基金份额持有人权益的情况下可更改上述原则。在变更上述原则时，基金管理人应当依照《信息披露办法》的有关规定在指定媒介上公告。</w:t>
      </w:r>
    </w:p>
    <w:p>
      <w:pPr>
        <w:pStyle w:val="BodyText"/>
        <w:rPr>
          <w:sz w:val="20"/>
        </w:rPr>
      </w:pPr>
    </w:p>
    <w:p>
      <w:pPr>
        <w:pStyle w:val="BodyText"/>
        <w:spacing w:before="6"/>
        <w:rPr>
          <w:sz w:val="16"/>
        </w:rPr>
      </w:pPr>
    </w:p>
    <w:p>
      <w:pPr>
        <w:spacing w:before="0"/>
        <w:ind w:left="658" w:right="0" w:firstLine="0"/>
        <w:jc w:val="left"/>
        <w:rPr>
          <w:b/>
          <w:sz w:val="21"/>
        </w:rPr>
      </w:pPr>
      <w:r>
        <w:rPr>
          <w:b/>
          <w:sz w:val="21"/>
        </w:rPr>
        <w:t>（五）申购、赎回的程序</w:t>
      </w:r>
    </w:p>
    <w:p>
      <w:pPr>
        <w:pStyle w:val="BodyText"/>
        <w:spacing w:before="7"/>
        <w:rPr>
          <w:b/>
          <w:sz w:val="15"/>
        </w:rPr>
      </w:pPr>
    </w:p>
    <w:p>
      <w:pPr>
        <w:pStyle w:val="BodyText"/>
        <w:ind w:left="1078"/>
      </w:pPr>
      <w:r>
        <w:rPr/>
        <w:t>1、申请方式：书面申请或基金销售机构规定的其他方式。</w:t>
      </w:r>
    </w:p>
    <w:p>
      <w:pPr>
        <w:pStyle w:val="BodyText"/>
        <w:spacing w:before="7"/>
        <w:rPr>
          <w:sz w:val="15"/>
        </w:rPr>
      </w:pPr>
    </w:p>
    <w:p>
      <w:pPr>
        <w:pStyle w:val="BodyText"/>
        <w:spacing w:line="417" w:lineRule="auto"/>
        <w:ind w:left="658" w:right="1309" w:firstLine="419"/>
        <w:jc w:val="both"/>
      </w:pPr>
      <w:r>
        <w:rPr/>
        <w:t>2</w:t>
      </w:r>
      <w:r>
        <w:rPr>
          <w:spacing w:val="-3"/>
        </w:rPr>
        <w:t>、基金投资者必须根据基金销售机构规定的手续，向基金销售机构提出申购、赎回的</w:t>
      </w:r>
      <w:r>
        <w:rPr>
          <w:spacing w:val="-11"/>
        </w:rPr>
        <w:t>申请。投资人在申购本系列基金时须按销售机构规定的方式备足申购资金；投资者在提交赎</w:t>
      </w:r>
      <w:r>
        <w:rPr>
          <w:spacing w:val="-6"/>
        </w:rPr>
        <w:t>回申请时，账户中必须有足够的基金份额余额，否则所提交的赎回申请无效而不予成交。</w:t>
      </w:r>
    </w:p>
    <w:p>
      <w:pPr>
        <w:pStyle w:val="BodyText"/>
        <w:spacing w:line="269" w:lineRule="exact"/>
        <w:ind w:left="1078"/>
      </w:pPr>
      <w:r>
        <w:rPr/>
        <w:t>3、申购、赎回申请的确认</w:t>
      </w:r>
    </w:p>
    <w:p>
      <w:pPr>
        <w:pStyle w:val="BodyText"/>
        <w:spacing w:before="7"/>
        <w:rPr>
          <w:sz w:val="15"/>
        </w:rPr>
      </w:pPr>
    </w:p>
    <w:p>
      <w:pPr>
        <w:pStyle w:val="BodyText"/>
        <w:spacing w:line="417" w:lineRule="auto"/>
        <w:ind w:left="658" w:right="1309" w:firstLine="419"/>
      </w:pPr>
      <w:r>
        <w:rPr/>
        <w:t>T</w:t>
      </w:r>
      <w:r>
        <w:rPr>
          <w:spacing w:val="-13"/>
        </w:rPr>
        <w:t> 日提交的有效申请，投资者可在 </w:t>
      </w:r>
      <w:r>
        <w:rPr/>
        <w:t>T+2</w:t>
      </w:r>
      <w:r>
        <w:rPr>
          <w:spacing w:val="-8"/>
        </w:rPr>
        <w:t> 日到销售网点柜台或以销售机构规定的其他方式</w:t>
      </w:r>
      <w:r>
        <w:rPr>
          <w:spacing w:val="-5"/>
        </w:rPr>
        <w:t>查询申请的确认情况。</w:t>
      </w:r>
    </w:p>
    <w:p>
      <w:pPr>
        <w:pStyle w:val="BodyText"/>
        <w:spacing w:line="269" w:lineRule="exact"/>
        <w:ind w:left="1078"/>
      </w:pPr>
      <w:r>
        <w:rPr/>
        <w:t>4、申购、赎回的款项支付</w:t>
      </w:r>
    </w:p>
    <w:p>
      <w:pPr>
        <w:pStyle w:val="BodyText"/>
        <w:spacing w:before="7"/>
        <w:rPr>
          <w:sz w:val="15"/>
        </w:rPr>
      </w:pPr>
    </w:p>
    <w:p>
      <w:pPr>
        <w:pStyle w:val="BodyText"/>
        <w:spacing w:line="417" w:lineRule="auto"/>
        <w:ind w:left="658" w:right="1308" w:firstLine="419"/>
        <w:jc w:val="both"/>
      </w:pPr>
      <w:r>
        <w:rPr>
          <w:spacing w:val="-9"/>
        </w:rPr>
        <w:t>基金申购采用全额缴款方式，若资金在规定时间内未全额到账则申购不成功。若申购不</w:t>
      </w:r>
      <w:r>
        <w:rPr>
          <w:spacing w:val="-12"/>
        </w:rPr>
        <w:t>成功或无效，申购款项将退回投资者账户。基金份额持有人赎回申请确认后，赎回款项通常</w:t>
      </w:r>
      <w:r>
        <w:rPr>
          <w:spacing w:val="-26"/>
        </w:rPr>
        <w:t>在 </w:t>
      </w:r>
      <w:r>
        <w:rPr/>
        <w:t>T+5</w:t>
      </w:r>
      <w:r>
        <w:rPr>
          <w:spacing w:val="-15"/>
        </w:rPr>
        <w:t> 日但不超过 </w:t>
      </w:r>
      <w:r>
        <w:rPr/>
        <w:t>T＋7</w:t>
      </w:r>
      <w:r>
        <w:rPr>
          <w:spacing w:val="-8"/>
        </w:rPr>
        <w:t> 日内划往赎回人指定的银行账户。在发生巨额赎回或延期支付的情</w:t>
      </w:r>
      <w:r>
        <w:rPr>
          <w:spacing w:val="-5"/>
        </w:rPr>
        <w:t>形时，款项的支付办法参照基金合同和招募说明书的有关条款办理。</w:t>
      </w:r>
    </w:p>
    <w:p>
      <w:pPr>
        <w:pStyle w:val="BodyText"/>
        <w:spacing w:line="417" w:lineRule="auto"/>
        <w:ind w:left="658" w:right="1311" w:firstLine="419"/>
        <w:jc w:val="both"/>
      </w:pPr>
      <w:r>
        <w:rPr/>
        <w:t>5、T</w:t>
      </w:r>
      <w:r>
        <w:rPr>
          <w:spacing w:val="-6"/>
        </w:rPr>
        <w:t> 日的基金份额净值在当天收市后计算，并在 </w:t>
      </w:r>
      <w:r>
        <w:rPr/>
        <w:t>T+1</w:t>
      </w:r>
      <w:r>
        <w:rPr>
          <w:spacing w:val="-5"/>
        </w:rPr>
        <w:t> 日公告。遇特殊情况，基金份额</w:t>
      </w:r>
      <w:r>
        <w:rPr>
          <w:spacing w:val="-4"/>
        </w:rPr>
        <w:t>净值可以适当延迟计算或公告，并报中国证监会备案。</w:t>
      </w:r>
    </w:p>
    <w:p>
      <w:pPr>
        <w:pStyle w:val="BodyText"/>
        <w:rPr>
          <w:sz w:val="20"/>
        </w:rPr>
      </w:pPr>
    </w:p>
    <w:p>
      <w:pPr>
        <w:pStyle w:val="BodyText"/>
        <w:spacing w:before="6"/>
        <w:rPr>
          <w:sz w:val="16"/>
        </w:rPr>
      </w:pPr>
    </w:p>
    <w:p>
      <w:pPr>
        <w:spacing w:before="1"/>
        <w:ind w:left="658" w:right="0" w:firstLine="0"/>
        <w:jc w:val="left"/>
        <w:rPr>
          <w:b/>
          <w:sz w:val="21"/>
        </w:rPr>
      </w:pPr>
      <w:r>
        <w:rPr>
          <w:b/>
          <w:sz w:val="21"/>
        </w:rPr>
        <w:t>（六）申购、赎回的数额约定</w:t>
      </w:r>
    </w:p>
    <w:p>
      <w:pPr>
        <w:pStyle w:val="BodyText"/>
        <w:spacing w:before="6"/>
        <w:rPr>
          <w:b/>
          <w:sz w:val="15"/>
        </w:rPr>
      </w:pPr>
    </w:p>
    <w:p>
      <w:pPr>
        <w:pStyle w:val="BodyText"/>
        <w:ind w:left="1078"/>
      </w:pPr>
      <w:r>
        <w:rPr/>
        <w:t>1、本基金首次申购、定期定额申购最低限额均为 </w:t>
      </w:r>
      <w:r>
        <w:rPr>
          <w:rFonts w:ascii="Times New Roman" w:eastAsia="Times New Roman"/>
        </w:rPr>
        <w:t>1 </w:t>
      </w:r>
      <w:r>
        <w:rPr/>
        <w:t>元，追加申购不受首次申购最低金</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203"/>
      </w:pPr>
      <w:r>
        <w:rPr>
          <w:spacing w:val="-1"/>
        </w:rPr>
        <w:t>额的限制</w:t>
      </w:r>
      <w:r>
        <w:rPr/>
        <w:t>（</w:t>
      </w:r>
      <w:r>
        <w:rPr>
          <w:spacing w:val="-3"/>
        </w:rPr>
        <w:t>本公司直销系统及各销售机构可根据业务情况设置高于或等于前述的交易限额， </w:t>
      </w:r>
      <w:r>
        <w:rPr>
          <w:spacing w:val="-8"/>
        </w:rPr>
        <w:t>具体以本公司及各家销售机构公告为准，投资者在提交基金申购及定期定额投资申请时，应</w:t>
      </w:r>
      <w:r>
        <w:rPr>
          <w:spacing w:val="-5"/>
        </w:rPr>
        <w:t>遵循本公司及各销售机构的相关业务规则</w:t>
      </w:r>
      <w:r>
        <w:rPr>
          <w:spacing w:val="-108"/>
        </w:rPr>
        <w:t>）</w:t>
      </w:r>
      <w:r>
        <w:rPr>
          <w:spacing w:val="-3"/>
        </w:rPr>
        <w:t>。投资者可多次申购，对单个投资者累计持有基</w:t>
      </w:r>
      <w:r>
        <w:rPr>
          <w:spacing w:val="-9"/>
        </w:rPr>
        <w:t>金份额的数量不设上限。法律法规、中国证监会另有规定的除外；本系列基金不设最低赎回份额（</w:t>
      </w:r>
      <w:r>
        <w:rPr>
          <w:spacing w:val="-3"/>
        </w:rPr>
        <w:t>代销网点另有规定的，从其规定</w:t>
      </w:r>
      <w:r>
        <w:rPr/>
        <w:t>）</w:t>
      </w:r>
      <w:r>
        <w:rPr>
          <w:spacing w:val="-3"/>
        </w:rPr>
        <w:t>，但基金份额持有人在销售机构进行某笔赎回后，</w:t>
      </w:r>
    </w:p>
    <w:p>
      <w:pPr>
        <w:pStyle w:val="BodyText"/>
        <w:spacing w:line="268" w:lineRule="exact"/>
        <w:ind w:left="658"/>
      </w:pPr>
      <w:r>
        <w:rPr/>
        <w:t>若在销售机构保留的基金份额余额低于 1 份，则余额部分基金份额需一同全部赎回。</w:t>
      </w:r>
    </w:p>
    <w:p>
      <w:pPr>
        <w:pStyle w:val="BodyText"/>
        <w:spacing w:line="278" w:lineRule="auto" w:before="122"/>
        <w:ind w:left="658" w:right="1309" w:firstLine="419"/>
      </w:pPr>
      <w:r>
        <w:rPr/>
        <w:t>2、基金管理人可根据市场情况，调整首次申购的金额、赎回份额的数量限制，基金管理人应当依照《信息披露办法》的有关规定在指定媒介上公告；</w:t>
      </w:r>
    </w:p>
    <w:p>
      <w:pPr>
        <w:pStyle w:val="BodyText"/>
        <w:spacing w:line="417" w:lineRule="auto" w:before="78"/>
        <w:ind w:left="658" w:right="1309" w:firstLine="419"/>
        <w:jc w:val="both"/>
      </w:pPr>
      <w:r>
        <w:rPr/>
        <w:t>3</w:t>
      </w:r>
      <w:r>
        <w:rPr>
          <w:spacing w:val="-3"/>
        </w:rPr>
        <w:t>、申购份额的处理方式：申购的有效份额为按实际确认的申购金额在扣除相应的费用</w:t>
      </w:r>
      <w:r>
        <w:rPr>
          <w:spacing w:val="-11"/>
        </w:rPr>
        <w:t>后，以当日基金份额净值为基准计算，保留到小数点后两位，剩余部分舍去，舍去部分所代</w:t>
      </w:r>
      <w:r>
        <w:rPr>
          <w:spacing w:val="-6"/>
        </w:rPr>
        <w:t>表的资产归基金所有；</w:t>
      </w:r>
    </w:p>
    <w:p>
      <w:pPr>
        <w:pStyle w:val="BodyText"/>
        <w:spacing w:line="417" w:lineRule="auto"/>
        <w:ind w:left="658" w:right="1309" w:firstLine="419"/>
        <w:jc w:val="both"/>
      </w:pPr>
      <w:r>
        <w:rPr/>
        <w:t>4</w:t>
      </w:r>
      <w:r>
        <w:rPr>
          <w:spacing w:val="-3"/>
        </w:rPr>
        <w:t>、赎回金额的处理方式：赎回金额为按实际确认的有效赎回份额乘以当日基金份额净</w:t>
      </w:r>
      <w:r>
        <w:rPr>
          <w:spacing w:val="-8"/>
        </w:rPr>
        <w:t>值为基准并扣除相应的费用，保留到小数点后两位，小数点后两位以后的部分四舍五入，舍</w:t>
      </w:r>
      <w:r>
        <w:rPr>
          <w:spacing w:val="-5"/>
        </w:rPr>
        <w:t>去部分所代表的资产归基金所有。</w:t>
      </w:r>
    </w:p>
    <w:p>
      <w:pPr>
        <w:pStyle w:val="BodyText"/>
        <w:spacing w:line="417" w:lineRule="auto"/>
        <w:ind w:left="658" w:right="1308" w:firstLine="419"/>
        <w:jc w:val="both"/>
      </w:pPr>
      <w:r>
        <w:rPr/>
        <w:t>5</w:t>
      </w:r>
      <w:r>
        <w:rPr>
          <w:spacing w:val="-3"/>
        </w:rPr>
        <w:t>、当接受申购申请对优选混合基金或动力平衡基金存量基金份额持有人利益构成潜在</w:t>
      </w:r>
      <w:r>
        <w:rPr>
          <w:spacing w:val="-12"/>
        </w:rPr>
        <w:t>重大不利影响时，基金管理人应当对该只基金采取设定单一投资者申购金额上限或基金单日净申购比例上限、拒绝大额申购、暂停基金申购等措施，切实保护存量基金份额持有人的合法权益。基金管理人基于投资运作与风险控制的需要，可采取上述措施对优选混合基金或动</w:t>
      </w:r>
      <w:r>
        <w:rPr>
          <w:spacing w:val="-6"/>
        </w:rPr>
        <w:t>力平衡基金的基金规模予以控制。具体请参见相关公告。</w:t>
      </w:r>
    </w:p>
    <w:p>
      <w:pPr>
        <w:pStyle w:val="BodyText"/>
        <w:rPr>
          <w:sz w:val="20"/>
        </w:rPr>
      </w:pPr>
    </w:p>
    <w:p>
      <w:pPr>
        <w:pStyle w:val="BodyText"/>
        <w:spacing w:before="5"/>
        <w:rPr>
          <w:sz w:val="16"/>
        </w:rPr>
      </w:pPr>
    </w:p>
    <w:p>
      <w:pPr>
        <w:spacing w:before="0"/>
        <w:ind w:left="658" w:right="0" w:firstLine="0"/>
        <w:jc w:val="left"/>
        <w:rPr>
          <w:b/>
          <w:sz w:val="21"/>
        </w:rPr>
      </w:pPr>
      <w:r>
        <w:rPr>
          <w:b/>
          <w:sz w:val="21"/>
        </w:rPr>
        <w:t>（七）本系列基金的申购、赎回费率</w:t>
      </w:r>
    </w:p>
    <w:p>
      <w:pPr>
        <w:pStyle w:val="BodyText"/>
        <w:spacing w:before="9"/>
        <w:rPr>
          <w:b/>
          <w:sz w:val="7"/>
        </w:r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4"/>
        <w:gridCol w:w="3742"/>
        <w:gridCol w:w="3480"/>
      </w:tblGrid>
      <w:tr>
        <w:trPr>
          <w:trHeight w:val="468" w:hRule="atLeast"/>
        </w:trPr>
        <w:tc>
          <w:tcPr>
            <w:tcW w:w="1874" w:type="dxa"/>
          </w:tcPr>
          <w:p>
            <w:pPr>
              <w:pStyle w:val="TableParagraph"/>
              <w:spacing w:before="99"/>
              <w:ind w:left="180" w:right="173"/>
              <w:jc w:val="center"/>
              <w:rPr>
                <w:b/>
                <w:sz w:val="21"/>
              </w:rPr>
            </w:pPr>
            <w:r>
              <w:rPr>
                <w:b/>
                <w:sz w:val="21"/>
              </w:rPr>
              <w:t>基金名称</w:t>
            </w:r>
          </w:p>
        </w:tc>
        <w:tc>
          <w:tcPr>
            <w:tcW w:w="3742" w:type="dxa"/>
          </w:tcPr>
          <w:p>
            <w:pPr>
              <w:pStyle w:val="TableParagraph"/>
              <w:spacing w:before="99"/>
              <w:ind w:left="1428" w:right="1420"/>
              <w:jc w:val="center"/>
              <w:rPr>
                <w:b/>
                <w:sz w:val="21"/>
              </w:rPr>
            </w:pPr>
            <w:r>
              <w:rPr>
                <w:b/>
                <w:sz w:val="21"/>
              </w:rPr>
              <w:t>申购费率</w:t>
            </w:r>
          </w:p>
        </w:tc>
        <w:tc>
          <w:tcPr>
            <w:tcW w:w="3480" w:type="dxa"/>
          </w:tcPr>
          <w:p>
            <w:pPr>
              <w:pStyle w:val="TableParagraph"/>
              <w:spacing w:before="99"/>
              <w:ind w:left="1296" w:right="1290"/>
              <w:jc w:val="center"/>
              <w:rPr>
                <w:b/>
                <w:sz w:val="21"/>
              </w:rPr>
            </w:pPr>
            <w:r>
              <w:rPr>
                <w:b/>
                <w:sz w:val="21"/>
              </w:rPr>
              <w:t>赎回费率</w:t>
            </w:r>
          </w:p>
        </w:tc>
      </w:tr>
      <w:tr>
        <w:trPr>
          <w:trHeight w:val="2339" w:hRule="atLeast"/>
        </w:trPr>
        <w:tc>
          <w:tcPr>
            <w:tcW w:w="1874" w:type="dxa"/>
          </w:tcPr>
          <w:p>
            <w:pPr>
              <w:pStyle w:val="TableParagraph"/>
              <w:rPr>
                <w:b/>
                <w:sz w:val="20"/>
              </w:rPr>
            </w:pPr>
          </w:p>
          <w:p>
            <w:pPr>
              <w:pStyle w:val="TableParagraph"/>
              <w:rPr>
                <w:b/>
                <w:sz w:val="20"/>
              </w:rPr>
            </w:pPr>
          </w:p>
          <w:p>
            <w:pPr>
              <w:pStyle w:val="TableParagraph"/>
              <w:rPr>
                <w:b/>
                <w:sz w:val="20"/>
              </w:rPr>
            </w:pPr>
          </w:p>
          <w:p>
            <w:pPr>
              <w:pStyle w:val="TableParagraph"/>
              <w:spacing w:before="10"/>
              <w:rPr>
                <w:b/>
                <w:sz w:val="20"/>
              </w:rPr>
            </w:pPr>
          </w:p>
          <w:p>
            <w:pPr>
              <w:pStyle w:val="TableParagraph"/>
              <w:ind w:left="180" w:right="173"/>
              <w:jc w:val="center"/>
              <w:rPr>
                <w:sz w:val="21"/>
              </w:rPr>
            </w:pPr>
            <w:r>
              <w:rPr>
                <w:sz w:val="21"/>
              </w:rPr>
              <w:t>优选混合型基金</w:t>
            </w:r>
          </w:p>
        </w:tc>
        <w:tc>
          <w:tcPr>
            <w:tcW w:w="3742" w:type="dxa"/>
          </w:tcPr>
          <w:p>
            <w:pPr>
              <w:pStyle w:val="TableParagraph"/>
              <w:tabs>
                <w:tab w:pos="2261" w:val="left" w:leader="none"/>
              </w:tabs>
              <w:spacing w:before="99"/>
              <w:ind w:left="105"/>
              <w:rPr>
                <w:sz w:val="21"/>
              </w:rPr>
            </w:pPr>
            <w:r>
              <w:rPr>
                <w:sz w:val="21"/>
              </w:rPr>
              <w:t>M＜50</w:t>
            </w:r>
            <w:r>
              <w:rPr>
                <w:spacing w:val="-53"/>
                <w:sz w:val="21"/>
              </w:rPr>
              <w:t> </w:t>
            </w:r>
            <w:r>
              <w:rPr>
                <w:sz w:val="21"/>
              </w:rPr>
              <w:t>万</w:t>
              <w:tab/>
              <w:t>1.5%</w:t>
            </w:r>
          </w:p>
          <w:p>
            <w:pPr>
              <w:pStyle w:val="TableParagraph"/>
              <w:spacing w:before="7"/>
              <w:rPr>
                <w:b/>
                <w:sz w:val="15"/>
              </w:rPr>
            </w:pPr>
          </w:p>
          <w:p>
            <w:pPr>
              <w:pStyle w:val="TableParagraph"/>
              <w:tabs>
                <w:tab w:pos="2314" w:val="left" w:leader="none"/>
              </w:tabs>
              <w:ind w:left="105"/>
              <w:rPr>
                <w:sz w:val="21"/>
              </w:rPr>
            </w:pPr>
            <w:r>
              <w:rPr>
                <w:sz w:val="21"/>
              </w:rPr>
              <w:t>50</w:t>
            </w:r>
            <w:r>
              <w:rPr>
                <w:spacing w:val="-52"/>
                <w:sz w:val="21"/>
              </w:rPr>
              <w:t> </w:t>
            </w:r>
            <w:r>
              <w:rPr>
                <w:spacing w:val="-3"/>
                <w:sz w:val="21"/>
              </w:rPr>
              <w:t>万</w:t>
            </w:r>
            <w:r>
              <w:rPr>
                <w:sz w:val="21"/>
              </w:rPr>
              <w:t>≤M＜100</w:t>
            </w:r>
            <w:r>
              <w:rPr>
                <w:spacing w:val="-54"/>
                <w:sz w:val="21"/>
              </w:rPr>
              <w:t> </w:t>
            </w:r>
            <w:r>
              <w:rPr>
                <w:sz w:val="21"/>
              </w:rPr>
              <w:t>万</w:t>
              <w:tab/>
              <w:t>1.2%</w:t>
            </w:r>
          </w:p>
          <w:p>
            <w:pPr>
              <w:pStyle w:val="TableParagraph"/>
              <w:spacing w:before="6"/>
              <w:rPr>
                <w:b/>
                <w:sz w:val="15"/>
              </w:rPr>
            </w:pPr>
          </w:p>
          <w:p>
            <w:pPr>
              <w:pStyle w:val="TableParagraph"/>
              <w:tabs>
                <w:tab w:pos="2314" w:val="left" w:leader="none"/>
              </w:tabs>
              <w:spacing w:before="1"/>
              <w:ind w:left="105"/>
              <w:rPr>
                <w:sz w:val="21"/>
              </w:rPr>
            </w:pPr>
            <w:r>
              <w:rPr>
                <w:sz w:val="21"/>
              </w:rPr>
              <w:t>100</w:t>
            </w:r>
            <w:r>
              <w:rPr>
                <w:spacing w:val="-52"/>
                <w:sz w:val="21"/>
              </w:rPr>
              <w:t> </w:t>
            </w:r>
            <w:r>
              <w:rPr>
                <w:spacing w:val="-3"/>
                <w:sz w:val="21"/>
              </w:rPr>
              <w:t>万</w:t>
            </w:r>
            <w:r>
              <w:rPr>
                <w:sz w:val="21"/>
              </w:rPr>
              <w:t>≤M＜200</w:t>
            </w:r>
            <w:r>
              <w:rPr>
                <w:spacing w:val="-54"/>
                <w:sz w:val="21"/>
              </w:rPr>
              <w:t> </w:t>
            </w:r>
            <w:r>
              <w:rPr>
                <w:sz w:val="21"/>
              </w:rPr>
              <w:t>万</w:t>
              <w:tab/>
              <w:t>1.0%</w:t>
            </w:r>
          </w:p>
          <w:p>
            <w:pPr>
              <w:pStyle w:val="TableParagraph"/>
              <w:spacing w:before="6"/>
              <w:rPr>
                <w:b/>
                <w:sz w:val="15"/>
              </w:rPr>
            </w:pPr>
          </w:p>
          <w:p>
            <w:pPr>
              <w:pStyle w:val="TableParagraph"/>
              <w:tabs>
                <w:tab w:pos="2314" w:val="left" w:leader="none"/>
              </w:tabs>
              <w:ind w:left="105"/>
              <w:rPr>
                <w:sz w:val="21"/>
              </w:rPr>
            </w:pPr>
            <w:r>
              <w:rPr>
                <w:sz w:val="21"/>
              </w:rPr>
              <w:t>200</w:t>
            </w:r>
            <w:r>
              <w:rPr>
                <w:spacing w:val="-52"/>
                <w:sz w:val="21"/>
              </w:rPr>
              <w:t> </w:t>
            </w:r>
            <w:r>
              <w:rPr>
                <w:spacing w:val="-3"/>
                <w:sz w:val="21"/>
              </w:rPr>
              <w:t>万</w:t>
            </w:r>
            <w:r>
              <w:rPr>
                <w:sz w:val="21"/>
              </w:rPr>
              <w:t>≤M＜500</w:t>
            </w:r>
            <w:r>
              <w:rPr>
                <w:spacing w:val="-54"/>
                <w:sz w:val="21"/>
              </w:rPr>
              <w:t> </w:t>
            </w:r>
            <w:r>
              <w:rPr>
                <w:sz w:val="21"/>
              </w:rPr>
              <w:t>万</w:t>
              <w:tab/>
              <w:t>0.6%</w:t>
            </w:r>
          </w:p>
          <w:p>
            <w:pPr>
              <w:pStyle w:val="TableParagraph"/>
              <w:spacing w:before="7"/>
              <w:rPr>
                <w:b/>
                <w:sz w:val="15"/>
              </w:rPr>
            </w:pPr>
          </w:p>
          <w:p>
            <w:pPr>
              <w:pStyle w:val="TableParagraph"/>
              <w:tabs>
                <w:tab w:pos="1524" w:val="left" w:leader="none"/>
              </w:tabs>
              <w:ind w:left="105"/>
              <w:rPr>
                <w:sz w:val="21"/>
              </w:rPr>
            </w:pPr>
            <w:r>
              <w:rPr>
                <w:sz w:val="21"/>
              </w:rPr>
              <w:t>M≥500</w:t>
            </w:r>
            <w:r>
              <w:rPr>
                <w:spacing w:val="-52"/>
                <w:sz w:val="21"/>
              </w:rPr>
              <w:t> </w:t>
            </w:r>
            <w:r>
              <w:rPr>
                <w:sz w:val="21"/>
              </w:rPr>
              <w:t>万</w:t>
              <w:tab/>
              <w:t>按</w:t>
            </w:r>
            <w:r>
              <w:rPr>
                <w:spacing w:val="-3"/>
                <w:sz w:val="21"/>
              </w:rPr>
              <w:t>笔</w:t>
            </w:r>
            <w:r>
              <w:rPr>
                <w:sz w:val="21"/>
              </w:rPr>
              <w:t>收</w:t>
            </w:r>
            <w:r>
              <w:rPr>
                <w:spacing w:val="-3"/>
                <w:sz w:val="21"/>
              </w:rPr>
              <w:t>取</w:t>
            </w:r>
            <w:r>
              <w:rPr>
                <w:sz w:val="21"/>
              </w:rPr>
              <w:t>,500</w:t>
            </w:r>
            <w:r>
              <w:rPr>
                <w:spacing w:val="-52"/>
                <w:sz w:val="21"/>
              </w:rPr>
              <w:t> </w:t>
            </w:r>
            <w:r>
              <w:rPr>
                <w:spacing w:val="-3"/>
                <w:sz w:val="21"/>
              </w:rPr>
              <w:t>元</w:t>
            </w:r>
            <w:r>
              <w:rPr>
                <w:sz w:val="21"/>
              </w:rPr>
              <w:t>/笔</w:t>
            </w:r>
          </w:p>
        </w:tc>
        <w:tc>
          <w:tcPr>
            <w:tcW w:w="3480" w:type="dxa"/>
          </w:tcPr>
          <w:p>
            <w:pPr>
              <w:pStyle w:val="TableParagraph"/>
              <w:spacing w:before="1"/>
              <w:rPr>
                <w:b/>
                <w:sz w:val="26"/>
              </w:rPr>
            </w:pPr>
          </w:p>
          <w:p>
            <w:pPr>
              <w:pStyle w:val="TableParagraph"/>
              <w:tabs>
                <w:tab w:pos="2890" w:val="left" w:leader="none"/>
              </w:tabs>
              <w:ind w:left="106"/>
              <w:rPr>
                <w:rFonts w:ascii="Times New Roman" w:eastAsia="Times New Roman"/>
                <w:sz w:val="21"/>
              </w:rPr>
            </w:pPr>
            <w:r>
              <w:rPr>
                <w:rFonts w:ascii="Times New Roman" w:eastAsia="Times New Roman"/>
                <w:sz w:val="21"/>
              </w:rPr>
              <w:t>7</w:t>
            </w:r>
            <w:r>
              <w:rPr>
                <w:rFonts w:ascii="Times New Roman" w:eastAsia="Times New Roman"/>
                <w:spacing w:val="1"/>
                <w:sz w:val="21"/>
              </w:rPr>
              <w:t> </w:t>
            </w:r>
            <w:r>
              <w:rPr>
                <w:sz w:val="21"/>
              </w:rPr>
              <w:t>天</w:t>
            </w:r>
            <w:r>
              <w:rPr>
                <w:spacing w:val="-3"/>
                <w:sz w:val="21"/>
              </w:rPr>
              <w:t>以</w:t>
            </w:r>
            <w:r>
              <w:rPr>
                <w:sz w:val="21"/>
              </w:rPr>
              <w:t>内</w:t>
              <w:tab/>
            </w:r>
            <w:r>
              <w:rPr>
                <w:rFonts w:ascii="Times New Roman" w:eastAsia="Times New Roman"/>
                <w:sz w:val="21"/>
              </w:rPr>
              <w:t>1.5%</w:t>
            </w:r>
          </w:p>
          <w:p>
            <w:pPr>
              <w:pStyle w:val="TableParagraph"/>
              <w:spacing w:before="7"/>
              <w:rPr>
                <w:b/>
                <w:sz w:val="15"/>
              </w:rPr>
            </w:pPr>
          </w:p>
          <w:p>
            <w:pPr>
              <w:pStyle w:val="TableParagraph"/>
              <w:tabs>
                <w:tab w:pos="2838" w:val="left" w:leader="none"/>
              </w:tabs>
              <w:ind w:left="106"/>
              <w:rPr>
                <w:rFonts w:ascii="Times New Roman" w:eastAsia="Times New Roman"/>
                <w:sz w:val="21"/>
              </w:rPr>
            </w:pPr>
            <w:r>
              <w:rPr>
                <w:rFonts w:ascii="Times New Roman" w:eastAsia="Times New Roman"/>
                <w:sz w:val="21"/>
              </w:rPr>
              <w:t>7</w:t>
            </w:r>
            <w:r>
              <w:rPr>
                <w:rFonts w:ascii="Times New Roman" w:eastAsia="Times New Roman"/>
                <w:spacing w:val="1"/>
                <w:sz w:val="21"/>
              </w:rPr>
              <w:t> </w:t>
            </w:r>
            <w:r>
              <w:rPr>
                <w:sz w:val="21"/>
              </w:rPr>
              <w:t>天</w:t>
            </w:r>
            <w:r>
              <w:rPr>
                <w:spacing w:val="-3"/>
                <w:sz w:val="21"/>
              </w:rPr>
              <w:t>以</w:t>
            </w:r>
            <w:r>
              <w:rPr>
                <w:sz w:val="21"/>
              </w:rPr>
              <w:t>上</w:t>
            </w:r>
            <w:r>
              <w:rPr>
                <w:spacing w:val="-3"/>
                <w:sz w:val="21"/>
              </w:rPr>
              <w:t>（</w:t>
            </w:r>
            <w:r>
              <w:rPr>
                <w:sz w:val="21"/>
              </w:rPr>
              <w:t>含）－</w:t>
            </w:r>
            <w:r>
              <w:rPr>
                <w:rFonts w:ascii="Times New Roman" w:eastAsia="Times New Roman"/>
                <w:sz w:val="21"/>
              </w:rPr>
              <w:t>1 </w:t>
            </w:r>
            <w:r>
              <w:rPr>
                <w:sz w:val="21"/>
              </w:rPr>
              <w:t>年</w:t>
            </w:r>
            <w:r>
              <w:rPr>
                <w:spacing w:val="-3"/>
                <w:sz w:val="21"/>
              </w:rPr>
              <w:t>以</w:t>
            </w:r>
            <w:r>
              <w:rPr>
                <w:sz w:val="21"/>
              </w:rPr>
              <w:t>内</w:t>
              <w:tab/>
            </w:r>
            <w:r>
              <w:rPr>
                <w:rFonts w:ascii="Times New Roman" w:eastAsia="Times New Roman"/>
                <w:sz w:val="21"/>
              </w:rPr>
              <w:t>0.4%</w:t>
            </w:r>
          </w:p>
          <w:p>
            <w:pPr>
              <w:pStyle w:val="TableParagraph"/>
              <w:spacing w:before="6"/>
              <w:rPr>
                <w:b/>
                <w:sz w:val="15"/>
              </w:rPr>
            </w:pPr>
          </w:p>
          <w:p>
            <w:pPr>
              <w:pStyle w:val="TableParagraph"/>
              <w:tabs>
                <w:tab w:pos="2312" w:val="left" w:leader="none"/>
              </w:tabs>
              <w:spacing w:before="1"/>
              <w:ind w:left="106"/>
              <w:rPr>
                <w:rFonts w:ascii="Times New Roman" w:eastAsia="Times New Roman"/>
                <w:sz w:val="21"/>
              </w:rPr>
            </w:pPr>
            <w:r>
              <w:rPr>
                <w:rFonts w:ascii="Times New Roman" w:eastAsia="Times New Roman"/>
                <w:sz w:val="21"/>
              </w:rPr>
              <w:t>1</w:t>
            </w:r>
            <w:r>
              <w:rPr>
                <w:rFonts w:ascii="Times New Roman" w:eastAsia="Times New Roman"/>
                <w:spacing w:val="1"/>
                <w:sz w:val="21"/>
              </w:rPr>
              <w:t> </w:t>
            </w:r>
            <w:r>
              <w:rPr>
                <w:sz w:val="21"/>
              </w:rPr>
              <w:t>年</w:t>
            </w:r>
            <w:r>
              <w:rPr>
                <w:spacing w:val="-3"/>
                <w:sz w:val="21"/>
              </w:rPr>
              <w:t>以</w:t>
            </w:r>
            <w:r>
              <w:rPr>
                <w:sz w:val="21"/>
              </w:rPr>
              <w:t>上</w:t>
            </w:r>
            <w:r>
              <w:rPr>
                <w:spacing w:val="-3"/>
                <w:sz w:val="21"/>
              </w:rPr>
              <w:t>（</w:t>
            </w:r>
            <w:r>
              <w:rPr>
                <w:sz w:val="21"/>
              </w:rPr>
              <w:t>含）－</w:t>
            </w:r>
            <w:r>
              <w:rPr>
                <w:rFonts w:ascii="Times New Roman" w:eastAsia="Times New Roman"/>
                <w:sz w:val="21"/>
              </w:rPr>
              <w:t>2</w:t>
            </w:r>
            <w:r>
              <w:rPr>
                <w:rFonts w:ascii="Times New Roman" w:eastAsia="Times New Roman"/>
                <w:spacing w:val="-1"/>
                <w:sz w:val="21"/>
              </w:rPr>
              <w:t> </w:t>
            </w:r>
            <w:r>
              <w:rPr>
                <w:sz w:val="21"/>
              </w:rPr>
              <w:t>年</w:t>
              <w:tab/>
            </w:r>
            <w:r>
              <w:rPr>
                <w:rFonts w:ascii="Times New Roman" w:eastAsia="Times New Roman"/>
                <w:sz w:val="21"/>
              </w:rPr>
              <w:t>0.25%</w:t>
            </w:r>
          </w:p>
          <w:p>
            <w:pPr>
              <w:pStyle w:val="TableParagraph"/>
              <w:spacing w:before="6"/>
              <w:rPr>
                <w:b/>
                <w:sz w:val="15"/>
              </w:rPr>
            </w:pPr>
          </w:p>
          <w:p>
            <w:pPr>
              <w:pStyle w:val="TableParagraph"/>
              <w:ind w:left="106"/>
              <w:rPr>
                <w:rFonts w:ascii="Times New Roman" w:eastAsia="Times New Roman"/>
                <w:sz w:val="21"/>
              </w:rPr>
            </w:pPr>
            <w:r>
              <w:rPr>
                <w:rFonts w:ascii="Times New Roman" w:eastAsia="Times New Roman"/>
                <w:sz w:val="21"/>
              </w:rPr>
              <w:t>2 </w:t>
            </w:r>
            <w:r>
              <w:rPr>
                <w:sz w:val="21"/>
              </w:rPr>
              <w:t>年以上（含） </w:t>
            </w:r>
            <w:r>
              <w:rPr>
                <w:rFonts w:ascii="Times New Roman" w:eastAsia="Times New Roman"/>
                <w:sz w:val="21"/>
              </w:rPr>
              <w:t>0</w:t>
            </w:r>
          </w:p>
        </w:tc>
      </w:tr>
      <w:tr>
        <w:trPr>
          <w:trHeight w:val="936" w:hRule="atLeast"/>
        </w:trPr>
        <w:tc>
          <w:tcPr>
            <w:tcW w:w="1874" w:type="dxa"/>
          </w:tcPr>
          <w:p>
            <w:pPr>
              <w:pStyle w:val="TableParagraph"/>
              <w:spacing w:before="99"/>
              <w:ind w:left="180" w:right="173"/>
              <w:jc w:val="center"/>
              <w:rPr>
                <w:sz w:val="21"/>
              </w:rPr>
            </w:pPr>
            <w:r>
              <w:rPr>
                <w:sz w:val="21"/>
              </w:rPr>
              <w:t>货币市场基金</w:t>
            </w:r>
          </w:p>
          <w:p>
            <w:pPr>
              <w:pStyle w:val="TableParagraph"/>
              <w:spacing w:before="7"/>
              <w:rPr>
                <w:b/>
                <w:sz w:val="15"/>
              </w:rPr>
            </w:pPr>
          </w:p>
          <w:p>
            <w:pPr>
              <w:pStyle w:val="TableParagraph"/>
              <w:ind w:left="178" w:right="173"/>
              <w:jc w:val="center"/>
              <w:rPr>
                <w:sz w:val="21"/>
              </w:rPr>
            </w:pPr>
            <w:r>
              <w:rPr>
                <w:sz w:val="21"/>
              </w:rPr>
              <w:t>（A/B 级）</w:t>
            </w:r>
          </w:p>
        </w:tc>
        <w:tc>
          <w:tcPr>
            <w:tcW w:w="3742" w:type="dxa"/>
          </w:tcPr>
          <w:p>
            <w:pPr>
              <w:pStyle w:val="TableParagraph"/>
              <w:spacing w:before="1"/>
              <w:rPr>
                <w:b/>
                <w:sz w:val="26"/>
              </w:rPr>
            </w:pPr>
          </w:p>
          <w:p>
            <w:pPr>
              <w:pStyle w:val="TableParagraph"/>
              <w:ind w:left="3"/>
              <w:jc w:val="center"/>
              <w:rPr>
                <w:sz w:val="21"/>
              </w:rPr>
            </w:pPr>
            <w:r>
              <w:rPr>
                <w:w w:val="100"/>
                <w:sz w:val="21"/>
              </w:rPr>
              <w:t>0</w:t>
            </w:r>
          </w:p>
        </w:tc>
        <w:tc>
          <w:tcPr>
            <w:tcW w:w="3480" w:type="dxa"/>
          </w:tcPr>
          <w:p>
            <w:pPr>
              <w:pStyle w:val="TableParagraph"/>
              <w:rPr>
                <w:b/>
                <w:sz w:val="27"/>
              </w:rPr>
            </w:pPr>
          </w:p>
          <w:p>
            <w:pPr>
              <w:pStyle w:val="TableParagraph"/>
              <w:ind w:left="6"/>
              <w:jc w:val="center"/>
              <w:rPr>
                <w:rFonts w:ascii="Times New Roman"/>
                <w:sz w:val="21"/>
              </w:rPr>
            </w:pPr>
            <w:r>
              <w:rPr>
                <w:rFonts w:ascii="Times New Roman"/>
                <w:w w:val="100"/>
                <w:sz w:val="21"/>
              </w:rPr>
              <w:t>0</w:t>
            </w:r>
          </w:p>
        </w:tc>
      </w:tr>
      <w:tr>
        <w:trPr>
          <w:trHeight w:val="470" w:hRule="atLeast"/>
        </w:trPr>
        <w:tc>
          <w:tcPr>
            <w:tcW w:w="1874" w:type="dxa"/>
          </w:tcPr>
          <w:p>
            <w:pPr>
              <w:pStyle w:val="TableParagraph"/>
              <w:spacing w:before="101"/>
              <w:ind w:left="180" w:right="173"/>
              <w:jc w:val="center"/>
              <w:rPr>
                <w:sz w:val="21"/>
              </w:rPr>
            </w:pPr>
            <w:r>
              <w:rPr>
                <w:sz w:val="21"/>
              </w:rPr>
              <w:t>动力平衡基金</w:t>
            </w:r>
          </w:p>
        </w:tc>
        <w:tc>
          <w:tcPr>
            <w:tcW w:w="3742" w:type="dxa"/>
          </w:tcPr>
          <w:p>
            <w:pPr>
              <w:pStyle w:val="TableParagraph"/>
              <w:tabs>
                <w:tab w:pos="2261" w:val="left" w:leader="none"/>
              </w:tabs>
              <w:spacing w:before="101"/>
              <w:ind w:left="105"/>
              <w:rPr>
                <w:sz w:val="21"/>
              </w:rPr>
            </w:pPr>
            <w:r>
              <w:rPr>
                <w:sz w:val="21"/>
              </w:rPr>
              <w:t>M＜50</w:t>
            </w:r>
            <w:r>
              <w:rPr>
                <w:spacing w:val="-53"/>
                <w:sz w:val="21"/>
              </w:rPr>
              <w:t> </w:t>
            </w:r>
            <w:r>
              <w:rPr>
                <w:sz w:val="21"/>
              </w:rPr>
              <w:t>万</w:t>
              <w:tab/>
              <w:t>1.5%</w:t>
            </w:r>
          </w:p>
        </w:tc>
        <w:tc>
          <w:tcPr>
            <w:tcW w:w="3480" w:type="dxa"/>
          </w:tcPr>
          <w:p>
            <w:pPr>
              <w:pStyle w:val="TableParagraph"/>
              <w:tabs>
                <w:tab w:pos="2785" w:val="left" w:leader="none"/>
              </w:tabs>
              <w:spacing w:before="101"/>
              <w:ind w:left="106"/>
              <w:rPr>
                <w:rFonts w:ascii="Times New Roman" w:eastAsia="Times New Roman"/>
                <w:sz w:val="21"/>
              </w:rPr>
            </w:pPr>
            <w:r>
              <w:rPr>
                <w:rFonts w:ascii="Times New Roman" w:eastAsia="Times New Roman"/>
                <w:sz w:val="21"/>
              </w:rPr>
              <w:t>7</w:t>
            </w:r>
            <w:r>
              <w:rPr>
                <w:rFonts w:ascii="Times New Roman" w:eastAsia="Times New Roman"/>
                <w:spacing w:val="1"/>
                <w:sz w:val="21"/>
              </w:rPr>
              <w:t> </w:t>
            </w:r>
            <w:r>
              <w:rPr>
                <w:sz w:val="21"/>
              </w:rPr>
              <w:t>天</w:t>
            </w:r>
            <w:r>
              <w:rPr>
                <w:spacing w:val="-3"/>
                <w:sz w:val="21"/>
              </w:rPr>
              <w:t>以</w:t>
            </w:r>
            <w:r>
              <w:rPr>
                <w:sz w:val="21"/>
              </w:rPr>
              <w:t>内</w:t>
              <w:tab/>
            </w:r>
            <w:r>
              <w:rPr>
                <w:rFonts w:ascii="Times New Roman" w:eastAsia="Times New Roman"/>
                <w:sz w:val="21"/>
              </w:rPr>
              <w:t>1.5%</w:t>
            </w:r>
          </w:p>
        </w:tc>
      </w:tr>
    </w:tbl>
    <w:p>
      <w:pPr>
        <w:spacing w:after="0"/>
        <w:rPr>
          <w:rFonts w:ascii="Times New Roman" w:eastAsia="Times New Roman"/>
          <w:sz w:val="21"/>
        </w:rPr>
        <w:sectPr>
          <w:pgSz w:w="11910" w:h="16840"/>
          <w:pgMar w:header="852" w:footer="992" w:top="1220" w:bottom="1180" w:left="1140" w:right="480"/>
        </w:sectPr>
      </w:pPr>
    </w:p>
    <w:p>
      <w:pPr>
        <w:pStyle w:val="BodyText"/>
        <w:spacing w:before="11"/>
        <w:rPr>
          <w:b/>
          <w:sz w:val="16"/>
        </w:r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4"/>
        <w:gridCol w:w="3742"/>
        <w:gridCol w:w="3480"/>
      </w:tblGrid>
      <w:tr>
        <w:trPr>
          <w:trHeight w:val="1872" w:hRule="atLeast"/>
        </w:trPr>
        <w:tc>
          <w:tcPr>
            <w:tcW w:w="1874" w:type="dxa"/>
          </w:tcPr>
          <w:p>
            <w:pPr>
              <w:pStyle w:val="TableParagraph"/>
              <w:rPr>
                <w:rFonts w:ascii="Times New Roman"/>
                <w:sz w:val="20"/>
              </w:rPr>
            </w:pPr>
          </w:p>
        </w:tc>
        <w:tc>
          <w:tcPr>
            <w:tcW w:w="3742" w:type="dxa"/>
          </w:tcPr>
          <w:p>
            <w:pPr>
              <w:pStyle w:val="TableParagraph"/>
              <w:tabs>
                <w:tab w:pos="2314" w:val="left" w:leader="none"/>
              </w:tabs>
              <w:spacing w:before="99"/>
              <w:ind w:left="105"/>
              <w:rPr>
                <w:sz w:val="21"/>
              </w:rPr>
            </w:pPr>
            <w:r>
              <w:rPr>
                <w:sz w:val="21"/>
              </w:rPr>
              <w:t>50</w:t>
            </w:r>
            <w:r>
              <w:rPr>
                <w:spacing w:val="-52"/>
                <w:sz w:val="21"/>
              </w:rPr>
              <w:t> </w:t>
            </w:r>
            <w:r>
              <w:rPr>
                <w:spacing w:val="-3"/>
                <w:sz w:val="21"/>
              </w:rPr>
              <w:t>万</w:t>
            </w:r>
            <w:r>
              <w:rPr>
                <w:sz w:val="21"/>
              </w:rPr>
              <w:t>≤M＜100</w:t>
            </w:r>
            <w:r>
              <w:rPr>
                <w:spacing w:val="-54"/>
                <w:sz w:val="21"/>
              </w:rPr>
              <w:t> </w:t>
            </w:r>
            <w:r>
              <w:rPr>
                <w:sz w:val="21"/>
              </w:rPr>
              <w:t>万</w:t>
              <w:tab/>
              <w:t>1.2%</w:t>
            </w:r>
          </w:p>
          <w:p>
            <w:pPr>
              <w:pStyle w:val="TableParagraph"/>
              <w:spacing w:before="7"/>
              <w:rPr>
                <w:b/>
                <w:sz w:val="15"/>
              </w:rPr>
            </w:pPr>
          </w:p>
          <w:p>
            <w:pPr>
              <w:pStyle w:val="TableParagraph"/>
              <w:tabs>
                <w:tab w:pos="2314" w:val="left" w:leader="none"/>
              </w:tabs>
              <w:ind w:left="105"/>
              <w:rPr>
                <w:sz w:val="21"/>
              </w:rPr>
            </w:pPr>
            <w:r>
              <w:rPr>
                <w:sz w:val="21"/>
              </w:rPr>
              <w:t>100</w:t>
            </w:r>
            <w:r>
              <w:rPr>
                <w:spacing w:val="-52"/>
                <w:sz w:val="21"/>
              </w:rPr>
              <w:t> </w:t>
            </w:r>
            <w:r>
              <w:rPr>
                <w:spacing w:val="-3"/>
                <w:sz w:val="21"/>
              </w:rPr>
              <w:t>万</w:t>
            </w:r>
            <w:r>
              <w:rPr>
                <w:sz w:val="21"/>
              </w:rPr>
              <w:t>≤M＜200</w:t>
            </w:r>
            <w:r>
              <w:rPr>
                <w:spacing w:val="-54"/>
                <w:sz w:val="21"/>
              </w:rPr>
              <w:t> </w:t>
            </w:r>
            <w:r>
              <w:rPr>
                <w:sz w:val="21"/>
              </w:rPr>
              <w:t>万</w:t>
              <w:tab/>
              <w:t>1.0%</w:t>
            </w:r>
          </w:p>
          <w:p>
            <w:pPr>
              <w:pStyle w:val="TableParagraph"/>
              <w:spacing w:before="7"/>
              <w:rPr>
                <w:b/>
                <w:sz w:val="15"/>
              </w:rPr>
            </w:pPr>
          </w:p>
          <w:p>
            <w:pPr>
              <w:pStyle w:val="TableParagraph"/>
              <w:tabs>
                <w:tab w:pos="2314" w:val="left" w:leader="none"/>
              </w:tabs>
              <w:ind w:left="105"/>
              <w:rPr>
                <w:sz w:val="21"/>
              </w:rPr>
            </w:pPr>
            <w:r>
              <w:rPr>
                <w:sz w:val="21"/>
              </w:rPr>
              <w:t>200</w:t>
            </w:r>
            <w:r>
              <w:rPr>
                <w:spacing w:val="-52"/>
                <w:sz w:val="21"/>
              </w:rPr>
              <w:t> </w:t>
            </w:r>
            <w:r>
              <w:rPr>
                <w:spacing w:val="-3"/>
                <w:sz w:val="21"/>
              </w:rPr>
              <w:t>万</w:t>
            </w:r>
            <w:r>
              <w:rPr>
                <w:sz w:val="21"/>
              </w:rPr>
              <w:t>≤M＜500</w:t>
            </w:r>
            <w:r>
              <w:rPr>
                <w:spacing w:val="-54"/>
                <w:sz w:val="21"/>
              </w:rPr>
              <w:t> </w:t>
            </w:r>
            <w:r>
              <w:rPr>
                <w:sz w:val="21"/>
              </w:rPr>
              <w:t>万</w:t>
              <w:tab/>
              <w:t>0.6%</w:t>
            </w:r>
          </w:p>
          <w:p>
            <w:pPr>
              <w:pStyle w:val="TableParagraph"/>
              <w:spacing w:before="7"/>
              <w:rPr>
                <w:b/>
                <w:sz w:val="15"/>
              </w:rPr>
            </w:pPr>
          </w:p>
          <w:p>
            <w:pPr>
              <w:pStyle w:val="TableParagraph"/>
              <w:tabs>
                <w:tab w:pos="1524" w:val="left" w:leader="none"/>
              </w:tabs>
              <w:ind w:left="105"/>
              <w:rPr>
                <w:sz w:val="21"/>
              </w:rPr>
            </w:pPr>
            <w:r>
              <w:rPr>
                <w:sz w:val="21"/>
              </w:rPr>
              <w:t>M≥500</w:t>
            </w:r>
            <w:r>
              <w:rPr>
                <w:spacing w:val="-52"/>
                <w:sz w:val="21"/>
              </w:rPr>
              <w:t> </w:t>
            </w:r>
            <w:r>
              <w:rPr>
                <w:sz w:val="21"/>
              </w:rPr>
              <w:t>万</w:t>
              <w:tab/>
              <w:t>按</w:t>
            </w:r>
            <w:r>
              <w:rPr>
                <w:spacing w:val="-3"/>
                <w:sz w:val="21"/>
              </w:rPr>
              <w:t>笔</w:t>
            </w:r>
            <w:r>
              <w:rPr>
                <w:sz w:val="21"/>
              </w:rPr>
              <w:t>收</w:t>
            </w:r>
            <w:r>
              <w:rPr>
                <w:spacing w:val="-3"/>
                <w:sz w:val="21"/>
              </w:rPr>
              <w:t>取</w:t>
            </w:r>
            <w:r>
              <w:rPr>
                <w:sz w:val="21"/>
              </w:rPr>
              <w:t>,500</w:t>
            </w:r>
            <w:r>
              <w:rPr>
                <w:spacing w:val="-52"/>
                <w:sz w:val="21"/>
              </w:rPr>
              <w:t> </w:t>
            </w:r>
            <w:r>
              <w:rPr>
                <w:spacing w:val="-3"/>
                <w:sz w:val="21"/>
              </w:rPr>
              <w:t>元</w:t>
            </w:r>
            <w:r>
              <w:rPr>
                <w:sz w:val="21"/>
              </w:rPr>
              <w:t>/笔</w:t>
            </w:r>
          </w:p>
        </w:tc>
        <w:tc>
          <w:tcPr>
            <w:tcW w:w="3480" w:type="dxa"/>
          </w:tcPr>
          <w:p>
            <w:pPr>
              <w:pStyle w:val="TableParagraph"/>
              <w:tabs>
                <w:tab w:pos="2838" w:val="left" w:leader="none"/>
              </w:tabs>
              <w:spacing w:before="99"/>
              <w:ind w:left="106"/>
              <w:rPr>
                <w:rFonts w:ascii="Times New Roman" w:eastAsia="Times New Roman"/>
                <w:sz w:val="21"/>
              </w:rPr>
            </w:pPr>
            <w:r>
              <w:rPr>
                <w:rFonts w:ascii="Times New Roman" w:eastAsia="Times New Roman"/>
                <w:sz w:val="21"/>
              </w:rPr>
              <w:t>7</w:t>
            </w:r>
            <w:r>
              <w:rPr>
                <w:rFonts w:ascii="Times New Roman" w:eastAsia="Times New Roman"/>
                <w:spacing w:val="1"/>
                <w:sz w:val="21"/>
              </w:rPr>
              <w:t> </w:t>
            </w:r>
            <w:r>
              <w:rPr>
                <w:sz w:val="21"/>
              </w:rPr>
              <w:t>天</w:t>
            </w:r>
            <w:r>
              <w:rPr>
                <w:spacing w:val="-3"/>
                <w:sz w:val="21"/>
              </w:rPr>
              <w:t>以</w:t>
            </w:r>
            <w:r>
              <w:rPr>
                <w:sz w:val="21"/>
              </w:rPr>
              <w:t>上</w:t>
            </w:r>
            <w:r>
              <w:rPr>
                <w:spacing w:val="-3"/>
                <w:sz w:val="21"/>
              </w:rPr>
              <w:t>（</w:t>
            </w:r>
            <w:r>
              <w:rPr>
                <w:sz w:val="21"/>
              </w:rPr>
              <w:t>含）－</w:t>
            </w:r>
            <w:r>
              <w:rPr>
                <w:rFonts w:ascii="Times New Roman" w:eastAsia="Times New Roman"/>
                <w:sz w:val="21"/>
              </w:rPr>
              <w:t>1 </w:t>
            </w:r>
            <w:r>
              <w:rPr>
                <w:sz w:val="21"/>
              </w:rPr>
              <w:t>年</w:t>
            </w:r>
            <w:r>
              <w:rPr>
                <w:spacing w:val="-3"/>
                <w:sz w:val="21"/>
              </w:rPr>
              <w:t>以</w:t>
            </w:r>
            <w:r>
              <w:rPr>
                <w:sz w:val="21"/>
              </w:rPr>
              <w:t>内</w:t>
              <w:tab/>
            </w:r>
            <w:r>
              <w:rPr>
                <w:rFonts w:ascii="Times New Roman" w:eastAsia="Times New Roman"/>
                <w:sz w:val="21"/>
              </w:rPr>
              <w:t>0.4%</w:t>
            </w:r>
          </w:p>
          <w:p>
            <w:pPr>
              <w:pStyle w:val="TableParagraph"/>
              <w:spacing w:before="7"/>
              <w:rPr>
                <w:b/>
                <w:sz w:val="15"/>
              </w:rPr>
            </w:pPr>
          </w:p>
          <w:p>
            <w:pPr>
              <w:pStyle w:val="TableParagraph"/>
              <w:tabs>
                <w:tab w:pos="2312" w:val="left" w:leader="none"/>
              </w:tabs>
              <w:ind w:left="106"/>
              <w:rPr>
                <w:rFonts w:ascii="Times New Roman" w:eastAsia="Times New Roman"/>
                <w:sz w:val="21"/>
              </w:rPr>
            </w:pPr>
            <w:r>
              <w:rPr>
                <w:rFonts w:ascii="Times New Roman" w:eastAsia="Times New Roman"/>
                <w:sz w:val="21"/>
              </w:rPr>
              <w:t>1</w:t>
            </w:r>
            <w:r>
              <w:rPr>
                <w:rFonts w:ascii="Times New Roman" w:eastAsia="Times New Roman"/>
                <w:spacing w:val="1"/>
                <w:sz w:val="21"/>
              </w:rPr>
              <w:t> </w:t>
            </w:r>
            <w:r>
              <w:rPr>
                <w:sz w:val="21"/>
              </w:rPr>
              <w:t>年</w:t>
            </w:r>
            <w:r>
              <w:rPr>
                <w:spacing w:val="-3"/>
                <w:sz w:val="21"/>
              </w:rPr>
              <w:t>以</w:t>
            </w:r>
            <w:r>
              <w:rPr>
                <w:sz w:val="21"/>
              </w:rPr>
              <w:t>上</w:t>
            </w:r>
            <w:r>
              <w:rPr>
                <w:spacing w:val="-3"/>
                <w:sz w:val="21"/>
              </w:rPr>
              <w:t>（</w:t>
            </w:r>
            <w:r>
              <w:rPr>
                <w:sz w:val="21"/>
              </w:rPr>
              <w:t>含）－</w:t>
            </w:r>
            <w:r>
              <w:rPr>
                <w:rFonts w:ascii="Times New Roman" w:eastAsia="Times New Roman"/>
                <w:sz w:val="21"/>
              </w:rPr>
              <w:t>2</w:t>
            </w:r>
            <w:r>
              <w:rPr>
                <w:rFonts w:ascii="Times New Roman" w:eastAsia="Times New Roman"/>
                <w:spacing w:val="-1"/>
                <w:sz w:val="21"/>
              </w:rPr>
              <w:t> </w:t>
            </w:r>
            <w:r>
              <w:rPr>
                <w:sz w:val="21"/>
              </w:rPr>
              <w:t>年</w:t>
              <w:tab/>
            </w:r>
            <w:r>
              <w:rPr>
                <w:rFonts w:ascii="Times New Roman" w:eastAsia="Times New Roman"/>
                <w:sz w:val="21"/>
              </w:rPr>
              <w:t>0.25%</w:t>
            </w:r>
          </w:p>
          <w:p>
            <w:pPr>
              <w:pStyle w:val="TableParagraph"/>
              <w:spacing w:before="7"/>
              <w:rPr>
                <w:b/>
                <w:sz w:val="15"/>
              </w:rPr>
            </w:pPr>
          </w:p>
          <w:p>
            <w:pPr>
              <w:pStyle w:val="TableParagraph"/>
              <w:ind w:left="106"/>
              <w:rPr>
                <w:rFonts w:ascii="Times New Roman" w:eastAsia="Times New Roman"/>
                <w:sz w:val="21"/>
              </w:rPr>
            </w:pPr>
            <w:r>
              <w:rPr>
                <w:rFonts w:ascii="Times New Roman" w:eastAsia="Times New Roman"/>
                <w:sz w:val="21"/>
              </w:rPr>
              <w:t>2 </w:t>
            </w:r>
            <w:r>
              <w:rPr>
                <w:sz w:val="21"/>
              </w:rPr>
              <w:t>年以上（含） </w:t>
            </w:r>
            <w:r>
              <w:rPr>
                <w:rFonts w:ascii="Times New Roman" w:eastAsia="Times New Roman"/>
                <w:sz w:val="21"/>
              </w:rPr>
              <w:t>0</w:t>
            </w:r>
          </w:p>
        </w:tc>
      </w:tr>
    </w:tbl>
    <w:p>
      <w:pPr>
        <w:pStyle w:val="BodyText"/>
        <w:spacing w:before="99"/>
        <w:ind w:left="1078"/>
        <w:jc w:val="both"/>
      </w:pPr>
      <w:r>
        <w:rPr>
          <w:rFonts w:ascii="Times New Roman" w:eastAsia="Times New Roman"/>
        </w:rPr>
        <w:t>M </w:t>
      </w:r>
      <w:r>
        <w:rPr/>
        <w:t>表示申购金额。</w:t>
      </w:r>
    </w:p>
    <w:p>
      <w:pPr>
        <w:pStyle w:val="BodyText"/>
        <w:spacing w:before="7"/>
        <w:rPr>
          <w:sz w:val="15"/>
        </w:rPr>
      </w:pPr>
    </w:p>
    <w:p>
      <w:pPr>
        <w:pStyle w:val="BodyText"/>
        <w:spacing w:line="417" w:lineRule="auto"/>
        <w:ind w:left="658" w:right="1309" w:firstLine="419"/>
        <w:jc w:val="both"/>
      </w:pPr>
      <w:r>
        <w:rPr/>
        <w:t>1</w:t>
      </w:r>
      <w:r>
        <w:rPr>
          <w:spacing w:val="-4"/>
        </w:rPr>
        <w:t>、本系列基金中优选混合基金、动力平衡基金对于持续持有期少于 </w:t>
      </w:r>
      <w:r>
        <w:rPr>
          <w:rFonts w:ascii="Times New Roman" w:eastAsia="Times New Roman"/>
        </w:rPr>
        <w:t>7 </w:t>
      </w:r>
      <w:r>
        <w:rPr>
          <w:spacing w:val="-3"/>
        </w:rPr>
        <w:t>日的投资者，将</w:t>
      </w:r>
      <w:r>
        <w:rPr>
          <w:spacing w:val="-7"/>
        </w:rPr>
        <w:t>收取不低于 </w:t>
      </w:r>
      <w:r>
        <w:rPr>
          <w:rFonts w:ascii="Times New Roman" w:eastAsia="Times New Roman"/>
        </w:rPr>
        <w:t>1.5%</w:t>
      </w:r>
      <w:r>
        <w:rPr>
          <w:spacing w:val="-4"/>
        </w:rPr>
        <w:t>的赎回费并全额计入对应基金的基金财产，对于持续持有期不少于 </w:t>
      </w:r>
      <w:r>
        <w:rPr>
          <w:rFonts w:ascii="Times New Roman" w:eastAsia="Times New Roman"/>
        </w:rPr>
        <w:t>7 </w:t>
      </w:r>
      <w:r>
        <w:rPr>
          <w:spacing w:val="-3"/>
        </w:rPr>
        <w:t>日的投资者，赎回费的 </w:t>
      </w:r>
      <w:r>
        <w:rPr>
          <w:rFonts w:ascii="Times New Roman" w:eastAsia="Times New Roman"/>
        </w:rPr>
        <w:t>25%</w:t>
      </w:r>
      <w:r>
        <w:rPr>
          <w:spacing w:val="-3"/>
        </w:rPr>
        <w:t>归入基金财产，其余作为注册登记费及其他基本手续费。</w:t>
      </w:r>
    </w:p>
    <w:p>
      <w:pPr>
        <w:pStyle w:val="BodyText"/>
        <w:ind w:left="1078"/>
        <w:jc w:val="both"/>
      </w:pPr>
      <w:r>
        <w:rPr>
          <w:rFonts w:ascii="Times New Roman" w:eastAsia="Times New Roman"/>
        </w:rPr>
        <w:t>2</w:t>
      </w:r>
      <w:r>
        <w:rPr/>
        <w:t>、就赎回费而言，1 年指 365 天，2 年指 730 天。</w:t>
      </w:r>
    </w:p>
    <w:p>
      <w:pPr>
        <w:pStyle w:val="BodyText"/>
        <w:spacing w:before="7"/>
        <w:rPr>
          <w:sz w:val="15"/>
        </w:rPr>
      </w:pPr>
    </w:p>
    <w:p>
      <w:pPr>
        <w:pStyle w:val="BodyText"/>
        <w:ind w:left="1078"/>
      </w:pPr>
      <w:r>
        <w:rPr/>
        <w:t>3、货币基金在一般情况下不收取申购费用和赎回费用，但出现以下情形之一：</w:t>
      </w:r>
    </w:p>
    <w:p>
      <w:pPr>
        <w:pStyle w:val="BodyText"/>
        <w:spacing w:before="6"/>
        <w:rPr>
          <w:sz w:val="15"/>
        </w:rPr>
      </w:pPr>
    </w:p>
    <w:p>
      <w:pPr>
        <w:pStyle w:val="ListParagraph"/>
        <w:numPr>
          <w:ilvl w:val="1"/>
          <w:numId w:val="13"/>
        </w:numPr>
        <w:tabs>
          <w:tab w:pos="1607" w:val="left" w:leader="none"/>
        </w:tabs>
        <w:spacing w:line="417" w:lineRule="auto" w:before="1" w:after="0"/>
        <w:ind w:left="658" w:right="1308" w:firstLine="419"/>
        <w:jc w:val="both"/>
        <w:rPr>
          <w:sz w:val="21"/>
        </w:rPr>
      </w:pPr>
      <w:r>
        <w:rPr>
          <w:spacing w:val="-3"/>
          <w:sz w:val="21"/>
        </w:rPr>
        <w:t>在满足相关流动性风险管理要求的前提下，当货币基金持有的现金、国债、中央</w:t>
      </w:r>
      <w:r>
        <w:rPr>
          <w:spacing w:val="-14"/>
          <w:sz w:val="21"/>
        </w:rPr>
        <w:t>银行票据、政策性金融债券以及 </w:t>
      </w:r>
      <w:r>
        <w:rPr>
          <w:rFonts w:ascii="Times New Roman" w:eastAsia="Times New Roman"/>
          <w:sz w:val="21"/>
        </w:rPr>
        <w:t>5</w:t>
      </w:r>
      <w:r>
        <w:rPr>
          <w:rFonts w:ascii="Times New Roman" w:eastAsia="Times New Roman"/>
          <w:spacing w:val="16"/>
          <w:sz w:val="21"/>
        </w:rPr>
        <w:t> </w:t>
      </w:r>
      <w:r>
        <w:rPr>
          <w:spacing w:val="-3"/>
          <w:sz w:val="21"/>
        </w:rPr>
        <w:t>个交易日内到期的其他金融工具占基金资产净值的比例合</w:t>
      </w:r>
      <w:r>
        <w:rPr>
          <w:spacing w:val="-15"/>
          <w:sz w:val="21"/>
        </w:rPr>
        <w:t>计低于 </w:t>
      </w:r>
      <w:r>
        <w:rPr>
          <w:rFonts w:ascii="Times New Roman" w:eastAsia="Times New Roman"/>
          <w:sz w:val="21"/>
        </w:rPr>
        <w:t>5%</w:t>
      </w:r>
      <w:r>
        <w:rPr>
          <w:spacing w:val="-3"/>
          <w:sz w:val="21"/>
        </w:rPr>
        <w:t>且偏离度为负时；</w:t>
      </w:r>
    </w:p>
    <w:p>
      <w:pPr>
        <w:pStyle w:val="ListParagraph"/>
        <w:numPr>
          <w:ilvl w:val="1"/>
          <w:numId w:val="13"/>
        </w:numPr>
        <w:tabs>
          <w:tab w:pos="1607" w:val="left" w:leader="none"/>
        </w:tabs>
        <w:spacing w:line="417" w:lineRule="auto" w:before="0" w:after="0"/>
        <w:ind w:left="658" w:right="1308" w:firstLine="419"/>
        <w:jc w:val="both"/>
        <w:rPr>
          <w:sz w:val="21"/>
        </w:rPr>
      </w:pPr>
      <w:r>
        <w:rPr>
          <w:spacing w:val="-4"/>
          <w:sz w:val="21"/>
        </w:rPr>
        <w:t>当货币基金前 </w:t>
      </w:r>
      <w:r>
        <w:rPr>
          <w:rFonts w:ascii="Times New Roman" w:eastAsia="Times New Roman"/>
          <w:sz w:val="21"/>
        </w:rPr>
        <w:t>10</w:t>
      </w:r>
      <w:r>
        <w:rPr>
          <w:rFonts w:ascii="Times New Roman" w:eastAsia="Times New Roman"/>
          <w:spacing w:val="45"/>
          <w:sz w:val="21"/>
        </w:rPr>
        <w:t> </w:t>
      </w:r>
      <w:r>
        <w:rPr>
          <w:spacing w:val="-4"/>
          <w:sz w:val="21"/>
        </w:rPr>
        <w:t>名基金份额持有人的持有份额合计超过基金总份额 </w:t>
      </w:r>
      <w:r>
        <w:rPr>
          <w:rFonts w:ascii="Times New Roman" w:eastAsia="Times New Roman"/>
          <w:sz w:val="21"/>
        </w:rPr>
        <w:t>50%</w:t>
      </w:r>
      <w:r>
        <w:rPr>
          <w:spacing w:val="-2"/>
          <w:sz w:val="21"/>
        </w:rPr>
        <w:t>，且货</w:t>
      </w:r>
      <w:r>
        <w:rPr>
          <w:spacing w:val="-11"/>
          <w:sz w:val="21"/>
        </w:rPr>
        <w:t>币基金投资组合中现金、国债、中央银行票据、政策性金融债券以及 </w:t>
      </w:r>
      <w:r>
        <w:rPr>
          <w:rFonts w:ascii="Times New Roman" w:eastAsia="Times New Roman"/>
          <w:sz w:val="21"/>
        </w:rPr>
        <w:t>5</w:t>
      </w:r>
      <w:r>
        <w:rPr>
          <w:rFonts w:ascii="Times New Roman" w:eastAsia="Times New Roman"/>
          <w:spacing w:val="16"/>
          <w:sz w:val="21"/>
        </w:rPr>
        <w:t> </w:t>
      </w:r>
      <w:r>
        <w:rPr>
          <w:spacing w:val="-3"/>
          <w:sz w:val="21"/>
        </w:rPr>
        <w:t>个交易日内到期的其</w:t>
      </w:r>
      <w:r>
        <w:rPr>
          <w:spacing w:val="-6"/>
          <w:sz w:val="21"/>
        </w:rPr>
        <w:t>他金融工具占基金资产净值的比例合计低于 </w:t>
      </w:r>
      <w:r>
        <w:rPr>
          <w:rFonts w:ascii="Times New Roman" w:eastAsia="Times New Roman"/>
          <w:sz w:val="21"/>
        </w:rPr>
        <w:t>10%</w:t>
      </w:r>
      <w:r>
        <w:rPr>
          <w:spacing w:val="-3"/>
          <w:sz w:val="21"/>
        </w:rPr>
        <w:t>且偏离度为负时；</w:t>
      </w:r>
    </w:p>
    <w:p>
      <w:pPr>
        <w:pStyle w:val="BodyText"/>
        <w:ind w:left="1078"/>
      </w:pPr>
      <w:r>
        <w:rPr/>
        <w:t>为确保货币基金平稳运作，避免诱发系统性风险，对当日单个基金份额持有人申请赎回</w:t>
      </w:r>
    </w:p>
    <w:p>
      <w:pPr>
        <w:pStyle w:val="BodyText"/>
        <w:spacing w:before="6"/>
        <w:rPr>
          <w:sz w:val="15"/>
        </w:rPr>
      </w:pPr>
    </w:p>
    <w:p>
      <w:pPr>
        <w:pStyle w:val="BodyText"/>
        <w:spacing w:line="417" w:lineRule="auto"/>
        <w:ind w:left="658" w:right="1308"/>
        <w:jc w:val="both"/>
      </w:pPr>
      <w:r>
        <w:rPr/>
        <w:t>（</w:t>
      </w:r>
      <w:r>
        <w:rPr>
          <w:spacing w:val="-3"/>
        </w:rPr>
        <w:t>含转换出</w:t>
      </w:r>
      <w:r>
        <w:rPr/>
        <w:t>）</w:t>
      </w:r>
      <w:r>
        <w:rPr>
          <w:spacing w:val="-5"/>
        </w:rPr>
        <w:t>基金份额超过基金总份额的 </w:t>
      </w:r>
      <w:r>
        <w:rPr>
          <w:rFonts w:ascii="Times New Roman" w:eastAsia="Times New Roman"/>
        </w:rPr>
        <w:t>1%</w:t>
      </w:r>
      <w:r>
        <w:rPr>
          <w:spacing w:val="-3"/>
        </w:rPr>
        <w:t>以上的赎回</w:t>
      </w:r>
      <w:r>
        <w:rPr/>
        <w:t>（</w:t>
      </w:r>
      <w:r>
        <w:rPr>
          <w:spacing w:val="-3"/>
        </w:rPr>
        <w:t>含转换出）</w:t>
      </w:r>
      <w:r>
        <w:rPr>
          <w:spacing w:val="-2"/>
        </w:rPr>
        <w:t>申请</w:t>
      </w:r>
      <w:r>
        <w:rPr>
          <w:spacing w:val="-3"/>
        </w:rPr>
        <w:t>（</w:t>
      </w:r>
      <w:r>
        <w:rPr>
          <w:spacing w:val="-2"/>
        </w:rPr>
        <w:t>超过基金总份</w:t>
      </w:r>
      <w:r>
        <w:rPr>
          <w:spacing w:val="4"/>
        </w:rPr>
        <w:t>额 </w:t>
      </w:r>
      <w:r>
        <w:rPr>
          <w:rFonts w:ascii="Times New Roman" w:eastAsia="Times New Roman"/>
        </w:rPr>
        <w:t>1%</w:t>
      </w:r>
      <w:r>
        <w:rPr>
          <w:spacing w:val="-3"/>
        </w:rPr>
        <w:t>以上的部分</w:t>
      </w:r>
      <w:r>
        <w:rPr/>
        <w:t>）</w:t>
      </w:r>
      <w:r>
        <w:rPr>
          <w:spacing w:val="1"/>
        </w:rPr>
        <w:t>征收 </w:t>
      </w:r>
      <w:r>
        <w:rPr>
          <w:rFonts w:ascii="Times New Roman" w:eastAsia="Times New Roman"/>
        </w:rPr>
        <w:t>1%</w:t>
      </w:r>
      <w:r>
        <w:rPr>
          <w:spacing w:val="-3"/>
        </w:rPr>
        <w:t>的强制赎回费用，并将上述赎回费用全额计入货币基金的基金资产。基金管理人与基金托管人协商确认上述做法无益于基金利益最大化的情形除外。</w:t>
      </w:r>
    </w:p>
    <w:p>
      <w:pPr>
        <w:pStyle w:val="BodyText"/>
        <w:spacing w:line="417" w:lineRule="auto"/>
        <w:ind w:left="658" w:right="1308" w:firstLine="419"/>
        <w:jc w:val="both"/>
      </w:pPr>
      <w:r>
        <w:rPr>
          <w:rFonts w:ascii="Times New Roman" w:eastAsia="Times New Roman"/>
        </w:rPr>
        <w:t>4</w:t>
      </w:r>
      <w:r>
        <w:rPr>
          <w:spacing w:val="-3"/>
        </w:rPr>
        <w:t>、当优选混合基金、动力平衡基金发生大额申购或赎回情形时，在履行适当程序后， </w:t>
      </w:r>
      <w:r>
        <w:rPr>
          <w:spacing w:val="-8"/>
        </w:rPr>
        <w:t>基金管理人可以采用摆动定价机制，以确保基金估值的公平性。具体处理原则与操作规范遵</w:t>
      </w:r>
      <w:r>
        <w:rPr>
          <w:spacing w:val="-5"/>
        </w:rPr>
        <w:t>循相关法律法规以及监管部门、自律组织的规定。</w:t>
      </w:r>
    </w:p>
    <w:p>
      <w:pPr>
        <w:pStyle w:val="BodyText"/>
        <w:rPr>
          <w:sz w:val="20"/>
        </w:rPr>
      </w:pPr>
    </w:p>
    <w:p>
      <w:pPr>
        <w:pStyle w:val="BodyText"/>
        <w:spacing w:before="6"/>
        <w:rPr>
          <w:sz w:val="16"/>
        </w:rPr>
      </w:pPr>
    </w:p>
    <w:p>
      <w:pPr>
        <w:spacing w:line="417" w:lineRule="auto" w:before="0"/>
        <w:ind w:left="1078" w:right="5949" w:hanging="420"/>
        <w:jc w:val="left"/>
        <w:rPr>
          <w:sz w:val="21"/>
        </w:rPr>
      </w:pPr>
      <w:r>
        <w:rPr>
          <w:b/>
          <w:sz w:val="21"/>
        </w:rPr>
        <w:t>（八）</w:t>
      </w:r>
      <w:r>
        <w:rPr>
          <w:b/>
          <w:spacing w:val="-2"/>
          <w:sz w:val="21"/>
        </w:rPr>
        <w:t>申购份额、赎回金额的计算方式 </w:t>
      </w:r>
      <w:r>
        <w:rPr>
          <w:spacing w:val="-2"/>
          <w:sz w:val="21"/>
        </w:rPr>
        <w:t>1</w:t>
      </w:r>
      <w:r>
        <w:rPr>
          <w:spacing w:val="-4"/>
          <w:sz w:val="21"/>
        </w:rPr>
        <w:t>、基金申购费用及申购份额的计算</w:t>
      </w:r>
    </w:p>
    <w:p>
      <w:pPr>
        <w:pStyle w:val="BodyText"/>
        <w:spacing w:line="269" w:lineRule="exact"/>
        <w:ind w:left="1078"/>
      </w:pPr>
      <w:r>
        <w:rPr/>
        <w:t>本基金的申购费用及申购份额的计算公式如下：</w:t>
      </w:r>
    </w:p>
    <w:p>
      <w:pPr>
        <w:pStyle w:val="BodyText"/>
        <w:spacing w:before="7"/>
        <w:rPr>
          <w:sz w:val="15"/>
        </w:rPr>
      </w:pPr>
    </w:p>
    <w:p>
      <w:pPr>
        <w:pStyle w:val="BodyText"/>
        <w:spacing w:line="417" w:lineRule="auto"/>
        <w:ind w:left="1078" w:right="4372"/>
      </w:pPr>
      <w:r>
        <w:rPr>
          <w:spacing w:val="-4"/>
        </w:rPr>
        <w:t>基金的申购金额包括申购费用和净申购金额，其中： </w:t>
      </w:r>
      <w:r>
        <w:rPr>
          <w:spacing w:val="-3"/>
          <w:w w:val="100"/>
        </w:rPr>
        <w:t>净申购金额=申购金额</w:t>
      </w:r>
      <w:r>
        <w:rPr>
          <w:w w:val="100"/>
        </w:rPr>
        <w:t>/</w:t>
      </w:r>
      <w:r>
        <w:rPr>
          <w:spacing w:val="-3"/>
          <w:w w:val="100"/>
        </w:rPr>
        <w:t>（1</w:t>
      </w:r>
      <w:r>
        <w:rPr>
          <w:spacing w:val="-1"/>
          <w:w w:val="100"/>
        </w:rPr>
        <w:t>+申购费率</w:t>
      </w:r>
      <w:r>
        <w:rPr>
          <w:spacing w:val="-108"/>
          <w:w w:val="100"/>
        </w:rPr>
        <w:t>）</w:t>
      </w:r>
      <w:r>
        <w:rPr>
          <w:w w:val="100"/>
        </w:rPr>
        <w:t>；</w:t>
      </w:r>
    </w:p>
    <w:p>
      <w:pPr>
        <w:spacing w:after="0" w:line="417" w:lineRule="auto"/>
        <w:sectPr>
          <w:pgSz w:w="11910" w:h="16840"/>
          <w:pgMar w:header="852" w:footer="992" w:top="1220" w:bottom="1180" w:left="1140" w:right="480"/>
        </w:sectPr>
      </w:pPr>
    </w:p>
    <w:p>
      <w:pPr>
        <w:pStyle w:val="BodyText"/>
        <w:spacing w:before="1"/>
        <w:rPr>
          <w:sz w:val="19"/>
        </w:rPr>
      </w:pPr>
    </w:p>
    <w:p>
      <w:pPr>
        <w:pStyle w:val="BodyText"/>
        <w:spacing w:before="71"/>
        <w:ind w:left="1078"/>
      </w:pPr>
      <w:r>
        <w:rPr/>
        <w:t>申购费用=申购金额-净申购金额；</w:t>
      </w:r>
    </w:p>
    <w:p>
      <w:pPr>
        <w:pStyle w:val="BodyText"/>
        <w:spacing w:before="7"/>
        <w:rPr>
          <w:sz w:val="15"/>
        </w:rPr>
      </w:pPr>
    </w:p>
    <w:p>
      <w:pPr>
        <w:pStyle w:val="BodyText"/>
        <w:ind w:left="1078"/>
      </w:pPr>
      <w:r>
        <w:rPr/>
        <w:t>申购份额=净申购金额/T 日基金份额净值。</w:t>
      </w:r>
    </w:p>
    <w:p>
      <w:pPr>
        <w:pStyle w:val="BodyText"/>
        <w:spacing w:before="7"/>
        <w:rPr>
          <w:sz w:val="15"/>
        </w:rPr>
      </w:pPr>
    </w:p>
    <w:p>
      <w:pPr>
        <w:pStyle w:val="BodyText"/>
        <w:ind w:left="1078"/>
      </w:pPr>
      <w:r>
        <w:rPr/>
        <w:t>基金申购份额保留到小数点后两位，舍去部分所代表的资产归基金所有。</w:t>
      </w:r>
    </w:p>
    <w:p>
      <w:pPr>
        <w:pStyle w:val="BodyText"/>
        <w:spacing w:before="6"/>
        <w:rPr>
          <w:sz w:val="15"/>
        </w:rPr>
      </w:pPr>
    </w:p>
    <w:p>
      <w:pPr>
        <w:pStyle w:val="BodyText"/>
        <w:spacing w:line="417" w:lineRule="auto" w:before="1"/>
        <w:ind w:left="658" w:right="1231" w:firstLine="419"/>
      </w:pPr>
      <w:r>
        <w:rPr/>
        <w:t>例：某投资者投资 5,000 元申购动力平衡基金，申购费率为 1.5%，假设申购当日基金份额净值为 1.1283 元，则其可得到的申购份额为：</w:t>
      </w:r>
    </w:p>
    <w:p>
      <w:pPr>
        <w:pStyle w:val="BodyText"/>
        <w:spacing w:line="417" w:lineRule="auto"/>
        <w:ind w:left="1078" w:right="5100"/>
      </w:pPr>
      <w:r>
        <w:rPr/>
        <w:t>净申购金额=5000/（1+1.5%）=4926.11 元； 申购费用=5000-4926.11=73.89 元；</w:t>
      </w:r>
    </w:p>
    <w:p>
      <w:pPr>
        <w:pStyle w:val="BodyText"/>
        <w:ind w:left="1078"/>
      </w:pPr>
      <w:r>
        <w:rPr/>
        <w:t>申购份额=4926.11/1.1283=4365.95 份</w:t>
      </w:r>
    </w:p>
    <w:p>
      <w:pPr>
        <w:pStyle w:val="BodyText"/>
        <w:rPr>
          <w:sz w:val="20"/>
        </w:rPr>
      </w:pPr>
    </w:p>
    <w:p>
      <w:pPr>
        <w:pStyle w:val="BodyText"/>
        <w:rPr>
          <w:sz w:val="20"/>
        </w:rPr>
      </w:pPr>
    </w:p>
    <w:p>
      <w:pPr>
        <w:pStyle w:val="BodyText"/>
        <w:spacing w:before="154"/>
        <w:ind w:left="1078"/>
      </w:pPr>
      <w:r>
        <w:rPr/>
        <w:t>2、基金赎回金额的计算</w:t>
      </w:r>
    </w:p>
    <w:p>
      <w:pPr>
        <w:pStyle w:val="BodyText"/>
        <w:spacing w:before="6"/>
        <w:rPr>
          <w:sz w:val="15"/>
        </w:rPr>
      </w:pPr>
    </w:p>
    <w:p>
      <w:pPr>
        <w:pStyle w:val="BodyText"/>
        <w:tabs>
          <w:tab w:pos="2340" w:val="left" w:leader="none"/>
        </w:tabs>
        <w:spacing w:line="417" w:lineRule="auto" w:before="1"/>
        <w:ind w:left="1078" w:right="4792"/>
      </w:pPr>
      <w:r>
        <w:rPr/>
        <w:t>赎回</w:t>
      </w:r>
      <w:r>
        <w:rPr>
          <w:spacing w:val="-3"/>
        </w:rPr>
        <w:t>总</w:t>
      </w:r>
      <w:r>
        <w:rPr/>
        <w:t>额</w:t>
      </w:r>
      <w:r>
        <w:rPr>
          <w:spacing w:val="2"/>
        </w:rPr>
        <w:t> </w:t>
      </w:r>
      <w:r>
        <w:rPr/>
        <w:t>=</w:t>
        <w:tab/>
      </w:r>
      <w:r>
        <w:rPr>
          <w:spacing w:val="-3"/>
        </w:rPr>
        <w:t>赎</w:t>
      </w:r>
      <w:r>
        <w:rPr/>
        <w:t>回</w:t>
      </w:r>
      <w:r>
        <w:rPr>
          <w:spacing w:val="-3"/>
        </w:rPr>
        <w:t>份</w:t>
      </w:r>
      <w:r>
        <w:rPr/>
        <w:t>额</w:t>
      </w:r>
      <w:r>
        <w:rPr>
          <w:spacing w:val="-3"/>
        </w:rPr>
        <w:t>×</w:t>
      </w:r>
      <w:r>
        <w:rPr/>
        <w:t>赎回</w:t>
      </w:r>
      <w:r>
        <w:rPr>
          <w:spacing w:val="-3"/>
        </w:rPr>
        <w:t>当</w:t>
      </w:r>
      <w:r>
        <w:rPr/>
        <w:t>日</w:t>
      </w:r>
      <w:r>
        <w:rPr>
          <w:spacing w:val="-3"/>
        </w:rPr>
        <w:t>基</w:t>
      </w:r>
      <w:r>
        <w:rPr/>
        <w:t>金</w:t>
      </w:r>
      <w:r>
        <w:rPr>
          <w:spacing w:val="-3"/>
        </w:rPr>
        <w:t>份</w:t>
      </w:r>
      <w:r>
        <w:rPr/>
        <w:t>额</w:t>
      </w:r>
      <w:r>
        <w:rPr>
          <w:spacing w:val="-3"/>
        </w:rPr>
        <w:t>净</w:t>
      </w:r>
      <w:r>
        <w:rPr>
          <w:spacing w:val="-13"/>
        </w:rPr>
        <w:t>值</w:t>
      </w:r>
      <w:r>
        <w:rPr/>
        <w:t>赎回</w:t>
      </w:r>
      <w:r>
        <w:rPr>
          <w:spacing w:val="-3"/>
        </w:rPr>
        <w:t>费</w:t>
      </w:r>
      <w:r>
        <w:rPr/>
        <w:t>用</w:t>
      </w:r>
      <w:r>
        <w:rPr>
          <w:spacing w:val="1"/>
        </w:rPr>
        <w:t> </w:t>
      </w:r>
      <w:r>
        <w:rPr/>
        <w:t>=</w:t>
      </w:r>
      <w:r>
        <w:rPr>
          <w:spacing w:val="-1"/>
        </w:rPr>
        <w:t> </w:t>
      </w:r>
      <w:r>
        <w:rPr>
          <w:spacing w:val="-3"/>
        </w:rPr>
        <w:t>赎</w:t>
      </w:r>
      <w:r>
        <w:rPr/>
        <w:t>回</w:t>
      </w:r>
      <w:r>
        <w:rPr>
          <w:spacing w:val="-3"/>
        </w:rPr>
        <w:t>总</w:t>
      </w:r>
      <w:r>
        <w:rPr/>
        <w:t>额</w:t>
      </w:r>
      <w:r>
        <w:rPr>
          <w:spacing w:val="-3"/>
        </w:rPr>
        <w:t>×赎</w:t>
      </w:r>
      <w:r>
        <w:rPr/>
        <w:t>回费率</w:t>
      </w:r>
    </w:p>
    <w:p>
      <w:pPr>
        <w:pStyle w:val="BodyText"/>
        <w:spacing w:line="269" w:lineRule="exact"/>
        <w:ind w:left="1078"/>
      </w:pPr>
      <w:r>
        <w:rPr>
          <w:spacing w:val="-3"/>
        </w:rPr>
        <w:t>赎回金额 = 赎回总额－赎回费用</w:t>
      </w:r>
    </w:p>
    <w:p>
      <w:pPr>
        <w:pStyle w:val="BodyText"/>
        <w:spacing w:before="6"/>
        <w:rPr>
          <w:sz w:val="15"/>
        </w:rPr>
      </w:pPr>
    </w:p>
    <w:p>
      <w:pPr>
        <w:pStyle w:val="BodyText"/>
        <w:spacing w:line="417" w:lineRule="auto"/>
        <w:ind w:left="658" w:right="1230" w:firstLine="419"/>
      </w:pPr>
      <w:r>
        <w:rPr/>
        <w:t>例：某投资者持有优选混合型基金 10,000 份基金份额，赎回费率为 0.4%,假设赎回当日基金份额净值是 1.1489 元，则可得到的赎回金额为：</w:t>
      </w:r>
    </w:p>
    <w:p>
      <w:pPr>
        <w:pStyle w:val="BodyText"/>
        <w:ind w:left="1078"/>
      </w:pPr>
      <w:r>
        <w:rPr/>
        <w:t>赎回总额 = 10,000×1.1489 = 11,489 元</w:t>
      </w:r>
    </w:p>
    <w:p>
      <w:pPr>
        <w:pStyle w:val="BodyText"/>
        <w:spacing w:before="7"/>
        <w:rPr>
          <w:sz w:val="15"/>
        </w:rPr>
      </w:pPr>
    </w:p>
    <w:p>
      <w:pPr>
        <w:pStyle w:val="BodyText"/>
        <w:ind w:left="1078"/>
      </w:pPr>
      <w:r>
        <w:rPr/>
        <w:t>赎回费用 = 11,489×0.4% = 45.96 元</w:t>
      </w:r>
    </w:p>
    <w:p>
      <w:pPr>
        <w:pStyle w:val="BodyText"/>
        <w:spacing w:before="7"/>
        <w:rPr>
          <w:sz w:val="15"/>
        </w:rPr>
      </w:pPr>
    </w:p>
    <w:p>
      <w:pPr>
        <w:pStyle w:val="BodyText"/>
        <w:ind w:left="1078"/>
      </w:pPr>
      <w:r>
        <w:rPr/>
        <w:t>赎回金额 = 11,489-45.96 = 11,443.04 元</w:t>
      </w:r>
    </w:p>
    <w:p>
      <w:pPr>
        <w:pStyle w:val="BodyText"/>
        <w:rPr>
          <w:sz w:val="20"/>
        </w:rPr>
      </w:pPr>
    </w:p>
    <w:p>
      <w:pPr>
        <w:pStyle w:val="BodyText"/>
        <w:rPr>
          <w:sz w:val="20"/>
        </w:rPr>
      </w:pPr>
    </w:p>
    <w:p>
      <w:pPr>
        <w:spacing w:before="154"/>
        <w:ind w:left="658" w:right="0" w:firstLine="0"/>
        <w:jc w:val="left"/>
        <w:rPr>
          <w:b/>
          <w:sz w:val="21"/>
        </w:rPr>
      </w:pPr>
      <w:r>
        <w:rPr>
          <w:b/>
          <w:sz w:val="21"/>
        </w:rPr>
        <w:t>（九）申购、赎回的注册登记</w:t>
      </w:r>
    </w:p>
    <w:p>
      <w:pPr>
        <w:pStyle w:val="BodyText"/>
        <w:spacing w:before="7"/>
        <w:rPr>
          <w:b/>
          <w:sz w:val="15"/>
        </w:rPr>
      </w:pPr>
    </w:p>
    <w:p>
      <w:pPr>
        <w:pStyle w:val="BodyText"/>
        <w:spacing w:line="417" w:lineRule="auto"/>
        <w:ind w:left="658" w:right="1309" w:firstLine="419"/>
      </w:pPr>
      <w:r>
        <w:rPr>
          <w:spacing w:val="-14"/>
        </w:rPr>
        <w:t>投资者申购基金成功后，注册登记人在 </w:t>
      </w:r>
      <w:r>
        <w:rPr/>
        <w:t>T+1</w:t>
      </w:r>
      <w:r>
        <w:rPr>
          <w:spacing w:val="-8"/>
        </w:rPr>
        <w:t> 日自动为投资者登记权益并办理注册登记手</w:t>
      </w:r>
      <w:r>
        <w:rPr>
          <w:spacing w:val="3"/>
        </w:rPr>
        <w:t>续，投资者自</w:t>
      </w:r>
      <w:r>
        <w:rPr/>
        <w:t>T+2</w:t>
      </w:r>
      <w:r>
        <w:rPr>
          <w:spacing w:val="-28"/>
        </w:rPr>
        <w:t> 日</w:t>
      </w:r>
      <w:r>
        <w:rPr/>
        <w:t>（</w:t>
      </w:r>
      <w:r>
        <w:rPr>
          <w:spacing w:val="-2"/>
        </w:rPr>
        <w:t>含该日</w:t>
      </w:r>
      <w:r>
        <w:rPr>
          <w:spacing w:val="-3"/>
        </w:rPr>
        <w:t>）后有权赎回该部分基金。</w:t>
      </w:r>
    </w:p>
    <w:p>
      <w:pPr>
        <w:pStyle w:val="BodyText"/>
        <w:spacing w:line="417" w:lineRule="auto"/>
        <w:ind w:left="658" w:right="1309" w:firstLine="419"/>
      </w:pPr>
      <w:r>
        <w:rPr>
          <w:spacing w:val="-14"/>
        </w:rPr>
        <w:t>投资者赎回基金成功后，注册登记人在 </w:t>
      </w:r>
      <w:r>
        <w:rPr/>
        <w:t>T+1</w:t>
      </w:r>
      <w:r>
        <w:rPr>
          <w:spacing w:val="-8"/>
        </w:rPr>
        <w:t> 日自动为投资者办理扣除权益的注册登记手续。</w:t>
      </w:r>
    </w:p>
    <w:p>
      <w:pPr>
        <w:pStyle w:val="BodyText"/>
        <w:spacing w:line="417" w:lineRule="auto"/>
        <w:ind w:left="658" w:right="1311" w:firstLine="419"/>
      </w:pPr>
      <w:r>
        <w:rPr>
          <w:spacing w:val="-8"/>
        </w:rPr>
        <w:t>基金管理人可以在法律法规允许的范围内，对上述注册登记办理时间进行调整，并应当</w:t>
      </w:r>
      <w:r>
        <w:rPr>
          <w:spacing w:val="-3"/>
        </w:rPr>
        <w:t>依照《信息披露办法》的有关规定在指定媒介上刊登公告。</w:t>
      </w:r>
    </w:p>
    <w:p>
      <w:pPr>
        <w:pStyle w:val="BodyText"/>
        <w:rPr>
          <w:sz w:val="20"/>
        </w:rPr>
      </w:pPr>
    </w:p>
    <w:p>
      <w:pPr>
        <w:pStyle w:val="BodyText"/>
        <w:spacing w:before="6"/>
        <w:rPr>
          <w:sz w:val="16"/>
        </w:rPr>
      </w:pPr>
    </w:p>
    <w:p>
      <w:pPr>
        <w:spacing w:line="417" w:lineRule="auto" w:before="0"/>
        <w:ind w:left="1078" w:right="6885" w:hanging="420"/>
        <w:jc w:val="left"/>
        <w:rPr>
          <w:sz w:val="21"/>
        </w:rPr>
      </w:pPr>
      <w:r>
        <w:rPr>
          <w:b/>
          <w:sz w:val="21"/>
        </w:rPr>
        <w:t>（十）巨额赎回的情形及处理</w:t>
      </w:r>
      <w:r>
        <w:rPr>
          <w:sz w:val="21"/>
        </w:rPr>
        <w:t>1、巨额赎回的认定</w:t>
      </w:r>
    </w:p>
    <w:p>
      <w:pPr>
        <w:pStyle w:val="BodyText"/>
        <w:spacing w:before="1"/>
        <w:ind w:left="1078"/>
      </w:pPr>
      <w:r>
        <w:rPr/>
        <w:t>指在单个开放日内，本系列基金中任一基金净赎回申请份额（该基金赎回申请总份额扣</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9"/>
        <w:jc w:val="both"/>
      </w:pPr>
      <w:r>
        <w:rPr>
          <w:spacing w:val="-3"/>
        </w:rPr>
        <w:t>除申购申请总份额之余额</w:t>
      </w:r>
      <w:r>
        <w:rPr>
          <w:spacing w:val="-44"/>
        </w:rPr>
        <w:t>）</w:t>
      </w:r>
      <w:r>
        <w:rPr>
          <w:spacing w:val="-9"/>
        </w:rPr>
        <w:t>与净转出申请份额</w:t>
      </w:r>
      <w:r>
        <w:rPr/>
        <w:t>（</w:t>
      </w:r>
      <w:r>
        <w:rPr>
          <w:spacing w:val="-3"/>
        </w:rPr>
        <w:t>该基金转出申请总份额扣除转入申请总份额之余额</w:t>
      </w:r>
      <w:r>
        <w:rPr>
          <w:spacing w:val="-20"/>
        </w:rPr>
        <w:t>）</w:t>
      </w:r>
      <w:r>
        <w:rPr>
          <w:spacing w:val="-5"/>
        </w:rPr>
        <w:t>之和超过上一开放日该基金总份额 </w:t>
      </w:r>
      <w:r>
        <w:rPr/>
        <w:t>10</w:t>
      </w:r>
      <w:r>
        <w:rPr>
          <w:spacing w:val="-6"/>
        </w:rPr>
        <w:t>%的情形。针对某只基金的巨额赎回不影响本</w:t>
      </w:r>
      <w:r>
        <w:rPr>
          <w:spacing w:val="-4"/>
        </w:rPr>
        <w:t>系列基金及本系列基金下设的其他基金。</w:t>
      </w:r>
    </w:p>
    <w:p>
      <w:pPr>
        <w:pStyle w:val="BodyText"/>
        <w:spacing w:line="269" w:lineRule="exact"/>
        <w:ind w:left="1078"/>
      </w:pPr>
      <w:r>
        <w:rPr/>
        <w:t>2、巨额赎回的处理</w:t>
      </w:r>
    </w:p>
    <w:p>
      <w:pPr>
        <w:pStyle w:val="BodyText"/>
        <w:spacing w:before="7"/>
        <w:rPr>
          <w:sz w:val="15"/>
        </w:rPr>
      </w:pPr>
    </w:p>
    <w:p>
      <w:pPr>
        <w:pStyle w:val="ListParagraph"/>
        <w:numPr>
          <w:ilvl w:val="0"/>
          <w:numId w:val="14"/>
        </w:numPr>
        <w:tabs>
          <w:tab w:pos="1607" w:val="left" w:leader="none"/>
        </w:tabs>
        <w:spacing w:line="417" w:lineRule="auto" w:before="0" w:after="0"/>
        <w:ind w:left="658" w:right="1309" w:firstLine="419"/>
        <w:jc w:val="left"/>
        <w:rPr>
          <w:sz w:val="21"/>
        </w:rPr>
      </w:pPr>
      <w:r>
        <w:rPr>
          <w:spacing w:val="-3"/>
          <w:sz w:val="21"/>
        </w:rPr>
        <w:t>全额赎回和转换：当基金管理人认为有能力兑付投资者的赎回和基金间转换时， 按正常赎回和转换程序执行。</w:t>
      </w:r>
    </w:p>
    <w:p>
      <w:pPr>
        <w:pStyle w:val="ListParagraph"/>
        <w:numPr>
          <w:ilvl w:val="0"/>
          <w:numId w:val="14"/>
        </w:numPr>
        <w:tabs>
          <w:tab w:pos="1607" w:val="left" w:leader="none"/>
        </w:tabs>
        <w:spacing w:line="417" w:lineRule="auto" w:before="0" w:after="0"/>
        <w:ind w:left="658" w:right="1203" w:firstLine="419"/>
        <w:jc w:val="left"/>
        <w:rPr>
          <w:sz w:val="21"/>
        </w:rPr>
      </w:pPr>
      <w:r>
        <w:rPr>
          <w:spacing w:val="-3"/>
          <w:sz w:val="21"/>
        </w:rPr>
        <w:t>部分延期赎回和转换：当基金管理人认为该基金兑付投资者的全部赎回及转出申</w:t>
      </w:r>
      <w:r>
        <w:rPr>
          <w:spacing w:val="-11"/>
          <w:sz w:val="21"/>
        </w:rPr>
        <w:t>请有困难，或认为为实现投资者的赎回、转出申请进行的资产变现可能使基金份额净值发生</w:t>
      </w:r>
      <w:r>
        <w:rPr>
          <w:spacing w:val="-6"/>
          <w:sz w:val="21"/>
        </w:rPr>
        <w:t>较大波动时，基金管理人在当日接受赎回及转出的比例不低于上一日该基金总份额 </w:t>
      </w:r>
      <w:r>
        <w:rPr>
          <w:sz w:val="21"/>
        </w:rPr>
        <w:t>10％</w:t>
      </w:r>
      <w:r>
        <w:rPr>
          <w:spacing w:val="-3"/>
          <w:sz w:val="21"/>
        </w:rPr>
        <w:t>的</w:t>
      </w:r>
      <w:r>
        <w:rPr>
          <w:spacing w:val="-10"/>
          <w:sz w:val="21"/>
        </w:rPr>
        <w:t>前提下，对其余申请延期办理。对于当日的赎回及转出申请，应当按单个账户赎回或转出申请量占该基金赎回及转出申请总量的比例，确定当日受理的赎回或转出份额；未受理部分除</w:t>
      </w:r>
      <w:r>
        <w:rPr>
          <w:spacing w:val="-8"/>
          <w:sz w:val="21"/>
        </w:rPr>
        <w:t>投资者在提交申请时选择将当日未获受理部分予以撤销者外，延迟至下一开放日办理。转入</w:t>
      </w:r>
      <w:r>
        <w:rPr>
          <w:spacing w:val="-5"/>
          <w:sz w:val="21"/>
        </w:rPr>
        <w:t>下一开放日的申请不享有赎回和转出优先权并将以该开放日的该基金份额净值为基准计算， </w:t>
      </w:r>
      <w:r>
        <w:rPr>
          <w:spacing w:val="-4"/>
          <w:sz w:val="21"/>
        </w:rPr>
        <w:t>以此类推，直到全部完成赎回和转出申请为止。</w:t>
      </w:r>
    </w:p>
    <w:p>
      <w:pPr>
        <w:pStyle w:val="BodyText"/>
        <w:spacing w:line="417" w:lineRule="auto"/>
        <w:ind w:left="658" w:right="1308" w:firstLine="419"/>
        <w:jc w:val="both"/>
      </w:pPr>
      <w:r>
        <w:rPr>
          <w:spacing w:val="-8"/>
        </w:rPr>
        <w:t>当发生上述巨额赎回并部分延期办理时，基金管理人应当通过邮寄、传真或者招募说明</w:t>
      </w:r>
      <w:r>
        <w:rPr>
          <w:spacing w:val="-4"/>
        </w:rPr>
        <w:t>书规定的其他方式在 </w:t>
      </w:r>
      <w:r>
        <w:rPr/>
        <w:t>3</w:t>
      </w:r>
      <w:r>
        <w:rPr>
          <w:spacing w:val="-3"/>
        </w:rPr>
        <w:t> 个交易日内通知基金份额持有人，说明有关处理方法，同时并在 </w:t>
      </w:r>
      <w:r>
        <w:rPr/>
        <w:t>2 </w:t>
      </w:r>
      <w:r>
        <w:rPr>
          <w:spacing w:val="-3"/>
        </w:rPr>
        <w:t>日内在指定媒介上刊登公告。</w:t>
      </w:r>
    </w:p>
    <w:p>
      <w:pPr>
        <w:pStyle w:val="ListParagraph"/>
        <w:numPr>
          <w:ilvl w:val="0"/>
          <w:numId w:val="14"/>
        </w:numPr>
        <w:tabs>
          <w:tab w:pos="1499" w:val="left" w:leader="none"/>
        </w:tabs>
        <w:spacing w:line="417" w:lineRule="auto" w:before="0" w:after="0"/>
        <w:ind w:left="658" w:right="1203" w:firstLine="314"/>
        <w:jc w:val="left"/>
        <w:rPr>
          <w:sz w:val="21"/>
        </w:rPr>
      </w:pPr>
      <w:r>
        <w:rPr>
          <w:spacing w:val="-6"/>
          <w:sz w:val="21"/>
        </w:rPr>
        <w:t>如果本系列基金中任一基金发生巨额赎回，在单个基金份额持有人超过上一开放日</w:t>
      </w:r>
      <w:r>
        <w:rPr>
          <w:spacing w:val="-10"/>
          <w:sz w:val="21"/>
        </w:rPr>
        <w:t>基金总份额 </w:t>
      </w:r>
      <w:r>
        <w:rPr>
          <w:sz w:val="21"/>
        </w:rPr>
        <w:t>20%（</w:t>
      </w:r>
      <w:r>
        <w:rPr>
          <w:spacing w:val="-8"/>
          <w:sz w:val="21"/>
        </w:rPr>
        <w:t>货币市场基金为 </w:t>
      </w:r>
      <w:r>
        <w:rPr>
          <w:sz w:val="21"/>
        </w:rPr>
        <w:t>10%）</w:t>
      </w:r>
      <w:r>
        <w:rPr>
          <w:spacing w:val="-3"/>
          <w:sz w:val="21"/>
        </w:rPr>
        <w:t>以上的赎回申请的情形下，基金管理人可以对该基</w:t>
      </w:r>
      <w:r>
        <w:rPr>
          <w:spacing w:val="-7"/>
          <w:sz w:val="21"/>
        </w:rPr>
        <w:t>金份额持有人超过 </w:t>
      </w:r>
      <w:r>
        <w:rPr>
          <w:sz w:val="21"/>
        </w:rPr>
        <w:t>20%（</w:t>
      </w:r>
      <w:r>
        <w:rPr>
          <w:spacing w:val="-7"/>
          <w:sz w:val="21"/>
        </w:rPr>
        <w:t>货币市场基金为 </w:t>
      </w:r>
      <w:r>
        <w:rPr>
          <w:sz w:val="21"/>
        </w:rPr>
        <w:t>10%）</w:t>
      </w:r>
      <w:r>
        <w:rPr>
          <w:spacing w:val="-3"/>
          <w:sz w:val="21"/>
        </w:rPr>
        <w:t>以上的部分延期办理赎回申请。若进行该种</w:t>
      </w:r>
      <w:r>
        <w:rPr>
          <w:spacing w:val="-10"/>
          <w:sz w:val="21"/>
        </w:rPr>
        <w:t>超比例延期赎回，对于当日非延期的赎回申请，应当按单个账户非延期赎回申请量占非延期</w:t>
      </w:r>
      <w:r>
        <w:rPr>
          <w:spacing w:val="-11"/>
          <w:sz w:val="21"/>
        </w:rPr>
        <w:t>赎回申请总量的比例，确定当日受理的赎回份额；对于未能赎回部分，投资人在提交赎回申</w:t>
      </w:r>
      <w:r>
        <w:rPr>
          <w:spacing w:val="-6"/>
          <w:sz w:val="21"/>
        </w:rPr>
        <w:t>请时可以选择延期赎回或取消赎回。选择延期赎回的，将自动转入下一个开放日继续赎回， </w:t>
      </w:r>
      <w:r>
        <w:rPr>
          <w:spacing w:val="-10"/>
          <w:sz w:val="21"/>
        </w:rPr>
        <w:t>直到全部赎回为止；选择取消赎回的，当日未获受理的部分赎回申请将被撤销。延期的赎回申请与下一开放日赎回申请一并处理，无优先权并以下一开放日该基金的基金份额净值为基</w:t>
      </w:r>
      <w:r>
        <w:rPr>
          <w:spacing w:val="-21"/>
          <w:sz w:val="21"/>
        </w:rPr>
        <w:t>础计算赎回金额，以此类推，直到全部赎回为止。如投资人在提交赎回申请时未作明确选择， </w:t>
      </w:r>
      <w:r>
        <w:rPr>
          <w:spacing w:val="-8"/>
          <w:sz w:val="21"/>
        </w:rPr>
        <w:t>投资人未能赎回部分作自动延期赎回处理。</w:t>
      </w:r>
    </w:p>
    <w:p>
      <w:pPr>
        <w:pStyle w:val="ListParagraph"/>
        <w:numPr>
          <w:ilvl w:val="0"/>
          <w:numId w:val="14"/>
        </w:numPr>
        <w:tabs>
          <w:tab w:pos="1502" w:val="left" w:leader="none"/>
        </w:tabs>
        <w:spacing w:line="417" w:lineRule="auto" w:before="0" w:after="0"/>
        <w:ind w:left="658" w:right="1308" w:firstLine="314"/>
        <w:jc w:val="both"/>
        <w:rPr>
          <w:sz w:val="21"/>
        </w:rPr>
      </w:pPr>
      <w:r>
        <w:rPr>
          <w:spacing w:val="-6"/>
          <w:sz w:val="21"/>
        </w:rPr>
        <w:t>基金连续两个开放日以上发生巨额赎回，如基金管理人认为有必要，可暂停接受 </w:t>
      </w:r>
      <w:r>
        <w:rPr>
          <w:spacing w:val="-11"/>
          <w:sz w:val="21"/>
        </w:rPr>
        <w:t>赎回和转换申请；已经确认的赎回和转换申请可以延期支付赎回和转出款项，但不得超过正</w:t>
      </w:r>
      <w:r>
        <w:rPr>
          <w:spacing w:val="-13"/>
          <w:sz w:val="21"/>
        </w:rPr>
        <w:t>常支付时间后的 </w:t>
      </w:r>
      <w:r>
        <w:rPr>
          <w:sz w:val="21"/>
        </w:rPr>
        <w:t>20</w:t>
      </w:r>
      <w:r>
        <w:rPr>
          <w:spacing w:val="-9"/>
          <w:sz w:val="21"/>
        </w:rPr>
        <w:t> 个工作日，并应当在中国证监会指定媒介上公告。</w:t>
      </w:r>
    </w:p>
    <w:p>
      <w:pPr>
        <w:spacing w:after="0" w:line="417" w:lineRule="auto"/>
        <w:jc w:val="both"/>
        <w:rPr>
          <w:sz w:val="21"/>
        </w:rPr>
        <w:sectPr>
          <w:pgSz w:w="11910" w:h="16840"/>
          <w:pgMar w:header="852" w:footer="992" w:top="1220" w:bottom="1180" w:left="1140" w:right="480"/>
        </w:sectPr>
      </w:pPr>
    </w:p>
    <w:p>
      <w:pPr>
        <w:pStyle w:val="BodyText"/>
        <w:rPr>
          <w:sz w:val="20"/>
        </w:rPr>
      </w:pPr>
    </w:p>
    <w:p>
      <w:pPr>
        <w:pStyle w:val="BodyText"/>
        <w:rPr>
          <w:sz w:val="20"/>
        </w:rPr>
      </w:pPr>
    </w:p>
    <w:p>
      <w:pPr>
        <w:pStyle w:val="BodyText"/>
        <w:spacing w:before="7"/>
        <w:rPr>
          <w:sz w:val="15"/>
        </w:rPr>
      </w:pPr>
    </w:p>
    <w:p>
      <w:pPr>
        <w:spacing w:before="72"/>
        <w:ind w:left="658" w:right="0" w:firstLine="0"/>
        <w:jc w:val="left"/>
        <w:rPr>
          <w:b/>
          <w:sz w:val="21"/>
        </w:rPr>
      </w:pPr>
      <w:r>
        <w:rPr>
          <w:b/>
          <w:sz w:val="21"/>
        </w:rPr>
        <w:t>(十一)拒绝或暂停申购、赎回的情形及处理</w:t>
      </w:r>
    </w:p>
    <w:p>
      <w:pPr>
        <w:pStyle w:val="BodyText"/>
        <w:spacing w:before="7"/>
        <w:rPr>
          <w:b/>
          <w:sz w:val="15"/>
        </w:rPr>
      </w:pPr>
    </w:p>
    <w:p>
      <w:pPr>
        <w:pStyle w:val="BodyText"/>
        <w:spacing w:line="417" w:lineRule="auto"/>
        <w:ind w:left="658" w:right="1309" w:firstLine="419"/>
      </w:pPr>
      <w:r>
        <w:rPr/>
        <w:t>1、本系列基金任一基金出现以下情况之一时，基金管理人可全部或部分拒绝或暂停接受基金投资者的申购申请：</w:t>
      </w:r>
    </w:p>
    <w:p>
      <w:pPr>
        <w:pStyle w:val="ListParagraph"/>
        <w:numPr>
          <w:ilvl w:val="1"/>
          <w:numId w:val="14"/>
        </w:numPr>
        <w:tabs>
          <w:tab w:pos="1607" w:val="left" w:leader="none"/>
        </w:tabs>
        <w:spacing w:line="269" w:lineRule="exact" w:before="0" w:after="0"/>
        <w:ind w:left="1607" w:right="0" w:hanging="529"/>
        <w:jc w:val="left"/>
        <w:rPr>
          <w:sz w:val="21"/>
        </w:rPr>
      </w:pPr>
      <w:r>
        <w:rPr>
          <w:spacing w:val="-3"/>
          <w:sz w:val="21"/>
        </w:rPr>
        <w:t>不可抗力；</w:t>
      </w:r>
    </w:p>
    <w:p>
      <w:pPr>
        <w:pStyle w:val="BodyText"/>
        <w:spacing w:before="6"/>
        <w:rPr>
          <w:sz w:val="15"/>
        </w:rPr>
      </w:pPr>
    </w:p>
    <w:p>
      <w:pPr>
        <w:pStyle w:val="ListParagraph"/>
        <w:numPr>
          <w:ilvl w:val="1"/>
          <w:numId w:val="14"/>
        </w:numPr>
        <w:tabs>
          <w:tab w:pos="1607" w:val="left" w:leader="none"/>
        </w:tabs>
        <w:spacing w:line="417" w:lineRule="auto" w:before="1" w:after="0"/>
        <w:ind w:left="658" w:right="1309" w:firstLine="419"/>
        <w:jc w:val="left"/>
        <w:rPr>
          <w:sz w:val="21"/>
        </w:rPr>
      </w:pPr>
      <w:r>
        <w:rPr>
          <w:spacing w:val="-3"/>
          <w:sz w:val="21"/>
        </w:rPr>
        <w:t>证券交易所交易时间非正常停市或其他情形，导致基金管理人无法计算当日基金资产净值；</w:t>
      </w:r>
    </w:p>
    <w:p>
      <w:pPr>
        <w:pStyle w:val="ListParagraph"/>
        <w:numPr>
          <w:ilvl w:val="1"/>
          <w:numId w:val="14"/>
        </w:numPr>
        <w:tabs>
          <w:tab w:pos="1607" w:val="left" w:leader="none"/>
        </w:tabs>
        <w:spacing w:line="417" w:lineRule="auto" w:before="0" w:after="0"/>
        <w:ind w:left="658" w:right="1309" w:firstLine="419"/>
        <w:jc w:val="both"/>
        <w:rPr>
          <w:sz w:val="21"/>
        </w:rPr>
      </w:pPr>
      <w:r>
        <w:rPr>
          <w:spacing w:val="-1"/>
          <w:sz w:val="21"/>
        </w:rPr>
        <w:t>当前一估值日基金资产净值 </w:t>
      </w:r>
      <w:r>
        <w:rPr>
          <w:sz w:val="21"/>
        </w:rPr>
        <w:t>50</w:t>
      </w:r>
      <w:r>
        <w:rPr>
          <w:spacing w:val="-3"/>
          <w:sz w:val="21"/>
        </w:rPr>
        <w:t>%以上的资产出现无可参考的活跃市场价格且采用</w:t>
      </w:r>
      <w:r>
        <w:rPr>
          <w:spacing w:val="-8"/>
          <w:sz w:val="21"/>
        </w:rPr>
        <w:t>估值技术仍导致公允价值存在重大不确定性，经与基金托管人协商确定后，基金管理人应当</w:t>
      </w:r>
      <w:r>
        <w:rPr>
          <w:spacing w:val="-5"/>
          <w:sz w:val="21"/>
        </w:rPr>
        <w:t>暂停接受申购申请；</w:t>
      </w:r>
    </w:p>
    <w:p>
      <w:pPr>
        <w:pStyle w:val="ListParagraph"/>
        <w:numPr>
          <w:ilvl w:val="1"/>
          <w:numId w:val="14"/>
        </w:numPr>
        <w:tabs>
          <w:tab w:pos="1607" w:val="left" w:leader="none"/>
        </w:tabs>
        <w:spacing w:line="417" w:lineRule="auto" w:before="0" w:after="0"/>
        <w:ind w:left="658" w:right="1309" w:firstLine="419"/>
        <w:jc w:val="left"/>
        <w:rPr>
          <w:sz w:val="21"/>
        </w:rPr>
      </w:pPr>
      <w:r>
        <w:rPr>
          <w:spacing w:val="-3"/>
          <w:sz w:val="21"/>
        </w:rPr>
        <w:t>基金管理人认为市场缺乏合适的投资机会，继续接受申购可能对已有基金份额持有人利益产生损害；</w:t>
      </w:r>
    </w:p>
    <w:p>
      <w:pPr>
        <w:pStyle w:val="ListParagraph"/>
        <w:numPr>
          <w:ilvl w:val="1"/>
          <w:numId w:val="14"/>
        </w:numPr>
        <w:tabs>
          <w:tab w:pos="1607" w:val="left" w:leader="none"/>
        </w:tabs>
        <w:spacing w:line="269" w:lineRule="exact" w:before="0" w:after="0"/>
        <w:ind w:left="1607" w:right="0" w:hanging="529"/>
        <w:jc w:val="left"/>
        <w:rPr>
          <w:sz w:val="21"/>
        </w:rPr>
      </w:pPr>
      <w:r>
        <w:rPr>
          <w:spacing w:val="-3"/>
          <w:sz w:val="21"/>
        </w:rPr>
        <w:t>基金管理人认为会严重损害已有基金份额持有人利益的申购；</w:t>
      </w:r>
    </w:p>
    <w:p>
      <w:pPr>
        <w:pStyle w:val="BodyText"/>
        <w:spacing w:before="6"/>
        <w:rPr>
          <w:sz w:val="15"/>
        </w:rPr>
      </w:pPr>
    </w:p>
    <w:p>
      <w:pPr>
        <w:pStyle w:val="ListParagraph"/>
        <w:numPr>
          <w:ilvl w:val="1"/>
          <w:numId w:val="14"/>
        </w:numPr>
        <w:tabs>
          <w:tab w:pos="1607" w:val="left" w:leader="none"/>
        </w:tabs>
        <w:spacing w:line="417" w:lineRule="auto" w:before="0" w:after="0"/>
        <w:ind w:left="658" w:right="1309" w:firstLine="419"/>
        <w:jc w:val="left"/>
        <w:rPr>
          <w:sz w:val="21"/>
        </w:rPr>
      </w:pPr>
      <w:r>
        <w:rPr>
          <w:spacing w:val="-3"/>
          <w:sz w:val="21"/>
        </w:rPr>
        <w:t>基金管理人、基金托管人、销售代理人或注册登记人的技术保障或人员支持等不充分；</w:t>
      </w:r>
    </w:p>
    <w:p>
      <w:pPr>
        <w:pStyle w:val="ListParagraph"/>
        <w:numPr>
          <w:ilvl w:val="1"/>
          <w:numId w:val="14"/>
        </w:numPr>
        <w:tabs>
          <w:tab w:pos="1607" w:val="left" w:leader="none"/>
        </w:tabs>
        <w:spacing w:line="417" w:lineRule="auto" w:before="0" w:after="0"/>
        <w:ind w:left="658" w:right="1309" w:firstLine="419"/>
        <w:jc w:val="left"/>
        <w:rPr>
          <w:sz w:val="21"/>
        </w:rPr>
      </w:pPr>
      <w:r>
        <w:rPr>
          <w:spacing w:val="-3"/>
          <w:sz w:val="21"/>
        </w:rPr>
        <w:t>基金管理人接受某笔或者某些申购申请有可能导致单一投资者持有基金份额的比</w:t>
      </w:r>
      <w:r>
        <w:rPr>
          <w:spacing w:val="-10"/>
          <w:sz w:val="21"/>
        </w:rPr>
        <w:t>例达到或者超过 </w:t>
      </w:r>
      <w:r>
        <w:rPr>
          <w:sz w:val="21"/>
        </w:rPr>
        <w:t>50</w:t>
      </w:r>
      <w:r>
        <w:rPr>
          <w:spacing w:val="-9"/>
          <w:sz w:val="21"/>
        </w:rPr>
        <w:t>%，或者变相规避 </w:t>
      </w:r>
      <w:r>
        <w:rPr>
          <w:sz w:val="21"/>
        </w:rPr>
        <w:t>50</w:t>
      </w:r>
      <w:r>
        <w:rPr>
          <w:spacing w:val="-3"/>
          <w:sz w:val="21"/>
        </w:rPr>
        <w:t>%集中度的情形时；</w:t>
      </w:r>
    </w:p>
    <w:p>
      <w:pPr>
        <w:pStyle w:val="ListParagraph"/>
        <w:numPr>
          <w:ilvl w:val="1"/>
          <w:numId w:val="14"/>
        </w:numPr>
        <w:tabs>
          <w:tab w:pos="1607" w:val="left" w:leader="none"/>
        </w:tabs>
        <w:spacing w:line="269" w:lineRule="exact" w:before="0" w:after="0"/>
        <w:ind w:left="1607" w:right="0" w:hanging="529"/>
        <w:jc w:val="left"/>
        <w:rPr>
          <w:sz w:val="21"/>
        </w:rPr>
      </w:pPr>
      <w:r>
        <w:rPr>
          <w:spacing w:val="-3"/>
          <w:sz w:val="21"/>
        </w:rPr>
        <w:t>法律、法规规定或中国证监会认定的其他情形。</w:t>
      </w:r>
    </w:p>
    <w:p>
      <w:pPr>
        <w:pStyle w:val="BodyText"/>
        <w:spacing w:before="7"/>
        <w:rPr>
          <w:sz w:val="15"/>
        </w:rPr>
      </w:pPr>
    </w:p>
    <w:p>
      <w:pPr>
        <w:pStyle w:val="BodyText"/>
        <w:spacing w:line="417" w:lineRule="auto"/>
        <w:ind w:left="658" w:right="1310" w:firstLine="419"/>
      </w:pPr>
      <w:r>
        <w:rPr/>
        <w:t>当货币基金影子定价确定的基金资产净值与摊余成本法计算的基金资产净值的正偏离度绝对值达到 0.5%时，基金管理人应当暂停接受基金投资者的申购申请。</w:t>
      </w:r>
    </w:p>
    <w:p>
      <w:pPr>
        <w:pStyle w:val="BodyText"/>
        <w:spacing w:line="417" w:lineRule="auto"/>
        <w:ind w:left="658" w:right="1311" w:firstLine="419"/>
      </w:pPr>
      <w:r>
        <w:rPr>
          <w:spacing w:val="-9"/>
        </w:rPr>
        <w:t>发生暂停申购情形时，基金管理人应当依照《信息披露办法》的有关规定在指定媒介上</w:t>
      </w:r>
      <w:r>
        <w:rPr>
          <w:spacing w:val="-5"/>
        </w:rPr>
        <w:t>刊登暂停申购公告。</w:t>
      </w:r>
    </w:p>
    <w:p>
      <w:pPr>
        <w:pStyle w:val="BodyText"/>
        <w:spacing w:line="417" w:lineRule="auto"/>
        <w:ind w:left="658" w:right="1310" w:firstLine="419"/>
        <w:jc w:val="both"/>
      </w:pPr>
      <w:r>
        <w:rPr>
          <w:spacing w:val="-8"/>
        </w:rPr>
        <w:t>发生基金合同或招募说明书中未予载明的事项，但基金管理人有正当理由认为需要暂停</w:t>
      </w:r>
      <w:r>
        <w:rPr>
          <w:spacing w:val="-11"/>
        </w:rPr>
        <w:t>基金申购，基金管理人应当依照《信息披露办法》的有关规定在指定媒介上刊登暂停申购公告。</w:t>
      </w:r>
    </w:p>
    <w:p>
      <w:pPr>
        <w:pStyle w:val="BodyText"/>
        <w:spacing w:line="269" w:lineRule="exact"/>
        <w:ind w:left="1078"/>
      </w:pPr>
      <w:r>
        <w:rPr/>
        <w:t>2、拒绝或暂停赎回的情形和处理</w:t>
      </w:r>
    </w:p>
    <w:p>
      <w:pPr>
        <w:pStyle w:val="BodyText"/>
        <w:spacing w:before="6"/>
        <w:rPr>
          <w:sz w:val="15"/>
        </w:rPr>
      </w:pPr>
    </w:p>
    <w:p>
      <w:pPr>
        <w:pStyle w:val="BodyText"/>
        <w:spacing w:line="417" w:lineRule="auto" w:before="1"/>
        <w:ind w:left="658" w:right="1310" w:firstLine="419"/>
      </w:pPr>
      <w:r>
        <w:rPr>
          <w:spacing w:val="-8"/>
        </w:rPr>
        <w:t>本系列基金任一基金发生下列情形之一时，基金管理人可拒绝或暂停接受基金投资者的</w:t>
      </w:r>
      <w:r>
        <w:rPr>
          <w:spacing w:val="-5"/>
        </w:rPr>
        <w:t>赎回申请：</w:t>
      </w:r>
    </w:p>
    <w:p>
      <w:pPr>
        <w:pStyle w:val="ListParagraph"/>
        <w:numPr>
          <w:ilvl w:val="0"/>
          <w:numId w:val="15"/>
        </w:numPr>
        <w:tabs>
          <w:tab w:pos="1607" w:val="left" w:leader="none"/>
        </w:tabs>
        <w:spacing w:line="240" w:lineRule="auto" w:before="0" w:after="0"/>
        <w:ind w:left="1607" w:right="0" w:hanging="529"/>
        <w:jc w:val="left"/>
        <w:rPr>
          <w:sz w:val="21"/>
        </w:rPr>
      </w:pPr>
      <w:r>
        <w:rPr>
          <w:spacing w:val="-3"/>
          <w:sz w:val="21"/>
        </w:rPr>
        <w:t>不可抗力；</w:t>
      </w:r>
    </w:p>
    <w:p>
      <w:pPr>
        <w:pStyle w:val="BodyText"/>
        <w:spacing w:before="6"/>
        <w:rPr>
          <w:sz w:val="15"/>
        </w:rPr>
      </w:pPr>
    </w:p>
    <w:p>
      <w:pPr>
        <w:pStyle w:val="ListParagraph"/>
        <w:numPr>
          <w:ilvl w:val="0"/>
          <w:numId w:val="15"/>
        </w:numPr>
        <w:tabs>
          <w:tab w:pos="1607" w:val="left" w:leader="none"/>
        </w:tabs>
        <w:spacing w:line="240" w:lineRule="auto" w:before="0" w:after="0"/>
        <w:ind w:left="1607" w:right="0" w:hanging="529"/>
        <w:jc w:val="left"/>
        <w:rPr>
          <w:sz w:val="21"/>
        </w:rPr>
      </w:pPr>
      <w:r>
        <w:rPr>
          <w:spacing w:val="-3"/>
          <w:sz w:val="21"/>
        </w:rPr>
        <w:t>证券交易所交易时间非正常停市或其他情形，导致基金管理人无法计算当日基金</w:t>
      </w:r>
    </w:p>
    <w:p>
      <w:pPr>
        <w:spacing w:after="0" w:line="240" w:lineRule="auto"/>
        <w:jc w:val="left"/>
        <w:rPr>
          <w:sz w:val="21"/>
        </w:rPr>
        <w:sectPr>
          <w:pgSz w:w="11910" w:h="16840"/>
          <w:pgMar w:header="852" w:footer="992" w:top="1220" w:bottom="1180" w:left="1140" w:right="480"/>
        </w:sectPr>
      </w:pPr>
    </w:p>
    <w:p>
      <w:pPr>
        <w:pStyle w:val="BodyText"/>
        <w:spacing w:before="1"/>
        <w:rPr>
          <w:sz w:val="19"/>
        </w:rPr>
      </w:pPr>
    </w:p>
    <w:p>
      <w:pPr>
        <w:pStyle w:val="BodyText"/>
        <w:spacing w:before="71"/>
        <w:ind w:left="658"/>
      </w:pPr>
      <w:r>
        <w:rPr/>
        <w:t>资产净值；</w:t>
      </w:r>
    </w:p>
    <w:p>
      <w:pPr>
        <w:pStyle w:val="BodyText"/>
        <w:spacing w:before="7"/>
        <w:rPr>
          <w:sz w:val="15"/>
        </w:rPr>
      </w:pPr>
    </w:p>
    <w:p>
      <w:pPr>
        <w:pStyle w:val="ListParagraph"/>
        <w:numPr>
          <w:ilvl w:val="0"/>
          <w:numId w:val="15"/>
        </w:numPr>
        <w:tabs>
          <w:tab w:pos="1607" w:val="left" w:leader="none"/>
        </w:tabs>
        <w:spacing w:line="417" w:lineRule="auto" w:before="0" w:after="0"/>
        <w:ind w:left="658" w:right="1309" w:firstLine="419"/>
        <w:jc w:val="both"/>
        <w:rPr>
          <w:sz w:val="21"/>
        </w:rPr>
      </w:pPr>
      <w:r>
        <w:rPr>
          <w:spacing w:val="-1"/>
          <w:sz w:val="21"/>
        </w:rPr>
        <w:t>当前一估值日基金资产净值 </w:t>
      </w:r>
      <w:r>
        <w:rPr>
          <w:sz w:val="21"/>
        </w:rPr>
        <w:t>50</w:t>
      </w:r>
      <w:r>
        <w:rPr>
          <w:spacing w:val="-3"/>
          <w:sz w:val="21"/>
        </w:rPr>
        <w:t>%以上的资产出现无可参考的活跃市场价格且采用</w:t>
      </w:r>
      <w:r>
        <w:rPr>
          <w:spacing w:val="-8"/>
          <w:sz w:val="21"/>
        </w:rPr>
        <w:t>估值技术仍导致公允价值存在重大不确定性，经与基金托管人协商确定后，基金管理人应当</w:t>
      </w:r>
      <w:r>
        <w:rPr>
          <w:spacing w:val="-5"/>
          <w:sz w:val="21"/>
        </w:rPr>
        <w:t>暂停接受赎回申请或延缓支付赎回款项；</w:t>
      </w:r>
    </w:p>
    <w:p>
      <w:pPr>
        <w:pStyle w:val="ListParagraph"/>
        <w:numPr>
          <w:ilvl w:val="0"/>
          <w:numId w:val="15"/>
        </w:numPr>
        <w:tabs>
          <w:tab w:pos="1607" w:val="left" w:leader="none"/>
        </w:tabs>
        <w:spacing w:line="269" w:lineRule="exact" w:before="0" w:after="0"/>
        <w:ind w:left="1607" w:right="0" w:hanging="529"/>
        <w:jc w:val="left"/>
        <w:rPr>
          <w:sz w:val="21"/>
        </w:rPr>
      </w:pPr>
      <w:r>
        <w:rPr>
          <w:spacing w:val="-3"/>
          <w:sz w:val="21"/>
        </w:rPr>
        <w:t>法律、法规、规章规定或中国证监会认定的其他情形。</w:t>
      </w:r>
    </w:p>
    <w:p>
      <w:pPr>
        <w:pStyle w:val="BodyText"/>
        <w:spacing w:before="7"/>
        <w:rPr>
          <w:sz w:val="15"/>
        </w:rPr>
      </w:pPr>
    </w:p>
    <w:p>
      <w:pPr>
        <w:pStyle w:val="BodyText"/>
        <w:spacing w:line="417" w:lineRule="auto"/>
        <w:ind w:left="658" w:right="1308" w:firstLine="419"/>
        <w:jc w:val="both"/>
      </w:pPr>
      <w:r>
        <w:rPr/>
        <w:t>当货币基金影子定价确定的基金资产净值与摊余成本法计算的基金资产净值的负偏离度绝对值连续两个交易日超过 </w:t>
      </w:r>
      <w:r>
        <w:rPr>
          <w:rFonts w:ascii="Times New Roman" w:eastAsia="Times New Roman"/>
        </w:rPr>
        <w:t>0.5%</w:t>
      </w:r>
      <w:r>
        <w:rPr/>
        <w:t>时，基金管理人决定履行适当程序终止基金合同的，应当暂停接受所有赎回申请。</w:t>
      </w:r>
    </w:p>
    <w:p>
      <w:pPr>
        <w:pStyle w:val="BodyText"/>
        <w:spacing w:line="417" w:lineRule="auto"/>
        <w:ind w:left="658" w:right="1309" w:firstLine="419"/>
        <w:jc w:val="both"/>
      </w:pPr>
      <w:r>
        <w:rPr>
          <w:spacing w:val="-9"/>
        </w:rPr>
        <w:t>发生上述情形时，基金管理人应在当日向中国证监会报告，已确认的赎回申请，基金管</w:t>
      </w:r>
      <w:r>
        <w:rPr>
          <w:spacing w:val="-12"/>
        </w:rPr>
        <w:t>理人将足额按时支付；如暂时不能足额支付，可支付部分按单个账户申请量占申请总量的比例分配给赎回申请人，其余部分在后续开放日予以兑付，并以该开放日的基金份额净值为依</w:t>
      </w:r>
      <w:r>
        <w:rPr>
          <w:spacing w:val="-6"/>
        </w:rPr>
        <w:t>据计算赎回份额。投资者在申请赎回时可以选择将当日未获受理部分予以撤销。</w:t>
      </w:r>
    </w:p>
    <w:p>
      <w:pPr>
        <w:pStyle w:val="BodyText"/>
        <w:spacing w:line="417" w:lineRule="auto"/>
        <w:ind w:left="658" w:right="1308" w:firstLine="419"/>
        <w:jc w:val="both"/>
      </w:pPr>
      <w:r>
        <w:rPr>
          <w:spacing w:val="-8"/>
        </w:rPr>
        <w:t>发生基金合同或招募说明书中未予载明的事项，但基金管理人有正当理由认为需要暂停</w:t>
      </w:r>
      <w:r>
        <w:rPr>
          <w:spacing w:val="-11"/>
        </w:rPr>
        <w:t>赎回，基金管理人应当在规定期限内在指定媒介上刊登暂停赎回公告。在暂停赎回的情况消</w:t>
      </w:r>
      <w:r>
        <w:rPr>
          <w:spacing w:val="-6"/>
        </w:rPr>
        <w:t>除时，基金管理人应及时恢复赎回业务的办理。</w:t>
      </w:r>
    </w:p>
    <w:p>
      <w:pPr>
        <w:pStyle w:val="BodyText"/>
        <w:rPr>
          <w:sz w:val="20"/>
        </w:rPr>
      </w:pPr>
    </w:p>
    <w:p>
      <w:pPr>
        <w:pStyle w:val="BodyText"/>
        <w:spacing w:before="6"/>
        <w:rPr>
          <w:sz w:val="16"/>
        </w:rPr>
      </w:pPr>
    </w:p>
    <w:p>
      <w:pPr>
        <w:spacing w:before="0"/>
        <w:ind w:left="658" w:right="0" w:firstLine="0"/>
        <w:jc w:val="left"/>
        <w:rPr>
          <w:b/>
          <w:sz w:val="21"/>
        </w:rPr>
      </w:pPr>
      <w:r>
        <w:rPr>
          <w:b/>
          <w:sz w:val="21"/>
        </w:rPr>
        <w:t>（十二）暂停申购或赎回的公告和重新开放申购或赎回的公告</w:t>
      </w:r>
    </w:p>
    <w:p>
      <w:pPr>
        <w:pStyle w:val="BodyText"/>
        <w:spacing w:line="460" w:lineRule="atLeast" w:before="8"/>
        <w:ind w:left="658" w:right="1309" w:firstLine="419"/>
      </w:pPr>
      <w:r>
        <w:rPr>
          <w:spacing w:val="-9"/>
        </w:rPr>
        <w:t>发生上述暂停申购或赎回情况的，基金管理人应在规定期限内在指定媒介上刊登暂停公告。</w:t>
      </w:r>
    </w:p>
    <w:p>
      <w:pPr>
        <w:pStyle w:val="BodyText"/>
        <w:spacing w:line="278" w:lineRule="auto" w:before="130"/>
        <w:ind w:left="658" w:right="1309" w:firstLine="419"/>
        <w:jc w:val="both"/>
      </w:pPr>
      <w:r>
        <w:rPr>
          <w:spacing w:val="-9"/>
        </w:rPr>
        <w:t>暂停结束，基金重新开放申购或赎回时，基金管理人应依照《信息披露办法》的有关规</w:t>
      </w:r>
      <w:r>
        <w:rPr>
          <w:spacing w:val="-12"/>
        </w:rPr>
        <w:t>定，在指定媒介上刊登基金重新开放申购或赎回的公告，并公告最近 </w:t>
      </w:r>
      <w:r>
        <w:rPr>
          <w:rFonts w:ascii="Calibri" w:eastAsia="Calibri"/>
        </w:rPr>
        <w:t>1 </w:t>
      </w:r>
      <w:r>
        <w:rPr>
          <w:spacing w:val="-3"/>
        </w:rPr>
        <w:t>个工作日的基金份额净值。</w:t>
      </w:r>
    </w:p>
    <w:p>
      <w:pPr>
        <w:pStyle w:val="BodyText"/>
        <w:rPr>
          <w:sz w:val="20"/>
        </w:rPr>
      </w:pPr>
    </w:p>
    <w:p>
      <w:pPr>
        <w:pStyle w:val="BodyText"/>
        <w:spacing w:before="7"/>
        <w:rPr>
          <w:sz w:val="22"/>
        </w:rPr>
      </w:pPr>
    </w:p>
    <w:p>
      <w:pPr>
        <w:spacing w:before="0"/>
        <w:ind w:left="658" w:right="0" w:firstLine="0"/>
        <w:jc w:val="left"/>
        <w:rPr>
          <w:b/>
          <w:sz w:val="21"/>
        </w:rPr>
      </w:pPr>
      <w:r>
        <w:rPr>
          <w:b/>
          <w:sz w:val="21"/>
        </w:rPr>
        <w:t>（十三）货币市场基金的申购、赎回原则</w:t>
      </w:r>
    </w:p>
    <w:p>
      <w:pPr>
        <w:pStyle w:val="BodyText"/>
        <w:spacing w:before="6"/>
        <w:rPr>
          <w:b/>
          <w:sz w:val="15"/>
        </w:rPr>
      </w:pPr>
    </w:p>
    <w:p>
      <w:pPr>
        <w:pStyle w:val="BodyText"/>
        <w:spacing w:before="1"/>
        <w:ind w:left="1078"/>
      </w:pPr>
      <w:r>
        <w:rPr/>
        <w:t>1、“确定价”原则，即申购、赎回价格以人民币 1.00 元为基准进行计算。</w:t>
      </w:r>
    </w:p>
    <w:p>
      <w:pPr>
        <w:pStyle w:val="BodyText"/>
        <w:spacing w:before="6"/>
        <w:rPr>
          <w:sz w:val="15"/>
        </w:rPr>
      </w:pPr>
    </w:p>
    <w:p>
      <w:pPr>
        <w:pStyle w:val="BodyText"/>
        <w:ind w:left="1078"/>
      </w:pPr>
      <w:r>
        <w:rPr/>
        <w:t>2、“金额申购、份额赎回”原则，即申购以金额申请，赎回以持有的基金份额申请。</w:t>
      </w:r>
    </w:p>
    <w:p>
      <w:pPr>
        <w:pStyle w:val="BodyText"/>
        <w:spacing w:before="7"/>
        <w:rPr>
          <w:sz w:val="15"/>
        </w:rPr>
      </w:pPr>
    </w:p>
    <w:p>
      <w:pPr>
        <w:pStyle w:val="BodyText"/>
        <w:ind w:left="1078"/>
      </w:pPr>
      <w:r>
        <w:rPr/>
        <w:t>3、当日的申购、赎回申请可以在基金管理人规定的时间以前撤销。</w:t>
      </w:r>
    </w:p>
    <w:p>
      <w:pPr>
        <w:pStyle w:val="BodyText"/>
        <w:spacing w:before="7"/>
        <w:rPr>
          <w:sz w:val="15"/>
        </w:rPr>
      </w:pPr>
    </w:p>
    <w:p>
      <w:pPr>
        <w:pStyle w:val="BodyText"/>
        <w:spacing w:line="417" w:lineRule="auto"/>
        <w:ind w:left="658" w:right="1308" w:firstLine="419"/>
        <w:jc w:val="both"/>
      </w:pPr>
      <w:r>
        <w:rPr/>
        <w:t>4</w:t>
      </w:r>
      <w:r>
        <w:rPr>
          <w:spacing w:val="-3"/>
        </w:rPr>
        <w:t>、基金管理人在不损害基金份额持有人权益的情况下可更改上述原则。在变更上述原</w:t>
      </w:r>
      <w:r>
        <w:rPr>
          <w:spacing w:val="-10"/>
        </w:rPr>
        <w:t>则时，基金管理人应当依照《信息披露办法》的有关规定在中国证监会指定媒介和网站上刊</w:t>
      </w:r>
      <w:r>
        <w:rPr>
          <w:spacing w:val="-6"/>
        </w:rPr>
        <w:t>登公告。</w:t>
      </w:r>
    </w:p>
    <w:p>
      <w:pPr>
        <w:spacing w:after="0" w:line="417" w:lineRule="auto"/>
        <w:jc w:val="both"/>
        <w:sectPr>
          <w:pgSz w:w="11910" w:h="16840"/>
          <w:pgMar w:header="852" w:footer="992" w:top="1220" w:bottom="1180" w:left="1140" w:right="480"/>
        </w:sectPr>
      </w:pPr>
    </w:p>
    <w:p>
      <w:pPr>
        <w:pStyle w:val="BodyText"/>
        <w:spacing w:before="1"/>
        <w:rPr>
          <w:sz w:val="19"/>
        </w:rPr>
      </w:pPr>
    </w:p>
    <w:p>
      <w:pPr>
        <w:spacing w:before="71"/>
        <w:ind w:left="658" w:right="0" w:firstLine="0"/>
        <w:jc w:val="left"/>
        <w:rPr>
          <w:b/>
          <w:sz w:val="21"/>
        </w:rPr>
      </w:pPr>
      <w:r>
        <w:rPr>
          <w:b/>
          <w:sz w:val="21"/>
        </w:rPr>
        <w:t>（十四）货币市场基金申购、赎回的程序</w:t>
      </w:r>
    </w:p>
    <w:p>
      <w:pPr>
        <w:pStyle w:val="BodyText"/>
        <w:spacing w:before="7"/>
        <w:rPr>
          <w:b/>
          <w:sz w:val="15"/>
        </w:rPr>
      </w:pPr>
    </w:p>
    <w:p>
      <w:pPr>
        <w:pStyle w:val="BodyText"/>
        <w:ind w:left="1078"/>
      </w:pPr>
      <w:r>
        <w:rPr>
          <w:rFonts w:ascii="Times New Roman" w:eastAsia="Times New Roman"/>
        </w:rPr>
        <w:t>1</w:t>
      </w:r>
      <w:r>
        <w:rPr/>
        <w:t>、申请方式：书面申请或基金销售机构规定的其他方式。</w:t>
      </w:r>
    </w:p>
    <w:p>
      <w:pPr>
        <w:pStyle w:val="BodyText"/>
        <w:spacing w:before="7"/>
        <w:rPr>
          <w:sz w:val="15"/>
        </w:rPr>
      </w:pPr>
    </w:p>
    <w:p>
      <w:pPr>
        <w:pStyle w:val="BodyText"/>
        <w:spacing w:line="417" w:lineRule="auto"/>
        <w:ind w:left="658" w:right="1309" w:firstLine="419"/>
        <w:jc w:val="both"/>
      </w:pPr>
      <w:r>
        <w:rPr>
          <w:rFonts w:ascii="Times New Roman" w:eastAsia="Times New Roman"/>
        </w:rPr>
        <w:t>2</w:t>
      </w:r>
      <w:r>
        <w:rPr>
          <w:spacing w:val="-3"/>
        </w:rPr>
        <w:t>、基金投资者必须根据基金销售机构规定的手续，向基金销售机构提出申购、赎回的</w:t>
      </w:r>
      <w:r>
        <w:rPr>
          <w:spacing w:val="-6"/>
        </w:rPr>
        <w:t>申请。 投资人在申购本基金时须按销售机构规定的方式备足申购资金；投资者在提交赎回</w:t>
      </w:r>
      <w:r>
        <w:rPr>
          <w:spacing w:val="-4"/>
        </w:rPr>
        <w:t>申请时，账户中必须有足够的基金份额余额，否则所提交的赎回申请无效而不予成交。</w:t>
      </w:r>
    </w:p>
    <w:p>
      <w:pPr>
        <w:pStyle w:val="BodyText"/>
        <w:spacing w:line="269" w:lineRule="exact"/>
        <w:ind w:left="1078"/>
      </w:pPr>
      <w:r>
        <w:rPr>
          <w:rFonts w:ascii="Times New Roman" w:eastAsia="Times New Roman"/>
        </w:rPr>
        <w:t>3</w:t>
      </w:r>
      <w:r>
        <w:rPr/>
        <w:t>、申购、赎回申请的确认</w:t>
      </w:r>
    </w:p>
    <w:p>
      <w:pPr>
        <w:pStyle w:val="BodyText"/>
        <w:spacing w:before="6"/>
        <w:rPr>
          <w:sz w:val="15"/>
        </w:rPr>
      </w:pPr>
    </w:p>
    <w:p>
      <w:pPr>
        <w:pStyle w:val="BodyText"/>
        <w:spacing w:line="417" w:lineRule="auto" w:before="1"/>
        <w:ind w:left="658" w:right="1309" w:firstLine="419"/>
      </w:pPr>
      <w:r>
        <w:rPr>
          <w:rFonts w:ascii="Times New Roman" w:eastAsia="Times New Roman"/>
        </w:rPr>
        <w:t>T </w:t>
      </w:r>
      <w:r>
        <w:rPr>
          <w:spacing w:val="-14"/>
        </w:rPr>
        <w:t>日提交的有效申请，投资者可在 </w:t>
      </w:r>
      <w:r>
        <w:rPr>
          <w:rFonts w:ascii="Times New Roman" w:eastAsia="Times New Roman"/>
        </w:rPr>
        <w:t>T+2 </w:t>
      </w:r>
      <w:r>
        <w:rPr>
          <w:spacing w:val="-3"/>
        </w:rPr>
        <w:t>日到销售网点柜台或以销售机构规定的其他方式查询申请的确认情况。</w:t>
      </w:r>
    </w:p>
    <w:p>
      <w:pPr>
        <w:pStyle w:val="BodyText"/>
        <w:ind w:left="1078"/>
      </w:pPr>
      <w:r>
        <w:rPr>
          <w:rFonts w:ascii="Times New Roman" w:eastAsia="Times New Roman"/>
        </w:rPr>
        <w:t>4</w:t>
      </w:r>
      <w:r>
        <w:rPr/>
        <w:t>、申购、赎回的款项支付</w:t>
      </w:r>
    </w:p>
    <w:p>
      <w:pPr>
        <w:pStyle w:val="BodyText"/>
        <w:spacing w:before="6"/>
        <w:rPr>
          <w:sz w:val="15"/>
        </w:rPr>
      </w:pPr>
    </w:p>
    <w:p>
      <w:pPr>
        <w:pStyle w:val="BodyText"/>
        <w:spacing w:line="417" w:lineRule="auto" w:before="1"/>
        <w:ind w:left="658" w:right="1308" w:firstLine="419"/>
        <w:jc w:val="both"/>
      </w:pPr>
      <w:r>
        <w:rPr>
          <w:spacing w:val="-9"/>
        </w:rPr>
        <w:t>基金申购采用全额缴款方式，若资金在规定时间内未全额到账则申购不成功。若申购不</w:t>
      </w:r>
      <w:r>
        <w:rPr>
          <w:spacing w:val="-12"/>
        </w:rPr>
        <w:t>成功或无效，申购款项将退回投资者账户。基金份额持有人赎回申请确认后，基金管理人将</w:t>
      </w:r>
      <w:r>
        <w:rPr>
          <w:spacing w:val="-5"/>
        </w:rPr>
        <w:t>指示基金托管人于 </w:t>
      </w:r>
      <w:r>
        <w:rPr>
          <w:rFonts w:ascii="Times New Roman" w:eastAsia="Times New Roman"/>
        </w:rPr>
        <w:t>T+1 </w:t>
      </w:r>
      <w:r>
        <w:rPr>
          <w:spacing w:val="-3"/>
        </w:rPr>
        <w:t>日将赎回款项从基金托管账户划出。在发生巨额赎回或延期支付的情形时，款项的支付办法参照本招募说明书的有关条款办理。</w:t>
      </w:r>
    </w:p>
    <w:p>
      <w:pPr>
        <w:pStyle w:val="BodyText"/>
        <w:rPr>
          <w:sz w:val="20"/>
        </w:rPr>
      </w:pPr>
    </w:p>
    <w:p>
      <w:pPr>
        <w:pStyle w:val="BodyText"/>
        <w:spacing w:before="6"/>
        <w:rPr>
          <w:sz w:val="16"/>
        </w:rPr>
      </w:pPr>
    </w:p>
    <w:p>
      <w:pPr>
        <w:spacing w:before="0"/>
        <w:ind w:left="658" w:right="0" w:firstLine="0"/>
        <w:jc w:val="left"/>
        <w:rPr>
          <w:b/>
          <w:sz w:val="21"/>
        </w:rPr>
      </w:pPr>
      <w:r>
        <w:rPr>
          <w:b/>
          <w:sz w:val="21"/>
        </w:rPr>
        <w:t>（十五）货币市场基金申购、赎回的数额约定</w:t>
      </w:r>
    </w:p>
    <w:p>
      <w:pPr>
        <w:pStyle w:val="BodyText"/>
        <w:spacing w:before="7"/>
        <w:rPr>
          <w:b/>
          <w:sz w:val="15"/>
        </w:rPr>
      </w:pPr>
    </w:p>
    <w:p>
      <w:pPr>
        <w:pStyle w:val="BodyText"/>
        <w:spacing w:line="417" w:lineRule="auto"/>
        <w:ind w:left="658" w:right="1309" w:firstLine="419"/>
        <w:jc w:val="both"/>
      </w:pPr>
      <w:r>
        <w:rPr>
          <w:rFonts w:ascii="Times New Roman" w:eastAsia="Times New Roman"/>
        </w:rPr>
        <w:t>1</w:t>
      </w:r>
      <w:r>
        <w:rPr>
          <w:spacing w:val="-8"/>
        </w:rPr>
        <w:t>、货币市场基金 </w:t>
      </w:r>
      <w:r>
        <w:rPr>
          <w:rFonts w:ascii="Times New Roman" w:eastAsia="Times New Roman"/>
        </w:rPr>
        <w:t>A/B </w:t>
      </w:r>
      <w:r>
        <w:rPr>
          <w:spacing w:val="-4"/>
        </w:rPr>
        <w:t>级投资者首次购买的最低金额和追加金额不限</w:t>
      </w:r>
      <w:r>
        <w:rPr/>
        <w:t>（</w:t>
      </w:r>
      <w:r>
        <w:rPr>
          <w:spacing w:val="-3"/>
        </w:rPr>
        <w:t>具体以各销售机构或基金管理人公告为准</w:t>
      </w:r>
      <w:r>
        <w:rPr>
          <w:spacing w:val="-108"/>
        </w:rPr>
        <w:t>）</w:t>
      </w:r>
      <w:r>
        <w:rPr>
          <w:spacing w:val="-9"/>
        </w:rPr>
        <w:t>。货币市场基金 </w:t>
      </w:r>
      <w:r>
        <w:rPr>
          <w:rFonts w:ascii="Times New Roman" w:eastAsia="Times New Roman"/>
        </w:rPr>
        <w:t>A/B </w:t>
      </w:r>
      <w:r>
        <w:rPr>
          <w:spacing w:val="-4"/>
        </w:rPr>
        <w:t>级不设最低赎回份额和最低持有份额</w:t>
      </w:r>
      <w:r>
        <w:rPr/>
        <w:t>（</w:t>
      </w:r>
      <w:r>
        <w:rPr>
          <w:spacing w:val="-2"/>
        </w:rPr>
        <w:t>其他</w:t>
      </w:r>
      <w:r>
        <w:rPr>
          <w:spacing w:val="-3"/>
        </w:rPr>
        <w:t>销售机构另有规定的，从其规定</w:t>
      </w:r>
      <w:r>
        <w:rPr>
          <w:spacing w:val="-106"/>
        </w:rPr>
        <w:t>）</w:t>
      </w:r>
      <w:r>
        <w:rPr/>
        <w:t>。</w:t>
      </w:r>
    </w:p>
    <w:p>
      <w:pPr>
        <w:pStyle w:val="BodyText"/>
        <w:spacing w:line="269" w:lineRule="exact"/>
        <w:ind w:left="1078"/>
      </w:pPr>
      <w:r>
        <w:rPr>
          <w:rFonts w:ascii="Times New Roman" w:eastAsia="Times New Roman"/>
        </w:rPr>
        <w:t>2</w:t>
      </w:r>
      <w:r>
        <w:rPr/>
        <w:t>、基金管理人可根据市场情况调整申购与赎回的有关数额限制，基金管理人应当依照</w:t>
      </w:r>
    </w:p>
    <w:p>
      <w:pPr>
        <w:pStyle w:val="BodyText"/>
        <w:spacing w:before="6"/>
        <w:rPr>
          <w:sz w:val="15"/>
        </w:rPr>
      </w:pPr>
    </w:p>
    <w:p>
      <w:pPr>
        <w:pStyle w:val="BodyText"/>
        <w:spacing w:before="1"/>
        <w:ind w:left="658"/>
      </w:pPr>
      <w:r>
        <w:rPr/>
        <w:t>《信息披露办法》的有关规定在指定媒介上公告。</w:t>
      </w:r>
    </w:p>
    <w:p>
      <w:pPr>
        <w:pStyle w:val="BodyText"/>
        <w:spacing w:before="6"/>
        <w:rPr>
          <w:sz w:val="15"/>
        </w:rPr>
      </w:pPr>
    </w:p>
    <w:p>
      <w:pPr>
        <w:pStyle w:val="BodyText"/>
        <w:spacing w:line="417" w:lineRule="auto"/>
        <w:ind w:left="658" w:right="1309" w:firstLine="419"/>
      </w:pPr>
      <w:r>
        <w:rPr>
          <w:rFonts w:ascii="Times New Roman" w:eastAsia="Times New Roman"/>
        </w:rPr>
        <w:t>3</w:t>
      </w:r>
      <w:r>
        <w:rPr>
          <w:spacing w:val="-7"/>
        </w:rPr>
        <w:t>、货币市场基金的申购有效份额按实际确认的申购金额，以人民币 </w:t>
      </w:r>
      <w:r>
        <w:rPr>
          <w:rFonts w:ascii="Times New Roman" w:eastAsia="Times New Roman"/>
        </w:rPr>
        <w:t>1.00 </w:t>
      </w:r>
      <w:r>
        <w:rPr>
          <w:spacing w:val="-3"/>
        </w:rPr>
        <w:t>元为基准计算并保留小数点后两位，小数点两位以后的部分舍去，舍去部分所代表的资产归基金所有。</w:t>
      </w:r>
    </w:p>
    <w:p>
      <w:pPr>
        <w:pStyle w:val="BodyText"/>
        <w:spacing w:line="417" w:lineRule="auto" w:before="1"/>
        <w:ind w:left="658" w:right="1311" w:firstLine="419"/>
      </w:pPr>
      <w:r>
        <w:rPr>
          <w:rFonts w:ascii="Times New Roman" w:eastAsia="Times New Roman"/>
        </w:rPr>
        <w:t>4</w:t>
      </w:r>
      <w:r>
        <w:rPr>
          <w:spacing w:val="-7"/>
        </w:rPr>
        <w:t>、货币市场基金的赎回金额按实际确认的有效赎回份额，以人民币 </w:t>
      </w:r>
      <w:r>
        <w:rPr>
          <w:rFonts w:ascii="Times New Roman" w:eastAsia="Times New Roman"/>
        </w:rPr>
        <w:t>1.00 </w:t>
      </w:r>
      <w:r>
        <w:rPr>
          <w:spacing w:val="-3"/>
        </w:rPr>
        <w:t>元为基准按四舍五入的方法计算并保留小数点后两位。</w:t>
      </w:r>
    </w:p>
    <w:p>
      <w:pPr>
        <w:pStyle w:val="BodyText"/>
        <w:spacing w:line="417" w:lineRule="auto"/>
        <w:ind w:left="658" w:right="1309" w:firstLine="419"/>
      </w:pPr>
      <w:r>
        <w:rPr>
          <w:rFonts w:ascii="Times New Roman" w:eastAsia="Times New Roman"/>
        </w:rPr>
        <w:t>5</w:t>
      </w:r>
      <w:r>
        <w:rPr/>
        <w:t>、基金管理人可以依照相关法律法规以及基金合同的约定，在特定市场条件下暂停或者拒绝接受一定金额以上的资金申购，具体以基金管理人的公告为准</w:t>
      </w:r>
    </w:p>
    <w:p>
      <w:pPr>
        <w:pStyle w:val="BodyText"/>
        <w:spacing w:line="417" w:lineRule="auto"/>
        <w:ind w:left="658" w:right="1309" w:firstLine="419"/>
        <w:jc w:val="both"/>
      </w:pPr>
      <w:r>
        <w:rPr>
          <w:rFonts w:ascii="Times New Roman" w:eastAsia="Times New Roman"/>
        </w:rPr>
        <w:t>6</w:t>
      </w:r>
      <w:r>
        <w:rPr>
          <w:spacing w:val="-3"/>
        </w:rPr>
        <w:t>、当接受货币市场基金的申购申请对存量基金份额持有人利益构成潜在重大不利影响</w:t>
      </w:r>
      <w:r>
        <w:rPr>
          <w:spacing w:val="-10"/>
        </w:rPr>
        <w:t>时，基金管理人应当采取设定单一投资者申购金额上限或基金单日净申购比例上限、拒绝大</w:t>
      </w:r>
      <w:r>
        <w:rPr>
          <w:spacing w:val="-12"/>
        </w:rPr>
        <w:t>额申购、暂停基金申购等措施，切实保护存量基金份额持有人的合法权益。基金管理人基于</w:t>
      </w:r>
      <w:r>
        <w:rPr>
          <w:spacing w:val="-11"/>
        </w:rPr>
        <w:t>投资运作与风险控制的需要，可采取上述措施对货币市场基金规模予以控制。具体请参见相</w:t>
      </w:r>
    </w:p>
    <w:p>
      <w:pPr>
        <w:spacing w:after="0" w:line="417" w:lineRule="auto"/>
        <w:jc w:val="both"/>
        <w:sectPr>
          <w:pgSz w:w="11910" w:h="16840"/>
          <w:pgMar w:header="852" w:footer="992" w:top="1220" w:bottom="1180" w:left="1140" w:right="480"/>
        </w:sectPr>
      </w:pPr>
    </w:p>
    <w:p>
      <w:pPr>
        <w:pStyle w:val="BodyText"/>
        <w:spacing w:before="1"/>
        <w:rPr>
          <w:sz w:val="19"/>
        </w:rPr>
      </w:pPr>
    </w:p>
    <w:p>
      <w:pPr>
        <w:pStyle w:val="BodyText"/>
        <w:spacing w:before="71"/>
        <w:ind w:left="658"/>
      </w:pPr>
      <w:r>
        <w:rPr/>
        <w:t>关公告。</w:t>
      </w:r>
    </w:p>
    <w:p>
      <w:pPr>
        <w:pStyle w:val="BodyText"/>
        <w:rPr>
          <w:sz w:val="20"/>
        </w:rPr>
      </w:pPr>
    </w:p>
    <w:p>
      <w:pPr>
        <w:pStyle w:val="BodyText"/>
        <w:rPr>
          <w:sz w:val="20"/>
        </w:rPr>
      </w:pPr>
    </w:p>
    <w:p>
      <w:pPr>
        <w:spacing w:before="155"/>
        <w:ind w:left="658" w:right="0" w:firstLine="0"/>
        <w:jc w:val="left"/>
        <w:rPr>
          <w:b/>
          <w:sz w:val="21"/>
        </w:rPr>
      </w:pPr>
      <w:r>
        <w:rPr>
          <w:b/>
          <w:sz w:val="21"/>
        </w:rPr>
        <w:t>（十六）货币市场基金申购份额、赎回金额的计算方式</w:t>
      </w:r>
    </w:p>
    <w:p>
      <w:pPr>
        <w:pStyle w:val="BodyText"/>
        <w:spacing w:before="6"/>
        <w:rPr>
          <w:b/>
          <w:sz w:val="15"/>
        </w:rPr>
      </w:pPr>
    </w:p>
    <w:p>
      <w:pPr>
        <w:pStyle w:val="BodyText"/>
        <w:spacing w:line="417" w:lineRule="auto"/>
        <w:ind w:left="1078" w:right="6664"/>
      </w:pPr>
      <w:r>
        <w:rPr>
          <w:rFonts w:ascii="Times New Roman" w:eastAsia="Times New Roman"/>
        </w:rPr>
        <w:t>1</w:t>
      </w:r>
      <w:r>
        <w:rPr/>
        <w:t>、基金申购份额的计算 申购份额</w:t>
      </w:r>
      <w:r>
        <w:rPr>
          <w:rFonts w:ascii="Times New Roman" w:eastAsia="Times New Roman"/>
        </w:rPr>
        <w:t>=</w:t>
      </w:r>
      <w:r>
        <w:rPr/>
        <w:t>申购金额</w:t>
      </w:r>
      <w:r>
        <w:rPr>
          <w:rFonts w:ascii="Times New Roman" w:eastAsia="Times New Roman"/>
        </w:rPr>
        <w:t>/1.00 </w:t>
      </w:r>
      <w:r>
        <w:rPr/>
        <w:t>元</w:t>
      </w:r>
    </w:p>
    <w:p>
      <w:pPr>
        <w:pStyle w:val="BodyText"/>
        <w:spacing w:line="269" w:lineRule="exact"/>
        <w:ind w:left="1078"/>
      </w:pPr>
      <w:r>
        <w:rPr/>
        <w:t>基金申购份额保留到小数点后两位。</w:t>
      </w:r>
    </w:p>
    <w:p>
      <w:pPr>
        <w:pStyle w:val="BodyText"/>
        <w:spacing w:before="7"/>
        <w:rPr>
          <w:sz w:val="15"/>
        </w:rPr>
      </w:pPr>
    </w:p>
    <w:p>
      <w:pPr>
        <w:pStyle w:val="BodyText"/>
        <w:ind w:left="1078"/>
      </w:pPr>
      <w:r>
        <w:rPr>
          <w:rFonts w:ascii="Times New Roman" w:eastAsia="Times New Roman"/>
        </w:rPr>
        <w:t>2</w:t>
      </w:r>
      <w:r>
        <w:rPr/>
        <w:t>、基金赎回金额的计算</w:t>
      </w:r>
    </w:p>
    <w:p>
      <w:pPr>
        <w:pStyle w:val="BodyText"/>
        <w:spacing w:before="7"/>
        <w:rPr>
          <w:sz w:val="15"/>
        </w:rPr>
      </w:pPr>
    </w:p>
    <w:p>
      <w:pPr>
        <w:pStyle w:val="BodyText"/>
        <w:spacing w:line="417" w:lineRule="auto" w:before="1"/>
        <w:ind w:left="658" w:right="1204" w:firstLine="419"/>
      </w:pPr>
      <w:r>
        <w:rPr/>
        <w:t>投资人在赎回基金份额时，基金份额对应的未付收益是否与赎回款一并支付给投资人， 以销售机构或指定电子交易平台的具体规定为准。</w:t>
      </w:r>
    </w:p>
    <w:p>
      <w:pPr>
        <w:pStyle w:val="ListParagraph"/>
        <w:numPr>
          <w:ilvl w:val="0"/>
          <w:numId w:val="16"/>
        </w:numPr>
        <w:tabs>
          <w:tab w:pos="1607" w:val="left" w:leader="none"/>
        </w:tabs>
        <w:spacing w:line="417" w:lineRule="auto" w:before="0" w:after="0"/>
        <w:ind w:left="658" w:right="1309" w:firstLine="419"/>
        <w:jc w:val="both"/>
        <w:rPr>
          <w:sz w:val="21"/>
        </w:rPr>
      </w:pPr>
      <w:r>
        <w:rPr>
          <w:spacing w:val="-3"/>
          <w:sz w:val="21"/>
        </w:rPr>
        <w:t>如销售机构或指定电子交易平台规定投资人在赎回基金份额时未付收益不与赎回</w:t>
      </w:r>
      <w:r>
        <w:rPr>
          <w:spacing w:val="-8"/>
          <w:sz w:val="21"/>
        </w:rPr>
        <w:t>份额对应的款项一并支付给投资人，未付收益将结转为份额后留存在投资人的基金账户。赎</w:t>
      </w:r>
      <w:r>
        <w:rPr>
          <w:spacing w:val="-5"/>
          <w:sz w:val="21"/>
        </w:rPr>
        <w:t>回金额的计算公式为：</w:t>
      </w:r>
    </w:p>
    <w:p>
      <w:pPr>
        <w:pStyle w:val="BodyText"/>
        <w:spacing w:line="269" w:lineRule="exact"/>
        <w:ind w:left="1078"/>
        <w:jc w:val="both"/>
      </w:pPr>
      <w:r>
        <w:rPr/>
        <w:t>赎回金额＝赎回份额×</w:t>
      </w:r>
      <w:r>
        <w:rPr>
          <w:rFonts w:ascii="Times New Roman" w:hAnsi="Times New Roman" w:eastAsia="Times New Roman"/>
        </w:rPr>
        <w:t>1.00 </w:t>
      </w:r>
      <w:r>
        <w:rPr/>
        <w:t>元</w:t>
      </w:r>
    </w:p>
    <w:p>
      <w:pPr>
        <w:pStyle w:val="BodyText"/>
        <w:spacing w:before="6"/>
        <w:rPr>
          <w:sz w:val="15"/>
        </w:rPr>
      </w:pPr>
    </w:p>
    <w:p>
      <w:pPr>
        <w:pStyle w:val="BodyText"/>
        <w:ind w:left="1078"/>
      </w:pPr>
      <w:r>
        <w:rPr/>
        <w:t>例</w:t>
      </w:r>
      <w:r>
        <w:rPr>
          <w:rFonts w:ascii="Times New Roman" w:hAnsi="Times New Roman" w:eastAsia="Times New Roman"/>
        </w:rPr>
        <w:t>:</w:t>
      </w:r>
      <w:r>
        <w:rPr/>
        <w:t>某投资人赎回本基金份额 </w:t>
      </w:r>
      <w:r>
        <w:rPr>
          <w:rFonts w:ascii="Times New Roman" w:hAnsi="Times New Roman" w:eastAsia="Times New Roman"/>
        </w:rPr>
        <w:t>10,000 </w:t>
      </w:r>
      <w:r>
        <w:rPr/>
        <w:t>份，则赎回金额＝</w:t>
      </w:r>
      <w:r>
        <w:rPr>
          <w:rFonts w:ascii="Times New Roman" w:hAnsi="Times New Roman" w:eastAsia="Times New Roman"/>
        </w:rPr>
        <w:t>10,000</w:t>
      </w:r>
      <w:r>
        <w:rPr/>
        <w:t>×</w:t>
      </w:r>
      <w:r>
        <w:rPr>
          <w:rFonts w:ascii="Times New Roman" w:hAnsi="Times New Roman" w:eastAsia="Times New Roman"/>
        </w:rPr>
        <w:t>1.00</w:t>
      </w:r>
      <w:r>
        <w:rPr/>
        <w:t>＝</w:t>
      </w:r>
      <w:r>
        <w:rPr>
          <w:rFonts w:ascii="Times New Roman" w:hAnsi="Times New Roman" w:eastAsia="Times New Roman"/>
        </w:rPr>
        <w:t>10,000 </w:t>
      </w:r>
      <w:r>
        <w:rPr/>
        <w:t>元</w:t>
      </w:r>
    </w:p>
    <w:p>
      <w:pPr>
        <w:pStyle w:val="BodyText"/>
        <w:spacing w:before="7"/>
        <w:rPr>
          <w:sz w:val="15"/>
        </w:rPr>
      </w:pPr>
    </w:p>
    <w:p>
      <w:pPr>
        <w:pStyle w:val="ListParagraph"/>
        <w:numPr>
          <w:ilvl w:val="0"/>
          <w:numId w:val="16"/>
        </w:numPr>
        <w:tabs>
          <w:tab w:pos="1607" w:val="left" w:leader="none"/>
        </w:tabs>
        <w:spacing w:line="417" w:lineRule="auto" w:before="0" w:after="0"/>
        <w:ind w:left="658" w:right="1309" w:firstLine="419"/>
        <w:jc w:val="both"/>
        <w:rPr>
          <w:sz w:val="21"/>
        </w:rPr>
      </w:pPr>
      <w:r>
        <w:rPr>
          <w:spacing w:val="-4"/>
          <w:sz w:val="21"/>
        </w:rPr>
        <w:t>如销售机构或指定电子交易平台规定投资人在赎回基金份额时将按比例结转的未</w:t>
      </w:r>
      <w:r>
        <w:rPr>
          <w:spacing w:val="-7"/>
          <w:sz w:val="21"/>
        </w:rPr>
        <w:t>付收益一并结算并与赎回份额对应的款项一并支付给投资人，赎回金额包括赎回份额对应的</w:t>
      </w:r>
      <w:r>
        <w:rPr>
          <w:spacing w:val="-5"/>
          <w:sz w:val="21"/>
        </w:rPr>
        <w:t>款项和未付收益两部分：</w:t>
      </w:r>
    </w:p>
    <w:p>
      <w:pPr>
        <w:pStyle w:val="BodyText"/>
        <w:spacing w:line="269" w:lineRule="exact"/>
        <w:ind w:left="1078"/>
      </w:pPr>
      <w:r>
        <w:rPr/>
        <w:t>赎回金额</w:t>
      </w:r>
      <w:r>
        <w:rPr>
          <w:rFonts w:ascii="Times New Roman" w:hAnsi="Times New Roman" w:eastAsia="Times New Roman"/>
        </w:rPr>
        <w:t>=</w:t>
      </w:r>
      <w:r>
        <w:rPr/>
        <w:t>赎回份额×</w:t>
      </w:r>
      <w:r>
        <w:rPr>
          <w:rFonts w:ascii="Times New Roman" w:hAnsi="Times New Roman" w:eastAsia="Times New Roman"/>
        </w:rPr>
        <w:t>1.00+</w:t>
      </w:r>
      <w:r>
        <w:rPr/>
        <w:t>对应未付收益</w:t>
      </w:r>
    </w:p>
    <w:p>
      <w:pPr>
        <w:pStyle w:val="BodyText"/>
        <w:spacing w:before="7"/>
        <w:rPr>
          <w:sz w:val="15"/>
        </w:rPr>
      </w:pPr>
    </w:p>
    <w:p>
      <w:pPr>
        <w:pStyle w:val="BodyText"/>
        <w:ind w:left="1078"/>
        <w:jc w:val="both"/>
      </w:pPr>
      <w:r>
        <w:rPr/>
        <w:t>① 全部赎回和特殊部分赎回</w:t>
      </w:r>
    </w:p>
    <w:p>
      <w:pPr>
        <w:pStyle w:val="BodyText"/>
        <w:spacing w:before="6"/>
        <w:rPr>
          <w:sz w:val="15"/>
        </w:rPr>
      </w:pPr>
    </w:p>
    <w:p>
      <w:pPr>
        <w:pStyle w:val="BodyText"/>
        <w:spacing w:line="417" w:lineRule="auto" w:before="1"/>
        <w:ind w:left="658" w:right="1308" w:firstLine="419"/>
        <w:jc w:val="both"/>
      </w:pPr>
      <w:r>
        <w:rPr>
          <w:spacing w:val="-5"/>
        </w:rPr>
        <w:t>投资者全部赎回基金份额时，按 </w:t>
      </w:r>
      <w:r>
        <w:rPr>
          <w:rFonts w:ascii="Times New Roman" w:eastAsia="Times New Roman"/>
        </w:rPr>
        <w:t>100%</w:t>
      </w:r>
      <w:r>
        <w:rPr>
          <w:spacing w:val="-3"/>
        </w:rPr>
        <w:t>比例结转未付收益并赎回；投资者部分赎回基金份额时，如其该笔赎回完成后剩余的基金份额按照每份 </w:t>
      </w:r>
      <w:r>
        <w:rPr>
          <w:rFonts w:ascii="Times New Roman" w:eastAsia="Times New Roman"/>
        </w:rPr>
        <w:t>1.00  </w:t>
      </w:r>
      <w:r>
        <w:rPr>
          <w:spacing w:val="-3"/>
        </w:rPr>
        <w:t>元为基准计算的价值不足以弥</w:t>
      </w:r>
      <w:r>
        <w:rPr>
          <w:spacing w:val="-8"/>
        </w:rPr>
        <w:t>补其账户中累计至该日的未付收益负值时，则将自动按部分赎回份额占投资者账户总份额的</w:t>
      </w:r>
      <w:r>
        <w:rPr>
          <w:spacing w:val="-5"/>
        </w:rPr>
        <w:t>比例结转当前未付收益并赎回。</w:t>
      </w:r>
    </w:p>
    <w:p>
      <w:pPr>
        <w:pStyle w:val="BodyText"/>
        <w:spacing w:line="417" w:lineRule="auto"/>
        <w:ind w:left="658" w:right="1308" w:firstLine="419"/>
        <w:jc w:val="both"/>
      </w:pPr>
      <w:r>
        <w:rPr>
          <w:w w:val="100"/>
        </w:rPr>
        <w:t>例</w:t>
      </w:r>
      <w:r>
        <w:rPr>
          <w:rFonts w:ascii="Times New Roman" w:eastAsia="Times New Roman"/>
          <w:w w:val="100"/>
        </w:rPr>
        <w:t>:</w:t>
      </w:r>
      <w:r>
        <w:rPr>
          <w:rFonts w:ascii="Times New Roman" w:eastAsia="Times New Roman"/>
          <w:spacing w:val="-1"/>
        </w:rPr>
        <w:t>  </w:t>
      </w:r>
      <w:r>
        <w:rPr>
          <w:spacing w:val="3"/>
          <w:w w:val="100"/>
        </w:rPr>
        <w:t>投资者持有本基金</w:t>
      </w:r>
      <w:r>
        <w:rPr>
          <w:rFonts w:ascii="Times New Roman" w:eastAsia="Times New Roman"/>
          <w:w w:val="100"/>
        </w:rPr>
        <w:t>A</w:t>
      </w:r>
      <w:r>
        <w:rPr>
          <w:rFonts w:ascii="Times New Roman" w:eastAsia="Times New Roman"/>
        </w:rPr>
        <w:t> </w:t>
      </w:r>
      <w:r>
        <w:rPr>
          <w:spacing w:val="-2"/>
          <w:w w:val="100"/>
        </w:rPr>
        <w:t>类份额</w:t>
      </w:r>
      <w:r>
        <w:rPr>
          <w:spacing w:val="-53"/>
        </w:rPr>
        <w:t> </w:t>
      </w:r>
      <w:r>
        <w:rPr>
          <w:rFonts w:ascii="Times New Roman" w:eastAsia="Times New Roman"/>
          <w:w w:val="100"/>
        </w:rPr>
        <w:t>10</w:t>
      </w:r>
      <w:r>
        <w:rPr>
          <w:rFonts w:ascii="Times New Roman" w:eastAsia="Times New Roman"/>
        </w:rPr>
        <w:t> </w:t>
      </w:r>
      <w:r>
        <w:rPr>
          <w:spacing w:val="-14"/>
          <w:w w:val="100"/>
        </w:rPr>
        <w:t>万份，未付收益为</w:t>
      </w:r>
      <w:r>
        <w:rPr>
          <w:rFonts w:ascii="Times New Roman" w:eastAsia="Times New Roman"/>
          <w:spacing w:val="-4"/>
          <w:w w:val="100"/>
        </w:rPr>
        <w:t>-</w:t>
      </w:r>
      <w:r>
        <w:rPr>
          <w:rFonts w:ascii="Times New Roman" w:eastAsia="Times New Roman"/>
          <w:w w:val="100"/>
        </w:rPr>
        <w:t>1,000</w:t>
      </w:r>
      <w:r>
        <w:rPr>
          <w:rFonts w:ascii="Times New Roman" w:eastAsia="Times New Roman"/>
        </w:rPr>
        <w:t> </w:t>
      </w:r>
      <w:r>
        <w:rPr>
          <w:spacing w:val="-47"/>
          <w:w w:val="100"/>
        </w:rPr>
        <w:t>元，</w:t>
      </w:r>
      <w:r>
        <w:rPr>
          <w:rFonts w:ascii="Times New Roman" w:eastAsia="Times New Roman"/>
          <w:w w:val="100"/>
        </w:rPr>
        <w:t>T</w:t>
      </w:r>
      <w:r>
        <w:rPr>
          <w:rFonts w:ascii="Times New Roman" w:eastAsia="Times New Roman"/>
        </w:rPr>
        <w:t> </w:t>
      </w:r>
      <w:r>
        <w:rPr>
          <w:spacing w:val="-3"/>
          <w:w w:val="100"/>
        </w:rPr>
        <w:t>日该投资者赎回</w:t>
      </w:r>
      <w:r>
        <w:rPr>
          <w:spacing w:val="-3"/>
        </w:rPr>
        <w:t> </w:t>
      </w:r>
      <w:r>
        <w:rPr>
          <w:rFonts w:ascii="Times New Roman" w:eastAsia="Times New Roman"/>
          <w:spacing w:val="-3"/>
          <w:w w:val="100"/>
        </w:rPr>
        <w:t>99</w:t>
      </w:r>
      <w:r>
        <w:rPr>
          <w:w w:val="100"/>
        </w:rPr>
        <w:t>， </w:t>
      </w:r>
      <w:r>
        <w:rPr>
          <w:rFonts w:ascii="Times New Roman" w:eastAsia="Times New Roman"/>
        </w:rPr>
        <w:t>900 </w:t>
      </w:r>
      <w:r>
        <w:rPr>
          <w:spacing w:val="-12"/>
        </w:rPr>
        <w:t>份，此时，该投资者部分赎回其持有的基金份额，赎回后剩余 </w:t>
      </w:r>
      <w:r>
        <w:rPr>
          <w:rFonts w:ascii="Times New Roman" w:eastAsia="Times New Roman"/>
        </w:rPr>
        <w:t>100 </w:t>
      </w:r>
      <w:r>
        <w:rPr>
          <w:spacing w:val="-16"/>
        </w:rPr>
        <w:t>份，按照 </w:t>
      </w:r>
      <w:r>
        <w:rPr>
          <w:rFonts w:ascii="Times New Roman" w:eastAsia="Times New Roman"/>
        </w:rPr>
        <w:t>1.00 </w:t>
      </w:r>
      <w:r>
        <w:rPr>
          <w:spacing w:val="-2"/>
        </w:rPr>
        <w:t>元人民</w:t>
      </w:r>
      <w:r>
        <w:rPr>
          <w:spacing w:val="-3"/>
        </w:rPr>
        <w:t>币为基准计算的价值不足以弥补其累计至该日的未付收益</w:t>
      </w:r>
      <w:r>
        <w:rPr>
          <w:rFonts w:ascii="Times New Roman" w:eastAsia="Times New Roman"/>
        </w:rPr>
        <w:t>-1,000 </w:t>
      </w:r>
      <w:r>
        <w:rPr>
          <w:spacing w:val="-3"/>
        </w:rPr>
        <w:t>元，</w:t>
      </w:r>
    </w:p>
    <w:p>
      <w:pPr>
        <w:pStyle w:val="BodyText"/>
        <w:spacing w:line="417" w:lineRule="auto"/>
        <w:ind w:left="1078" w:right="3123"/>
      </w:pPr>
      <w:r>
        <w:rPr/>
        <w:t>则赎回份额对应的累计收益＝</w:t>
      </w:r>
      <w:r>
        <w:rPr>
          <w:rFonts w:ascii="Times New Roman" w:hAnsi="Times New Roman" w:eastAsia="Times New Roman"/>
        </w:rPr>
        <w:t>-1,000</w:t>
      </w:r>
      <w:r>
        <w:rPr/>
        <w:t>×（</w:t>
      </w:r>
      <w:r>
        <w:rPr>
          <w:rFonts w:ascii="Times New Roman" w:hAnsi="Times New Roman" w:eastAsia="Times New Roman"/>
        </w:rPr>
        <w:t>99,900/100,000</w:t>
      </w:r>
      <w:r>
        <w:rPr/>
        <w:t>）＝</w:t>
      </w:r>
      <w:r>
        <w:rPr>
          <w:rFonts w:ascii="Times New Roman" w:hAnsi="Times New Roman" w:eastAsia="Times New Roman"/>
        </w:rPr>
        <w:t>-999 </w:t>
      </w:r>
      <w:r>
        <w:rPr/>
        <w:t>元赎回金额＝</w:t>
      </w:r>
      <w:r>
        <w:rPr>
          <w:rFonts w:ascii="Times New Roman" w:hAnsi="Times New Roman" w:eastAsia="Times New Roman"/>
        </w:rPr>
        <w:t>99,900</w:t>
      </w:r>
      <w:r>
        <w:rPr/>
        <w:t>×</w:t>
      </w:r>
      <w:r>
        <w:rPr>
          <w:rFonts w:ascii="Times New Roman" w:hAnsi="Times New Roman" w:eastAsia="Times New Roman"/>
        </w:rPr>
        <w:t>1.00</w:t>
      </w:r>
      <w:r>
        <w:rPr/>
        <w:t>－</w:t>
      </w:r>
      <w:r>
        <w:rPr>
          <w:rFonts w:ascii="Times New Roman" w:hAnsi="Times New Roman" w:eastAsia="Times New Roman"/>
        </w:rPr>
        <w:t>999</w:t>
      </w:r>
      <w:r>
        <w:rPr/>
        <w:t>＝</w:t>
      </w:r>
      <w:r>
        <w:rPr>
          <w:rFonts w:ascii="Times New Roman" w:hAnsi="Times New Roman" w:eastAsia="Times New Roman"/>
        </w:rPr>
        <w:t>98,901.00 </w:t>
      </w:r>
      <w:r>
        <w:rPr/>
        <w:t>元</w:t>
      </w:r>
    </w:p>
    <w:p>
      <w:pPr>
        <w:pStyle w:val="BodyText"/>
        <w:ind w:left="1078"/>
        <w:jc w:val="both"/>
      </w:pPr>
      <w:r>
        <w:rPr/>
        <w:t>② 其他情况的部分赎回</w:t>
      </w:r>
    </w:p>
    <w:p>
      <w:pPr>
        <w:pStyle w:val="BodyText"/>
        <w:spacing w:before="6"/>
        <w:rPr>
          <w:sz w:val="15"/>
        </w:rPr>
      </w:pPr>
    </w:p>
    <w:p>
      <w:pPr>
        <w:pStyle w:val="BodyText"/>
        <w:ind w:left="1078"/>
      </w:pPr>
      <w:r>
        <w:rPr/>
        <w:t>投资者部分赎回基金份额时，如其账户中的未付收益为正或该笔赎回完成后剩余的基金</w:t>
      </w:r>
    </w:p>
    <w:p>
      <w:pPr>
        <w:spacing w:after="0"/>
        <w:sectPr>
          <w:pgSz w:w="11910" w:h="16840"/>
          <w:pgMar w:header="852" w:footer="992" w:top="1220" w:bottom="1180" w:left="1140" w:right="480"/>
        </w:sectPr>
      </w:pPr>
    </w:p>
    <w:p>
      <w:pPr>
        <w:pStyle w:val="BodyText"/>
        <w:spacing w:before="7"/>
        <w:rPr>
          <w:sz w:val="18"/>
        </w:rPr>
      </w:pPr>
    </w:p>
    <w:p>
      <w:pPr>
        <w:pStyle w:val="BodyText"/>
        <w:spacing w:line="417" w:lineRule="auto" w:before="78"/>
        <w:ind w:left="658" w:right="1309"/>
        <w:jc w:val="both"/>
      </w:pPr>
      <w:r>
        <w:rPr>
          <w:spacing w:val="-2"/>
        </w:rPr>
        <w:t>份额按照每份 </w:t>
      </w:r>
      <w:r>
        <w:rPr>
          <w:rFonts w:ascii="Times New Roman" w:eastAsia="Times New Roman"/>
        </w:rPr>
        <w:t>1.00  </w:t>
      </w:r>
      <w:r>
        <w:rPr>
          <w:spacing w:val="-3"/>
        </w:rPr>
        <w:t>元为基准计算的价值足以弥补其累计至该日的未付收益负值时，未付收</w:t>
      </w:r>
      <w:r>
        <w:rPr>
          <w:spacing w:val="-20"/>
        </w:rPr>
        <w:t>益为 </w:t>
      </w:r>
      <w:r>
        <w:rPr>
          <w:rFonts w:ascii="Times New Roman" w:eastAsia="Times New Roman"/>
          <w:spacing w:val="-3"/>
        </w:rPr>
        <w:t>0</w:t>
      </w:r>
      <w:r>
        <w:rPr/>
        <w:t>。</w:t>
      </w:r>
    </w:p>
    <w:p>
      <w:pPr>
        <w:pStyle w:val="BodyText"/>
        <w:spacing w:line="417" w:lineRule="auto"/>
        <w:ind w:left="658" w:right="1309" w:firstLine="419"/>
        <w:jc w:val="both"/>
      </w:pPr>
      <w:r>
        <w:rPr/>
        <w:t>例</w:t>
      </w:r>
      <w:r>
        <w:rPr>
          <w:rFonts w:ascii="Times New Roman" w:eastAsia="Times New Roman"/>
        </w:rPr>
        <w:t>:</w:t>
      </w:r>
      <w:r>
        <w:rPr>
          <w:spacing w:val="2"/>
        </w:rPr>
        <w:t>投资者持有本基金份额</w:t>
      </w:r>
      <w:r>
        <w:rPr>
          <w:rFonts w:ascii="Times New Roman" w:eastAsia="Times New Roman"/>
        </w:rPr>
        <w:t>A </w:t>
      </w:r>
      <w:r>
        <w:rPr>
          <w:spacing w:val="-13"/>
        </w:rPr>
        <w:t>类份额 </w:t>
      </w:r>
      <w:r>
        <w:rPr>
          <w:rFonts w:ascii="Times New Roman" w:eastAsia="Times New Roman"/>
          <w:spacing w:val="-5"/>
        </w:rPr>
        <w:t>100</w:t>
      </w:r>
      <w:r>
        <w:rPr>
          <w:spacing w:val="-5"/>
        </w:rPr>
        <w:t>，</w:t>
      </w:r>
      <w:r>
        <w:rPr>
          <w:rFonts w:ascii="Times New Roman" w:eastAsia="Times New Roman"/>
          <w:spacing w:val="-5"/>
        </w:rPr>
        <w:t>000 </w:t>
      </w:r>
      <w:r>
        <w:rPr>
          <w:spacing w:val="-7"/>
        </w:rPr>
        <w:t>份，未付收益为</w:t>
      </w:r>
      <w:r>
        <w:rPr>
          <w:rFonts w:ascii="Times New Roman" w:eastAsia="Times New Roman"/>
        </w:rPr>
        <w:t>-100 </w:t>
      </w:r>
      <w:r>
        <w:rPr>
          <w:spacing w:val="-8"/>
        </w:rPr>
        <w:t>元，</w:t>
      </w:r>
      <w:r>
        <w:rPr>
          <w:rFonts w:ascii="Times New Roman" w:eastAsia="Times New Roman"/>
          <w:spacing w:val="-15"/>
        </w:rPr>
        <w:t>T </w:t>
      </w:r>
      <w:r>
        <w:rPr>
          <w:spacing w:val="-3"/>
        </w:rPr>
        <w:t>日该投资者赎</w:t>
      </w:r>
      <w:r>
        <w:rPr>
          <w:spacing w:val="-23"/>
        </w:rPr>
        <w:t>回 </w:t>
      </w:r>
      <w:r>
        <w:rPr>
          <w:rFonts w:ascii="Times New Roman" w:eastAsia="Times New Roman"/>
        </w:rPr>
        <w:t>5 </w:t>
      </w:r>
      <w:r>
        <w:rPr>
          <w:spacing w:val="-12"/>
        </w:rPr>
        <w:t>万份，此时，该投资者部分赎回其持有的基金份额，赎回后剩余 </w:t>
      </w:r>
      <w:r>
        <w:rPr>
          <w:rFonts w:ascii="Times New Roman" w:eastAsia="Times New Roman"/>
        </w:rPr>
        <w:t>5 </w:t>
      </w:r>
      <w:r>
        <w:rPr>
          <w:spacing w:val="-7"/>
        </w:rPr>
        <w:t>万份，足以弥补其累</w:t>
      </w:r>
      <w:r>
        <w:rPr>
          <w:spacing w:val="21"/>
        </w:rPr>
        <w:t>计至</w:t>
      </w:r>
      <w:r>
        <w:rPr>
          <w:rFonts w:ascii="Times New Roman" w:eastAsia="Times New Roman"/>
        </w:rPr>
        <w:t>T </w:t>
      </w:r>
      <w:r>
        <w:rPr>
          <w:spacing w:val="-3"/>
        </w:rPr>
        <w:t>日的未付收益</w:t>
      </w:r>
      <w:r>
        <w:rPr>
          <w:rFonts w:ascii="Times New Roman" w:eastAsia="Times New Roman"/>
        </w:rPr>
        <w:t>-100 </w:t>
      </w:r>
      <w:r>
        <w:rPr/>
        <w:t>元，</w:t>
      </w:r>
    </w:p>
    <w:p>
      <w:pPr>
        <w:pStyle w:val="BodyText"/>
        <w:spacing w:line="269" w:lineRule="exact"/>
        <w:ind w:left="1078"/>
        <w:jc w:val="both"/>
      </w:pPr>
      <w:r>
        <w:rPr/>
        <w:t>则其可得到的赎回金额为：赎回金额＝</w:t>
      </w:r>
      <w:r>
        <w:rPr>
          <w:rFonts w:ascii="Times New Roman" w:hAnsi="Times New Roman" w:eastAsia="Times New Roman"/>
        </w:rPr>
        <w:t>50,000</w:t>
      </w:r>
      <w:r>
        <w:rPr/>
        <w:t>×</w:t>
      </w:r>
      <w:r>
        <w:rPr>
          <w:rFonts w:ascii="Times New Roman" w:hAnsi="Times New Roman" w:eastAsia="Times New Roman"/>
        </w:rPr>
        <w:t>1.00+0</w:t>
      </w:r>
      <w:r>
        <w:rPr/>
        <w:t>＝</w:t>
      </w:r>
      <w:r>
        <w:rPr>
          <w:rFonts w:ascii="Times New Roman" w:hAnsi="Times New Roman" w:eastAsia="Times New Roman"/>
        </w:rPr>
        <w:t>50,000 </w:t>
      </w:r>
      <w:r>
        <w:rPr/>
        <w:t>元</w:t>
      </w:r>
    </w:p>
    <w:p>
      <w:pPr>
        <w:pStyle w:val="BodyText"/>
        <w:rPr>
          <w:sz w:val="22"/>
        </w:rPr>
      </w:pPr>
    </w:p>
    <w:p>
      <w:pPr>
        <w:pStyle w:val="BodyText"/>
        <w:spacing w:before="1"/>
        <w:rPr>
          <w:sz w:val="30"/>
        </w:rPr>
      </w:pPr>
    </w:p>
    <w:p>
      <w:pPr>
        <w:spacing w:before="0"/>
        <w:ind w:left="658" w:right="0" w:firstLine="0"/>
        <w:jc w:val="left"/>
        <w:rPr>
          <w:b/>
          <w:sz w:val="21"/>
        </w:rPr>
      </w:pPr>
      <w:r>
        <w:rPr>
          <w:b/>
          <w:sz w:val="21"/>
        </w:rPr>
        <w:t>（十七）货币市场基金暂停申购和暂停赎回或延缓支付赎回款项相关公告的特别规定</w:t>
      </w:r>
    </w:p>
    <w:p>
      <w:pPr>
        <w:pStyle w:val="BodyText"/>
        <w:spacing w:before="7"/>
        <w:rPr>
          <w:b/>
          <w:sz w:val="15"/>
        </w:rPr>
      </w:pPr>
    </w:p>
    <w:p>
      <w:pPr>
        <w:pStyle w:val="BodyText"/>
        <w:spacing w:line="417" w:lineRule="auto"/>
        <w:ind w:left="658" w:right="1203" w:firstLine="419"/>
      </w:pPr>
      <w:r>
        <w:rPr>
          <w:spacing w:val="-10"/>
        </w:rPr>
        <w:t>发生暂停申购和暂停赎回或延缓支付赎回款项情况的，基金管理人依照《信息披露办法》</w:t>
      </w:r>
      <w:r>
        <w:rPr>
          <w:spacing w:val="-5"/>
        </w:rPr>
        <w:t>的有关规定在中国证监会指定媒介上刊登暂停公告。</w:t>
      </w:r>
    </w:p>
    <w:p>
      <w:pPr>
        <w:pStyle w:val="BodyText"/>
        <w:spacing w:line="417" w:lineRule="auto"/>
        <w:ind w:left="658" w:right="1308" w:firstLine="419"/>
        <w:jc w:val="both"/>
      </w:pPr>
      <w:r>
        <w:rPr>
          <w:spacing w:val="-8"/>
        </w:rPr>
        <w:t>暂停结束基金重新开放申购或赎回时，基金管理人应当依照《信息披露办法》的有关规</w:t>
      </w:r>
      <w:r>
        <w:rPr>
          <w:spacing w:val="-11"/>
        </w:rPr>
        <w:t>定，在中国证监会指定媒介上刊登基金重新开放申购或赎回公告，并在重新开放申购或赎回</w:t>
      </w:r>
      <w:r>
        <w:rPr>
          <w:spacing w:val="-6"/>
        </w:rPr>
        <w:t>日公告最近一个工作日货币市场基金的每万份基金净收益和七日年化收益率。</w:t>
      </w:r>
    </w:p>
    <w:p>
      <w:pPr>
        <w:spacing w:after="0" w:line="417" w:lineRule="auto"/>
        <w:jc w:val="both"/>
        <w:sectPr>
          <w:pgSz w:w="11910" w:h="16840"/>
          <w:pgMar w:header="852" w:footer="992" w:top="1220" w:bottom="1180" w:left="1140" w:right="480"/>
        </w:sectPr>
      </w:pPr>
    </w:p>
    <w:p>
      <w:pPr>
        <w:pStyle w:val="BodyText"/>
        <w:spacing w:before="11"/>
        <w:rPr>
          <w:sz w:val="17"/>
        </w:rPr>
      </w:pPr>
    </w:p>
    <w:p>
      <w:pPr>
        <w:pStyle w:val="Heading1"/>
        <w:spacing w:before="66"/>
        <w:ind w:left="1902" w:right="2558"/>
        <w:jc w:val="center"/>
      </w:pPr>
      <w:bookmarkStart w:name="_bookmark11" w:id="12"/>
      <w:bookmarkEnd w:id="12"/>
      <w:r>
        <w:rPr>
          <w:b w:val="0"/>
        </w:rPr>
      </w:r>
      <w:r>
        <w:rPr/>
        <w:t>八、基金的转换</w:t>
      </w:r>
    </w:p>
    <w:p>
      <w:pPr>
        <w:pStyle w:val="BodyText"/>
        <w:rPr>
          <w:b/>
          <w:sz w:val="20"/>
        </w:rPr>
      </w:pPr>
    </w:p>
    <w:p>
      <w:pPr>
        <w:pStyle w:val="BodyText"/>
        <w:spacing w:before="1"/>
        <w:rPr>
          <w:b/>
          <w:sz w:val="25"/>
        </w:rPr>
      </w:pPr>
    </w:p>
    <w:p>
      <w:pPr>
        <w:spacing w:before="72"/>
        <w:ind w:left="658" w:right="0" w:firstLine="0"/>
        <w:jc w:val="left"/>
        <w:rPr>
          <w:b/>
          <w:sz w:val="21"/>
        </w:rPr>
      </w:pPr>
      <w:r>
        <w:rPr>
          <w:b/>
          <w:sz w:val="21"/>
        </w:rPr>
        <w:t>（一）转换的开放日及开放时间</w:t>
      </w:r>
    </w:p>
    <w:p>
      <w:pPr>
        <w:pStyle w:val="BodyText"/>
        <w:spacing w:before="6"/>
        <w:rPr>
          <w:b/>
          <w:sz w:val="15"/>
        </w:rPr>
      </w:pPr>
    </w:p>
    <w:p>
      <w:pPr>
        <w:pStyle w:val="BodyText"/>
        <w:spacing w:line="417" w:lineRule="auto" w:before="1"/>
        <w:ind w:left="658" w:right="1208" w:firstLine="419"/>
      </w:pPr>
      <w:r>
        <w:rPr>
          <w:spacing w:val="-9"/>
        </w:rPr>
        <w:t>本系列基金已于 </w:t>
      </w:r>
      <w:r>
        <w:rPr>
          <w:rFonts w:ascii="Times New Roman" w:eastAsia="Times New Roman"/>
        </w:rPr>
        <w:t>2003 </w:t>
      </w:r>
      <w:r>
        <w:rPr>
          <w:spacing w:val="-25"/>
        </w:rPr>
        <w:t>年 </w:t>
      </w:r>
      <w:r>
        <w:rPr>
          <w:rFonts w:ascii="Times New Roman" w:eastAsia="Times New Roman"/>
        </w:rPr>
        <w:t>12 </w:t>
      </w:r>
      <w:r>
        <w:rPr>
          <w:spacing w:val="-25"/>
        </w:rPr>
        <w:t>月 </w:t>
      </w:r>
      <w:r>
        <w:rPr>
          <w:rFonts w:ascii="Times New Roman" w:eastAsia="Times New Roman"/>
        </w:rPr>
        <w:t>5 </w:t>
      </w:r>
      <w:r>
        <w:rPr>
          <w:spacing w:val="-7"/>
        </w:rPr>
        <w:t>日起开始办理转换业务，于 </w:t>
      </w:r>
      <w:r>
        <w:rPr>
          <w:rFonts w:ascii="Times New Roman" w:eastAsia="Times New Roman"/>
        </w:rPr>
        <w:t>2009 </w:t>
      </w:r>
      <w:r>
        <w:rPr>
          <w:spacing w:val="-25"/>
        </w:rPr>
        <w:t>年 </w:t>
      </w:r>
      <w:r>
        <w:rPr>
          <w:rFonts w:ascii="Times New Roman" w:eastAsia="Times New Roman"/>
        </w:rPr>
        <w:t>10 </w:t>
      </w:r>
      <w:r>
        <w:rPr>
          <w:spacing w:val="-25"/>
        </w:rPr>
        <w:t>月 </w:t>
      </w:r>
      <w:r>
        <w:rPr>
          <w:rFonts w:ascii="Times New Roman" w:eastAsia="Times New Roman"/>
        </w:rPr>
        <w:t>30 </w:t>
      </w:r>
      <w:r>
        <w:rPr>
          <w:spacing w:val="-1"/>
        </w:rPr>
        <w:t>日调整了</w:t>
      </w:r>
      <w:r>
        <w:rPr>
          <w:spacing w:val="-3"/>
        </w:rPr>
        <w:t>转换业务规则，并于当日开通了本系列基金与本公司旗下部分基金产品间的相互转换业务。</w:t>
      </w:r>
    </w:p>
    <w:p>
      <w:pPr>
        <w:pStyle w:val="BodyText"/>
        <w:spacing w:line="417" w:lineRule="auto"/>
        <w:ind w:left="658" w:right="1310" w:firstLine="419"/>
      </w:pPr>
      <w:r>
        <w:rPr>
          <w:spacing w:val="-8"/>
        </w:rPr>
        <w:t>本系列基金转换的开放日为证券交易所交易日，在开放日的具体业务办理时间由基金管</w:t>
      </w:r>
      <w:r>
        <w:rPr>
          <w:spacing w:val="-5"/>
        </w:rPr>
        <w:t>理人与销售代理人约定。</w:t>
      </w:r>
    </w:p>
    <w:p>
      <w:pPr>
        <w:pStyle w:val="BodyText"/>
        <w:spacing w:line="417" w:lineRule="auto"/>
        <w:ind w:left="658" w:right="1311" w:firstLine="419"/>
      </w:pPr>
      <w:r>
        <w:rPr>
          <w:spacing w:val="-8"/>
        </w:rPr>
        <w:t>基金管理人如果对转换时间进行调整，基金管理人应当依照《信息披露办法》的有关规</w:t>
      </w:r>
      <w:r>
        <w:rPr>
          <w:spacing w:val="-5"/>
        </w:rPr>
        <w:t>定在指定媒介上公告。</w:t>
      </w:r>
    </w:p>
    <w:p>
      <w:pPr>
        <w:pStyle w:val="BodyText"/>
        <w:rPr>
          <w:sz w:val="20"/>
        </w:rPr>
      </w:pPr>
    </w:p>
    <w:p>
      <w:pPr>
        <w:pStyle w:val="BodyText"/>
        <w:spacing w:before="6"/>
        <w:rPr>
          <w:sz w:val="16"/>
        </w:rPr>
      </w:pPr>
    </w:p>
    <w:p>
      <w:pPr>
        <w:spacing w:before="0"/>
        <w:ind w:left="658" w:right="0" w:firstLine="0"/>
        <w:jc w:val="left"/>
        <w:rPr>
          <w:b/>
          <w:sz w:val="21"/>
        </w:rPr>
      </w:pPr>
      <w:r>
        <w:rPr>
          <w:b/>
          <w:sz w:val="21"/>
        </w:rPr>
        <w:t>（二）转换的原则</w:t>
      </w:r>
    </w:p>
    <w:p>
      <w:pPr>
        <w:pStyle w:val="BodyText"/>
        <w:spacing w:before="6"/>
        <w:rPr>
          <w:b/>
          <w:sz w:val="15"/>
        </w:rPr>
      </w:pPr>
    </w:p>
    <w:p>
      <w:pPr>
        <w:pStyle w:val="BodyText"/>
        <w:spacing w:before="1"/>
        <w:ind w:left="1078"/>
      </w:pPr>
      <w:r>
        <w:rPr/>
        <w:t>1、“未知价”原则，即转换价格以申请当日的基金份额净值为基准进行计算；</w:t>
      </w:r>
    </w:p>
    <w:p>
      <w:pPr>
        <w:pStyle w:val="BodyText"/>
        <w:spacing w:before="6"/>
        <w:rPr>
          <w:sz w:val="15"/>
        </w:rPr>
      </w:pPr>
    </w:p>
    <w:p>
      <w:pPr>
        <w:pStyle w:val="BodyText"/>
        <w:ind w:left="1078"/>
      </w:pPr>
      <w:r>
        <w:rPr/>
        <w:t>2、“份额转换”原则，即转换以持有的基金份额申请；</w:t>
      </w:r>
    </w:p>
    <w:p>
      <w:pPr>
        <w:pStyle w:val="BodyText"/>
        <w:spacing w:before="7"/>
        <w:rPr>
          <w:sz w:val="15"/>
        </w:rPr>
      </w:pPr>
    </w:p>
    <w:p>
      <w:pPr>
        <w:pStyle w:val="BodyText"/>
        <w:spacing w:line="417" w:lineRule="auto"/>
        <w:ind w:left="658" w:right="1308" w:firstLine="419"/>
      </w:pPr>
      <w:r>
        <w:rPr/>
        <w:t>3、投资者可同时转换本系列基金中的单只基金或多只基金。当日的转换申请可以在当日业务办理时间结束前撤销；</w:t>
      </w:r>
    </w:p>
    <w:p>
      <w:pPr>
        <w:pStyle w:val="BodyText"/>
        <w:spacing w:line="417" w:lineRule="auto"/>
        <w:ind w:left="658" w:right="1203" w:firstLine="419"/>
      </w:pPr>
      <w:r>
        <w:rPr/>
        <w:t>4</w:t>
      </w:r>
      <w:r>
        <w:rPr>
          <w:spacing w:val="-11"/>
        </w:rPr>
        <w:t>、投资者可在同时代理转出基金及转入目标基金销售的销售机构处办理基金转换业务。</w:t>
      </w:r>
      <w:r>
        <w:rPr>
          <w:spacing w:val="-9"/>
        </w:rPr>
        <w:t>转换的两只基金必须都是该销售机构代理的同一基金管理人管理的、在同一注册登记人处注</w:t>
      </w:r>
      <w:r>
        <w:rPr>
          <w:spacing w:val="-5"/>
        </w:rPr>
        <w:t>册登记的基金；</w:t>
      </w:r>
    </w:p>
    <w:p>
      <w:pPr>
        <w:pStyle w:val="BodyText"/>
        <w:spacing w:line="269" w:lineRule="exact"/>
        <w:ind w:left="1078"/>
      </w:pPr>
      <w:r>
        <w:rPr>
          <w:rFonts w:ascii="Times New Roman" w:hAnsi="Times New Roman" w:eastAsia="Times New Roman"/>
        </w:rPr>
        <w:t>5</w:t>
      </w:r>
      <w:r>
        <w:rPr/>
        <w:t>、基金转换采用“先进先出”原则，即先确认的基金份额在转换时先转换；</w:t>
      </w:r>
    </w:p>
    <w:p>
      <w:pPr>
        <w:pStyle w:val="BodyText"/>
        <w:spacing w:before="7"/>
        <w:rPr>
          <w:sz w:val="15"/>
        </w:rPr>
      </w:pPr>
    </w:p>
    <w:p>
      <w:pPr>
        <w:pStyle w:val="BodyText"/>
        <w:spacing w:line="417" w:lineRule="auto"/>
        <w:ind w:left="658" w:right="1309" w:firstLine="419"/>
        <w:jc w:val="both"/>
      </w:pPr>
      <w:r>
        <w:rPr>
          <w:rFonts w:ascii="Times New Roman" w:eastAsia="Times New Roman"/>
        </w:rPr>
        <w:t>6</w:t>
      </w:r>
      <w:r>
        <w:rPr>
          <w:spacing w:val="-3"/>
        </w:rPr>
        <w:t>、基金转换转出后剩余份额不产生强制赎回；基金转换转入金额不受转入基金首次申</w:t>
      </w:r>
      <w:r>
        <w:rPr>
          <w:spacing w:val="-9"/>
        </w:rPr>
        <w:t>购及追加数额限制，基金转换转出后，原持有时间将不延续计算，若转换申请当日同时有赎</w:t>
      </w:r>
      <w:r>
        <w:rPr>
          <w:spacing w:val="-5"/>
        </w:rPr>
        <w:t>回申请，则遵循先赎回后转换的处理原则；</w:t>
      </w:r>
    </w:p>
    <w:p>
      <w:pPr>
        <w:pStyle w:val="BodyText"/>
        <w:spacing w:line="417" w:lineRule="auto"/>
        <w:ind w:left="658" w:right="1309" w:firstLine="419"/>
        <w:jc w:val="both"/>
      </w:pPr>
      <w:r>
        <w:rPr>
          <w:rFonts w:ascii="Times New Roman" w:eastAsia="Times New Roman"/>
        </w:rPr>
        <w:t>7</w:t>
      </w:r>
      <w:r>
        <w:rPr>
          <w:spacing w:val="-3"/>
        </w:rPr>
        <w:t>、货币市场基金Ａ、Ｂ级份额间不开放相互转换业务。投资者由本公司管理的其他基</w:t>
      </w:r>
      <w:r>
        <w:rPr>
          <w:spacing w:val="-10"/>
        </w:rPr>
        <w:t>金转入货币市场基金Ａ、Ｂ级份额后，注册登记机构将根据投资者单个基金账户内持有的本</w:t>
      </w:r>
      <w:r>
        <w:rPr>
          <w:spacing w:val="-5"/>
        </w:rPr>
        <w:t>基金余额来判断是否应对转入的基金份额予以升级或降级处理。</w:t>
      </w:r>
    </w:p>
    <w:p>
      <w:pPr>
        <w:pStyle w:val="BodyText"/>
        <w:spacing w:line="417" w:lineRule="auto"/>
        <w:ind w:left="658" w:right="1309" w:firstLine="419"/>
      </w:pPr>
      <w:r>
        <w:rPr>
          <w:rFonts w:ascii="Times New Roman" w:eastAsia="Times New Roman"/>
        </w:rPr>
        <w:t>8</w:t>
      </w:r>
      <w:r>
        <w:rPr>
          <w:spacing w:val="-3"/>
        </w:rPr>
        <w:t>、基金管理人在不损害基金份额持有人权益的情况下可更改上述原则。在变更上述原</w:t>
      </w:r>
      <w:r>
        <w:rPr>
          <w:spacing w:val="-21"/>
        </w:rPr>
        <w:t>则时，基金管理人应当依照《信息披露办法》的有关规定在中国证监会指定媒介上刊登公告。</w:t>
      </w:r>
    </w:p>
    <w:p>
      <w:pPr>
        <w:pStyle w:val="BodyText"/>
        <w:rPr>
          <w:sz w:val="20"/>
        </w:rPr>
      </w:pPr>
    </w:p>
    <w:p>
      <w:pPr>
        <w:pStyle w:val="BodyText"/>
        <w:spacing w:before="6"/>
        <w:rPr>
          <w:sz w:val="16"/>
        </w:rPr>
      </w:pPr>
    </w:p>
    <w:p>
      <w:pPr>
        <w:spacing w:before="0"/>
        <w:ind w:left="658" w:right="0" w:firstLine="0"/>
        <w:jc w:val="left"/>
        <w:rPr>
          <w:b/>
          <w:sz w:val="21"/>
        </w:rPr>
      </w:pPr>
      <w:r>
        <w:rPr>
          <w:b/>
          <w:sz w:val="21"/>
        </w:rPr>
        <w:t>（三）转换的程序</w:t>
      </w:r>
    </w:p>
    <w:p>
      <w:pPr>
        <w:pStyle w:val="BodyText"/>
        <w:spacing w:before="7"/>
        <w:rPr>
          <w:b/>
          <w:sz w:val="15"/>
        </w:rPr>
      </w:pPr>
    </w:p>
    <w:p>
      <w:pPr>
        <w:pStyle w:val="BodyText"/>
        <w:ind w:left="1078"/>
      </w:pPr>
      <w:r>
        <w:rPr/>
        <w:t>1、申请方式：书面申请或基金销售机构规定的其他方式。</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8" w:firstLine="419"/>
        <w:jc w:val="both"/>
      </w:pPr>
      <w:r>
        <w:rPr/>
        <w:t>2</w:t>
      </w:r>
      <w:r>
        <w:rPr>
          <w:spacing w:val="-4"/>
        </w:rPr>
        <w:t>、基金投资者必须根据基金销售机构规定的手续，在开放日的交易时间段内向基金销</w:t>
      </w:r>
      <w:r>
        <w:rPr>
          <w:spacing w:val="-8"/>
        </w:rPr>
        <w:t>售机构提出转换的申请。投资者在提交转换申请时，账户中必须有足够的基金份额余额，否</w:t>
      </w:r>
      <w:r>
        <w:rPr>
          <w:spacing w:val="-10"/>
        </w:rPr>
        <w:t>则所提交的转换申请无效而不予成交；仅在转出和转入的基金均正常开放申购、赎回的前提</w:t>
      </w:r>
      <w:r>
        <w:rPr>
          <w:spacing w:val="-5"/>
        </w:rPr>
        <w:t>下，方可实现投资者的转换申请。</w:t>
      </w:r>
    </w:p>
    <w:p>
      <w:pPr>
        <w:pStyle w:val="BodyText"/>
        <w:spacing w:line="268" w:lineRule="exact"/>
        <w:ind w:left="1078"/>
      </w:pPr>
      <w:r>
        <w:rPr/>
        <w:t>3、转换申请的确认</w:t>
      </w:r>
    </w:p>
    <w:p>
      <w:pPr>
        <w:pStyle w:val="BodyText"/>
        <w:spacing w:before="7"/>
        <w:rPr>
          <w:sz w:val="15"/>
        </w:rPr>
      </w:pPr>
    </w:p>
    <w:p>
      <w:pPr>
        <w:pStyle w:val="BodyText"/>
        <w:spacing w:line="417" w:lineRule="auto"/>
        <w:ind w:left="658" w:right="1311" w:firstLine="419"/>
      </w:pPr>
      <w:r>
        <w:rPr/>
        <w:t>T 日提交的有效申请，基金管理人将在 </w:t>
      </w:r>
      <w:r>
        <w:rPr>
          <w:rFonts w:ascii="Times New Roman" w:eastAsia="Times New Roman"/>
        </w:rPr>
        <w:t>T+1 </w:t>
      </w:r>
      <w:r>
        <w:rPr/>
        <w:t>工作日对该交易的有效性进行确认，投资者可在 T+2 日到销售网点柜台或以销售机构规定的其他方式查询申请的确认情况。</w:t>
      </w:r>
    </w:p>
    <w:p>
      <w:pPr>
        <w:pStyle w:val="BodyText"/>
        <w:ind w:left="1078"/>
      </w:pPr>
      <w:r>
        <w:rPr/>
        <w:t>4、转换的款项支付</w:t>
      </w:r>
    </w:p>
    <w:p>
      <w:pPr>
        <w:pStyle w:val="BodyText"/>
        <w:spacing w:before="7"/>
        <w:rPr>
          <w:sz w:val="15"/>
        </w:rPr>
      </w:pPr>
    </w:p>
    <w:p>
      <w:pPr>
        <w:pStyle w:val="BodyText"/>
        <w:spacing w:line="417" w:lineRule="auto"/>
        <w:ind w:left="658" w:right="1102" w:firstLine="419"/>
      </w:pPr>
      <w:r>
        <w:rPr>
          <w:spacing w:val="-8"/>
        </w:rPr>
        <w:t>基金份额持有人转换申请确认后，注册登记人将对投资者的权益做出相应转换。在发生 </w:t>
      </w:r>
      <w:r>
        <w:rPr>
          <w:spacing w:val="-12"/>
        </w:rPr>
        <w:t>巨额赎回或延期支付的情形时，款项的支付办法参照基金合同和招募说明书的有关条款办理。</w:t>
      </w:r>
    </w:p>
    <w:p>
      <w:pPr>
        <w:pStyle w:val="BodyText"/>
        <w:spacing w:line="417" w:lineRule="auto"/>
        <w:ind w:left="658" w:right="1232" w:firstLine="419"/>
      </w:pPr>
      <w:r>
        <w:rPr/>
        <w:t>5、T 日的基金份额净值在当天收市后计算，并在 T+1 日公告。遇特殊情况，基金份额净值可以适当延迟计算或公告，并报中国证监会备案。</w:t>
      </w:r>
    </w:p>
    <w:p>
      <w:pPr>
        <w:pStyle w:val="BodyText"/>
        <w:rPr>
          <w:sz w:val="20"/>
        </w:rPr>
      </w:pPr>
    </w:p>
    <w:p>
      <w:pPr>
        <w:pStyle w:val="BodyText"/>
        <w:spacing w:before="6"/>
        <w:rPr>
          <w:sz w:val="16"/>
        </w:rPr>
      </w:pPr>
    </w:p>
    <w:p>
      <w:pPr>
        <w:spacing w:before="0"/>
        <w:ind w:left="658" w:right="0" w:firstLine="0"/>
        <w:jc w:val="left"/>
        <w:rPr>
          <w:b/>
          <w:sz w:val="21"/>
        </w:rPr>
      </w:pPr>
      <w:r>
        <w:rPr>
          <w:b/>
          <w:sz w:val="21"/>
        </w:rPr>
        <w:t>（四）转换的数额约定</w:t>
      </w:r>
    </w:p>
    <w:p>
      <w:pPr>
        <w:pStyle w:val="BodyText"/>
        <w:spacing w:before="7"/>
        <w:rPr>
          <w:b/>
          <w:sz w:val="15"/>
        </w:rPr>
      </w:pPr>
    </w:p>
    <w:p>
      <w:pPr>
        <w:pStyle w:val="BodyText"/>
        <w:spacing w:line="417" w:lineRule="auto"/>
        <w:ind w:left="658" w:right="1309" w:firstLine="419"/>
        <w:jc w:val="both"/>
      </w:pPr>
      <w:r>
        <w:rPr/>
        <w:t>1</w:t>
      </w:r>
      <w:r>
        <w:rPr>
          <w:spacing w:val="-5"/>
        </w:rPr>
        <w:t>、本系列基金单笔最低转换转出份额为 </w:t>
      </w:r>
      <w:r>
        <w:rPr/>
        <w:t>1</w:t>
      </w:r>
      <w:r>
        <w:rPr>
          <w:spacing w:val="-6"/>
        </w:rPr>
        <w:t> 份，基金管理人可根据市场情况，调整转换</w:t>
      </w:r>
      <w:r>
        <w:rPr>
          <w:spacing w:val="-4"/>
        </w:rPr>
        <w:t>份额的数量限制，并应当依照《信息披露办法》的有关规定在指定媒介上刊登公告；</w:t>
      </w:r>
    </w:p>
    <w:p>
      <w:pPr>
        <w:pStyle w:val="BodyText"/>
        <w:spacing w:line="417" w:lineRule="auto"/>
        <w:ind w:left="658" w:right="1308" w:firstLine="419"/>
        <w:jc w:val="both"/>
      </w:pPr>
      <w:r>
        <w:rPr/>
        <w:t>2</w:t>
      </w:r>
      <w:r>
        <w:rPr>
          <w:spacing w:val="-3"/>
        </w:rPr>
        <w:t>、转换份额的处理方式：本系列基金转入基金的有效份额为按转入净额除以当日转入</w:t>
      </w:r>
      <w:r>
        <w:rPr>
          <w:spacing w:val="-9"/>
        </w:rPr>
        <w:t>基金份额净值为基准计算，保留到小数点后两位，剩余部分舍去，舍去部分所代表的资产归</w:t>
      </w:r>
      <w:r>
        <w:rPr>
          <w:spacing w:val="-5"/>
        </w:rPr>
        <w:t>基金所有。</w:t>
      </w:r>
    </w:p>
    <w:p>
      <w:pPr>
        <w:pStyle w:val="BodyText"/>
        <w:rPr>
          <w:sz w:val="20"/>
        </w:rPr>
      </w:pPr>
    </w:p>
    <w:p>
      <w:pPr>
        <w:pStyle w:val="BodyText"/>
        <w:spacing w:before="6"/>
        <w:rPr>
          <w:sz w:val="16"/>
        </w:rPr>
      </w:pPr>
    </w:p>
    <w:p>
      <w:pPr>
        <w:spacing w:before="0"/>
        <w:ind w:left="658" w:right="0" w:firstLine="0"/>
        <w:jc w:val="left"/>
        <w:rPr>
          <w:b/>
          <w:sz w:val="21"/>
        </w:rPr>
      </w:pPr>
      <w:r>
        <w:rPr>
          <w:b/>
          <w:sz w:val="21"/>
        </w:rPr>
        <w:t>（五）本系列基金的转换费用</w:t>
      </w:r>
    </w:p>
    <w:p>
      <w:pPr>
        <w:pStyle w:val="BodyText"/>
        <w:spacing w:before="7"/>
        <w:rPr>
          <w:b/>
          <w:sz w:val="15"/>
        </w:rPr>
      </w:pPr>
    </w:p>
    <w:p>
      <w:pPr>
        <w:pStyle w:val="BodyText"/>
        <w:spacing w:before="1"/>
        <w:ind w:left="1078"/>
        <w:jc w:val="both"/>
      </w:pPr>
      <w:r>
        <w:rPr>
          <w:rFonts w:ascii="Times New Roman" w:eastAsia="Times New Roman"/>
        </w:rPr>
        <w:t>1</w:t>
      </w:r>
      <w:r>
        <w:rPr/>
        <w:t>、本系列基金的转换费率最高不超过 </w:t>
      </w:r>
      <w:r>
        <w:rPr>
          <w:rFonts w:ascii="Times New Roman" w:eastAsia="Times New Roman"/>
        </w:rPr>
        <w:t>1.5%</w:t>
      </w:r>
      <w:r>
        <w:rPr/>
        <w:t>。</w:t>
      </w:r>
    </w:p>
    <w:p>
      <w:pPr>
        <w:pStyle w:val="BodyText"/>
        <w:spacing w:before="6"/>
        <w:rPr>
          <w:sz w:val="15"/>
        </w:rPr>
      </w:pPr>
    </w:p>
    <w:p>
      <w:pPr>
        <w:pStyle w:val="BodyText"/>
        <w:spacing w:line="417" w:lineRule="auto"/>
        <w:ind w:left="658" w:right="1309" w:firstLine="419"/>
        <w:jc w:val="both"/>
      </w:pPr>
      <w:r>
        <w:rPr>
          <w:rFonts w:ascii="Times New Roman" w:eastAsia="Times New Roman"/>
        </w:rPr>
        <w:t>2</w:t>
      </w:r>
      <w:r>
        <w:rPr>
          <w:spacing w:val="-16"/>
        </w:rPr>
        <w:t>、本系列基金转换费在扣除注册登记费用及其他基本手续费后，剩余部分归基金财产。</w:t>
      </w:r>
      <w:r>
        <w:rPr>
          <w:spacing w:val="-9"/>
        </w:rPr>
        <w:t>对于基金份额持有人转出持有期不足 </w:t>
      </w:r>
      <w:r>
        <w:rPr>
          <w:rFonts w:ascii="Times New Roman" w:eastAsia="Times New Roman"/>
        </w:rPr>
        <w:t>7 </w:t>
      </w:r>
      <w:r>
        <w:rPr>
          <w:spacing w:val="-9"/>
        </w:rPr>
        <w:t>日的优选混合型基金或动力平衡基金，其收取不低于</w:t>
      </w:r>
      <w:r>
        <w:rPr>
          <w:rFonts w:ascii="Times New Roman" w:eastAsia="Times New Roman"/>
          <w:spacing w:val="-9"/>
        </w:rPr>
        <w:t>1.5%</w:t>
      </w:r>
      <w:r>
        <w:rPr>
          <w:spacing w:val="-3"/>
        </w:rPr>
        <w:t>的赎回费，并将前述赎回费全额归入对应基金的基金财产。</w:t>
      </w:r>
    </w:p>
    <w:p>
      <w:pPr>
        <w:pStyle w:val="BodyText"/>
        <w:spacing w:line="417" w:lineRule="auto"/>
        <w:ind w:left="658" w:right="1203" w:firstLine="419"/>
      </w:pPr>
      <w:r>
        <w:rPr>
          <w:rFonts w:ascii="Times New Roman" w:eastAsia="Times New Roman"/>
        </w:rPr>
        <w:t>3</w:t>
      </w:r>
      <w:r>
        <w:rPr>
          <w:spacing w:val="-3"/>
        </w:rPr>
        <w:t>、本系列基金的转换费用由赎回费和申购补差费组成，转出时收取赎回费，转入时收</w:t>
      </w:r>
      <w:r>
        <w:rPr>
          <w:spacing w:val="-15"/>
        </w:rPr>
        <w:t>取申购补差费。其中赎回费的收取标准遵循本招募说明书的约定，申购补差费的收取标准为： </w:t>
      </w:r>
      <w:r>
        <w:rPr>
          <w:spacing w:val="-8"/>
        </w:rPr>
        <w:t>申购补差费</w:t>
      </w:r>
      <w:r>
        <w:rPr>
          <w:rFonts w:ascii="Times New Roman" w:eastAsia="Times New Roman"/>
        </w:rPr>
        <w:t>=  </w:t>
      </w:r>
      <w:r>
        <w:rPr>
          <w:rFonts w:ascii="Times New Roman" w:eastAsia="Times New Roman"/>
          <w:spacing w:val="-3"/>
        </w:rPr>
        <w:t>MAX</w:t>
      </w:r>
      <w:r>
        <w:rPr>
          <w:spacing w:val="-3"/>
        </w:rPr>
        <w:t>【转出净额在转入基金中对应的申购费用－转出净额在转出基金中对应的申购费用，</w:t>
      </w:r>
      <w:r>
        <w:rPr/>
        <w:t>0</w:t>
      </w:r>
      <w:r>
        <w:rPr>
          <w:spacing w:val="-108"/>
        </w:rPr>
        <w:t>】。</w:t>
      </w:r>
    </w:p>
    <w:p>
      <w:pPr>
        <w:spacing w:after="0" w:line="417" w:lineRule="auto"/>
        <w:sectPr>
          <w:pgSz w:w="11910" w:h="16840"/>
          <w:pgMar w:header="852" w:footer="992" w:top="1220" w:bottom="1180" w:left="1140" w:right="480"/>
        </w:sectPr>
      </w:pPr>
    </w:p>
    <w:p>
      <w:pPr>
        <w:pStyle w:val="BodyText"/>
        <w:spacing w:before="1"/>
        <w:rPr>
          <w:sz w:val="19"/>
        </w:rPr>
      </w:pPr>
    </w:p>
    <w:p>
      <w:pPr>
        <w:spacing w:before="71"/>
        <w:ind w:left="658" w:right="0" w:firstLine="0"/>
        <w:jc w:val="left"/>
        <w:rPr>
          <w:b/>
          <w:sz w:val="21"/>
        </w:rPr>
      </w:pPr>
      <w:r>
        <w:rPr>
          <w:b/>
          <w:sz w:val="21"/>
        </w:rPr>
        <w:t>（六）转换交易的计算方式</w:t>
      </w:r>
    </w:p>
    <w:p>
      <w:pPr>
        <w:pStyle w:val="BodyText"/>
        <w:spacing w:before="7"/>
        <w:rPr>
          <w:b/>
          <w:sz w:val="15"/>
        </w:rPr>
      </w:pPr>
    </w:p>
    <w:p>
      <w:pPr>
        <w:pStyle w:val="BodyText"/>
        <w:ind w:left="1078"/>
      </w:pPr>
      <w:r>
        <w:rPr/>
        <w:t>本系列基金的转换交易包括了基金转出和基金转入，其中：</w:t>
      </w:r>
    </w:p>
    <w:p>
      <w:pPr>
        <w:pStyle w:val="BodyText"/>
        <w:spacing w:before="7"/>
        <w:rPr>
          <w:sz w:val="15"/>
        </w:rPr>
      </w:pPr>
    </w:p>
    <w:p>
      <w:pPr>
        <w:pStyle w:val="BodyText"/>
        <w:ind w:left="1078"/>
      </w:pPr>
      <w:r>
        <w:rPr/>
        <w:t>① 基金转出时赎回费的计算：</w:t>
      </w:r>
    </w:p>
    <w:p>
      <w:pPr>
        <w:pStyle w:val="BodyText"/>
        <w:spacing w:before="6"/>
        <w:rPr>
          <w:sz w:val="15"/>
        </w:rPr>
      </w:pPr>
    </w:p>
    <w:p>
      <w:pPr>
        <w:pStyle w:val="BodyText"/>
        <w:spacing w:before="1"/>
        <w:ind w:left="1078"/>
      </w:pPr>
      <w:r>
        <w:rPr/>
        <w:t>由优选混合型基金或动力平衡基金转出时：</w:t>
      </w:r>
    </w:p>
    <w:p>
      <w:pPr>
        <w:pStyle w:val="BodyText"/>
        <w:spacing w:before="6"/>
        <w:rPr>
          <w:sz w:val="15"/>
        </w:rPr>
      </w:pPr>
    </w:p>
    <w:p>
      <w:pPr>
        <w:pStyle w:val="BodyText"/>
        <w:spacing w:line="417" w:lineRule="auto"/>
        <w:ind w:left="1078" w:right="4580"/>
      </w:pPr>
      <w:r>
        <w:rPr/>
        <w:t>转出总额＝转出份额×转出基金当日基金份额净值赎回费用＝转出总额×转出基金赎回费率</w:t>
      </w:r>
    </w:p>
    <w:p>
      <w:pPr>
        <w:pStyle w:val="BodyText"/>
        <w:spacing w:line="269" w:lineRule="exact"/>
        <w:ind w:left="1078"/>
      </w:pPr>
      <w:r>
        <w:rPr/>
        <w:t>转出净额＝转出总额－赎回费用</w:t>
      </w:r>
    </w:p>
    <w:p>
      <w:pPr>
        <w:pStyle w:val="BodyText"/>
        <w:spacing w:before="7"/>
        <w:rPr>
          <w:sz w:val="15"/>
        </w:rPr>
      </w:pPr>
    </w:p>
    <w:p>
      <w:pPr>
        <w:pStyle w:val="BodyText"/>
        <w:spacing w:line="417" w:lineRule="auto" w:before="1"/>
        <w:ind w:left="1078" w:right="5841"/>
      </w:pPr>
      <w:r>
        <w:rPr>
          <w:spacing w:val="-3"/>
        </w:rPr>
        <w:t>②基金转入时申购补差费的计算： 净转入金额</w:t>
      </w:r>
      <w:r>
        <w:rPr/>
        <w:t>＝</w:t>
      </w:r>
      <w:r>
        <w:rPr>
          <w:spacing w:val="-5"/>
        </w:rPr>
        <w:t>转出净额－申购补差费</w:t>
      </w:r>
    </w:p>
    <w:p>
      <w:pPr>
        <w:pStyle w:val="BodyText"/>
        <w:spacing w:line="417" w:lineRule="auto"/>
        <w:ind w:left="658" w:right="1309" w:firstLine="419"/>
      </w:pPr>
      <w:r>
        <w:rPr/>
        <w:t>其中，申购补差费</w:t>
      </w:r>
      <w:r>
        <w:rPr>
          <w:rFonts w:ascii="Times New Roman" w:eastAsia="Times New Roman"/>
        </w:rPr>
        <w:t>= MAX</w:t>
      </w:r>
      <w:r>
        <w:rPr/>
        <w:t>【转出净额在转入基金中对应的申购费用－转出净额在转出基金中对应的申购费用，</w:t>
      </w:r>
      <w:r>
        <w:rPr>
          <w:rFonts w:ascii="Times New Roman" w:eastAsia="Times New Roman"/>
        </w:rPr>
        <w:t>0</w:t>
      </w:r>
      <w:r>
        <w:rPr/>
        <w:t>】</w:t>
      </w:r>
    </w:p>
    <w:p>
      <w:pPr>
        <w:pStyle w:val="BodyText"/>
        <w:spacing w:line="269" w:lineRule="exact"/>
        <w:ind w:left="1078"/>
      </w:pPr>
      <w:r>
        <w:rPr>
          <w:spacing w:val="-1"/>
        </w:rPr>
        <w:t>转入份额</w:t>
      </w:r>
      <w:r>
        <w:rPr>
          <w:spacing w:val="-3"/>
        </w:rPr>
        <w:t>＝净转入金额 </w:t>
      </w:r>
      <w:r>
        <w:rPr>
          <w:rFonts w:ascii="Times New Roman" w:eastAsia="Times New Roman"/>
        </w:rPr>
        <w:t>/ </w:t>
      </w:r>
      <w:r>
        <w:rPr>
          <w:spacing w:val="-3"/>
        </w:rPr>
        <w:t>转入基金当日基金份额净值</w:t>
      </w:r>
    </w:p>
    <w:p>
      <w:pPr>
        <w:pStyle w:val="BodyText"/>
        <w:spacing w:before="6"/>
        <w:rPr>
          <w:sz w:val="15"/>
        </w:rPr>
      </w:pPr>
    </w:p>
    <w:p>
      <w:pPr>
        <w:pStyle w:val="BodyText"/>
        <w:ind w:left="1078"/>
      </w:pPr>
      <w:r>
        <w:rPr>
          <w:spacing w:val="-3"/>
        </w:rPr>
        <w:t>例：投资者申请将持有的优选混合型基金 </w:t>
      </w:r>
      <w:r>
        <w:rPr>
          <w:rFonts w:ascii="Times New Roman" w:eastAsia="Times New Roman"/>
        </w:rPr>
        <w:t>10,000  </w:t>
      </w:r>
      <w:r>
        <w:rPr>
          <w:spacing w:val="-3"/>
        </w:rPr>
        <w:t>份转换为景顺长城内需增长开放式证</w:t>
      </w:r>
    </w:p>
    <w:p>
      <w:pPr>
        <w:pStyle w:val="BodyText"/>
        <w:spacing w:before="7"/>
        <w:rPr>
          <w:sz w:val="15"/>
        </w:rPr>
      </w:pPr>
    </w:p>
    <w:p>
      <w:pPr>
        <w:pStyle w:val="BodyText"/>
        <w:ind w:left="658"/>
      </w:pPr>
      <w:r>
        <w:rPr>
          <w:spacing w:val="-6"/>
        </w:rPr>
        <w:t>券投资基金，假设转换当日优选混合型基金的基金份额净值为 </w:t>
      </w:r>
      <w:r>
        <w:rPr>
          <w:rFonts w:ascii="Times New Roman" w:eastAsia="Times New Roman"/>
        </w:rPr>
        <w:t>1.148</w:t>
      </w:r>
      <w:r>
        <w:rPr>
          <w:rFonts w:ascii="Times New Roman" w:eastAsia="Times New Roman"/>
          <w:spacing w:val="22"/>
        </w:rPr>
        <w:t> </w:t>
      </w:r>
      <w:r>
        <w:rPr>
          <w:spacing w:val="-5"/>
        </w:rPr>
        <w:t>元，投资者持有该基金</w:t>
      </w:r>
    </w:p>
    <w:p>
      <w:pPr>
        <w:pStyle w:val="BodyText"/>
        <w:spacing w:before="7"/>
        <w:rPr>
          <w:sz w:val="15"/>
        </w:rPr>
      </w:pPr>
    </w:p>
    <w:p>
      <w:pPr>
        <w:pStyle w:val="BodyText"/>
        <w:spacing w:line="417" w:lineRule="auto"/>
        <w:ind w:left="658" w:right="1313"/>
      </w:pPr>
      <w:r>
        <w:rPr>
          <w:rFonts w:ascii="Times New Roman" w:eastAsia="Times New Roman"/>
        </w:rPr>
        <w:t>18 </w:t>
      </w:r>
      <w:r>
        <w:rPr>
          <w:spacing w:val="-14"/>
        </w:rPr>
        <w:t>个月，对应赎回费为 </w:t>
      </w:r>
      <w:r>
        <w:rPr>
          <w:rFonts w:ascii="Times New Roman" w:eastAsia="Times New Roman"/>
          <w:spacing w:val="-13"/>
        </w:rPr>
        <w:t>0.25</w:t>
      </w:r>
      <w:r>
        <w:rPr>
          <w:spacing w:val="-12"/>
        </w:rPr>
        <w:t>％，申购费为 </w:t>
      </w:r>
      <w:r>
        <w:rPr>
          <w:rFonts w:ascii="Times New Roman" w:eastAsia="Times New Roman"/>
          <w:spacing w:val="-15"/>
        </w:rPr>
        <w:t>1.5</w:t>
      </w:r>
      <w:r>
        <w:rPr>
          <w:spacing w:val="-10"/>
        </w:rPr>
        <w:t>％，内需增长基金的基金份额净值为 </w:t>
      </w:r>
      <w:r>
        <w:rPr>
          <w:rFonts w:ascii="Times New Roman" w:eastAsia="Times New Roman"/>
        </w:rPr>
        <w:t>1.163 </w:t>
      </w:r>
      <w:r>
        <w:rPr>
          <w:spacing w:val="-3"/>
        </w:rPr>
        <w:t>元， </w:t>
      </w:r>
      <w:r>
        <w:rPr>
          <w:spacing w:val="-12"/>
        </w:rPr>
        <w:t>申购费为 </w:t>
      </w:r>
      <w:r>
        <w:rPr>
          <w:rFonts w:ascii="Times New Roman" w:eastAsia="Times New Roman"/>
        </w:rPr>
        <w:t>1.5</w:t>
      </w:r>
      <w:r>
        <w:rPr>
          <w:spacing w:val="-3"/>
        </w:rPr>
        <w:t>％，则投资者转换后可得到的内需增长基金份额为：</w:t>
      </w:r>
    </w:p>
    <w:p>
      <w:pPr>
        <w:pStyle w:val="BodyText"/>
        <w:spacing w:line="269" w:lineRule="exact"/>
        <w:ind w:left="1078"/>
      </w:pPr>
      <w:r>
        <w:rPr>
          <w:spacing w:val="-1"/>
        </w:rPr>
        <w:t>转出总额</w:t>
      </w:r>
      <w:r>
        <w:rPr/>
        <w:t>＝</w:t>
      </w:r>
      <w:r>
        <w:rPr>
          <w:rFonts w:ascii="Times New Roman" w:hAnsi="Times New Roman" w:eastAsia="Times New Roman"/>
        </w:rPr>
        <w:t>10,000</w:t>
      </w:r>
      <w:r>
        <w:rPr/>
        <w:t>×</w:t>
      </w:r>
      <w:r>
        <w:rPr>
          <w:rFonts w:ascii="Times New Roman" w:hAnsi="Times New Roman" w:eastAsia="Times New Roman"/>
        </w:rPr>
        <w:t>1.148</w:t>
      </w:r>
      <w:r>
        <w:rPr/>
        <w:t>＝</w:t>
      </w:r>
      <w:r>
        <w:rPr>
          <w:rFonts w:ascii="Times New Roman" w:hAnsi="Times New Roman" w:eastAsia="Times New Roman"/>
        </w:rPr>
        <w:t>11,480</w:t>
      </w:r>
      <w:r>
        <w:rPr>
          <w:rFonts w:ascii="Times New Roman" w:hAnsi="Times New Roman" w:eastAsia="Times New Roman"/>
          <w:spacing w:val="-8"/>
        </w:rPr>
        <w:t> </w:t>
      </w:r>
      <w:r>
        <w:rPr/>
        <w:t>元</w:t>
      </w:r>
    </w:p>
    <w:p>
      <w:pPr>
        <w:pStyle w:val="BodyText"/>
        <w:spacing w:before="6"/>
        <w:rPr>
          <w:sz w:val="15"/>
        </w:rPr>
      </w:pPr>
    </w:p>
    <w:p>
      <w:pPr>
        <w:pStyle w:val="BodyText"/>
        <w:spacing w:line="417" w:lineRule="auto" w:before="1"/>
        <w:ind w:left="1078" w:right="5845"/>
      </w:pPr>
      <w:r>
        <w:rPr>
          <w:spacing w:val="-1"/>
        </w:rPr>
        <w:t>赎回费用</w:t>
      </w:r>
      <w:r>
        <w:rPr/>
        <w:t>＝</w:t>
      </w:r>
      <w:r>
        <w:rPr>
          <w:rFonts w:ascii="Times New Roman" w:hAnsi="Times New Roman" w:eastAsia="Times New Roman"/>
        </w:rPr>
        <w:t>11,480</w:t>
      </w:r>
      <w:r>
        <w:rPr/>
        <w:t>×</w:t>
      </w:r>
      <w:r>
        <w:rPr>
          <w:rFonts w:ascii="Times New Roman" w:hAnsi="Times New Roman" w:eastAsia="Times New Roman"/>
        </w:rPr>
        <w:t>0.25</w:t>
      </w:r>
      <w:r>
        <w:rPr/>
        <w:t>％＝</w:t>
      </w:r>
      <w:r>
        <w:rPr>
          <w:rFonts w:ascii="Times New Roman" w:hAnsi="Times New Roman" w:eastAsia="Times New Roman"/>
        </w:rPr>
        <w:t>28.70</w:t>
      </w:r>
      <w:r>
        <w:rPr>
          <w:rFonts w:ascii="Times New Roman" w:hAnsi="Times New Roman" w:eastAsia="Times New Roman"/>
          <w:spacing w:val="-5"/>
        </w:rPr>
        <w:t> </w:t>
      </w:r>
      <w:r>
        <w:rPr/>
        <w:t>元</w:t>
      </w:r>
      <w:r>
        <w:rPr>
          <w:spacing w:val="-1"/>
        </w:rPr>
        <w:t>转出净额</w:t>
      </w:r>
      <w:r>
        <w:rPr/>
        <w:t>＝</w:t>
      </w:r>
      <w:r>
        <w:rPr>
          <w:rFonts w:ascii="Times New Roman" w:hAnsi="Times New Roman" w:eastAsia="Times New Roman"/>
        </w:rPr>
        <w:t>11,480</w:t>
      </w:r>
      <w:r>
        <w:rPr/>
        <w:t>－</w:t>
      </w:r>
      <w:r>
        <w:rPr>
          <w:rFonts w:ascii="Times New Roman" w:hAnsi="Times New Roman" w:eastAsia="Times New Roman"/>
        </w:rPr>
        <w:t>28.7</w:t>
      </w:r>
      <w:r>
        <w:rPr>
          <w:rFonts w:ascii="Times New Roman" w:hAnsi="Times New Roman" w:eastAsia="Times New Roman"/>
          <w:spacing w:val="-4"/>
        </w:rPr>
        <w:t>= </w:t>
      </w:r>
      <w:r>
        <w:rPr>
          <w:rFonts w:ascii="Times New Roman" w:hAnsi="Times New Roman" w:eastAsia="Times New Roman"/>
        </w:rPr>
        <w:t>11,451.3</w:t>
      </w:r>
      <w:r>
        <w:rPr>
          <w:rFonts w:ascii="Times New Roman" w:hAnsi="Times New Roman" w:eastAsia="Times New Roman"/>
          <w:spacing w:val="-9"/>
        </w:rPr>
        <w:t> </w:t>
      </w:r>
      <w:r>
        <w:rPr>
          <w:spacing w:val="-11"/>
        </w:rPr>
        <w:t>元</w:t>
      </w:r>
    </w:p>
    <w:p>
      <w:pPr>
        <w:pStyle w:val="BodyText"/>
        <w:spacing w:line="417" w:lineRule="auto"/>
        <w:ind w:left="1078" w:right="2796"/>
      </w:pPr>
      <w:r>
        <w:rPr/>
        <w:t>转出净额在转入基金中对应的净申购金额</w:t>
      </w:r>
      <w:r>
        <w:rPr>
          <w:rFonts w:ascii="Times New Roman" w:eastAsia="Times New Roman"/>
        </w:rPr>
        <w:t>=11,451.3/1.015=11,282.07 </w:t>
      </w:r>
      <w:r>
        <w:rPr/>
        <w:t>元转出净额在转入基金中对应的申购费用</w:t>
      </w:r>
      <w:r>
        <w:rPr>
          <w:rFonts w:ascii="Times New Roman" w:eastAsia="Times New Roman"/>
        </w:rPr>
        <w:t>=11,451.3-11,282.07=169.23 </w:t>
      </w:r>
      <w:r>
        <w:rPr/>
        <w:t>元转出净额在转出基金中对应的净申购金额</w:t>
      </w:r>
      <w:r>
        <w:rPr>
          <w:rFonts w:ascii="Times New Roman" w:eastAsia="Times New Roman"/>
        </w:rPr>
        <w:t>=11,451.3/1.015=11,282.07 </w:t>
      </w:r>
      <w:r>
        <w:rPr/>
        <w:t>元转出净额在转出基金中对应的申购费用</w:t>
      </w:r>
      <w:r>
        <w:rPr>
          <w:rFonts w:ascii="Times New Roman" w:eastAsia="Times New Roman"/>
        </w:rPr>
        <w:t>=11,451.3-11,282.07=169.23 </w:t>
      </w:r>
      <w:r>
        <w:rPr/>
        <w:t>元</w:t>
      </w:r>
    </w:p>
    <w:p>
      <w:pPr>
        <w:pStyle w:val="BodyText"/>
        <w:spacing w:line="328" w:lineRule="auto"/>
        <w:ind w:left="1078" w:right="3264"/>
      </w:pPr>
      <w:r>
        <w:rPr/>
        <w:t>净转入金额＝</w:t>
      </w:r>
      <w:r>
        <w:rPr>
          <w:rFonts w:ascii="Times New Roman" w:eastAsia="Times New Roman"/>
        </w:rPr>
        <w:t>11,451.3</w:t>
      </w:r>
      <w:r>
        <w:rPr/>
        <w:t>－</w:t>
      </w:r>
      <w:r>
        <w:rPr>
          <w:rFonts w:ascii="Times New Roman" w:eastAsia="Times New Roman"/>
        </w:rPr>
        <w:t>MAX</w:t>
      </w:r>
      <w:r>
        <w:rPr/>
        <w:t>【</w:t>
      </w:r>
      <w:r>
        <w:rPr>
          <w:rFonts w:ascii="Times New Roman" w:eastAsia="Times New Roman"/>
        </w:rPr>
        <w:t>169.23</w:t>
      </w:r>
      <w:r>
        <w:rPr/>
        <w:t>－</w:t>
      </w:r>
      <w:r>
        <w:rPr>
          <w:rFonts w:ascii="Times New Roman" w:eastAsia="Times New Roman"/>
        </w:rPr>
        <w:t>169.23</w:t>
      </w:r>
      <w:r>
        <w:rPr/>
        <w:t>，</w:t>
      </w:r>
      <w:r>
        <w:rPr>
          <w:rFonts w:ascii="Times New Roman" w:eastAsia="Times New Roman"/>
        </w:rPr>
        <w:t>0</w:t>
      </w:r>
      <w:r>
        <w:rPr/>
        <w:t>】</w:t>
      </w:r>
      <w:r>
        <w:rPr>
          <w:rFonts w:ascii="Times New Roman" w:eastAsia="Times New Roman"/>
        </w:rPr>
        <w:t>=11,451.3 </w:t>
      </w:r>
      <w:r>
        <w:rPr/>
        <w:t>元转入份额＝</w:t>
      </w:r>
      <w:r>
        <w:rPr>
          <w:rFonts w:ascii="Times New Roman" w:eastAsia="Times New Roman"/>
        </w:rPr>
        <w:t>11,451.3 / 1.163</w:t>
      </w:r>
      <w:r>
        <w:rPr/>
        <w:t>＝</w:t>
      </w:r>
      <w:r>
        <w:rPr>
          <w:rFonts w:ascii="Times New Roman" w:eastAsia="Times New Roman"/>
        </w:rPr>
        <w:t>9,846.34 </w:t>
      </w:r>
      <w:r>
        <w:rPr/>
        <w:t>份</w:t>
      </w:r>
    </w:p>
    <w:p>
      <w:pPr>
        <w:pStyle w:val="BodyText"/>
        <w:rPr>
          <w:sz w:val="22"/>
        </w:rPr>
      </w:pPr>
    </w:p>
    <w:p>
      <w:pPr>
        <w:pStyle w:val="BodyText"/>
        <w:spacing w:before="4"/>
        <w:rPr>
          <w:sz w:val="25"/>
        </w:rPr>
      </w:pPr>
    </w:p>
    <w:p>
      <w:pPr>
        <w:spacing w:before="0"/>
        <w:ind w:left="658" w:right="0" w:firstLine="0"/>
        <w:jc w:val="left"/>
        <w:rPr>
          <w:b/>
          <w:sz w:val="21"/>
        </w:rPr>
      </w:pPr>
      <w:r>
        <w:rPr>
          <w:b/>
          <w:sz w:val="21"/>
        </w:rPr>
        <w:t>（七）转换的注册登记</w:t>
      </w:r>
    </w:p>
    <w:p>
      <w:pPr>
        <w:pStyle w:val="BodyText"/>
        <w:spacing w:before="6"/>
        <w:rPr>
          <w:b/>
          <w:sz w:val="15"/>
        </w:rPr>
      </w:pPr>
    </w:p>
    <w:p>
      <w:pPr>
        <w:pStyle w:val="BodyText"/>
        <w:spacing w:before="1"/>
        <w:ind w:left="1078"/>
      </w:pPr>
      <w:r>
        <w:rPr/>
        <w:t>投资者或转换成功后，基金注册登记人在 T+1 日为投资者登记权益，投资者在 T+2 日</w:t>
      </w:r>
    </w:p>
    <w:p>
      <w:pPr>
        <w:pStyle w:val="BodyText"/>
        <w:spacing w:before="7"/>
        <w:rPr>
          <w:sz w:val="15"/>
        </w:rPr>
      </w:pPr>
    </w:p>
    <w:p>
      <w:pPr>
        <w:pStyle w:val="BodyText"/>
        <w:spacing w:line="417" w:lineRule="auto"/>
        <w:ind w:left="658" w:right="1308"/>
      </w:pPr>
      <w:r>
        <w:rPr/>
        <w:t>（含该日）后有权赎回转换后的基金份额。投资者转换成功后，基金注册登记人在 T+1 日为投资者扣除权益。</w:t>
      </w:r>
    </w:p>
    <w:p>
      <w:pPr>
        <w:spacing w:after="0" w:line="417" w:lineRule="auto"/>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11" w:firstLine="419"/>
      </w:pPr>
      <w:r>
        <w:rPr>
          <w:spacing w:val="-8"/>
        </w:rPr>
        <w:t>基金管理人可以在法律法规允许的范围内，对上述注册登记办理时间进行调整，并应当</w:t>
      </w:r>
      <w:r>
        <w:rPr>
          <w:spacing w:val="-3"/>
        </w:rPr>
        <w:t>依照《信息披露办法》的有关规定在指定媒介上刊登公告。</w:t>
      </w:r>
    </w:p>
    <w:p>
      <w:pPr>
        <w:pStyle w:val="BodyText"/>
        <w:rPr>
          <w:sz w:val="20"/>
        </w:rPr>
      </w:pPr>
    </w:p>
    <w:p>
      <w:pPr>
        <w:pStyle w:val="BodyText"/>
        <w:spacing w:before="6"/>
        <w:rPr>
          <w:sz w:val="16"/>
        </w:rPr>
      </w:pPr>
    </w:p>
    <w:p>
      <w:pPr>
        <w:spacing w:before="1"/>
        <w:ind w:left="658" w:right="0" w:firstLine="0"/>
        <w:jc w:val="left"/>
        <w:rPr>
          <w:b/>
          <w:sz w:val="21"/>
        </w:rPr>
      </w:pPr>
      <w:r>
        <w:rPr>
          <w:b/>
          <w:sz w:val="21"/>
        </w:rPr>
        <w:t>(八)拒绝或暂停转换的情形及处理</w:t>
      </w:r>
    </w:p>
    <w:p>
      <w:pPr>
        <w:pStyle w:val="BodyText"/>
        <w:spacing w:before="6"/>
        <w:rPr>
          <w:b/>
          <w:sz w:val="15"/>
        </w:rPr>
      </w:pPr>
    </w:p>
    <w:p>
      <w:pPr>
        <w:pStyle w:val="BodyText"/>
        <w:spacing w:line="417" w:lineRule="auto"/>
        <w:ind w:left="658" w:right="1310" w:firstLine="419"/>
      </w:pPr>
      <w:r>
        <w:rPr>
          <w:spacing w:val="-8"/>
        </w:rPr>
        <w:t>本系列基金任一基金发生下列情形之一时，基金管理人可拒绝或暂停接受基金投资者的</w:t>
      </w:r>
      <w:r>
        <w:rPr>
          <w:spacing w:val="-5"/>
        </w:rPr>
        <w:t>转换申请：</w:t>
      </w:r>
    </w:p>
    <w:p>
      <w:pPr>
        <w:pStyle w:val="ListParagraph"/>
        <w:numPr>
          <w:ilvl w:val="0"/>
          <w:numId w:val="17"/>
        </w:numPr>
        <w:tabs>
          <w:tab w:pos="1607" w:val="left" w:leader="none"/>
        </w:tabs>
        <w:spacing w:line="269" w:lineRule="exact" w:before="0" w:after="0"/>
        <w:ind w:left="1607" w:right="0" w:hanging="529"/>
        <w:jc w:val="left"/>
        <w:rPr>
          <w:sz w:val="21"/>
        </w:rPr>
      </w:pPr>
      <w:r>
        <w:rPr>
          <w:spacing w:val="-3"/>
          <w:sz w:val="21"/>
        </w:rPr>
        <w:t>不可抗力；</w:t>
      </w:r>
    </w:p>
    <w:p>
      <w:pPr>
        <w:pStyle w:val="BodyText"/>
        <w:spacing w:before="8"/>
        <w:rPr>
          <w:sz w:val="15"/>
        </w:rPr>
      </w:pPr>
    </w:p>
    <w:p>
      <w:pPr>
        <w:pStyle w:val="ListParagraph"/>
        <w:numPr>
          <w:ilvl w:val="0"/>
          <w:numId w:val="17"/>
        </w:numPr>
        <w:tabs>
          <w:tab w:pos="1607" w:val="left" w:leader="none"/>
        </w:tabs>
        <w:spacing w:line="417" w:lineRule="auto" w:before="0" w:after="0"/>
        <w:ind w:left="658" w:right="1309" w:firstLine="419"/>
        <w:jc w:val="left"/>
        <w:rPr>
          <w:sz w:val="21"/>
        </w:rPr>
      </w:pPr>
      <w:r>
        <w:rPr>
          <w:spacing w:val="-3"/>
          <w:sz w:val="21"/>
        </w:rPr>
        <w:t>证券交易所交易时间非正常停市或其他情形，导致基金管理人无法计算当日基金资产净值；</w:t>
      </w:r>
    </w:p>
    <w:p>
      <w:pPr>
        <w:pStyle w:val="ListParagraph"/>
        <w:numPr>
          <w:ilvl w:val="0"/>
          <w:numId w:val="17"/>
        </w:numPr>
        <w:tabs>
          <w:tab w:pos="1607" w:val="left" w:leader="none"/>
        </w:tabs>
        <w:spacing w:line="417" w:lineRule="auto" w:before="0" w:after="0"/>
        <w:ind w:left="658" w:right="1309"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7"/>
        </w:numPr>
        <w:tabs>
          <w:tab w:pos="1607" w:val="left" w:leader="none"/>
        </w:tabs>
        <w:spacing w:line="269" w:lineRule="exact" w:before="0" w:after="0"/>
        <w:ind w:left="1607" w:right="0" w:hanging="529"/>
        <w:jc w:val="left"/>
        <w:rPr>
          <w:sz w:val="21"/>
        </w:rPr>
      </w:pPr>
      <w:r>
        <w:rPr>
          <w:spacing w:val="-3"/>
          <w:sz w:val="21"/>
        </w:rPr>
        <w:t>发生基金合同约定的暂停申购或赎回的情形；</w:t>
      </w:r>
    </w:p>
    <w:p>
      <w:pPr>
        <w:pStyle w:val="BodyText"/>
        <w:spacing w:before="6"/>
        <w:rPr>
          <w:sz w:val="15"/>
        </w:rPr>
      </w:pPr>
    </w:p>
    <w:p>
      <w:pPr>
        <w:pStyle w:val="ListParagraph"/>
        <w:numPr>
          <w:ilvl w:val="0"/>
          <w:numId w:val="17"/>
        </w:numPr>
        <w:tabs>
          <w:tab w:pos="1607" w:val="left" w:leader="none"/>
        </w:tabs>
        <w:spacing w:line="240" w:lineRule="auto" w:before="0" w:after="0"/>
        <w:ind w:left="1607" w:right="0" w:hanging="529"/>
        <w:jc w:val="left"/>
        <w:rPr>
          <w:sz w:val="21"/>
        </w:rPr>
      </w:pPr>
      <w:r>
        <w:rPr>
          <w:spacing w:val="-3"/>
          <w:sz w:val="21"/>
        </w:rPr>
        <w:t>法律、法规、规章规定或中国证监会认定的其他情形。</w:t>
      </w:r>
    </w:p>
    <w:p>
      <w:pPr>
        <w:pStyle w:val="BodyText"/>
        <w:spacing w:before="7"/>
        <w:rPr>
          <w:sz w:val="15"/>
        </w:rPr>
      </w:pPr>
    </w:p>
    <w:p>
      <w:pPr>
        <w:pStyle w:val="BodyText"/>
        <w:spacing w:line="417" w:lineRule="auto"/>
        <w:ind w:left="658" w:right="1309" w:firstLine="419"/>
        <w:jc w:val="both"/>
      </w:pPr>
      <w:r>
        <w:rPr>
          <w:spacing w:val="-9"/>
        </w:rPr>
        <w:t>发生上述情形时，基金管理人应在当日向中国证监会报告，已确认的转换申请，基金管</w:t>
      </w:r>
      <w:r>
        <w:rPr>
          <w:spacing w:val="-12"/>
        </w:rPr>
        <w:t>理人将全部予以转换；如暂时不能全部予以转换，可支付部分按单个账户申请量占申请总量的比例分配给转换申请人，其余部分在后续开放日予以兑付，并以该开放日的基金份额净值</w:t>
      </w:r>
      <w:r>
        <w:rPr>
          <w:spacing w:val="-6"/>
        </w:rPr>
        <w:t>为依据计算转换份额。投资者在申请转换时可以选择将当日未获受理部分予以撤销。</w:t>
      </w:r>
    </w:p>
    <w:p>
      <w:pPr>
        <w:pStyle w:val="BodyText"/>
        <w:spacing w:line="417" w:lineRule="auto"/>
        <w:ind w:left="658" w:right="1310" w:firstLine="419"/>
        <w:jc w:val="both"/>
      </w:pPr>
      <w:r>
        <w:rPr>
          <w:spacing w:val="-8"/>
        </w:rPr>
        <w:t>发生基金合同或招募说明书中未予载明的事项，但基金管理人有正当理由认为需要暂停</w:t>
      </w:r>
      <w:r>
        <w:rPr>
          <w:spacing w:val="-12"/>
        </w:rPr>
        <w:t>转换，应当报中国证监会批准；经批准后，基金管理人应当立即在指定媒介上刊登暂停转换</w:t>
      </w:r>
      <w:r>
        <w:rPr>
          <w:spacing w:val="-6"/>
        </w:rPr>
        <w:t>公告。在暂停的情况消除时，基金管理人应及时恢复转换业务的办理。</w:t>
      </w:r>
    </w:p>
    <w:p>
      <w:pPr>
        <w:pStyle w:val="BodyText"/>
        <w:rPr>
          <w:sz w:val="20"/>
        </w:rPr>
      </w:pPr>
    </w:p>
    <w:p>
      <w:pPr>
        <w:pStyle w:val="BodyText"/>
        <w:spacing w:before="6"/>
        <w:rPr>
          <w:sz w:val="16"/>
        </w:rPr>
      </w:pPr>
    </w:p>
    <w:p>
      <w:pPr>
        <w:spacing w:before="1"/>
        <w:ind w:left="658" w:right="0" w:firstLine="0"/>
        <w:jc w:val="left"/>
        <w:rPr>
          <w:b/>
          <w:sz w:val="21"/>
        </w:rPr>
      </w:pPr>
      <w:r>
        <w:rPr>
          <w:b/>
          <w:sz w:val="21"/>
        </w:rPr>
        <w:t>（九）暂停转换的公告和重新开放转换的公告</w:t>
      </w:r>
    </w:p>
    <w:p>
      <w:pPr>
        <w:pStyle w:val="BodyText"/>
        <w:spacing w:before="6"/>
        <w:rPr>
          <w:b/>
          <w:sz w:val="15"/>
        </w:rPr>
      </w:pPr>
    </w:p>
    <w:p>
      <w:pPr>
        <w:pStyle w:val="BodyText"/>
        <w:spacing w:line="417" w:lineRule="auto"/>
        <w:ind w:left="658" w:right="1308" w:firstLine="419"/>
      </w:pPr>
      <w:r>
        <w:rPr>
          <w:spacing w:val="-9"/>
        </w:rPr>
        <w:t>发生上述暂停转换情况的，基金管理人应在依照《信息披露办法》的有关规定在中国证</w:t>
      </w:r>
      <w:r>
        <w:rPr>
          <w:spacing w:val="-5"/>
        </w:rPr>
        <w:t>监会指定媒介上刊登暂停公告。</w:t>
      </w:r>
    </w:p>
    <w:p>
      <w:pPr>
        <w:pStyle w:val="BodyText"/>
        <w:spacing w:line="417" w:lineRule="auto"/>
        <w:ind w:left="658" w:right="1308" w:firstLine="419"/>
      </w:pPr>
      <w:r>
        <w:rPr>
          <w:spacing w:val="-8"/>
        </w:rPr>
        <w:t>暂停结束基金重新开放转换时，基金管理人应当依照《信息披露办法》的有关规定在中</w:t>
      </w:r>
      <w:r>
        <w:rPr>
          <w:spacing w:val="-5"/>
        </w:rPr>
        <w:t>国证监会指定媒介上刊登基金重新开放转换公告并在重新开放转换日公告最近一个开放日</w:t>
      </w:r>
      <w:r>
        <w:rPr>
          <w:spacing w:val="-4"/>
        </w:rPr>
        <w:t>的基金份额净值。</w:t>
      </w:r>
    </w:p>
    <w:p>
      <w:pPr>
        <w:pStyle w:val="BodyText"/>
        <w:rPr>
          <w:sz w:val="20"/>
        </w:rPr>
      </w:pPr>
    </w:p>
    <w:p>
      <w:pPr>
        <w:pStyle w:val="BodyText"/>
        <w:spacing w:before="6"/>
        <w:rPr>
          <w:sz w:val="16"/>
        </w:rPr>
      </w:pPr>
    </w:p>
    <w:p>
      <w:pPr>
        <w:spacing w:before="1"/>
        <w:ind w:left="1080" w:right="0" w:firstLine="0"/>
        <w:jc w:val="left"/>
        <w:rPr>
          <w:b/>
          <w:sz w:val="21"/>
        </w:rPr>
      </w:pPr>
      <w:r>
        <w:rPr>
          <w:b/>
          <w:sz w:val="21"/>
        </w:rPr>
        <w:t>（十）货币市场基金转换的原则</w:t>
      </w:r>
    </w:p>
    <w:p>
      <w:pPr>
        <w:pStyle w:val="BodyText"/>
        <w:spacing w:before="6"/>
        <w:rPr>
          <w:b/>
          <w:sz w:val="15"/>
        </w:rPr>
      </w:pPr>
    </w:p>
    <w:p>
      <w:pPr>
        <w:pStyle w:val="BodyText"/>
        <w:ind w:left="1078"/>
      </w:pPr>
      <w:r>
        <w:rPr/>
        <w:t>1、采用份额转换原则，即转换以份额申请；</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25" w:firstLine="419"/>
      </w:pPr>
      <w:r>
        <w:rPr/>
        <w:t>2、当日的转换申请可以在当日交易结束时间前撤消，在当日的交易时间结束后不得撤销；</w:t>
      </w:r>
    </w:p>
    <w:p>
      <w:pPr>
        <w:pStyle w:val="BodyText"/>
        <w:spacing w:line="269" w:lineRule="exact"/>
        <w:ind w:left="1078"/>
      </w:pPr>
      <w:r>
        <w:rPr/>
        <w:t>3、基金转换价格以申请转换当日各基金份额净值为基础计算；</w:t>
      </w:r>
    </w:p>
    <w:p>
      <w:pPr>
        <w:pStyle w:val="BodyText"/>
        <w:spacing w:before="7"/>
        <w:rPr>
          <w:sz w:val="15"/>
        </w:rPr>
      </w:pPr>
    </w:p>
    <w:p>
      <w:pPr>
        <w:pStyle w:val="BodyText"/>
        <w:ind w:left="1078"/>
      </w:pPr>
      <w:r>
        <w:rPr/>
        <w:t>4、基金转换采用“先进先出”原则，即先确认的基金份额在转换时先转换；</w:t>
      </w:r>
    </w:p>
    <w:p>
      <w:pPr>
        <w:pStyle w:val="BodyText"/>
        <w:spacing w:before="7"/>
        <w:rPr>
          <w:sz w:val="15"/>
        </w:rPr>
      </w:pPr>
    </w:p>
    <w:p>
      <w:pPr>
        <w:pStyle w:val="BodyText"/>
        <w:spacing w:line="417" w:lineRule="auto"/>
        <w:ind w:left="658" w:right="1309" w:firstLine="419"/>
      </w:pPr>
      <w:r>
        <w:rPr/>
        <w:t>5</w:t>
      </w:r>
      <w:r>
        <w:rPr>
          <w:spacing w:val="-14"/>
        </w:rPr>
        <w:t>、基金管理人可在不损害基金份额持有人权益的情况下更改上述原则，并应当依照《信</w:t>
      </w:r>
      <w:r>
        <w:rPr>
          <w:spacing w:val="-7"/>
        </w:rPr>
        <w:t>息披露办法》的有关规定在中国证监会指定媒介上公告。</w:t>
      </w:r>
    </w:p>
    <w:p>
      <w:pPr>
        <w:pStyle w:val="BodyText"/>
        <w:rPr>
          <w:sz w:val="20"/>
        </w:rPr>
      </w:pPr>
    </w:p>
    <w:p>
      <w:pPr>
        <w:pStyle w:val="BodyText"/>
        <w:rPr>
          <w:sz w:val="20"/>
        </w:rPr>
      </w:pPr>
    </w:p>
    <w:p>
      <w:pPr>
        <w:pStyle w:val="BodyText"/>
        <w:rPr>
          <w:sz w:val="20"/>
        </w:rPr>
      </w:pPr>
    </w:p>
    <w:p>
      <w:pPr>
        <w:spacing w:line="417" w:lineRule="auto" w:before="167"/>
        <w:ind w:left="1078" w:right="6040" w:firstLine="2"/>
        <w:jc w:val="left"/>
        <w:rPr>
          <w:sz w:val="21"/>
        </w:rPr>
      </w:pPr>
      <w:r>
        <w:rPr>
          <w:b/>
          <w:sz w:val="21"/>
        </w:rPr>
        <w:t>（十一）货币市场基金转换的程序</w:t>
      </w:r>
      <w:r>
        <w:rPr>
          <w:sz w:val="21"/>
        </w:rPr>
        <w:t>1、货币市场基金转换的申请方式</w:t>
      </w:r>
    </w:p>
    <w:p>
      <w:pPr>
        <w:pStyle w:val="BodyText"/>
        <w:spacing w:line="417" w:lineRule="auto"/>
        <w:ind w:left="658" w:right="1309" w:firstLine="419"/>
      </w:pPr>
      <w:r>
        <w:rPr>
          <w:spacing w:val="-7"/>
        </w:rPr>
        <w:t>货币市场基金份额持有人必须根据销售机构规定的手续，在开放日的交易时间段内提出</w:t>
      </w:r>
      <w:r>
        <w:rPr>
          <w:spacing w:val="-5"/>
        </w:rPr>
        <w:t>基金转换申请。</w:t>
      </w:r>
    </w:p>
    <w:p>
      <w:pPr>
        <w:pStyle w:val="BodyText"/>
        <w:spacing w:line="417" w:lineRule="auto"/>
        <w:ind w:left="658" w:right="1309" w:firstLine="419"/>
      </w:pPr>
      <w:r>
        <w:rPr>
          <w:spacing w:val="-7"/>
        </w:rPr>
        <w:t>货币市场基金份额持有人在办理基金转换时，其在销售机构</w:t>
      </w:r>
      <w:r>
        <w:rPr/>
        <w:t>（</w:t>
      </w:r>
      <w:r>
        <w:rPr>
          <w:spacing w:val="-2"/>
        </w:rPr>
        <w:t>网点</w:t>
      </w:r>
      <w:r>
        <w:rPr>
          <w:spacing w:val="-32"/>
        </w:rPr>
        <w:t>）</w:t>
      </w:r>
      <w:r>
        <w:rPr>
          <w:spacing w:val="-3"/>
        </w:rPr>
        <w:t>必须有足够的转出基金份额余额，否则所提交的基金转换申请无效。</w:t>
      </w:r>
    </w:p>
    <w:p>
      <w:pPr>
        <w:pStyle w:val="BodyText"/>
        <w:ind w:left="1078"/>
      </w:pPr>
      <w:r>
        <w:rPr/>
        <w:t>2、货币市场基金转换申请的确认</w:t>
      </w:r>
    </w:p>
    <w:p>
      <w:pPr>
        <w:pStyle w:val="BodyText"/>
        <w:spacing w:before="6"/>
        <w:rPr>
          <w:sz w:val="15"/>
        </w:rPr>
      </w:pPr>
    </w:p>
    <w:p>
      <w:pPr>
        <w:pStyle w:val="BodyText"/>
        <w:spacing w:line="417" w:lineRule="auto"/>
        <w:ind w:left="658" w:right="1325" w:firstLine="419"/>
        <w:jc w:val="both"/>
      </w:pPr>
      <w:r>
        <w:rPr>
          <w:spacing w:val="-3"/>
          <w:w w:val="100"/>
        </w:rPr>
        <w:t>基金管理人应以收到基金转换申请的当天作为基金转换申请日</w:t>
      </w:r>
      <w:r>
        <w:rPr>
          <w:w w:val="100"/>
        </w:rPr>
        <w:t>（T</w:t>
      </w:r>
      <w:r>
        <w:rPr>
          <w:spacing w:val="-55"/>
        </w:rPr>
        <w:t> </w:t>
      </w:r>
      <w:r>
        <w:rPr>
          <w:w w:val="100"/>
        </w:rPr>
        <w:t>日</w:t>
      </w:r>
      <w:r>
        <w:rPr>
          <w:spacing w:val="-108"/>
          <w:w w:val="100"/>
        </w:rPr>
        <w:t>）</w:t>
      </w:r>
      <w:r>
        <w:rPr>
          <w:spacing w:val="-2"/>
          <w:w w:val="100"/>
        </w:rPr>
        <w:t>，并在</w:t>
      </w:r>
      <w:r>
        <w:rPr>
          <w:spacing w:val="-2"/>
        </w:rPr>
        <w:t> </w:t>
      </w:r>
      <w:r>
        <w:rPr>
          <w:w w:val="100"/>
        </w:rPr>
        <w:t>T+1</w:t>
      </w:r>
      <w:r>
        <w:rPr>
          <w:spacing w:val="-55"/>
        </w:rPr>
        <w:t> </w:t>
      </w:r>
      <w:r>
        <w:rPr>
          <w:w w:val="100"/>
        </w:rPr>
        <w:t>工作</w:t>
      </w:r>
      <w:r>
        <w:rPr>
          <w:spacing w:val="-2"/>
        </w:rPr>
        <w:t>日对该交易的有效性进行确认。投资者可在 </w:t>
      </w:r>
      <w:r>
        <w:rPr/>
        <w:t>T+2</w:t>
      </w:r>
      <w:r>
        <w:rPr>
          <w:spacing w:val="-8"/>
        </w:rPr>
        <w:t> 工作日及之后到其提出基金转换申请的网</w:t>
      </w:r>
      <w:r>
        <w:rPr>
          <w:spacing w:val="-5"/>
        </w:rPr>
        <w:t>点进行成交查询。</w:t>
      </w:r>
    </w:p>
    <w:p>
      <w:pPr>
        <w:pStyle w:val="BodyText"/>
        <w:rPr>
          <w:sz w:val="20"/>
        </w:rPr>
      </w:pPr>
    </w:p>
    <w:p>
      <w:pPr>
        <w:pStyle w:val="BodyText"/>
        <w:spacing w:before="6"/>
        <w:rPr>
          <w:sz w:val="16"/>
        </w:rPr>
      </w:pPr>
    </w:p>
    <w:p>
      <w:pPr>
        <w:spacing w:before="1"/>
        <w:ind w:left="1080" w:right="0" w:firstLine="0"/>
        <w:jc w:val="left"/>
        <w:rPr>
          <w:b/>
          <w:sz w:val="21"/>
        </w:rPr>
      </w:pPr>
      <w:r>
        <w:rPr>
          <w:b/>
          <w:sz w:val="21"/>
        </w:rPr>
        <w:t>（十二）货币市场基金转换的数额限制</w:t>
      </w:r>
    </w:p>
    <w:p>
      <w:pPr>
        <w:pStyle w:val="BodyText"/>
        <w:spacing w:before="6"/>
        <w:rPr>
          <w:b/>
          <w:sz w:val="15"/>
        </w:rPr>
      </w:pPr>
    </w:p>
    <w:p>
      <w:pPr>
        <w:pStyle w:val="BodyText"/>
        <w:spacing w:line="417" w:lineRule="auto"/>
        <w:ind w:left="658" w:right="1309" w:firstLine="419"/>
      </w:pPr>
      <w:r>
        <w:rPr>
          <w:spacing w:val="-8"/>
        </w:rPr>
        <w:t>货币市场基金按照份额进行转换，申请转换份额精确到小数点后两位，单笔转换份额不限。</w:t>
      </w:r>
    </w:p>
    <w:p>
      <w:pPr>
        <w:pStyle w:val="BodyText"/>
        <w:rPr>
          <w:sz w:val="20"/>
        </w:rPr>
      </w:pPr>
    </w:p>
    <w:p>
      <w:pPr>
        <w:pStyle w:val="BodyText"/>
        <w:spacing w:before="7"/>
        <w:rPr>
          <w:sz w:val="16"/>
        </w:rPr>
      </w:pPr>
    </w:p>
    <w:p>
      <w:pPr>
        <w:spacing w:before="0"/>
        <w:ind w:left="1080" w:right="0" w:firstLine="0"/>
        <w:jc w:val="left"/>
        <w:rPr>
          <w:b/>
          <w:sz w:val="21"/>
        </w:rPr>
      </w:pPr>
      <w:r>
        <w:rPr>
          <w:b/>
          <w:sz w:val="21"/>
        </w:rPr>
        <w:t>（十三）货币市场基金的转换：</w:t>
      </w:r>
    </w:p>
    <w:p>
      <w:pPr>
        <w:pStyle w:val="BodyText"/>
        <w:spacing w:before="7"/>
        <w:rPr>
          <w:b/>
          <w:sz w:val="15"/>
        </w:rPr>
      </w:pPr>
    </w:p>
    <w:p>
      <w:pPr>
        <w:pStyle w:val="BodyText"/>
        <w:spacing w:line="417" w:lineRule="auto"/>
        <w:ind w:left="658" w:right="1310" w:firstLine="419"/>
      </w:pPr>
      <w:r>
        <w:rPr>
          <w:spacing w:val="-10"/>
        </w:rPr>
        <w:t>货币市场基金的转换出金额，参照货币市场基金赎回金额按销售机构规定和对应的转换</w:t>
      </w:r>
      <w:r>
        <w:rPr>
          <w:spacing w:val="-5"/>
        </w:rPr>
        <w:t>条件计算。</w:t>
      </w:r>
    </w:p>
    <w:p>
      <w:pPr>
        <w:pStyle w:val="BodyText"/>
        <w:spacing w:line="269" w:lineRule="exact"/>
        <w:ind w:left="1078"/>
      </w:pPr>
      <w:r>
        <w:rPr/>
        <w:t>对应基金的转入份额、申购补差费计算与前述优选混合型基金或动力平衡基金一致。</w:t>
      </w:r>
    </w:p>
    <w:p>
      <w:pPr>
        <w:pStyle w:val="BodyText"/>
        <w:rPr>
          <w:sz w:val="20"/>
        </w:rPr>
      </w:pPr>
    </w:p>
    <w:p>
      <w:pPr>
        <w:pStyle w:val="BodyText"/>
        <w:rPr>
          <w:sz w:val="20"/>
        </w:rPr>
      </w:pPr>
    </w:p>
    <w:p>
      <w:pPr>
        <w:spacing w:before="155"/>
        <w:ind w:left="1080" w:right="0" w:firstLine="0"/>
        <w:jc w:val="left"/>
        <w:rPr>
          <w:b/>
          <w:sz w:val="21"/>
        </w:rPr>
      </w:pPr>
      <w:r>
        <w:rPr>
          <w:b/>
          <w:sz w:val="21"/>
        </w:rPr>
        <w:t>（十四）货币市场基金暂停转换的公告和重新开放转换的公告</w:t>
      </w:r>
    </w:p>
    <w:p>
      <w:pPr>
        <w:pStyle w:val="BodyText"/>
        <w:spacing w:before="7"/>
        <w:rPr>
          <w:b/>
          <w:sz w:val="15"/>
        </w:rPr>
      </w:pPr>
    </w:p>
    <w:p>
      <w:pPr>
        <w:pStyle w:val="BodyText"/>
        <w:ind w:left="1078"/>
      </w:pPr>
      <w:r>
        <w:rPr/>
        <w:t>1、暂停货币市场基金转换，基金管理人应当依照《信息披露办法》的有关规定在中国</w:t>
      </w:r>
    </w:p>
    <w:p>
      <w:pPr>
        <w:spacing w:after="0"/>
        <w:sectPr>
          <w:pgSz w:w="11910" w:h="16840"/>
          <w:pgMar w:header="852" w:footer="992" w:top="1220" w:bottom="1180" w:left="1140" w:right="480"/>
        </w:sectPr>
      </w:pPr>
    </w:p>
    <w:p>
      <w:pPr>
        <w:pStyle w:val="BodyText"/>
        <w:spacing w:before="1"/>
        <w:rPr>
          <w:sz w:val="19"/>
        </w:rPr>
      </w:pPr>
    </w:p>
    <w:p>
      <w:pPr>
        <w:pStyle w:val="BodyText"/>
        <w:spacing w:before="71"/>
        <w:ind w:left="658"/>
      </w:pPr>
      <w:r>
        <w:rPr/>
        <w:t>证监会指定媒介上公告。</w:t>
      </w:r>
    </w:p>
    <w:p>
      <w:pPr>
        <w:pStyle w:val="BodyText"/>
        <w:spacing w:before="7"/>
        <w:rPr>
          <w:sz w:val="15"/>
        </w:rPr>
      </w:pPr>
    </w:p>
    <w:p>
      <w:pPr>
        <w:pStyle w:val="BodyText"/>
        <w:spacing w:line="417" w:lineRule="auto"/>
        <w:ind w:left="658" w:right="1309" w:firstLine="419"/>
        <w:jc w:val="both"/>
      </w:pPr>
      <w:r>
        <w:rPr/>
        <w:t>2</w:t>
      </w:r>
      <w:r>
        <w:rPr>
          <w:spacing w:val="-16"/>
        </w:rPr>
        <w:t>、暂停结束，重新开放基金转换时，基金管理人应依照《信息披露办法》的有关规定， </w:t>
      </w:r>
      <w:r>
        <w:rPr>
          <w:spacing w:val="-11"/>
        </w:rPr>
        <w:t>在指定媒介上刊登基金重新开放基金转换的公告，并在重新开放基金转换日公告最近一个工</w:t>
      </w:r>
      <w:r>
        <w:rPr>
          <w:spacing w:val="-6"/>
        </w:rPr>
        <w:t>作日的各级基金份额的每万份基金净收益和七日年化收益率。</w:t>
      </w:r>
    </w:p>
    <w:p>
      <w:pPr>
        <w:pStyle w:val="BodyText"/>
        <w:rPr>
          <w:sz w:val="20"/>
        </w:rPr>
      </w:pPr>
    </w:p>
    <w:p>
      <w:pPr>
        <w:pStyle w:val="BodyText"/>
        <w:spacing w:before="11"/>
        <w:rPr>
          <w:sz w:val="14"/>
        </w:rPr>
      </w:pPr>
    </w:p>
    <w:p>
      <w:pPr>
        <w:pStyle w:val="Heading1"/>
        <w:ind w:left="3125"/>
      </w:pPr>
      <w:bookmarkStart w:name="_bookmark12" w:id="13"/>
      <w:bookmarkEnd w:id="13"/>
      <w:r>
        <w:rPr>
          <w:b w:val="0"/>
        </w:rPr>
      </w:r>
      <w:r>
        <w:rPr/>
        <w:t>九、基金的非交易过户与转托管</w:t>
      </w:r>
    </w:p>
    <w:p>
      <w:pPr>
        <w:pStyle w:val="BodyText"/>
        <w:rPr>
          <w:b/>
          <w:sz w:val="24"/>
        </w:rPr>
      </w:pPr>
    </w:p>
    <w:p>
      <w:pPr>
        <w:pStyle w:val="BodyText"/>
        <w:spacing w:before="9"/>
        <w:rPr>
          <w:b/>
          <w:sz w:val="26"/>
        </w:rPr>
      </w:pPr>
    </w:p>
    <w:p>
      <w:pPr>
        <w:spacing w:before="0"/>
        <w:ind w:left="658" w:right="0" w:firstLine="0"/>
        <w:jc w:val="left"/>
        <w:rPr>
          <w:b/>
          <w:sz w:val="21"/>
        </w:rPr>
      </w:pPr>
      <w:r>
        <w:rPr>
          <w:b/>
          <w:sz w:val="21"/>
        </w:rPr>
        <w:t>（一）基金的非交易过户</w:t>
      </w:r>
    </w:p>
    <w:p>
      <w:pPr>
        <w:pStyle w:val="BodyText"/>
        <w:spacing w:before="7"/>
        <w:rPr>
          <w:b/>
          <w:sz w:val="15"/>
        </w:rPr>
      </w:pPr>
    </w:p>
    <w:p>
      <w:pPr>
        <w:pStyle w:val="BodyText"/>
        <w:spacing w:line="417" w:lineRule="auto"/>
        <w:ind w:left="658" w:right="1309" w:firstLine="419"/>
      </w:pPr>
      <w:r>
        <w:rPr>
          <w:spacing w:val="-8"/>
        </w:rPr>
        <w:t>基金的非交易过户是指不采用申购、赎回等基金交易方式，将一定数量的基金份额按照</w:t>
      </w:r>
      <w:r>
        <w:rPr>
          <w:spacing w:val="-5"/>
        </w:rPr>
        <w:t>一定规则从某一投资者账户转移到另一投资者基金账户的行为。</w:t>
      </w:r>
    </w:p>
    <w:p>
      <w:pPr>
        <w:pStyle w:val="BodyText"/>
        <w:spacing w:line="417" w:lineRule="auto"/>
        <w:ind w:left="658" w:right="1308" w:firstLine="419"/>
        <w:jc w:val="both"/>
      </w:pPr>
      <w:r>
        <w:rPr>
          <w:spacing w:val="-9"/>
        </w:rPr>
        <w:t>基金销售机构只受理继承、捐赠等情况下的非交易过户申请。其中继承是指基金份额持</w:t>
      </w:r>
      <w:r>
        <w:rPr>
          <w:spacing w:val="-12"/>
        </w:rPr>
        <w:t>有人死亡，其持有的基金份额由其合法的继承人或受遗赠人继承；捐赠仅指基金份额持有人</w:t>
      </w:r>
      <w:r>
        <w:rPr>
          <w:spacing w:val="-9"/>
        </w:rPr>
        <w:t>将其合法持有的基金份额捐赠给福利性质的基金会或社会团体。注册登记机构负责办理司法</w:t>
      </w:r>
      <w:r>
        <w:rPr>
          <w:spacing w:val="-10"/>
        </w:rPr>
        <w:t>强制执行及其他情况下的非交易过户，司法强制执行是指司法机构依据生效司法文书将基金</w:t>
      </w:r>
      <w:r>
        <w:rPr>
          <w:spacing w:val="-9"/>
        </w:rPr>
        <w:t>份额持有人持有的基金份额强制划转给其他自然人、法人或其他组织。符合条件的非交易过</w:t>
      </w:r>
      <w:r>
        <w:rPr>
          <w:spacing w:val="-5"/>
        </w:rPr>
        <w:t>户申请自申请受理日起</w:t>
      </w:r>
      <w:r>
        <w:rPr>
          <w:rFonts w:ascii="Times New Roman" w:eastAsia="Times New Roman"/>
          <w:spacing w:val="-3"/>
        </w:rPr>
        <w:t>2</w:t>
      </w:r>
      <w:r>
        <w:rPr>
          <w:spacing w:val="-3"/>
        </w:rPr>
        <w:t>个月内办理并按基金注册登记人规定的标准收费。</w:t>
      </w:r>
    </w:p>
    <w:p>
      <w:pPr>
        <w:pStyle w:val="BodyText"/>
        <w:rPr>
          <w:sz w:val="22"/>
        </w:rPr>
      </w:pPr>
    </w:p>
    <w:p>
      <w:pPr>
        <w:spacing w:before="185"/>
        <w:ind w:left="658" w:right="0" w:firstLine="0"/>
        <w:jc w:val="left"/>
        <w:rPr>
          <w:b/>
          <w:sz w:val="21"/>
        </w:rPr>
      </w:pPr>
      <w:r>
        <w:rPr>
          <w:b/>
          <w:sz w:val="21"/>
        </w:rPr>
        <w:t>（二）基金的转托管</w:t>
      </w:r>
    </w:p>
    <w:p>
      <w:pPr>
        <w:pStyle w:val="BodyText"/>
        <w:spacing w:before="7"/>
        <w:rPr>
          <w:b/>
          <w:sz w:val="15"/>
        </w:rPr>
      </w:pPr>
    </w:p>
    <w:p>
      <w:pPr>
        <w:pStyle w:val="BodyText"/>
        <w:spacing w:line="417" w:lineRule="auto"/>
        <w:ind w:left="658" w:right="1310" w:firstLine="419"/>
        <w:jc w:val="both"/>
      </w:pPr>
      <w:r>
        <w:rPr>
          <w:spacing w:val="-9"/>
        </w:rPr>
        <w:t>本基金目前实行份额托管的交易制度。投资者可将所持有的基金份额从一个交易账户转</w:t>
      </w:r>
      <w:r>
        <w:rPr>
          <w:spacing w:val="-11"/>
        </w:rPr>
        <w:t>入另一个交易账户进行交易。具体办理方法参照《景顺长城基金管理有限公司开放式基金注</w:t>
      </w:r>
      <w:r>
        <w:rPr>
          <w:spacing w:val="-6"/>
        </w:rPr>
        <w:t>册登记业务规则》的有关规定以及基金代销机构的具体规定。</w:t>
      </w:r>
    </w:p>
    <w:p>
      <w:pPr>
        <w:spacing w:after="0" w:line="417" w:lineRule="auto"/>
        <w:jc w:val="both"/>
        <w:sectPr>
          <w:pgSz w:w="11910" w:h="16840"/>
          <w:pgMar w:header="852" w:footer="992" w:top="1220" w:bottom="1180" w:left="1140" w:right="480"/>
        </w:sectPr>
      </w:pPr>
    </w:p>
    <w:p>
      <w:pPr>
        <w:pStyle w:val="BodyText"/>
        <w:spacing w:before="11"/>
        <w:rPr>
          <w:sz w:val="17"/>
        </w:rPr>
      </w:pPr>
    </w:p>
    <w:p>
      <w:pPr>
        <w:pStyle w:val="Heading1"/>
        <w:spacing w:before="66"/>
        <w:ind w:left="1902" w:right="2558"/>
        <w:jc w:val="center"/>
      </w:pPr>
      <w:bookmarkStart w:name="_bookmark13" w:id="14"/>
      <w:bookmarkEnd w:id="14"/>
      <w:r>
        <w:rPr>
          <w:b w:val="0"/>
        </w:rPr>
      </w:r>
      <w:r>
        <w:rPr/>
        <w:t>十、基金的投资</w:t>
      </w:r>
    </w:p>
    <w:p>
      <w:pPr>
        <w:pStyle w:val="BodyText"/>
        <w:rPr>
          <w:b/>
          <w:sz w:val="24"/>
        </w:rPr>
      </w:pPr>
    </w:p>
    <w:p>
      <w:pPr>
        <w:pStyle w:val="BodyText"/>
        <w:spacing w:before="9"/>
        <w:rPr>
          <w:b/>
          <w:sz w:val="26"/>
        </w:rPr>
      </w:pPr>
    </w:p>
    <w:p>
      <w:pPr>
        <w:pStyle w:val="BodyText"/>
        <w:spacing w:line="417" w:lineRule="auto"/>
        <w:ind w:left="658" w:right="1310" w:firstLine="419"/>
      </w:pPr>
      <w:r>
        <w:rPr>
          <w:spacing w:val="-8"/>
        </w:rPr>
        <w:t>本系列基金下各基金在投资运作上保持独立性，各基金均需遵守法律法规规定的单只基</w:t>
      </w:r>
      <w:r>
        <w:rPr>
          <w:spacing w:val="-5"/>
        </w:rPr>
        <w:t>金的投资限制和禁止性规定。</w:t>
      </w:r>
    </w:p>
    <w:p>
      <w:pPr>
        <w:spacing w:line="269" w:lineRule="exact" w:before="0"/>
        <w:ind w:left="658" w:right="0" w:firstLine="0"/>
        <w:jc w:val="left"/>
        <w:rPr>
          <w:b/>
          <w:sz w:val="21"/>
        </w:rPr>
      </w:pPr>
      <w:r>
        <w:rPr>
          <w:b/>
          <w:sz w:val="21"/>
        </w:rPr>
        <w:t>（一）投资理念</w:t>
      </w:r>
    </w:p>
    <w:p>
      <w:pPr>
        <w:pStyle w:val="BodyText"/>
        <w:spacing w:before="6"/>
        <w:rPr>
          <w:b/>
          <w:sz w:val="15"/>
        </w:rPr>
      </w:pPr>
    </w:p>
    <w:p>
      <w:pPr>
        <w:pStyle w:val="BodyText"/>
        <w:spacing w:line="417" w:lineRule="auto" w:before="1"/>
        <w:ind w:left="658" w:right="1311" w:firstLine="419"/>
      </w:pPr>
      <w:r>
        <w:rPr>
          <w:spacing w:val="-10"/>
        </w:rPr>
        <w:t>宁取细水长流，不要惊涛裂岸。无论对债券还是股票，本系列基金的投资理念都是基于</w:t>
      </w:r>
      <w:r>
        <w:rPr>
          <w:spacing w:val="-5"/>
        </w:rPr>
        <w:t>基本面分析和价值投资。</w:t>
      </w:r>
    </w:p>
    <w:p>
      <w:pPr>
        <w:pStyle w:val="BodyText"/>
        <w:rPr>
          <w:sz w:val="20"/>
        </w:rPr>
      </w:pPr>
    </w:p>
    <w:p>
      <w:pPr>
        <w:pStyle w:val="BodyText"/>
        <w:spacing w:before="6"/>
        <w:rPr>
          <w:sz w:val="16"/>
        </w:rPr>
      </w:pPr>
    </w:p>
    <w:p>
      <w:pPr>
        <w:spacing w:before="1"/>
        <w:ind w:left="658" w:right="0" w:firstLine="0"/>
        <w:jc w:val="left"/>
        <w:rPr>
          <w:b/>
          <w:sz w:val="21"/>
        </w:rPr>
      </w:pPr>
      <w:r>
        <w:rPr>
          <w:b/>
          <w:sz w:val="21"/>
        </w:rPr>
        <w:t>（二）投资目标</w:t>
      </w:r>
    </w:p>
    <w:p>
      <w:pPr>
        <w:pStyle w:val="BodyText"/>
        <w:spacing w:before="6"/>
        <w:rPr>
          <w:b/>
          <w:sz w:val="15"/>
        </w:rPr>
      </w:pPr>
    </w:p>
    <w:p>
      <w:pPr>
        <w:pStyle w:val="BodyText"/>
        <w:spacing w:line="417" w:lineRule="auto"/>
        <w:ind w:left="658" w:right="1309" w:firstLine="419"/>
      </w:pPr>
      <w:r>
        <w:rPr>
          <w:spacing w:val="-9"/>
        </w:rPr>
        <w:t>本系列基金的投资目标是：运用专业化的投资管理，为投资者提供长期稳定并可持续的</w:t>
      </w:r>
      <w:r>
        <w:rPr>
          <w:spacing w:val="-5"/>
        </w:rPr>
        <w:t>资本增值。各基金投资目标如下：</w:t>
      </w:r>
    </w:p>
    <w:p>
      <w:pPr>
        <w:pStyle w:val="BodyText"/>
        <w:spacing w:line="417" w:lineRule="auto"/>
        <w:ind w:left="658" w:right="1309" w:firstLine="419"/>
      </w:pPr>
      <w:r>
        <w:rPr/>
        <w:t>1、优选混合型基金利用“景顺长城股票数据库”对股票进行精密和系统的分析，构建具有投资价值的股票组合，力求为投资者提供长期的资本增值。</w:t>
      </w:r>
    </w:p>
    <w:p>
      <w:pPr>
        <w:pStyle w:val="BodyText"/>
        <w:spacing w:line="269" w:lineRule="exact"/>
        <w:ind w:left="1078"/>
      </w:pPr>
      <w:r>
        <w:rPr/>
        <w:t>2、货币市场基金在保持本金的高流动性和安全性的前提下，获得高于基准的投资回报。</w:t>
      </w:r>
    </w:p>
    <w:p>
      <w:pPr>
        <w:pStyle w:val="BodyText"/>
        <w:spacing w:before="7"/>
        <w:rPr>
          <w:sz w:val="15"/>
        </w:rPr>
      </w:pPr>
    </w:p>
    <w:p>
      <w:pPr>
        <w:pStyle w:val="BodyText"/>
        <w:spacing w:line="417" w:lineRule="auto"/>
        <w:ind w:left="658" w:right="1309" w:firstLine="419"/>
      </w:pPr>
      <w:r>
        <w:rPr/>
        <w:t>3、动力平衡基金以获取高于业绩比较基准的回报为目标，注重通过动态的资产配置以达到当期收益与长期资本增值的兼顾，争取为投资者提供长期稳定的回报。</w:t>
      </w:r>
    </w:p>
    <w:p>
      <w:pPr>
        <w:pStyle w:val="BodyText"/>
        <w:rPr>
          <w:sz w:val="20"/>
        </w:rPr>
      </w:pPr>
    </w:p>
    <w:p>
      <w:pPr>
        <w:pStyle w:val="BodyText"/>
        <w:spacing w:before="6"/>
        <w:rPr>
          <w:sz w:val="16"/>
        </w:rPr>
      </w:pPr>
    </w:p>
    <w:p>
      <w:pPr>
        <w:spacing w:before="1"/>
        <w:ind w:left="658" w:right="0" w:firstLine="0"/>
        <w:jc w:val="left"/>
        <w:rPr>
          <w:b/>
          <w:sz w:val="21"/>
        </w:rPr>
      </w:pPr>
      <w:r>
        <w:rPr>
          <w:b/>
          <w:sz w:val="21"/>
        </w:rPr>
        <w:t>（三）投资方向</w:t>
      </w:r>
    </w:p>
    <w:p>
      <w:pPr>
        <w:pStyle w:val="BodyText"/>
        <w:spacing w:before="6"/>
        <w:rPr>
          <w:b/>
          <w:sz w:val="15"/>
        </w:rPr>
      </w:pPr>
    </w:p>
    <w:p>
      <w:pPr>
        <w:pStyle w:val="BodyText"/>
        <w:spacing w:line="417" w:lineRule="auto"/>
        <w:ind w:left="658" w:right="1308" w:firstLine="419"/>
        <w:jc w:val="both"/>
      </w:pPr>
      <w:r>
        <w:rPr>
          <w:spacing w:val="-6"/>
        </w:rPr>
        <w:t>本系列基金下设的优选混合型基金和动力平衡基金的投资范围包括股票、债券以及中国</w:t>
      </w:r>
      <w:r>
        <w:rPr>
          <w:spacing w:val="-10"/>
        </w:rPr>
        <w:t>证监会允许基金投资的其他金融工具。股票投资范围包括所有在国内依法公开发行上市的 </w:t>
      </w:r>
      <w:r>
        <w:rPr>
          <w:rFonts w:ascii="Times New Roman" w:eastAsia="Times New Roman"/>
        </w:rPr>
        <w:t>A </w:t>
      </w:r>
      <w:r>
        <w:rPr>
          <w:spacing w:val="-3"/>
        </w:rPr>
        <w:t>股及存托凭证；债券投资的范围包括国债、金融债、企业债与可转换债券等。</w:t>
      </w:r>
    </w:p>
    <w:p>
      <w:pPr>
        <w:pStyle w:val="BodyText"/>
        <w:ind w:left="1078"/>
      </w:pPr>
      <w:r>
        <w:rPr/>
        <w:t>本系列基金下设的货币市场基金投资于以下金融工具：</w:t>
      </w:r>
    </w:p>
    <w:p>
      <w:pPr>
        <w:pStyle w:val="BodyText"/>
        <w:spacing w:before="7"/>
        <w:rPr>
          <w:sz w:val="15"/>
        </w:rPr>
      </w:pPr>
    </w:p>
    <w:p>
      <w:pPr>
        <w:pStyle w:val="BodyText"/>
        <w:ind w:left="1078"/>
      </w:pPr>
      <w:r>
        <w:rPr>
          <w:rFonts w:ascii="Times New Roman" w:eastAsia="Times New Roman"/>
        </w:rPr>
        <w:t>1</w:t>
      </w:r>
      <w:r>
        <w:rPr/>
        <w:t>、现金；</w:t>
      </w:r>
    </w:p>
    <w:p>
      <w:pPr>
        <w:pStyle w:val="BodyText"/>
        <w:spacing w:before="7"/>
        <w:rPr>
          <w:sz w:val="15"/>
        </w:rPr>
      </w:pPr>
    </w:p>
    <w:p>
      <w:pPr>
        <w:pStyle w:val="BodyText"/>
        <w:ind w:left="1078"/>
      </w:pPr>
      <w:r>
        <w:rPr>
          <w:rFonts w:ascii="Times New Roman" w:eastAsia="Times New Roman"/>
        </w:rPr>
        <w:t>2</w:t>
      </w:r>
      <w:r>
        <w:rPr/>
        <w:t>、期限在 </w:t>
      </w:r>
      <w:r>
        <w:rPr>
          <w:rFonts w:ascii="Times New Roman" w:eastAsia="Times New Roman"/>
        </w:rPr>
        <w:t>1 </w:t>
      </w:r>
      <w:r>
        <w:rPr/>
        <w:t>年以内（含 </w:t>
      </w:r>
      <w:r>
        <w:rPr>
          <w:rFonts w:ascii="Times New Roman" w:eastAsia="Times New Roman"/>
        </w:rPr>
        <w:t>1 </w:t>
      </w:r>
      <w:r>
        <w:rPr/>
        <w:t>年）的银行存款、债券回购、中央银行票据、同业存单；</w:t>
      </w:r>
    </w:p>
    <w:p>
      <w:pPr>
        <w:pStyle w:val="BodyText"/>
        <w:spacing w:before="6"/>
        <w:rPr>
          <w:sz w:val="15"/>
        </w:rPr>
      </w:pPr>
    </w:p>
    <w:p>
      <w:pPr>
        <w:pStyle w:val="BodyText"/>
        <w:spacing w:before="1"/>
        <w:ind w:left="1078"/>
      </w:pPr>
      <w:r>
        <w:rPr>
          <w:rFonts w:ascii="Times New Roman" w:eastAsia="Times New Roman"/>
        </w:rPr>
        <w:t>3</w:t>
      </w:r>
      <w:r>
        <w:rPr/>
        <w:t>、剩余期限在 </w:t>
      </w:r>
      <w:r>
        <w:rPr>
          <w:rFonts w:ascii="Times New Roman" w:eastAsia="Times New Roman"/>
        </w:rPr>
        <w:t>397  </w:t>
      </w:r>
      <w:r>
        <w:rPr/>
        <w:t>天以内（含 </w:t>
      </w:r>
      <w:r>
        <w:rPr>
          <w:rFonts w:ascii="Times New Roman" w:eastAsia="Times New Roman"/>
        </w:rPr>
        <w:t>397  </w:t>
      </w:r>
      <w:r>
        <w:rPr/>
        <w:t>天）的债券、短期融资券、中期票据；</w:t>
      </w:r>
    </w:p>
    <w:p>
      <w:pPr>
        <w:pStyle w:val="BodyText"/>
        <w:spacing w:before="6"/>
        <w:rPr>
          <w:sz w:val="15"/>
        </w:rPr>
      </w:pPr>
    </w:p>
    <w:p>
      <w:pPr>
        <w:pStyle w:val="BodyText"/>
        <w:ind w:left="1078"/>
      </w:pPr>
      <w:r>
        <w:rPr>
          <w:rFonts w:ascii="Times New Roman" w:eastAsia="Times New Roman"/>
        </w:rPr>
        <w:t>4</w:t>
      </w:r>
      <w:r>
        <w:rPr/>
        <w:t>、中国证监会、中国人民银行认可的其他具有良好流动性的货币市场工具。</w:t>
      </w:r>
    </w:p>
    <w:p>
      <w:pPr>
        <w:pStyle w:val="BodyText"/>
        <w:spacing w:before="7"/>
        <w:rPr>
          <w:sz w:val="15"/>
        </w:rPr>
      </w:pPr>
    </w:p>
    <w:p>
      <w:pPr>
        <w:spacing w:before="0"/>
        <w:ind w:left="658" w:right="0" w:firstLine="0"/>
        <w:jc w:val="left"/>
        <w:rPr>
          <w:b/>
          <w:sz w:val="21"/>
        </w:rPr>
      </w:pPr>
      <w:r>
        <w:rPr>
          <w:b/>
          <w:sz w:val="21"/>
        </w:rPr>
        <w:t>（四）投资策略</w:t>
      </w:r>
    </w:p>
    <w:p>
      <w:pPr>
        <w:pStyle w:val="BodyText"/>
        <w:spacing w:before="7"/>
        <w:rPr>
          <w:b/>
          <w:sz w:val="15"/>
        </w:rPr>
      </w:pPr>
    </w:p>
    <w:p>
      <w:pPr>
        <w:pStyle w:val="BodyText"/>
        <w:ind w:left="1078"/>
      </w:pPr>
      <w:r>
        <w:rPr>
          <w:rFonts w:ascii="Times New Roman" w:eastAsia="Times New Roman"/>
        </w:rPr>
        <w:t>1</w:t>
      </w:r>
      <w:r>
        <w:rPr>
          <w:spacing w:val="-3"/>
        </w:rPr>
        <w:t>、资产配置</w:t>
      </w:r>
    </w:p>
    <w:p>
      <w:pPr>
        <w:pStyle w:val="BodyText"/>
        <w:spacing w:before="7"/>
        <w:rPr>
          <w:sz w:val="15"/>
        </w:rPr>
      </w:pPr>
    </w:p>
    <w:p>
      <w:pPr>
        <w:pStyle w:val="BodyText"/>
        <w:spacing w:line="417" w:lineRule="auto"/>
        <w:ind w:left="658" w:right="1308" w:firstLine="412"/>
      </w:pPr>
      <w:r>
        <w:rPr>
          <w:spacing w:val="-6"/>
        </w:rPr>
        <w:t>本系列基金下优选混合型基金和动力平衡基金均有债券和股票资产，但是配置比例显著不同：</w:t>
      </w:r>
    </w:p>
    <w:p>
      <w:pPr>
        <w:spacing w:after="0" w:line="417" w:lineRule="auto"/>
        <w:sectPr>
          <w:pgSz w:w="11910" w:h="16840"/>
          <w:pgMar w:header="852" w:footer="992" w:top="1220" w:bottom="1180" w:left="1140" w:right="480"/>
        </w:sectPr>
      </w:pPr>
    </w:p>
    <w:p>
      <w:pPr>
        <w:pStyle w:val="BodyText"/>
        <w:rPr>
          <w:sz w:val="20"/>
        </w:rPr>
      </w:pPr>
    </w:p>
    <w:p>
      <w:pPr>
        <w:pStyle w:val="BodyText"/>
        <w:rPr>
          <w:sz w:val="20"/>
        </w:rPr>
      </w:pPr>
    </w:p>
    <w:p>
      <w:pPr>
        <w:pStyle w:val="BodyText"/>
        <w:spacing w:before="5"/>
        <w:rPr>
          <w:sz w:val="13"/>
        </w:rPr>
      </w:pPr>
    </w:p>
    <w:tbl>
      <w:tblPr>
        <w:tblW w:w="0" w:type="auto"/>
        <w:jc w:val="left"/>
        <w:tblInd w:w="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1"/>
        <w:gridCol w:w="2343"/>
      </w:tblGrid>
      <w:tr>
        <w:trPr>
          <w:trHeight w:val="467" w:hRule="atLeast"/>
        </w:trPr>
        <w:tc>
          <w:tcPr>
            <w:tcW w:w="2341" w:type="dxa"/>
          </w:tcPr>
          <w:p>
            <w:pPr>
              <w:pStyle w:val="TableParagraph"/>
              <w:spacing w:before="99"/>
              <w:ind w:left="319"/>
              <w:rPr>
                <w:b/>
                <w:sz w:val="21"/>
              </w:rPr>
            </w:pPr>
            <w:r>
              <w:rPr>
                <w:b/>
                <w:sz w:val="21"/>
              </w:rPr>
              <w:t>优选混合型基金</w:t>
            </w:r>
          </w:p>
        </w:tc>
        <w:tc>
          <w:tcPr>
            <w:tcW w:w="2343" w:type="dxa"/>
          </w:tcPr>
          <w:p>
            <w:pPr>
              <w:pStyle w:val="TableParagraph"/>
              <w:spacing w:before="99"/>
              <w:ind w:left="318"/>
              <w:rPr>
                <w:b/>
                <w:sz w:val="21"/>
              </w:rPr>
            </w:pPr>
            <w:r>
              <w:rPr>
                <w:b/>
                <w:sz w:val="21"/>
              </w:rPr>
              <w:t>动力平衡基金</w:t>
            </w:r>
          </w:p>
        </w:tc>
      </w:tr>
      <w:tr>
        <w:trPr>
          <w:trHeight w:val="935" w:hRule="atLeast"/>
        </w:trPr>
        <w:tc>
          <w:tcPr>
            <w:tcW w:w="2341" w:type="dxa"/>
          </w:tcPr>
          <w:p>
            <w:pPr>
              <w:pStyle w:val="TableParagraph"/>
              <w:spacing w:before="99"/>
              <w:ind w:left="107"/>
              <w:rPr>
                <w:sz w:val="21"/>
              </w:rPr>
            </w:pPr>
            <w:r>
              <w:rPr>
                <w:spacing w:val="-1"/>
                <w:sz w:val="21"/>
              </w:rPr>
              <w:t>股票：</w:t>
            </w:r>
            <w:r>
              <w:rPr>
                <w:rFonts w:ascii="Times New Roman" w:eastAsia="Times New Roman"/>
                <w:spacing w:val="-1"/>
                <w:sz w:val="21"/>
              </w:rPr>
              <w:t>70-80</w:t>
            </w:r>
            <w:r>
              <w:rPr>
                <w:spacing w:val="-1"/>
                <w:sz w:val="21"/>
              </w:rPr>
              <w:t>％</w:t>
            </w:r>
          </w:p>
          <w:p>
            <w:pPr>
              <w:pStyle w:val="TableParagraph"/>
              <w:spacing w:before="7"/>
              <w:rPr>
                <w:sz w:val="15"/>
              </w:rPr>
            </w:pPr>
          </w:p>
          <w:p>
            <w:pPr>
              <w:pStyle w:val="TableParagraph"/>
              <w:ind w:left="107"/>
              <w:rPr>
                <w:sz w:val="21"/>
              </w:rPr>
            </w:pPr>
            <w:r>
              <w:rPr>
                <w:spacing w:val="-1"/>
                <w:sz w:val="21"/>
              </w:rPr>
              <w:t>债券：</w:t>
            </w:r>
            <w:r>
              <w:rPr>
                <w:rFonts w:ascii="Times New Roman" w:eastAsia="Times New Roman"/>
                <w:spacing w:val="-1"/>
                <w:sz w:val="21"/>
              </w:rPr>
              <w:t>20-30</w:t>
            </w:r>
            <w:r>
              <w:rPr>
                <w:spacing w:val="-1"/>
                <w:sz w:val="21"/>
              </w:rPr>
              <w:t>％</w:t>
            </w:r>
          </w:p>
        </w:tc>
        <w:tc>
          <w:tcPr>
            <w:tcW w:w="2343" w:type="dxa"/>
          </w:tcPr>
          <w:p>
            <w:pPr>
              <w:pStyle w:val="TableParagraph"/>
              <w:spacing w:before="99"/>
              <w:ind w:left="107"/>
              <w:rPr>
                <w:rFonts w:ascii="Times New Roman" w:eastAsia="Times New Roman"/>
                <w:sz w:val="21"/>
              </w:rPr>
            </w:pPr>
            <w:r>
              <w:rPr>
                <w:spacing w:val="-1"/>
                <w:sz w:val="21"/>
              </w:rPr>
              <w:t>股票：</w:t>
            </w:r>
            <w:r>
              <w:rPr>
                <w:rFonts w:ascii="Times New Roman" w:eastAsia="Times New Roman"/>
                <w:spacing w:val="-1"/>
                <w:sz w:val="21"/>
              </w:rPr>
              <w:t>20-80%</w:t>
            </w:r>
          </w:p>
          <w:p>
            <w:pPr>
              <w:pStyle w:val="TableParagraph"/>
              <w:spacing w:before="7"/>
              <w:rPr>
                <w:sz w:val="15"/>
              </w:rPr>
            </w:pPr>
          </w:p>
          <w:p>
            <w:pPr>
              <w:pStyle w:val="TableParagraph"/>
              <w:ind w:left="107"/>
              <w:rPr>
                <w:rFonts w:ascii="Times New Roman" w:eastAsia="Times New Roman"/>
                <w:sz w:val="21"/>
              </w:rPr>
            </w:pPr>
            <w:r>
              <w:rPr>
                <w:spacing w:val="-1"/>
                <w:sz w:val="21"/>
              </w:rPr>
              <w:t>债券：</w:t>
            </w:r>
            <w:r>
              <w:rPr>
                <w:rFonts w:ascii="Times New Roman" w:eastAsia="Times New Roman"/>
                <w:spacing w:val="-1"/>
                <w:sz w:val="21"/>
              </w:rPr>
              <w:t>20-80%</w:t>
            </w:r>
          </w:p>
        </w:tc>
      </w:tr>
    </w:tbl>
    <w:p>
      <w:pPr>
        <w:pStyle w:val="BodyText"/>
        <w:spacing w:before="99"/>
        <w:ind w:left="1498"/>
      </w:pPr>
      <w:r>
        <w:rPr>
          <w:rFonts w:ascii="Times New Roman" w:eastAsia="Times New Roman"/>
        </w:rPr>
        <w:t>*</w:t>
      </w:r>
      <w:r>
        <w:rPr/>
        <w:t>百分比为占基金资产净值比例。</w:t>
      </w:r>
    </w:p>
    <w:p>
      <w:pPr>
        <w:pStyle w:val="BodyText"/>
        <w:spacing w:before="7"/>
        <w:rPr>
          <w:sz w:val="15"/>
        </w:rPr>
      </w:pPr>
    </w:p>
    <w:p>
      <w:pPr>
        <w:pStyle w:val="BodyText"/>
        <w:ind w:left="1078"/>
      </w:pPr>
      <w:r>
        <w:rPr>
          <w:rFonts w:ascii="Times New Roman" w:eastAsia="Times New Roman"/>
        </w:rPr>
        <w:t>2</w:t>
      </w:r>
      <w:r>
        <w:rPr/>
        <w:t>、优选混合型基金和动力平衡基金的股票选择及组合构建</w:t>
      </w:r>
    </w:p>
    <w:p>
      <w:pPr>
        <w:pStyle w:val="BodyText"/>
        <w:spacing w:before="7"/>
        <w:rPr>
          <w:sz w:val="15"/>
        </w:rPr>
      </w:pPr>
    </w:p>
    <w:p>
      <w:pPr>
        <w:pStyle w:val="ListParagraph"/>
        <w:numPr>
          <w:ilvl w:val="0"/>
          <w:numId w:val="18"/>
        </w:numPr>
        <w:tabs>
          <w:tab w:pos="1607" w:val="left" w:leader="none"/>
        </w:tabs>
        <w:spacing w:line="240" w:lineRule="auto" w:before="0" w:after="0"/>
        <w:ind w:left="1607" w:right="0" w:hanging="529"/>
        <w:jc w:val="left"/>
        <w:rPr>
          <w:sz w:val="21"/>
        </w:rPr>
      </w:pPr>
      <w:r>
        <w:rPr>
          <w:spacing w:val="-2"/>
          <w:sz w:val="21"/>
        </w:rPr>
        <w:t>投资流程</w:t>
      </w:r>
    </w:p>
    <w:p>
      <w:pPr>
        <w:pStyle w:val="BodyText"/>
        <w:spacing w:before="7"/>
        <w:rPr>
          <w:sz w:val="15"/>
        </w:rPr>
      </w:pPr>
    </w:p>
    <w:p>
      <w:pPr>
        <w:pStyle w:val="BodyText"/>
        <w:spacing w:line="417" w:lineRule="auto"/>
        <w:ind w:left="658" w:right="1309" w:firstLine="419"/>
        <w:jc w:val="both"/>
      </w:pPr>
      <w:r>
        <w:rPr/>
        <w:t>在构建和管理投资组合过程中，这两只基金主要采取“自下而上”的投资策略</w:t>
      </w:r>
      <w:r>
        <w:rPr>
          <w:rFonts w:ascii="Times New Roman" w:hAnsi="Times New Roman" w:eastAsia="Times New Roman"/>
        </w:rPr>
        <w:t>,</w:t>
      </w:r>
      <w:r>
        <w:rPr>
          <w:spacing w:val="-5"/>
        </w:rPr>
        <w:t>着重选</w:t>
      </w:r>
      <w:r>
        <w:rPr>
          <w:spacing w:val="-8"/>
        </w:rPr>
        <w:t>择基本面良好或价值被过分低估的股票。同时，也会结合“自上而下”的投资策略，即基于</w:t>
      </w:r>
      <w:r>
        <w:rPr>
          <w:spacing w:val="-10"/>
        </w:rPr>
        <w:t>对宏观经济运行状况及政策分析、金融货币运行状况及政策分析、产行业运行景气状况及政</w:t>
      </w:r>
      <w:r>
        <w:rPr>
          <w:spacing w:val="-12"/>
        </w:rPr>
        <w:t>策分析，做出产行业偏好选择，进而结合证券市场状况和政策分析，做出资产配置及组合构</w:t>
      </w:r>
      <w:r>
        <w:rPr>
          <w:spacing w:val="-6"/>
        </w:rPr>
        <w:t>建的决定。</w:t>
      </w:r>
    </w:p>
    <w:p>
      <w:pPr>
        <w:pStyle w:val="ListParagraph"/>
        <w:numPr>
          <w:ilvl w:val="0"/>
          <w:numId w:val="18"/>
        </w:numPr>
        <w:tabs>
          <w:tab w:pos="1607" w:val="left" w:leader="none"/>
        </w:tabs>
        <w:spacing w:line="268" w:lineRule="exact" w:before="0" w:after="0"/>
        <w:ind w:left="1607" w:right="0" w:hanging="529"/>
        <w:jc w:val="left"/>
        <w:rPr>
          <w:sz w:val="21"/>
        </w:rPr>
      </w:pPr>
      <w:r>
        <w:rPr>
          <w:spacing w:val="-2"/>
          <w:sz w:val="21"/>
        </w:rPr>
        <w:t>选股原则</w:t>
      </w:r>
    </w:p>
    <w:p>
      <w:pPr>
        <w:pStyle w:val="BodyText"/>
        <w:spacing w:before="7"/>
        <w:rPr>
          <w:sz w:val="15"/>
        </w:rPr>
      </w:pPr>
    </w:p>
    <w:p>
      <w:pPr>
        <w:pStyle w:val="BodyText"/>
        <w:spacing w:line="417" w:lineRule="auto"/>
        <w:ind w:left="658" w:right="1204" w:firstLine="419"/>
      </w:pPr>
      <w:r>
        <w:rPr/>
        <w:t>股票投资以成长、价值及收益为基础，在合适的价位买入具有高成长性的成长型股票、价值被市场低估的价值型股票以及能提供稳定收益的收益型股票。</w:t>
      </w:r>
    </w:p>
    <w:p>
      <w:pPr>
        <w:pStyle w:val="ListParagraph"/>
        <w:numPr>
          <w:ilvl w:val="0"/>
          <w:numId w:val="18"/>
        </w:numPr>
        <w:tabs>
          <w:tab w:pos="1607" w:val="left" w:leader="none"/>
        </w:tabs>
        <w:spacing w:line="240" w:lineRule="auto" w:before="0" w:after="0"/>
        <w:ind w:left="1607" w:right="0" w:hanging="529"/>
        <w:jc w:val="left"/>
        <w:rPr>
          <w:sz w:val="21"/>
        </w:rPr>
      </w:pPr>
      <w:r>
        <w:rPr>
          <w:spacing w:val="-2"/>
          <w:sz w:val="21"/>
        </w:rPr>
        <w:t>选股程序</w:t>
      </w:r>
    </w:p>
    <w:p>
      <w:pPr>
        <w:pStyle w:val="BodyText"/>
        <w:spacing w:before="7"/>
        <w:rPr>
          <w:sz w:val="15"/>
        </w:rPr>
      </w:pPr>
    </w:p>
    <w:p>
      <w:pPr>
        <w:pStyle w:val="BodyText"/>
        <w:spacing w:line="417" w:lineRule="auto"/>
        <w:ind w:left="658" w:right="1309" w:firstLine="419"/>
      </w:pPr>
      <w:r>
        <w:rPr>
          <w:spacing w:val="-20"/>
        </w:rPr>
        <w:t>①通过“景顺长城股票数据库”的详细分析与其他深入的研究，如实地考察、电话会议、</w:t>
      </w:r>
      <w:r>
        <w:rPr>
          <w:spacing w:val="-12"/>
          <w:w w:val="100"/>
        </w:rPr>
        <w:t>行业分析等，判断股票是否值得投资，然后组建“股票买进名单”；</w:t>
      </w:r>
    </w:p>
    <w:p>
      <w:pPr>
        <w:pStyle w:val="BodyText"/>
        <w:spacing w:line="417" w:lineRule="auto"/>
        <w:ind w:left="658" w:right="1309" w:firstLine="419"/>
      </w:pPr>
      <w:r>
        <w:rPr>
          <w:spacing w:val="-2"/>
          <w:w w:val="100"/>
        </w:rPr>
        <w:t>②在深入研究的基础上</w:t>
      </w:r>
      <w:r>
        <w:rPr>
          <w:spacing w:val="-3"/>
          <w:w w:val="100"/>
        </w:rPr>
        <w:t>（包括对各种量化指标的分析，结合各券商的投资分析报告</w:t>
      </w:r>
      <w:r>
        <w:rPr>
          <w:spacing w:val="-114"/>
          <w:w w:val="100"/>
        </w:rPr>
        <w:t>）</w:t>
      </w:r>
      <w:r>
        <w:rPr>
          <w:spacing w:val="-6"/>
          <w:w w:val="100"/>
        </w:rPr>
        <w:t>，</w:t>
      </w:r>
      <w:r>
        <w:rPr>
          <w:spacing w:val="-6"/>
          <w:w w:val="100"/>
        </w:rPr>
        <w:t>综合公司的分析判断，做出对所研究股票的投资结论，并持续维护“股票买进名单”；</w:t>
      </w:r>
    </w:p>
    <w:p>
      <w:pPr>
        <w:pStyle w:val="BodyText"/>
        <w:spacing w:line="417" w:lineRule="auto"/>
        <w:ind w:left="658" w:right="1311" w:firstLine="419"/>
      </w:pPr>
      <w:r>
        <w:rPr>
          <w:spacing w:val="-9"/>
        </w:rPr>
        <w:t>③根据基金的投资目标、投资限制和投资策略等要求，考虑收益和风险的配比、股票的</w:t>
      </w:r>
      <w:r>
        <w:rPr>
          <w:spacing w:val="-5"/>
        </w:rPr>
        <w:t>流动性以及其它因素，推荐不同基金的股票买进名单。</w:t>
      </w:r>
    </w:p>
    <w:p>
      <w:pPr>
        <w:pStyle w:val="ListParagraph"/>
        <w:numPr>
          <w:ilvl w:val="0"/>
          <w:numId w:val="18"/>
        </w:numPr>
        <w:tabs>
          <w:tab w:pos="1607" w:val="left" w:leader="none"/>
        </w:tabs>
        <w:spacing w:line="417" w:lineRule="auto" w:before="0" w:after="0"/>
        <w:ind w:left="658" w:right="1309" w:firstLine="419"/>
        <w:jc w:val="left"/>
        <w:rPr>
          <w:sz w:val="21"/>
        </w:rPr>
      </w:pPr>
      <w:r>
        <w:rPr>
          <w:spacing w:val="-3"/>
          <w:sz w:val="21"/>
        </w:rPr>
        <w:t>优选混合型基金和动力平衡基金投资存托凭证的策略依照上述境内上市交易的股票投资策略执行。</w:t>
      </w:r>
    </w:p>
    <w:p>
      <w:pPr>
        <w:pStyle w:val="BodyText"/>
        <w:spacing w:line="269" w:lineRule="exact"/>
        <w:ind w:left="1078"/>
      </w:pPr>
      <w:r>
        <w:rPr>
          <w:rFonts w:ascii="Times New Roman" w:eastAsia="Times New Roman"/>
        </w:rPr>
        <w:t>3</w:t>
      </w:r>
      <w:r>
        <w:rPr/>
        <w:t>、债券选择和组合构建</w:t>
      </w:r>
    </w:p>
    <w:p>
      <w:pPr>
        <w:pStyle w:val="BodyText"/>
        <w:spacing w:before="6"/>
        <w:rPr>
          <w:sz w:val="15"/>
        </w:rPr>
      </w:pPr>
    </w:p>
    <w:p>
      <w:pPr>
        <w:pStyle w:val="ListParagraph"/>
        <w:numPr>
          <w:ilvl w:val="0"/>
          <w:numId w:val="19"/>
        </w:numPr>
        <w:tabs>
          <w:tab w:pos="1607" w:val="left" w:leader="none"/>
        </w:tabs>
        <w:spacing w:line="240" w:lineRule="auto" w:before="0" w:after="0"/>
        <w:ind w:left="1607" w:right="0" w:hanging="529"/>
        <w:jc w:val="left"/>
        <w:rPr>
          <w:sz w:val="21"/>
        </w:rPr>
      </w:pPr>
      <w:r>
        <w:rPr>
          <w:spacing w:val="-2"/>
          <w:sz w:val="21"/>
        </w:rPr>
        <w:t>投资流程</w:t>
      </w:r>
    </w:p>
    <w:p>
      <w:pPr>
        <w:pStyle w:val="BodyText"/>
        <w:spacing w:before="7"/>
        <w:rPr>
          <w:sz w:val="15"/>
        </w:rPr>
      </w:pPr>
    </w:p>
    <w:p>
      <w:pPr>
        <w:pStyle w:val="BodyText"/>
        <w:spacing w:line="417" w:lineRule="auto"/>
        <w:ind w:left="658" w:right="1203" w:firstLine="419"/>
      </w:pPr>
      <w:r>
        <w:rPr>
          <w:spacing w:val="-3"/>
        </w:rPr>
        <w:t>本系列基金下各基金债券投资部分着重本金安全性和流动性。综合分析宏观经济形势， </w:t>
      </w:r>
      <w:r>
        <w:rPr>
          <w:spacing w:val="-7"/>
        </w:rPr>
        <w:t>并对货币政策与财政政策以及社会政治状况等进行研究，着重利率的变化趋势预测，建立对</w:t>
      </w:r>
      <w:r>
        <w:rPr>
          <w:spacing w:val="-5"/>
        </w:rPr>
        <w:t>收益率曲线变动的预测模型。通过该模型进行估值分析，确定价格中枢的变动趋势；同时，</w:t>
      </w:r>
    </w:p>
    <w:p>
      <w:pPr>
        <w:spacing w:after="0" w:line="417" w:lineRule="auto"/>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8"/>
      </w:pPr>
      <w:r>
        <w:rPr>
          <w:spacing w:val="-8"/>
        </w:rPr>
        <w:t>计算债券投资组合久期、到期收益率和期限等指标，进行“自下而上”的选券和债券品种配置。</w:t>
      </w:r>
    </w:p>
    <w:p>
      <w:pPr>
        <w:pStyle w:val="ListParagraph"/>
        <w:numPr>
          <w:ilvl w:val="0"/>
          <w:numId w:val="19"/>
        </w:numPr>
        <w:tabs>
          <w:tab w:pos="1607" w:val="left" w:leader="none"/>
        </w:tabs>
        <w:spacing w:line="269" w:lineRule="exact" w:before="0" w:after="0"/>
        <w:ind w:left="1607" w:right="0" w:hanging="529"/>
        <w:jc w:val="left"/>
        <w:rPr>
          <w:sz w:val="21"/>
        </w:rPr>
      </w:pPr>
      <w:r>
        <w:rPr>
          <w:spacing w:val="-3"/>
          <w:sz w:val="21"/>
        </w:rPr>
        <w:t>债券投资组合管理</w:t>
      </w:r>
    </w:p>
    <w:p>
      <w:pPr>
        <w:pStyle w:val="BodyText"/>
        <w:spacing w:before="7"/>
        <w:rPr>
          <w:sz w:val="15"/>
        </w:rPr>
      </w:pPr>
    </w:p>
    <w:p>
      <w:pPr>
        <w:pStyle w:val="BodyText"/>
        <w:spacing w:line="417" w:lineRule="auto"/>
        <w:ind w:left="658" w:right="1207" w:firstLine="419"/>
      </w:pPr>
      <w:r>
        <w:rPr/>
        <w:t>①组合久期管理：为了充分地控制利率变动风险</w:t>
      </w:r>
      <w:r>
        <w:rPr>
          <w:rFonts w:ascii="Times New Roman" w:hAnsi="Times New Roman" w:eastAsia="Times New Roman"/>
          <w:spacing w:val="26"/>
        </w:rPr>
        <w:t>, </w:t>
      </w:r>
      <w:r>
        <w:rPr>
          <w:spacing w:val="-1"/>
        </w:rPr>
        <w:t>需要及时对债券投资组合进行调整。</w:t>
      </w:r>
      <w:r>
        <w:rPr>
          <w:spacing w:val="-8"/>
        </w:rPr>
        <w:t>当预测利率将上升时，本系列基金将缩短组合债券的平均久期、持有短期债券、浮动债等来</w:t>
      </w:r>
      <w:r>
        <w:rPr>
          <w:spacing w:val="-12"/>
        </w:rPr>
        <w:t>减低利率风险；反之，当预测利率将下降时，本系列基金将增大组合的平均久期并增持长期</w:t>
      </w:r>
      <w:r>
        <w:rPr>
          <w:spacing w:val="-9"/>
        </w:rPr>
        <w:t>债券来提高组合的收益水平。在组合久期确定后</w:t>
      </w:r>
      <w:r>
        <w:rPr>
          <w:rFonts w:ascii="Times New Roman" w:hAnsi="Times New Roman" w:eastAsia="Times New Roman"/>
          <w:spacing w:val="9"/>
        </w:rPr>
        <w:t>, </w:t>
      </w:r>
      <w:r>
        <w:rPr>
          <w:spacing w:val="-3"/>
        </w:rPr>
        <w:t>本系列基金将通过不同期限债券的匹配组合</w:t>
      </w:r>
      <w:r>
        <w:rPr>
          <w:rFonts w:ascii="Times New Roman" w:hAnsi="Times New Roman" w:eastAsia="Times New Roman"/>
          <w:spacing w:val="-3"/>
        </w:rPr>
        <w:t>, </w:t>
      </w:r>
      <w:r>
        <w:rPr>
          <w:spacing w:val="-3"/>
        </w:rPr>
        <w:t>从价格的相对变化中获得较高的收益。</w:t>
      </w:r>
    </w:p>
    <w:p>
      <w:pPr>
        <w:pStyle w:val="BodyText"/>
        <w:spacing w:line="417" w:lineRule="auto"/>
        <w:ind w:left="658" w:right="1308" w:firstLine="419"/>
        <w:jc w:val="both"/>
      </w:pPr>
      <w:r>
        <w:rPr>
          <w:spacing w:val="-1"/>
        </w:rPr>
        <w:t>②资产配置</w:t>
      </w:r>
      <w:r>
        <w:rPr>
          <w:rFonts w:ascii="Times New Roman" w:hAnsi="Times New Roman" w:eastAsia="Times New Roman"/>
          <w:spacing w:val="9"/>
        </w:rPr>
        <w:t>: </w:t>
      </w:r>
      <w:r>
        <w:rPr>
          <w:spacing w:val="-3"/>
        </w:rPr>
        <w:t>在未来利率走势预期的基础上</w:t>
      </w:r>
      <w:r>
        <w:rPr>
          <w:rFonts w:ascii="Times New Roman" w:hAnsi="Times New Roman" w:eastAsia="Times New Roman"/>
          <w:spacing w:val="9"/>
        </w:rPr>
        <w:t>, </w:t>
      </w:r>
      <w:r>
        <w:rPr>
          <w:spacing w:val="-3"/>
        </w:rPr>
        <w:t>本系列基金通过久期与凸性管理的手段， </w:t>
      </w:r>
      <w:r>
        <w:rPr>
          <w:spacing w:val="-7"/>
        </w:rPr>
        <w:t>在不同期限的债券以及固息债与浮息债之间进行配置。同时，本系列基金以市场规模、收益</w:t>
      </w:r>
      <w:r>
        <w:rPr>
          <w:spacing w:val="-5"/>
        </w:rPr>
        <w:t>率与流动性为基础，在不同市场以及不同的债券类别之间进行配置。</w:t>
      </w:r>
    </w:p>
    <w:p>
      <w:pPr>
        <w:pStyle w:val="BodyText"/>
        <w:spacing w:line="269" w:lineRule="exact"/>
        <w:ind w:left="1078"/>
      </w:pPr>
      <w:r>
        <w:rPr/>
        <w:t>③债券选择</w:t>
      </w:r>
    </w:p>
    <w:p>
      <w:pPr>
        <w:pStyle w:val="BodyText"/>
        <w:spacing w:before="6"/>
        <w:rPr>
          <w:sz w:val="15"/>
        </w:rPr>
      </w:pPr>
    </w:p>
    <w:p>
      <w:pPr>
        <w:pStyle w:val="BodyText"/>
        <w:spacing w:before="1"/>
        <w:ind w:left="1078"/>
      </w:pPr>
      <w:r>
        <w:rPr/>
        <w:t>本系列基金在考虑信用质量和期限等因素后，将选择以下类型的债券：</w:t>
      </w:r>
    </w:p>
    <w:p>
      <w:pPr>
        <w:pStyle w:val="BodyText"/>
        <w:spacing w:before="6"/>
        <w:rPr>
          <w:sz w:val="15"/>
        </w:rPr>
      </w:pPr>
    </w:p>
    <w:p>
      <w:pPr>
        <w:pStyle w:val="BodyText"/>
        <w:ind w:left="1078"/>
      </w:pPr>
      <w:r>
        <w:rPr/>
        <w:t>●到期收益率较高、具有较好流动性的债券</w:t>
      </w:r>
    </w:p>
    <w:p>
      <w:pPr>
        <w:pStyle w:val="BodyText"/>
        <w:spacing w:before="7"/>
        <w:rPr>
          <w:sz w:val="15"/>
        </w:rPr>
      </w:pPr>
    </w:p>
    <w:p>
      <w:pPr>
        <w:pStyle w:val="BodyText"/>
        <w:ind w:left="1078"/>
      </w:pPr>
      <w:r>
        <w:rPr/>
        <w:t>●有较高当期收入的债券</w:t>
      </w:r>
    </w:p>
    <w:p>
      <w:pPr>
        <w:pStyle w:val="BodyText"/>
        <w:spacing w:before="7"/>
        <w:rPr>
          <w:sz w:val="15"/>
        </w:rPr>
      </w:pPr>
    </w:p>
    <w:p>
      <w:pPr>
        <w:pStyle w:val="BodyText"/>
        <w:ind w:left="1078"/>
      </w:pPr>
      <w:r>
        <w:rPr/>
        <w:t>●有增值潜力、价格被低估（即收益率和久期溢价过分偏离合理价格水平）的债券</w:t>
      </w:r>
    </w:p>
    <w:p>
      <w:pPr>
        <w:pStyle w:val="BodyText"/>
        <w:spacing w:before="7"/>
        <w:rPr>
          <w:sz w:val="15"/>
        </w:rPr>
      </w:pPr>
    </w:p>
    <w:p>
      <w:pPr>
        <w:pStyle w:val="BodyText"/>
        <w:ind w:left="1078"/>
      </w:pPr>
      <w:r>
        <w:rPr/>
        <w:t>●预期信用质量将得到改善的金融债或企业债券</w:t>
      </w:r>
    </w:p>
    <w:p>
      <w:pPr>
        <w:pStyle w:val="BodyText"/>
        <w:spacing w:before="6"/>
        <w:rPr>
          <w:sz w:val="15"/>
        </w:rPr>
      </w:pPr>
    </w:p>
    <w:p>
      <w:pPr>
        <w:pStyle w:val="BodyText"/>
        <w:spacing w:before="1"/>
        <w:ind w:left="1078"/>
      </w:pPr>
      <w:r>
        <w:rPr/>
        <w:t>●期权和债性突出的可转换债</w:t>
      </w:r>
    </w:p>
    <w:p>
      <w:pPr>
        <w:pStyle w:val="BodyText"/>
        <w:spacing w:before="6"/>
        <w:rPr>
          <w:sz w:val="15"/>
        </w:rPr>
      </w:pPr>
    </w:p>
    <w:p>
      <w:pPr>
        <w:pStyle w:val="BodyText"/>
        <w:ind w:left="1078"/>
      </w:pPr>
      <w:r>
        <w:rPr/>
        <w:t>●收益率水平合理的新券或者市场尚未正确定价的创新品种</w:t>
      </w:r>
    </w:p>
    <w:p>
      <w:pPr>
        <w:pStyle w:val="BodyText"/>
        <w:spacing w:before="7"/>
        <w:rPr>
          <w:sz w:val="15"/>
        </w:rPr>
      </w:pPr>
    </w:p>
    <w:p>
      <w:pPr>
        <w:pStyle w:val="BodyText"/>
        <w:spacing w:line="417" w:lineRule="auto"/>
        <w:ind w:left="658" w:right="1309" w:firstLine="419"/>
        <w:jc w:val="both"/>
        <w:rPr>
          <w:rFonts w:ascii="Times New Roman" w:hAnsi="Times New Roman" w:eastAsia="Times New Roman"/>
        </w:rPr>
      </w:pPr>
      <w:r>
        <w:rPr>
          <w:spacing w:val="-1"/>
        </w:rPr>
        <w:t>④组合构建</w:t>
      </w:r>
      <w:r>
        <w:rPr>
          <w:rFonts w:ascii="Times New Roman" w:hAnsi="Times New Roman" w:eastAsia="Times New Roman"/>
          <w:spacing w:val="16"/>
        </w:rPr>
        <w:t>: </w:t>
      </w:r>
      <w:r>
        <w:rPr>
          <w:spacing w:val="-6"/>
        </w:rPr>
        <w:t>本系列基金通过宏观经济分析，对利率走势做出判断，在此基础上对各类</w:t>
      </w:r>
      <w:r>
        <w:rPr>
          <w:spacing w:val="-10"/>
        </w:rPr>
        <w:t>资产进行合理配置。同时，本系列基金根据收益率和流动性、债券资质“自下而上”地进行</w:t>
      </w:r>
      <w:r>
        <w:rPr>
          <w:spacing w:val="-5"/>
        </w:rPr>
        <w:t>个券选择，组成最终的投资组合。在确定具体个券后</w:t>
      </w:r>
      <w:r>
        <w:rPr>
          <w:rFonts w:ascii="Times New Roman" w:hAnsi="Times New Roman" w:eastAsia="Times New Roman"/>
          <w:spacing w:val="3"/>
        </w:rPr>
        <w:t>, </w:t>
      </w:r>
      <w:r>
        <w:rPr>
          <w:spacing w:val="-3"/>
        </w:rPr>
        <w:t>须依据下列标准构建投资组合</w:t>
      </w:r>
      <w:r>
        <w:rPr>
          <w:rFonts w:ascii="Times New Roman" w:hAnsi="Times New Roman" w:eastAsia="Times New Roman"/>
        </w:rPr>
        <w:t>:</w:t>
      </w:r>
    </w:p>
    <w:p>
      <w:pPr>
        <w:pStyle w:val="BodyText"/>
        <w:ind w:left="1078"/>
      </w:pPr>
      <w:r>
        <w:rPr/>
        <w:t>●确保执行投资策略并确保投资组合久期在规定的范围内</w:t>
      </w:r>
    </w:p>
    <w:p>
      <w:pPr>
        <w:pStyle w:val="BodyText"/>
        <w:spacing w:before="7"/>
        <w:rPr>
          <w:sz w:val="15"/>
        </w:rPr>
      </w:pPr>
    </w:p>
    <w:p>
      <w:pPr>
        <w:pStyle w:val="BodyText"/>
        <w:ind w:left="1078"/>
        <w:rPr>
          <w:rFonts w:ascii="Times New Roman" w:hAnsi="Times New Roman" w:eastAsia="Times New Roman"/>
        </w:rPr>
      </w:pPr>
      <w:r>
        <w:rPr/>
        <w:t>●保持投资组合分散化，基金持有单一债券品种不得超过基金净值的 </w:t>
      </w:r>
      <w:r>
        <w:rPr>
          <w:rFonts w:ascii="Times New Roman" w:hAnsi="Times New Roman" w:eastAsia="Times New Roman"/>
        </w:rPr>
        <w:t>10%</w:t>
      </w:r>
    </w:p>
    <w:p>
      <w:pPr>
        <w:pStyle w:val="BodyText"/>
        <w:spacing w:before="3"/>
        <w:rPr>
          <w:rFonts w:ascii="Times New Roman"/>
          <w:sz w:val="17"/>
        </w:rPr>
      </w:pPr>
    </w:p>
    <w:p>
      <w:pPr>
        <w:pStyle w:val="BodyText"/>
        <w:ind w:left="1078"/>
      </w:pPr>
      <w:r>
        <w:rPr/>
        <w:t>●保持投资组合的流动性，以满足基金正常现金流的需要</w:t>
      </w:r>
    </w:p>
    <w:p>
      <w:pPr>
        <w:pStyle w:val="BodyText"/>
        <w:spacing w:before="7"/>
        <w:rPr>
          <w:sz w:val="15"/>
        </w:rPr>
      </w:pPr>
    </w:p>
    <w:p>
      <w:pPr>
        <w:pStyle w:val="BodyText"/>
        <w:ind w:left="1078"/>
      </w:pPr>
      <w:r>
        <w:rPr/>
        <w:t>●控制投资组合风险在一定的范围内</w:t>
      </w:r>
    </w:p>
    <w:p>
      <w:pPr>
        <w:pStyle w:val="BodyText"/>
        <w:spacing w:before="7"/>
        <w:rPr>
          <w:sz w:val="15"/>
        </w:rPr>
      </w:pPr>
    </w:p>
    <w:p>
      <w:pPr>
        <w:pStyle w:val="BodyText"/>
        <w:spacing w:line="417" w:lineRule="auto"/>
        <w:ind w:left="658" w:right="1311" w:firstLine="419"/>
      </w:pPr>
      <w:r>
        <w:rPr>
          <w:spacing w:val="-7"/>
        </w:rPr>
        <w:t>●债券投资组合中，债券信用等级最低为 </w:t>
      </w:r>
      <w:r>
        <w:rPr>
          <w:rFonts w:ascii="Times New Roman" w:hAnsi="Times New Roman" w:eastAsia="Times New Roman"/>
        </w:rPr>
        <w:t>BBB+</w:t>
      </w:r>
      <w:r>
        <w:rPr>
          <w:spacing w:val="-7"/>
        </w:rPr>
        <w:t>或同等信用，投资组合的平均信用等级</w:t>
      </w:r>
      <w:r>
        <w:rPr>
          <w:spacing w:val="21"/>
        </w:rPr>
        <w:t>应在</w:t>
      </w:r>
      <w:r>
        <w:rPr>
          <w:rFonts w:ascii="Times New Roman" w:hAnsi="Times New Roman" w:eastAsia="Times New Roman"/>
        </w:rPr>
        <w:t>AA+</w:t>
      </w:r>
      <w:r>
        <w:rPr>
          <w:spacing w:val="-2"/>
        </w:rPr>
        <w:t>或以上</w:t>
      </w:r>
    </w:p>
    <w:p>
      <w:pPr>
        <w:pStyle w:val="BodyText"/>
        <w:spacing w:line="417" w:lineRule="auto"/>
        <w:ind w:left="658" w:right="1309" w:firstLine="419"/>
      </w:pPr>
      <w:r>
        <w:rPr/>
        <w:t>⑤组合优化</w:t>
      </w:r>
      <w:r>
        <w:rPr>
          <w:rFonts w:ascii="Times New Roman" w:hAnsi="Times New Roman" w:eastAsia="Times New Roman"/>
        </w:rPr>
        <w:t>:</w:t>
      </w:r>
      <w:r>
        <w:rPr/>
        <w:t>在债券组合管理中开发出独有的程序对债券组合定期进行量化分析，包括</w:t>
      </w:r>
      <w:r>
        <w:rPr>
          <w:spacing w:val="-6"/>
        </w:rPr>
        <w:t>精确计算组合的 </w:t>
      </w:r>
      <w:r>
        <w:rPr>
          <w:rFonts w:ascii="Times New Roman" w:hAnsi="Times New Roman" w:eastAsia="Times New Roman"/>
          <w:spacing w:val="-10"/>
        </w:rPr>
        <w:t>VAR  </w:t>
      </w:r>
      <w:r>
        <w:rPr>
          <w:spacing w:val="-3"/>
        </w:rPr>
        <w:t>值、贡献分析、跟踪误差等指标，根据量化分析结果对债券组合品种</w:t>
      </w:r>
    </w:p>
    <w:p>
      <w:pPr>
        <w:spacing w:after="0" w:line="417" w:lineRule="auto"/>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9"/>
      </w:pPr>
      <w:r>
        <w:rPr>
          <w:spacing w:val="-8"/>
        </w:rPr>
        <w:t>进行相应的配置调整，并通过了解组合的风险特征、预算，按照宏观经济分析模型预测和企</w:t>
      </w:r>
      <w:r>
        <w:rPr>
          <w:spacing w:val="-5"/>
        </w:rPr>
        <w:t>业信用分析的结果，对组合做出连续的优化调整。</w:t>
      </w:r>
    </w:p>
    <w:p>
      <w:pPr>
        <w:pStyle w:val="BodyText"/>
        <w:spacing w:line="269" w:lineRule="exact"/>
        <w:ind w:left="1078"/>
      </w:pPr>
      <w:r>
        <w:rPr/>
        <w:t>⑥现金和回购资产</w:t>
      </w:r>
      <w:r>
        <w:rPr>
          <w:rFonts w:ascii="Times New Roman" w:hAnsi="Times New Roman" w:eastAsia="Times New Roman"/>
        </w:rPr>
        <w:t>: </w:t>
      </w:r>
      <w:r>
        <w:rPr/>
        <w:t>保留足够的现金以应付基金日常的现金需要。</w:t>
      </w:r>
    </w:p>
    <w:p>
      <w:pPr>
        <w:pStyle w:val="BodyText"/>
        <w:spacing w:before="7"/>
        <w:rPr>
          <w:sz w:val="15"/>
        </w:rPr>
      </w:pPr>
    </w:p>
    <w:p>
      <w:pPr>
        <w:pStyle w:val="BodyText"/>
        <w:ind w:left="1078"/>
      </w:pPr>
      <w:r>
        <w:rPr>
          <w:rFonts w:ascii="Times New Roman" w:eastAsia="Times New Roman"/>
        </w:rPr>
        <w:t>4</w:t>
      </w:r>
      <w:r>
        <w:rPr/>
        <w:t>、货币市场基金的投资决策程序和方法：</w:t>
      </w:r>
    </w:p>
    <w:p>
      <w:pPr>
        <w:pStyle w:val="BodyText"/>
        <w:spacing w:before="7"/>
        <w:rPr>
          <w:sz w:val="15"/>
        </w:rPr>
      </w:pPr>
    </w:p>
    <w:p>
      <w:pPr>
        <w:pStyle w:val="ListParagraph"/>
        <w:numPr>
          <w:ilvl w:val="0"/>
          <w:numId w:val="20"/>
        </w:numPr>
        <w:tabs>
          <w:tab w:pos="1607" w:val="left" w:leader="none"/>
        </w:tabs>
        <w:spacing w:line="240" w:lineRule="auto" w:before="0" w:after="0"/>
        <w:ind w:left="1607" w:right="0" w:hanging="529"/>
        <w:jc w:val="left"/>
        <w:rPr>
          <w:sz w:val="21"/>
        </w:rPr>
      </w:pPr>
      <w:r>
        <w:rPr>
          <w:spacing w:val="-3"/>
          <w:sz w:val="21"/>
        </w:rPr>
        <w:t>投资决策程序</w:t>
      </w:r>
    </w:p>
    <w:p>
      <w:pPr>
        <w:pStyle w:val="BodyText"/>
        <w:spacing w:before="6"/>
        <w:rPr>
          <w:sz w:val="15"/>
        </w:rPr>
      </w:pPr>
    </w:p>
    <w:p>
      <w:pPr>
        <w:pStyle w:val="BodyText"/>
        <w:spacing w:line="417" w:lineRule="auto" w:before="1"/>
        <w:ind w:left="658" w:right="1208" w:firstLine="419"/>
      </w:pPr>
      <w:r>
        <w:rPr>
          <w:spacing w:val="-8"/>
        </w:rPr>
        <w:t>①基金经理依据投资部对宏观经济、货币政策、财政政策以及市场资金供求状况的综合</w:t>
      </w:r>
      <w:r>
        <w:rPr>
          <w:spacing w:val="-5"/>
        </w:rPr>
        <w:t>分析，对短期利率变化趋势做出判断，结合基金合同、投资制度的要求提出资产配置建议；</w:t>
      </w:r>
    </w:p>
    <w:p>
      <w:pPr>
        <w:pStyle w:val="BodyText"/>
        <w:ind w:left="1078"/>
      </w:pPr>
      <w:r>
        <w:rPr/>
        <w:t>②投资决策委员会审核基金经理提交的资产配置建议，并最终决定资产配置方案；</w:t>
      </w:r>
    </w:p>
    <w:p>
      <w:pPr>
        <w:pStyle w:val="BodyText"/>
        <w:spacing w:before="6"/>
        <w:rPr>
          <w:sz w:val="15"/>
        </w:rPr>
      </w:pPr>
    </w:p>
    <w:p>
      <w:pPr>
        <w:pStyle w:val="BodyText"/>
        <w:spacing w:line="417" w:lineRule="auto" w:before="1"/>
        <w:ind w:left="658" w:right="1311" w:firstLine="419"/>
      </w:pPr>
      <w:r>
        <w:rPr>
          <w:spacing w:val="-8"/>
        </w:rPr>
        <w:t>③基金经理对各投资品种进行收益率、流动性、信用风险、平均剩余期限分析，同时根</w:t>
      </w:r>
      <w:r>
        <w:rPr>
          <w:spacing w:val="-5"/>
        </w:rPr>
        <w:t>据未来利率变化的预期以及投资品种的利率敏感性来综合评定各品种的投资价值；</w:t>
      </w:r>
    </w:p>
    <w:p>
      <w:pPr>
        <w:pStyle w:val="BodyText"/>
        <w:spacing w:line="417" w:lineRule="auto"/>
        <w:ind w:left="658" w:right="1309" w:firstLine="419"/>
      </w:pPr>
      <w:r>
        <w:rPr>
          <w:spacing w:val="-8"/>
        </w:rPr>
        <w:t>④基金经理结合经审定的资产配置方案、基金日常申购、赎回情况进行具体的投资组合构建。</w:t>
      </w:r>
    </w:p>
    <w:p>
      <w:pPr>
        <w:pStyle w:val="BodyText"/>
        <w:spacing w:line="417" w:lineRule="auto"/>
        <w:ind w:left="658" w:right="1308" w:firstLine="419"/>
      </w:pPr>
      <w:r>
        <w:rPr>
          <w:spacing w:val="-8"/>
        </w:rPr>
        <w:t>⑤投资决策委员会审核重大基金投资组合方案，如无异议，由基金经理具体执行投资计划。</w:t>
      </w:r>
    </w:p>
    <w:p>
      <w:pPr>
        <w:pStyle w:val="ListParagraph"/>
        <w:numPr>
          <w:ilvl w:val="0"/>
          <w:numId w:val="20"/>
        </w:numPr>
        <w:tabs>
          <w:tab w:pos="1607" w:val="left" w:leader="none"/>
        </w:tabs>
        <w:spacing w:line="240" w:lineRule="auto" w:before="0" w:after="0"/>
        <w:ind w:left="1607" w:right="0" w:hanging="529"/>
        <w:jc w:val="left"/>
        <w:rPr>
          <w:sz w:val="21"/>
        </w:rPr>
      </w:pPr>
      <w:r>
        <w:rPr>
          <w:spacing w:val="-3"/>
          <w:sz w:val="21"/>
        </w:rPr>
        <w:t>投资管理方法</w:t>
      </w:r>
    </w:p>
    <w:p>
      <w:pPr>
        <w:pStyle w:val="BodyText"/>
        <w:spacing w:before="5"/>
        <w:rPr>
          <w:sz w:val="15"/>
        </w:rPr>
      </w:pPr>
    </w:p>
    <w:p>
      <w:pPr>
        <w:pStyle w:val="BodyText"/>
        <w:spacing w:line="417" w:lineRule="auto" w:before="1"/>
        <w:ind w:left="658" w:right="1204" w:firstLine="419"/>
      </w:pPr>
      <w:r>
        <w:rPr/>
        <w:t>①深入分析宏观经济、货币政策和市场资金供求变化，对短期利率走势形成合理预期， 并据此调整基金的资产配置策略。</w:t>
      </w:r>
    </w:p>
    <w:p>
      <w:pPr>
        <w:pStyle w:val="BodyText"/>
        <w:spacing w:line="269" w:lineRule="exact"/>
        <w:ind w:left="1078"/>
      </w:pPr>
      <w:r>
        <w:rPr/>
        <w:t>②通过利率预期策略，确定组合的平均剩余期限和各类资产的配置比例。</w:t>
      </w:r>
    </w:p>
    <w:p>
      <w:pPr>
        <w:pStyle w:val="BodyText"/>
        <w:spacing w:before="6"/>
        <w:rPr>
          <w:sz w:val="15"/>
        </w:rPr>
      </w:pPr>
    </w:p>
    <w:p>
      <w:pPr>
        <w:pStyle w:val="BodyText"/>
        <w:ind w:left="1078"/>
      </w:pPr>
      <w:r>
        <w:rPr/>
        <w:t>③通过流动性管理策略，在保持基金资产高流动性的前提下，确保基金的稳定收益。</w:t>
      </w:r>
    </w:p>
    <w:p>
      <w:pPr>
        <w:pStyle w:val="BodyText"/>
        <w:spacing w:before="7"/>
        <w:rPr>
          <w:sz w:val="15"/>
        </w:rPr>
      </w:pPr>
    </w:p>
    <w:p>
      <w:pPr>
        <w:pStyle w:val="BodyText"/>
        <w:ind w:left="1078"/>
      </w:pPr>
      <w:r>
        <w:rPr/>
        <w:t>④以严谨的研究分析为基础，积极实施时机策略。</w:t>
      </w:r>
    </w:p>
    <w:p>
      <w:pPr>
        <w:pStyle w:val="BodyText"/>
        <w:spacing w:before="7"/>
        <w:rPr>
          <w:sz w:val="15"/>
        </w:rPr>
      </w:pPr>
    </w:p>
    <w:p>
      <w:pPr>
        <w:pStyle w:val="BodyText"/>
        <w:ind w:left="1078"/>
      </w:pPr>
      <w:r>
        <w:rPr/>
        <w:t>本系列基金会持续地进行定期与不定期的投资组合回顾与风险监控，适时做出相应调整。</w:t>
      </w:r>
    </w:p>
    <w:p>
      <w:pPr>
        <w:pStyle w:val="BodyText"/>
        <w:spacing w:before="7"/>
        <w:rPr>
          <w:sz w:val="15"/>
        </w:rPr>
      </w:pPr>
    </w:p>
    <w:p>
      <w:pPr>
        <w:pStyle w:val="BodyText"/>
        <w:ind w:left="1078"/>
      </w:pPr>
      <w:r>
        <w:rPr>
          <w:rFonts w:ascii="Times New Roman" w:eastAsia="Times New Roman"/>
        </w:rPr>
        <w:t>5</w:t>
      </w:r>
      <w:r>
        <w:rPr/>
        <w:t>、业绩比较基准</w:t>
      </w:r>
    </w:p>
    <w:p>
      <w:pPr>
        <w:pStyle w:val="BodyText"/>
        <w:spacing w:before="7"/>
        <w:rPr>
          <w:sz w:val="15"/>
        </w:rPr>
      </w:pPr>
    </w:p>
    <w:p>
      <w:pPr>
        <w:pStyle w:val="BodyText"/>
        <w:ind w:left="1078"/>
      </w:pPr>
      <w:r>
        <w:rPr/>
        <w:t>优选混合型基金：中证 </w:t>
      </w:r>
      <w:r>
        <w:rPr>
          <w:rFonts w:ascii="Times New Roman" w:hAnsi="Times New Roman" w:eastAsia="Times New Roman"/>
        </w:rPr>
        <w:t>800 </w:t>
      </w:r>
      <w:r>
        <w:rPr/>
        <w:t>指数×</w:t>
      </w:r>
      <w:r>
        <w:rPr>
          <w:rFonts w:ascii="Times New Roman" w:hAnsi="Times New Roman" w:eastAsia="Times New Roman"/>
        </w:rPr>
        <w:t>80</w:t>
      </w:r>
      <w:r>
        <w:rPr/>
        <w:t>％＋中国债券总指数×</w:t>
      </w:r>
      <w:r>
        <w:rPr>
          <w:rFonts w:ascii="Times New Roman" w:hAnsi="Times New Roman" w:eastAsia="Times New Roman"/>
        </w:rPr>
        <w:t>20</w:t>
      </w:r>
      <w:r>
        <w:rPr/>
        <w:t>％。</w:t>
      </w:r>
    </w:p>
    <w:p>
      <w:pPr>
        <w:pStyle w:val="BodyText"/>
        <w:spacing w:before="7"/>
        <w:rPr>
          <w:sz w:val="15"/>
        </w:rPr>
      </w:pPr>
    </w:p>
    <w:p>
      <w:pPr>
        <w:pStyle w:val="BodyText"/>
        <w:ind w:left="1078"/>
      </w:pPr>
      <w:r>
        <w:rPr/>
        <w:t>货币市场基金：税后同期 </w:t>
      </w:r>
      <w:r>
        <w:rPr>
          <w:rFonts w:ascii="Times New Roman" w:eastAsia="Times New Roman"/>
        </w:rPr>
        <w:t>7 </w:t>
      </w:r>
      <w:r>
        <w:rPr/>
        <w:t>天存款利率。</w:t>
      </w:r>
    </w:p>
    <w:p>
      <w:pPr>
        <w:pStyle w:val="BodyText"/>
        <w:spacing w:before="6"/>
        <w:rPr>
          <w:sz w:val="15"/>
        </w:rPr>
      </w:pPr>
    </w:p>
    <w:p>
      <w:pPr>
        <w:pStyle w:val="BodyText"/>
        <w:spacing w:line="417" w:lineRule="auto" w:before="1"/>
        <w:ind w:left="658" w:right="1250" w:firstLine="419"/>
      </w:pPr>
      <w:r>
        <w:rPr/>
        <w:t>动力平衡基金：沪深 </w:t>
      </w:r>
      <w:r>
        <w:rPr>
          <w:rFonts w:ascii="Times New Roman" w:hAnsi="Times New Roman" w:eastAsia="Times New Roman"/>
        </w:rPr>
        <w:t>300 </w:t>
      </w:r>
      <w:r>
        <w:rPr/>
        <w:t>指数收益率×</w:t>
      </w:r>
      <w:r>
        <w:rPr>
          <w:rFonts w:ascii="Times New Roman" w:hAnsi="Times New Roman" w:eastAsia="Times New Roman"/>
        </w:rPr>
        <w:t>50</w:t>
      </w:r>
      <w:r>
        <w:rPr/>
        <w:t>％＋中国债券总指数收益率×</w:t>
      </w:r>
      <w:r>
        <w:rPr>
          <w:rFonts w:ascii="Times New Roman" w:hAnsi="Times New Roman" w:eastAsia="Times New Roman"/>
        </w:rPr>
        <w:t>45</w:t>
      </w:r>
      <w:r>
        <w:rPr/>
        <w:t>％</w:t>
      </w:r>
      <w:r>
        <w:rPr>
          <w:rFonts w:ascii="Times New Roman" w:hAnsi="Times New Roman" w:eastAsia="Times New Roman"/>
        </w:rPr>
        <w:t>+</w:t>
      </w:r>
      <w:r>
        <w:rPr/>
        <w:t>同业存款利率×</w:t>
      </w:r>
      <w:r>
        <w:rPr>
          <w:rFonts w:ascii="Times New Roman" w:hAnsi="Times New Roman" w:eastAsia="Times New Roman"/>
        </w:rPr>
        <w:t>5</w:t>
      </w:r>
      <w:r>
        <w:rPr/>
        <w:t>％。</w:t>
      </w:r>
    </w:p>
    <w:p>
      <w:pPr>
        <w:pStyle w:val="BodyText"/>
        <w:spacing w:line="417" w:lineRule="auto"/>
        <w:ind w:left="658" w:right="1309" w:firstLine="419"/>
      </w:pPr>
      <w:r>
        <w:rPr>
          <w:spacing w:val="-8"/>
        </w:rPr>
        <w:t>如果今后市场出现更具代表性的业绩比较基准，在与基金托管人协商一致后，本基金管</w:t>
      </w:r>
      <w:r>
        <w:rPr>
          <w:spacing w:val="-5"/>
        </w:rPr>
        <w:t>理人可调整或变更业绩比较基准。</w:t>
      </w:r>
    </w:p>
    <w:p>
      <w:pPr>
        <w:pStyle w:val="BodyText"/>
        <w:rPr>
          <w:sz w:val="20"/>
        </w:rPr>
      </w:pPr>
    </w:p>
    <w:p>
      <w:pPr>
        <w:pStyle w:val="BodyText"/>
        <w:spacing w:before="6"/>
        <w:rPr>
          <w:sz w:val="16"/>
        </w:rPr>
      </w:pPr>
    </w:p>
    <w:p>
      <w:pPr>
        <w:spacing w:before="0"/>
        <w:ind w:left="658" w:right="0" w:firstLine="0"/>
        <w:jc w:val="left"/>
        <w:rPr>
          <w:b/>
          <w:sz w:val="21"/>
        </w:rPr>
      </w:pPr>
      <w:r>
        <w:rPr>
          <w:b/>
          <w:sz w:val="21"/>
        </w:rPr>
        <w:t>（五）投资组合比例限制</w:t>
      </w:r>
    </w:p>
    <w:p>
      <w:pPr>
        <w:spacing w:after="0"/>
        <w:jc w:val="left"/>
        <w:rPr>
          <w:sz w:val="21"/>
        </w:rPr>
        <w:sectPr>
          <w:pgSz w:w="11910" w:h="16840"/>
          <w:pgMar w:header="852" w:footer="992" w:top="1220" w:bottom="1180" w:left="1140" w:right="480"/>
        </w:sectPr>
      </w:pPr>
    </w:p>
    <w:p>
      <w:pPr>
        <w:pStyle w:val="BodyText"/>
        <w:spacing w:before="7"/>
        <w:rPr>
          <w:b/>
          <w:sz w:val="18"/>
        </w:rPr>
      </w:pPr>
    </w:p>
    <w:p>
      <w:pPr>
        <w:pStyle w:val="ListParagraph"/>
        <w:numPr>
          <w:ilvl w:val="0"/>
          <w:numId w:val="21"/>
        </w:numPr>
        <w:tabs>
          <w:tab w:pos="1607" w:val="left" w:leader="none"/>
        </w:tabs>
        <w:spacing w:line="240" w:lineRule="auto" w:before="78" w:after="0"/>
        <w:ind w:left="1607" w:right="0" w:hanging="529"/>
        <w:jc w:val="left"/>
        <w:rPr>
          <w:sz w:val="21"/>
        </w:rPr>
      </w:pPr>
      <w:r>
        <w:rPr>
          <w:spacing w:val="-5"/>
          <w:sz w:val="21"/>
        </w:rPr>
        <w:t>本系列基金投资于股票、债券的比例不低于基金资产总值的 </w:t>
      </w:r>
      <w:r>
        <w:rPr>
          <w:rFonts w:ascii="Times New Roman" w:eastAsia="Times New Roman"/>
          <w:sz w:val="21"/>
        </w:rPr>
        <w:t>80%</w:t>
      </w:r>
      <w:r>
        <w:rPr>
          <w:sz w:val="21"/>
        </w:rPr>
        <w:t>；</w:t>
      </w:r>
    </w:p>
    <w:p>
      <w:pPr>
        <w:pStyle w:val="BodyText"/>
        <w:spacing w:before="7"/>
        <w:rPr>
          <w:sz w:val="15"/>
        </w:rPr>
      </w:pPr>
    </w:p>
    <w:p>
      <w:pPr>
        <w:pStyle w:val="ListParagraph"/>
        <w:numPr>
          <w:ilvl w:val="0"/>
          <w:numId w:val="21"/>
        </w:numPr>
        <w:tabs>
          <w:tab w:pos="1607" w:val="left" w:leader="none"/>
        </w:tabs>
        <w:spacing w:line="240" w:lineRule="auto" w:before="0" w:after="0"/>
        <w:ind w:left="1607" w:right="0" w:hanging="529"/>
        <w:jc w:val="left"/>
        <w:rPr>
          <w:sz w:val="21"/>
        </w:rPr>
      </w:pPr>
      <w:r>
        <w:rPr>
          <w:spacing w:val="-5"/>
          <w:sz w:val="21"/>
        </w:rPr>
        <w:t>本系列基金投资于国家债券的比例不低于基金资产净值的 </w:t>
      </w:r>
      <w:r>
        <w:rPr>
          <w:rFonts w:ascii="Times New Roman" w:eastAsia="Times New Roman"/>
          <w:sz w:val="21"/>
        </w:rPr>
        <w:t>20%</w:t>
      </w:r>
      <w:r>
        <w:rPr>
          <w:sz w:val="21"/>
        </w:rPr>
        <w:t>；</w:t>
      </w:r>
    </w:p>
    <w:p>
      <w:pPr>
        <w:pStyle w:val="BodyText"/>
        <w:spacing w:before="6"/>
        <w:rPr>
          <w:sz w:val="15"/>
        </w:rPr>
      </w:pPr>
    </w:p>
    <w:p>
      <w:pPr>
        <w:pStyle w:val="ListParagraph"/>
        <w:numPr>
          <w:ilvl w:val="0"/>
          <w:numId w:val="21"/>
        </w:numPr>
        <w:tabs>
          <w:tab w:pos="1607" w:val="left" w:leader="none"/>
        </w:tabs>
        <w:spacing w:line="240" w:lineRule="auto" w:before="1" w:after="0"/>
        <w:ind w:left="1607" w:right="0" w:hanging="529"/>
        <w:jc w:val="both"/>
        <w:rPr>
          <w:sz w:val="21"/>
        </w:rPr>
      </w:pPr>
      <w:r>
        <w:rPr>
          <w:spacing w:val="-5"/>
          <w:sz w:val="21"/>
        </w:rPr>
        <w:t>本系列基金持有一家上市公司的股票，不超过基金资产净值的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1"/>
        </w:numPr>
        <w:tabs>
          <w:tab w:pos="1607" w:val="left" w:leader="none"/>
        </w:tabs>
        <w:spacing w:line="417" w:lineRule="auto" w:before="0" w:after="0"/>
        <w:ind w:left="658" w:right="1309" w:firstLine="419"/>
        <w:jc w:val="both"/>
        <w:rPr>
          <w:sz w:val="21"/>
        </w:rPr>
      </w:pPr>
      <w:r>
        <w:rPr>
          <w:spacing w:val="-3"/>
          <w:sz w:val="21"/>
        </w:rPr>
        <w:t>本系列基金与由本系列基金管理人管理的其他基金持有一家上市公司发行的证券</w:t>
      </w:r>
      <w:r>
        <w:rPr>
          <w:spacing w:val="-8"/>
          <w:sz w:val="21"/>
        </w:rPr>
        <w:t>总和，不得超过该证券的 </w:t>
      </w:r>
      <w:r>
        <w:rPr>
          <w:rFonts w:ascii="Times New Roman" w:eastAsia="Times New Roman"/>
          <w:sz w:val="21"/>
        </w:rPr>
        <w:t>10%</w:t>
      </w:r>
      <w:r>
        <w:rPr>
          <w:sz w:val="21"/>
        </w:rPr>
        <w:t>；</w:t>
      </w:r>
    </w:p>
    <w:p>
      <w:pPr>
        <w:pStyle w:val="ListParagraph"/>
        <w:numPr>
          <w:ilvl w:val="0"/>
          <w:numId w:val="21"/>
        </w:numPr>
        <w:tabs>
          <w:tab w:pos="1607" w:val="left" w:leader="none"/>
        </w:tabs>
        <w:spacing w:line="417" w:lineRule="auto" w:before="0" w:after="0"/>
        <w:ind w:left="658" w:right="1309" w:firstLine="419"/>
        <w:jc w:val="both"/>
        <w:rPr>
          <w:sz w:val="21"/>
        </w:rPr>
      </w:pPr>
      <w:r>
        <w:rPr>
          <w:spacing w:val="-3"/>
          <w:sz w:val="21"/>
        </w:rPr>
        <w:t>本基金管理人管理的全部开放式基金（包括开放式基金以及处于开放期的定期开放基金）</w:t>
      </w:r>
      <w:r>
        <w:rPr>
          <w:spacing w:val="-2"/>
          <w:sz w:val="21"/>
        </w:rPr>
        <w:t>持有一家上市公司发行的可流通股票，不超过该上市公司可流通股票的 </w:t>
      </w:r>
      <w:r>
        <w:rPr>
          <w:rFonts w:ascii="Times New Roman" w:eastAsia="Times New Roman"/>
          <w:sz w:val="21"/>
        </w:rPr>
        <w:t>15</w:t>
      </w:r>
      <w:r>
        <w:rPr>
          <w:spacing w:val="-1"/>
          <w:sz w:val="21"/>
        </w:rPr>
        <w:t>％；本</w:t>
      </w:r>
      <w:r>
        <w:rPr>
          <w:spacing w:val="-6"/>
          <w:sz w:val="21"/>
        </w:rPr>
        <w:t>基金管理人管理的全部投资组合持有一家上市公司发行的可流通股票，不超过该上市公司可</w:t>
      </w:r>
      <w:r>
        <w:rPr>
          <w:spacing w:val="-13"/>
          <w:sz w:val="21"/>
        </w:rPr>
        <w:t>流通股票的 </w:t>
      </w:r>
      <w:r>
        <w:rPr>
          <w:rFonts w:ascii="Times New Roman" w:eastAsia="Times New Roman"/>
          <w:sz w:val="21"/>
        </w:rPr>
        <w:t>30</w:t>
      </w:r>
      <w:r>
        <w:rPr>
          <w:sz w:val="21"/>
        </w:rPr>
        <w:t>％；</w:t>
      </w:r>
    </w:p>
    <w:p>
      <w:pPr>
        <w:pStyle w:val="ListParagraph"/>
        <w:numPr>
          <w:ilvl w:val="0"/>
          <w:numId w:val="21"/>
        </w:numPr>
        <w:tabs>
          <w:tab w:pos="1607" w:val="left" w:leader="none"/>
        </w:tabs>
        <w:spacing w:line="240" w:lineRule="auto" w:before="0" w:after="0"/>
        <w:ind w:left="1607" w:right="0" w:hanging="529"/>
        <w:jc w:val="both"/>
        <w:rPr>
          <w:sz w:val="21"/>
        </w:rPr>
      </w:pPr>
      <w:r>
        <w:rPr>
          <w:spacing w:val="-7"/>
          <w:sz w:val="21"/>
        </w:rPr>
        <w:t>本系列基金股票资产中至少有 </w:t>
      </w:r>
      <w:r>
        <w:rPr>
          <w:rFonts w:ascii="Times New Roman" w:eastAsia="Times New Roman"/>
          <w:sz w:val="21"/>
        </w:rPr>
        <w:t>80%</w:t>
      </w:r>
      <w:r>
        <w:rPr>
          <w:spacing w:val="-3"/>
          <w:sz w:val="21"/>
        </w:rPr>
        <w:t>属于本系列基金名称所显示的投资内容；</w:t>
      </w:r>
    </w:p>
    <w:p>
      <w:pPr>
        <w:pStyle w:val="BodyText"/>
        <w:spacing w:before="6"/>
        <w:rPr>
          <w:sz w:val="15"/>
        </w:rPr>
      </w:pPr>
    </w:p>
    <w:p>
      <w:pPr>
        <w:pStyle w:val="ListParagraph"/>
        <w:numPr>
          <w:ilvl w:val="0"/>
          <w:numId w:val="21"/>
        </w:numPr>
        <w:tabs>
          <w:tab w:pos="1607" w:val="left" w:leader="none"/>
        </w:tabs>
        <w:spacing w:line="417" w:lineRule="auto" w:before="1" w:after="0"/>
        <w:ind w:left="658" w:right="1309" w:firstLine="419"/>
        <w:jc w:val="both"/>
        <w:rPr>
          <w:sz w:val="21"/>
        </w:rPr>
      </w:pPr>
      <w:r>
        <w:rPr>
          <w:spacing w:val="-3"/>
          <w:sz w:val="21"/>
        </w:rPr>
        <w:t>优选混合型基金或动力平衡基金主动投资于流动性受限资产的市值合计不超过基</w:t>
      </w:r>
      <w:r>
        <w:rPr>
          <w:spacing w:val="6"/>
          <w:sz w:val="21"/>
        </w:rPr>
        <w:t>金资产的 </w:t>
      </w:r>
      <w:r>
        <w:rPr>
          <w:rFonts w:ascii="Times New Roman" w:eastAsia="Times New Roman"/>
          <w:sz w:val="21"/>
        </w:rPr>
        <w:t>15%</w:t>
      </w:r>
      <w:r>
        <w:rPr>
          <w:spacing w:val="-1"/>
          <w:sz w:val="21"/>
        </w:rPr>
        <w:t>；因证券市场波动、证券停牌、基金规模变动等基金管理人之外的因素致使</w:t>
      </w:r>
      <w:r>
        <w:rPr>
          <w:spacing w:val="-3"/>
          <w:sz w:val="21"/>
        </w:rPr>
        <w:t>基金不符合本项所规定的比例限制的，基金管理人不得主动新增流动性受限资产的投资；</w:t>
      </w:r>
    </w:p>
    <w:p>
      <w:pPr>
        <w:pStyle w:val="ListParagraph"/>
        <w:numPr>
          <w:ilvl w:val="0"/>
          <w:numId w:val="21"/>
        </w:numPr>
        <w:tabs>
          <w:tab w:pos="1607" w:val="left" w:leader="none"/>
        </w:tabs>
        <w:spacing w:line="417" w:lineRule="auto" w:before="0" w:after="0"/>
        <w:ind w:left="658" w:right="1309" w:firstLine="419"/>
        <w:jc w:val="left"/>
        <w:rPr>
          <w:sz w:val="21"/>
        </w:rPr>
      </w:pPr>
      <w:r>
        <w:rPr>
          <w:spacing w:val="-3"/>
          <w:sz w:val="21"/>
        </w:rPr>
        <w:t>本系列基金与私募类证券资管产品及中国证监会认定的其他主体为交易对手开展逆回购交易的，可接受质押品的资质要求应当与投资范围保持一致；</w:t>
      </w:r>
    </w:p>
    <w:p>
      <w:pPr>
        <w:pStyle w:val="ListParagraph"/>
        <w:numPr>
          <w:ilvl w:val="0"/>
          <w:numId w:val="21"/>
        </w:numPr>
        <w:tabs>
          <w:tab w:pos="1607" w:val="left" w:leader="none"/>
        </w:tabs>
        <w:spacing w:line="417" w:lineRule="auto" w:before="0" w:after="0"/>
        <w:ind w:left="658" w:right="1309" w:firstLine="419"/>
        <w:jc w:val="left"/>
        <w:rPr>
          <w:sz w:val="21"/>
        </w:rPr>
      </w:pPr>
      <w:r>
        <w:rPr>
          <w:spacing w:val="-3"/>
          <w:sz w:val="21"/>
        </w:rPr>
        <w:t>优选混合型基金或动力平衡基金主动投资存托凭证的比例限制依照境内上市交易的股票执行，与境内上市交易的股票合并计算；</w:t>
      </w:r>
    </w:p>
    <w:p>
      <w:pPr>
        <w:pStyle w:val="ListParagraph"/>
        <w:numPr>
          <w:ilvl w:val="0"/>
          <w:numId w:val="21"/>
        </w:numPr>
        <w:tabs>
          <w:tab w:pos="1713" w:val="left" w:leader="none"/>
        </w:tabs>
        <w:spacing w:line="269" w:lineRule="exact" w:before="0" w:after="0"/>
        <w:ind w:left="1712" w:right="0" w:hanging="635"/>
        <w:jc w:val="left"/>
        <w:rPr>
          <w:sz w:val="21"/>
        </w:rPr>
      </w:pPr>
      <w:r>
        <w:rPr>
          <w:spacing w:val="-3"/>
          <w:sz w:val="21"/>
        </w:rPr>
        <w:t>中国证监会规定的其他比例限制；</w:t>
      </w:r>
    </w:p>
    <w:p>
      <w:pPr>
        <w:pStyle w:val="BodyText"/>
        <w:spacing w:before="6"/>
        <w:rPr>
          <w:sz w:val="15"/>
        </w:rPr>
      </w:pPr>
    </w:p>
    <w:p>
      <w:pPr>
        <w:pStyle w:val="ListParagraph"/>
        <w:numPr>
          <w:ilvl w:val="0"/>
          <w:numId w:val="21"/>
        </w:numPr>
        <w:tabs>
          <w:tab w:pos="1703" w:val="left" w:leader="none"/>
        </w:tabs>
        <w:spacing w:line="240" w:lineRule="auto" w:before="0" w:after="0"/>
        <w:ind w:left="1703" w:right="0" w:hanging="625"/>
        <w:jc w:val="left"/>
        <w:rPr>
          <w:sz w:val="21"/>
        </w:rPr>
      </w:pPr>
      <w:r>
        <w:rPr>
          <w:spacing w:val="-3"/>
          <w:sz w:val="21"/>
        </w:rPr>
        <w:t>法律法规和监管机关对上述比例限制另有规定的，从其规定。</w:t>
      </w:r>
    </w:p>
    <w:p>
      <w:pPr>
        <w:pStyle w:val="BodyText"/>
        <w:spacing w:before="7"/>
        <w:rPr>
          <w:sz w:val="15"/>
        </w:rPr>
      </w:pPr>
    </w:p>
    <w:p>
      <w:pPr>
        <w:pStyle w:val="BodyText"/>
        <w:spacing w:line="417" w:lineRule="auto"/>
        <w:ind w:left="658" w:right="1309" w:firstLine="419"/>
      </w:pPr>
      <w:r>
        <w:rPr>
          <w:spacing w:val="-9"/>
        </w:rPr>
        <w:t>本系列基金合同生效后，投资建仓期为 </w:t>
      </w:r>
      <w:r>
        <w:rPr>
          <w:rFonts w:ascii="Times New Roman" w:eastAsia="Times New Roman"/>
        </w:rPr>
        <w:t>3 </w:t>
      </w:r>
      <w:r>
        <w:rPr>
          <w:spacing w:val="-11"/>
        </w:rPr>
        <w:t>个月，特殊情况下最长不超过 </w:t>
      </w:r>
      <w:r>
        <w:rPr>
          <w:rFonts w:ascii="Times New Roman" w:eastAsia="Times New Roman"/>
        </w:rPr>
        <w:t>6 </w:t>
      </w:r>
      <w:r>
        <w:rPr>
          <w:spacing w:val="-3"/>
        </w:rPr>
        <w:t>个月达到上述比例限制。</w:t>
      </w:r>
    </w:p>
    <w:p>
      <w:pPr>
        <w:pStyle w:val="BodyText"/>
        <w:spacing w:line="417" w:lineRule="auto"/>
        <w:ind w:left="658" w:right="1309" w:firstLine="419"/>
      </w:pPr>
      <w:r>
        <w:rPr>
          <w:spacing w:val="-6"/>
        </w:rPr>
        <w:t>由于基金规模或市场的变化导致投资组合超过上述约定的比例不在限制之内，基金管理</w:t>
      </w:r>
      <w:r>
        <w:rPr>
          <w:spacing w:val="-4"/>
        </w:rPr>
        <w:t>人将在合理期限内进行调整，以达到标准。</w:t>
      </w:r>
    </w:p>
    <w:p>
      <w:pPr>
        <w:pStyle w:val="BodyText"/>
        <w:spacing w:line="269" w:lineRule="exact"/>
        <w:ind w:left="1078"/>
      </w:pPr>
      <w:r>
        <w:rPr/>
        <w:t>以上投资组合比例限制适用与本系列基金下设各只基金。</w:t>
      </w:r>
    </w:p>
    <w:p>
      <w:pPr>
        <w:pStyle w:val="BodyText"/>
        <w:rPr>
          <w:sz w:val="20"/>
        </w:rPr>
      </w:pPr>
    </w:p>
    <w:p>
      <w:pPr>
        <w:pStyle w:val="BodyText"/>
        <w:rPr>
          <w:sz w:val="20"/>
        </w:rPr>
      </w:pPr>
    </w:p>
    <w:p>
      <w:pPr>
        <w:spacing w:before="154"/>
        <w:ind w:left="658" w:right="0" w:firstLine="0"/>
        <w:jc w:val="left"/>
        <w:rPr>
          <w:b/>
          <w:sz w:val="21"/>
        </w:rPr>
      </w:pPr>
      <w:r>
        <w:rPr>
          <w:b/>
          <w:sz w:val="21"/>
        </w:rPr>
        <w:t>（六）禁止行为</w:t>
      </w:r>
    </w:p>
    <w:p>
      <w:pPr>
        <w:pStyle w:val="BodyText"/>
        <w:spacing w:before="7"/>
        <w:rPr>
          <w:b/>
          <w:sz w:val="15"/>
        </w:rPr>
      </w:pPr>
    </w:p>
    <w:p>
      <w:pPr>
        <w:pStyle w:val="BodyText"/>
        <w:ind w:left="1078"/>
      </w:pPr>
      <w:r>
        <w:rPr/>
        <w:t>本系列基金不得进行如下行为：</w:t>
      </w:r>
    </w:p>
    <w:p>
      <w:pPr>
        <w:pStyle w:val="BodyText"/>
        <w:spacing w:before="7"/>
        <w:rPr>
          <w:sz w:val="15"/>
        </w:rPr>
      </w:pPr>
    </w:p>
    <w:p>
      <w:pPr>
        <w:pStyle w:val="ListParagraph"/>
        <w:numPr>
          <w:ilvl w:val="0"/>
          <w:numId w:val="22"/>
        </w:numPr>
        <w:tabs>
          <w:tab w:pos="1607" w:val="left" w:leader="none"/>
        </w:tabs>
        <w:spacing w:line="240" w:lineRule="auto" w:before="0" w:after="0"/>
        <w:ind w:left="1607" w:right="0" w:hanging="529"/>
        <w:jc w:val="left"/>
        <w:rPr>
          <w:sz w:val="21"/>
        </w:rPr>
      </w:pPr>
      <w:r>
        <w:rPr>
          <w:spacing w:val="-3"/>
          <w:sz w:val="21"/>
        </w:rPr>
        <w:t>投资于其他基金；</w:t>
      </w:r>
    </w:p>
    <w:p>
      <w:pPr>
        <w:pStyle w:val="BodyText"/>
        <w:spacing w:before="7"/>
        <w:rPr>
          <w:sz w:val="15"/>
        </w:rPr>
      </w:pPr>
    </w:p>
    <w:p>
      <w:pPr>
        <w:pStyle w:val="ListParagraph"/>
        <w:numPr>
          <w:ilvl w:val="0"/>
          <w:numId w:val="22"/>
        </w:numPr>
        <w:tabs>
          <w:tab w:pos="1607" w:val="left" w:leader="none"/>
        </w:tabs>
        <w:spacing w:line="240" w:lineRule="auto" w:before="0" w:after="0"/>
        <w:ind w:left="1607" w:right="0" w:hanging="529"/>
        <w:jc w:val="left"/>
        <w:rPr>
          <w:sz w:val="21"/>
        </w:rPr>
      </w:pPr>
      <w:r>
        <w:rPr>
          <w:spacing w:val="-3"/>
          <w:sz w:val="21"/>
        </w:rPr>
        <w:t>以基金的名义使用不属于基金名下的资金买卖证券；</w:t>
      </w:r>
    </w:p>
    <w:p>
      <w:pPr>
        <w:pStyle w:val="BodyText"/>
        <w:spacing w:before="7"/>
        <w:rPr>
          <w:sz w:val="15"/>
        </w:rPr>
      </w:pPr>
    </w:p>
    <w:p>
      <w:pPr>
        <w:pStyle w:val="ListParagraph"/>
        <w:numPr>
          <w:ilvl w:val="0"/>
          <w:numId w:val="22"/>
        </w:numPr>
        <w:tabs>
          <w:tab w:pos="1607" w:val="left" w:leader="none"/>
        </w:tabs>
        <w:spacing w:line="240" w:lineRule="auto" w:before="0" w:after="0"/>
        <w:ind w:left="1607" w:right="0" w:hanging="529"/>
        <w:jc w:val="left"/>
        <w:rPr>
          <w:sz w:val="21"/>
        </w:rPr>
      </w:pPr>
      <w:r>
        <w:rPr>
          <w:spacing w:val="-3"/>
          <w:sz w:val="21"/>
        </w:rPr>
        <w:t>将基金财产用于担保、资金拆借或者贷款；</w:t>
      </w:r>
    </w:p>
    <w:p>
      <w:pPr>
        <w:spacing w:after="0" w:line="240" w:lineRule="auto"/>
        <w:jc w:val="left"/>
        <w:rPr>
          <w:sz w:val="21"/>
        </w:rPr>
        <w:sectPr>
          <w:pgSz w:w="11910" w:h="16840"/>
          <w:pgMar w:header="852" w:footer="992" w:top="1220" w:bottom="1180" w:left="1140" w:right="480"/>
        </w:sectPr>
      </w:pPr>
    </w:p>
    <w:p>
      <w:pPr>
        <w:pStyle w:val="BodyText"/>
        <w:spacing w:before="7"/>
        <w:rPr>
          <w:sz w:val="18"/>
        </w:rPr>
      </w:pPr>
    </w:p>
    <w:p>
      <w:pPr>
        <w:pStyle w:val="ListParagraph"/>
        <w:numPr>
          <w:ilvl w:val="0"/>
          <w:numId w:val="22"/>
        </w:numPr>
        <w:tabs>
          <w:tab w:pos="1607" w:val="left" w:leader="none"/>
        </w:tabs>
        <w:spacing w:line="240" w:lineRule="auto" w:before="78" w:after="0"/>
        <w:ind w:left="1607" w:right="0" w:hanging="529"/>
        <w:jc w:val="left"/>
        <w:rPr>
          <w:sz w:val="21"/>
        </w:rPr>
      </w:pPr>
      <w:r>
        <w:rPr>
          <w:spacing w:val="-3"/>
          <w:sz w:val="21"/>
        </w:rPr>
        <w:t>进行证券承销；</w:t>
      </w:r>
    </w:p>
    <w:p>
      <w:pPr>
        <w:pStyle w:val="BodyText"/>
        <w:spacing w:before="7"/>
        <w:rPr>
          <w:sz w:val="15"/>
        </w:rPr>
      </w:pPr>
    </w:p>
    <w:p>
      <w:pPr>
        <w:pStyle w:val="ListParagraph"/>
        <w:numPr>
          <w:ilvl w:val="0"/>
          <w:numId w:val="22"/>
        </w:numPr>
        <w:tabs>
          <w:tab w:pos="1607" w:val="left" w:leader="none"/>
        </w:tabs>
        <w:spacing w:line="240" w:lineRule="auto" w:before="0" w:after="0"/>
        <w:ind w:left="1607" w:right="0" w:hanging="529"/>
        <w:jc w:val="left"/>
        <w:rPr>
          <w:sz w:val="21"/>
        </w:rPr>
      </w:pPr>
      <w:r>
        <w:rPr>
          <w:spacing w:val="-3"/>
          <w:sz w:val="21"/>
        </w:rPr>
        <w:t>从事证券信用交易；</w:t>
      </w:r>
    </w:p>
    <w:p>
      <w:pPr>
        <w:pStyle w:val="BodyText"/>
        <w:spacing w:before="6"/>
        <w:rPr>
          <w:sz w:val="15"/>
        </w:rPr>
      </w:pPr>
    </w:p>
    <w:p>
      <w:pPr>
        <w:pStyle w:val="ListParagraph"/>
        <w:numPr>
          <w:ilvl w:val="0"/>
          <w:numId w:val="22"/>
        </w:numPr>
        <w:tabs>
          <w:tab w:pos="1607" w:val="left" w:leader="none"/>
        </w:tabs>
        <w:spacing w:line="240" w:lineRule="auto" w:before="1" w:after="0"/>
        <w:ind w:left="1607" w:right="0" w:hanging="529"/>
        <w:jc w:val="left"/>
        <w:rPr>
          <w:sz w:val="21"/>
        </w:rPr>
      </w:pPr>
      <w:r>
        <w:rPr>
          <w:spacing w:val="-3"/>
          <w:sz w:val="21"/>
        </w:rPr>
        <w:t>进行房地产投资；</w:t>
      </w:r>
    </w:p>
    <w:p>
      <w:pPr>
        <w:pStyle w:val="BodyText"/>
        <w:spacing w:before="6"/>
        <w:rPr>
          <w:sz w:val="15"/>
        </w:rPr>
      </w:pPr>
    </w:p>
    <w:p>
      <w:pPr>
        <w:pStyle w:val="ListParagraph"/>
        <w:numPr>
          <w:ilvl w:val="0"/>
          <w:numId w:val="22"/>
        </w:numPr>
        <w:tabs>
          <w:tab w:pos="1607" w:val="left" w:leader="none"/>
        </w:tabs>
        <w:spacing w:line="240" w:lineRule="auto" w:before="0" w:after="0"/>
        <w:ind w:left="1607" w:right="0" w:hanging="529"/>
        <w:jc w:val="left"/>
        <w:rPr>
          <w:sz w:val="21"/>
        </w:rPr>
      </w:pPr>
      <w:r>
        <w:rPr>
          <w:spacing w:val="-3"/>
          <w:sz w:val="21"/>
        </w:rPr>
        <w:t>从事可能使基金财产承担无限责任的投资；</w:t>
      </w:r>
    </w:p>
    <w:p>
      <w:pPr>
        <w:pStyle w:val="BodyText"/>
        <w:spacing w:before="7"/>
        <w:rPr>
          <w:sz w:val="15"/>
        </w:rPr>
      </w:pPr>
    </w:p>
    <w:p>
      <w:pPr>
        <w:pStyle w:val="ListParagraph"/>
        <w:numPr>
          <w:ilvl w:val="0"/>
          <w:numId w:val="22"/>
        </w:numPr>
        <w:tabs>
          <w:tab w:pos="1607" w:val="left" w:leader="none"/>
        </w:tabs>
        <w:spacing w:line="240" w:lineRule="auto" w:before="0" w:after="0"/>
        <w:ind w:left="1607" w:right="0" w:hanging="529"/>
        <w:jc w:val="left"/>
        <w:rPr>
          <w:sz w:val="21"/>
        </w:rPr>
      </w:pPr>
      <w:r>
        <w:rPr>
          <w:spacing w:val="-3"/>
          <w:sz w:val="21"/>
        </w:rPr>
        <w:t>投资于与基金托管人或者基金管理人有利害关系的公司发行的证券；</w:t>
      </w:r>
    </w:p>
    <w:p>
      <w:pPr>
        <w:pStyle w:val="BodyText"/>
        <w:spacing w:before="7"/>
        <w:rPr>
          <w:sz w:val="15"/>
        </w:rPr>
      </w:pPr>
    </w:p>
    <w:p>
      <w:pPr>
        <w:pStyle w:val="ListParagraph"/>
        <w:numPr>
          <w:ilvl w:val="0"/>
          <w:numId w:val="22"/>
        </w:numPr>
        <w:tabs>
          <w:tab w:pos="1607" w:val="left" w:leader="none"/>
        </w:tabs>
        <w:spacing w:line="240" w:lineRule="auto" w:before="0" w:after="0"/>
        <w:ind w:left="1607" w:right="0" w:hanging="529"/>
        <w:jc w:val="left"/>
        <w:rPr>
          <w:sz w:val="21"/>
        </w:rPr>
      </w:pPr>
      <w:r>
        <w:rPr>
          <w:spacing w:val="-3"/>
          <w:sz w:val="21"/>
        </w:rPr>
        <w:t>进行内幕交易、操纵市场，通过关联交易损害基金份额持有人的利益；</w:t>
      </w:r>
    </w:p>
    <w:p>
      <w:pPr>
        <w:pStyle w:val="BodyText"/>
        <w:spacing w:before="6"/>
        <w:rPr>
          <w:sz w:val="15"/>
        </w:rPr>
      </w:pPr>
    </w:p>
    <w:p>
      <w:pPr>
        <w:pStyle w:val="ListParagraph"/>
        <w:numPr>
          <w:ilvl w:val="0"/>
          <w:numId w:val="22"/>
        </w:numPr>
        <w:tabs>
          <w:tab w:pos="1713" w:val="left" w:leader="none"/>
        </w:tabs>
        <w:spacing w:line="240" w:lineRule="auto" w:before="1" w:after="0"/>
        <w:ind w:left="1712" w:right="0" w:hanging="635"/>
        <w:jc w:val="left"/>
        <w:rPr>
          <w:sz w:val="21"/>
        </w:rPr>
      </w:pPr>
      <w:r>
        <w:rPr>
          <w:spacing w:val="-3"/>
          <w:sz w:val="21"/>
        </w:rPr>
        <w:t>从事法律法规及监管机关规定禁止从事的其他行为。</w:t>
      </w:r>
    </w:p>
    <w:p>
      <w:pPr>
        <w:pStyle w:val="BodyText"/>
        <w:rPr>
          <w:sz w:val="22"/>
        </w:rPr>
      </w:pPr>
    </w:p>
    <w:p>
      <w:pPr>
        <w:pStyle w:val="BodyText"/>
        <w:spacing w:before="1"/>
        <w:rPr>
          <w:sz w:val="30"/>
        </w:rPr>
      </w:pPr>
    </w:p>
    <w:p>
      <w:pPr>
        <w:spacing w:before="0"/>
        <w:ind w:left="658" w:right="0" w:firstLine="0"/>
        <w:jc w:val="left"/>
        <w:rPr>
          <w:b/>
          <w:sz w:val="21"/>
        </w:rPr>
      </w:pPr>
      <w:r>
        <w:rPr>
          <w:b/>
          <w:sz w:val="21"/>
        </w:rPr>
        <w:t>（七）基金管理人代表基金行使股东权利的原则：</w:t>
      </w:r>
    </w:p>
    <w:p>
      <w:pPr>
        <w:pStyle w:val="BodyText"/>
        <w:spacing w:before="6"/>
        <w:rPr>
          <w:b/>
          <w:sz w:val="15"/>
        </w:rPr>
      </w:pPr>
    </w:p>
    <w:p>
      <w:pPr>
        <w:pStyle w:val="ListParagraph"/>
        <w:numPr>
          <w:ilvl w:val="0"/>
          <w:numId w:val="23"/>
        </w:numPr>
        <w:tabs>
          <w:tab w:pos="1607" w:val="left" w:leader="none"/>
        </w:tabs>
        <w:spacing w:line="240" w:lineRule="auto" w:before="1" w:after="0"/>
        <w:ind w:left="1607" w:right="0" w:hanging="529"/>
        <w:jc w:val="left"/>
        <w:rPr>
          <w:sz w:val="21"/>
        </w:rPr>
      </w:pPr>
      <w:r>
        <w:rPr>
          <w:spacing w:val="-3"/>
          <w:sz w:val="21"/>
        </w:rPr>
        <w:t>不谋求对上市公司的控股，不参与上市公司的经营管理；</w:t>
      </w:r>
    </w:p>
    <w:p>
      <w:pPr>
        <w:pStyle w:val="BodyText"/>
        <w:spacing w:before="6"/>
        <w:rPr>
          <w:sz w:val="15"/>
        </w:rPr>
      </w:pPr>
    </w:p>
    <w:p>
      <w:pPr>
        <w:pStyle w:val="ListParagraph"/>
        <w:numPr>
          <w:ilvl w:val="0"/>
          <w:numId w:val="23"/>
        </w:numPr>
        <w:tabs>
          <w:tab w:pos="1607" w:val="left" w:leader="none"/>
        </w:tabs>
        <w:spacing w:line="240" w:lineRule="auto" w:before="0" w:after="0"/>
        <w:ind w:left="1607" w:right="0" w:hanging="529"/>
        <w:jc w:val="left"/>
        <w:rPr>
          <w:sz w:val="21"/>
        </w:rPr>
      </w:pPr>
      <w:r>
        <w:rPr>
          <w:spacing w:val="-3"/>
          <w:sz w:val="21"/>
        </w:rPr>
        <w:t>有利于本系列基金财产的安全和增值；</w:t>
      </w:r>
    </w:p>
    <w:p>
      <w:pPr>
        <w:pStyle w:val="BodyText"/>
        <w:spacing w:before="7"/>
        <w:rPr>
          <w:sz w:val="15"/>
        </w:rPr>
      </w:pPr>
    </w:p>
    <w:p>
      <w:pPr>
        <w:pStyle w:val="ListParagraph"/>
        <w:numPr>
          <w:ilvl w:val="0"/>
          <w:numId w:val="23"/>
        </w:numPr>
        <w:tabs>
          <w:tab w:pos="1607" w:val="left" w:leader="none"/>
        </w:tabs>
        <w:spacing w:line="240" w:lineRule="auto" w:before="0" w:after="0"/>
        <w:ind w:left="1607" w:right="0" w:hanging="529"/>
        <w:jc w:val="left"/>
        <w:rPr>
          <w:sz w:val="21"/>
        </w:rPr>
      </w:pPr>
      <w:r>
        <w:rPr>
          <w:spacing w:val="-3"/>
          <w:sz w:val="21"/>
        </w:rPr>
        <w:t>独立行使股东权利，保护基金投资者的利益；</w:t>
      </w:r>
    </w:p>
    <w:p>
      <w:pPr>
        <w:pStyle w:val="BodyText"/>
        <w:spacing w:before="7"/>
        <w:rPr>
          <w:sz w:val="15"/>
        </w:rPr>
      </w:pPr>
    </w:p>
    <w:p>
      <w:pPr>
        <w:pStyle w:val="ListParagraph"/>
        <w:numPr>
          <w:ilvl w:val="0"/>
          <w:numId w:val="23"/>
        </w:numPr>
        <w:tabs>
          <w:tab w:pos="1607" w:val="left" w:leader="none"/>
        </w:tabs>
        <w:spacing w:line="240" w:lineRule="auto" w:before="0" w:after="0"/>
        <w:ind w:left="1607" w:right="0" w:hanging="529"/>
        <w:jc w:val="left"/>
        <w:rPr>
          <w:sz w:val="21"/>
        </w:rPr>
      </w:pPr>
      <w:r>
        <w:rPr>
          <w:spacing w:val="-3"/>
          <w:sz w:val="21"/>
        </w:rPr>
        <w:t>基金管理人按照国家有关规定代表本系列基金行使股东权利。</w:t>
      </w:r>
    </w:p>
    <w:p>
      <w:pPr>
        <w:pStyle w:val="BodyText"/>
        <w:rPr>
          <w:sz w:val="20"/>
        </w:rPr>
      </w:pPr>
    </w:p>
    <w:p>
      <w:pPr>
        <w:pStyle w:val="BodyText"/>
        <w:rPr>
          <w:sz w:val="20"/>
        </w:rPr>
      </w:pPr>
    </w:p>
    <w:p>
      <w:pPr>
        <w:spacing w:before="155"/>
        <w:ind w:left="658" w:right="0" w:firstLine="0"/>
        <w:jc w:val="left"/>
        <w:rPr>
          <w:b/>
          <w:sz w:val="21"/>
        </w:rPr>
      </w:pPr>
      <w:r>
        <w:rPr>
          <w:b/>
          <w:sz w:val="21"/>
        </w:rPr>
        <w:t>（八）货币市场基金投资的特别限制：</w:t>
      </w:r>
    </w:p>
    <w:p>
      <w:pPr>
        <w:pStyle w:val="BodyText"/>
        <w:spacing w:before="6"/>
        <w:rPr>
          <w:b/>
          <w:sz w:val="15"/>
        </w:rPr>
      </w:pPr>
    </w:p>
    <w:p>
      <w:pPr>
        <w:pStyle w:val="BodyText"/>
        <w:ind w:left="1078"/>
      </w:pPr>
      <w:r>
        <w:rPr>
          <w:rFonts w:ascii="Times New Roman" w:eastAsia="Times New Roman"/>
        </w:rPr>
        <w:t>1</w:t>
      </w:r>
      <w:r>
        <w:rPr/>
        <w:t>、禁止行为</w:t>
      </w:r>
    </w:p>
    <w:p>
      <w:pPr>
        <w:pStyle w:val="BodyText"/>
        <w:spacing w:before="7"/>
        <w:rPr>
          <w:sz w:val="15"/>
        </w:rPr>
      </w:pPr>
    </w:p>
    <w:p>
      <w:pPr>
        <w:pStyle w:val="BodyText"/>
        <w:ind w:left="1078"/>
      </w:pPr>
      <w:r>
        <w:rPr/>
        <w:t>货币市场基金不得投资以下金融工具：</w:t>
      </w:r>
    </w:p>
    <w:p>
      <w:pPr>
        <w:pStyle w:val="BodyText"/>
        <w:spacing w:before="7"/>
        <w:rPr>
          <w:sz w:val="15"/>
        </w:rPr>
      </w:pPr>
    </w:p>
    <w:p>
      <w:pPr>
        <w:pStyle w:val="ListParagraph"/>
        <w:numPr>
          <w:ilvl w:val="0"/>
          <w:numId w:val="24"/>
        </w:numPr>
        <w:tabs>
          <w:tab w:pos="1607" w:val="left" w:leader="none"/>
        </w:tabs>
        <w:spacing w:line="240" w:lineRule="auto" w:before="0" w:after="0"/>
        <w:ind w:left="1607" w:right="0" w:hanging="529"/>
        <w:jc w:val="left"/>
        <w:rPr>
          <w:sz w:val="21"/>
        </w:rPr>
      </w:pPr>
      <w:r>
        <w:rPr>
          <w:spacing w:val="-2"/>
          <w:sz w:val="21"/>
        </w:rPr>
        <w:t>股票；</w:t>
      </w:r>
    </w:p>
    <w:p>
      <w:pPr>
        <w:pStyle w:val="BodyText"/>
        <w:spacing w:before="7"/>
        <w:rPr>
          <w:sz w:val="15"/>
        </w:rPr>
      </w:pPr>
    </w:p>
    <w:p>
      <w:pPr>
        <w:pStyle w:val="ListParagraph"/>
        <w:numPr>
          <w:ilvl w:val="0"/>
          <w:numId w:val="24"/>
        </w:numPr>
        <w:tabs>
          <w:tab w:pos="1607" w:val="left" w:leader="none"/>
        </w:tabs>
        <w:spacing w:line="240" w:lineRule="auto" w:before="0" w:after="0"/>
        <w:ind w:left="1607" w:right="0" w:hanging="529"/>
        <w:jc w:val="left"/>
        <w:rPr>
          <w:sz w:val="21"/>
        </w:rPr>
      </w:pPr>
      <w:r>
        <w:rPr>
          <w:spacing w:val="-3"/>
          <w:sz w:val="21"/>
        </w:rPr>
        <w:t>可转换债券、可交换债券；</w:t>
      </w:r>
    </w:p>
    <w:p>
      <w:pPr>
        <w:pStyle w:val="BodyText"/>
        <w:spacing w:before="6"/>
        <w:rPr>
          <w:sz w:val="15"/>
        </w:rPr>
      </w:pPr>
    </w:p>
    <w:p>
      <w:pPr>
        <w:pStyle w:val="ListParagraph"/>
        <w:numPr>
          <w:ilvl w:val="0"/>
          <w:numId w:val="24"/>
        </w:numPr>
        <w:tabs>
          <w:tab w:pos="1607" w:val="left" w:leader="none"/>
        </w:tabs>
        <w:spacing w:line="240" w:lineRule="auto" w:before="0" w:after="0"/>
        <w:ind w:left="1607" w:right="0" w:hanging="529"/>
        <w:jc w:val="left"/>
        <w:rPr>
          <w:sz w:val="21"/>
        </w:rPr>
      </w:pPr>
      <w:r>
        <w:rPr>
          <w:spacing w:val="7"/>
          <w:sz w:val="21"/>
        </w:rPr>
        <w:t>信用等级在</w:t>
      </w:r>
      <w:r>
        <w:rPr>
          <w:rFonts w:ascii="Times New Roman" w:eastAsia="Times New Roman"/>
          <w:sz w:val="21"/>
        </w:rPr>
        <w:t>AA+</w:t>
      </w:r>
      <w:r>
        <w:rPr>
          <w:spacing w:val="-3"/>
          <w:sz w:val="21"/>
        </w:rPr>
        <w:t>以下的债券与非金融企业债务融资工具；</w:t>
      </w:r>
    </w:p>
    <w:p>
      <w:pPr>
        <w:pStyle w:val="BodyText"/>
        <w:spacing w:before="7"/>
        <w:rPr>
          <w:sz w:val="15"/>
        </w:rPr>
      </w:pPr>
    </w:p>
    <w:p>
      <w:pPr>
        <w:pStyle w:val="ListParagraph"/>
        <w:numPr>
          <w:ilvl w:val="0"/>
          <w:numId w:val="24"/>
        </w:numPr>
        <w:tabs>
          <w:tab w:pos="1607" w:val="left" w:leader="none"/>
        </w:tabs>
        <w:spacing w:line="240" w:lineRule="auto" w:before="0" w:after="0"/>
        <w:ind w:left="1607" w:right="0" w:hanging="529"/>
        <w:jc w:val="left"/>
        <w:rPr>
          <w:sz w:val="21"/>
        </w:rPr>
      </w:pPr>
      <w:r>
        <w:rPr>
          <w:spacing w:val="-8"/>
          <w:sz w:val="21"/>
        </w:rPr>
        <w:t>以定期存款利率为基准利率的浮动利率债券，已进入最后一个利率调整期的除外；</w:t>
      </w:r>
    </w:p>
    <w:p>
      <w:pPr>
        <w:pStyle w:val="BodyText"/>
        <w:spacing w:before="7"/>
        <w:rPr>
          <w:sz w:val="15"/>
        </w:rPr>
      </w:pPr>
    </w:p>
    <w:p>
      <w:pPr>
        <w:pStyle w:val="ListParagraph"/>
        <w:numPr>
          <w:ilvl w:val="0"/>
          <w:numId w:val="24"/>
        </w:numPr>
        <w:tabs>
          <w:tab w:pos="1607" w:val="left" w:leader="none"/>
        </w:tabs>
        <w:spacing w:line="240" w:lineRule="auto" w:before="1" w:after="0"/>
        <w:ind w:left="1607" w:right="0" w:hanging="529"/>
        <w:jc w:val="left"/>
        <w:rPr>
          <w:sz w:val="21"/>
        </w:rPr>
      </w:pPr>
      <w:r>
        <w:rPr>
          <w:spacing w:val="-3"/>
          <w:sz w:val="21"/>
        </w:rPr>
        <w:t>中国证监会、中国人民银行禁止投资的其他金融工具。</w:t>
      </w:r>
    </w:p>
    <w:p>
      <w:pPr>
        <w:pStyle w:val="BodyText"/>
        <w:spacing w:before="6"/>
        <w:rPr>
          <w:sz w:val="15"/>
        </w:rPr>
      </w:pPr>
    </w:p>
    <w:p>
      <w:pPr>
        <w:pStyle w:val="BodyText"/>
        <w:ind w:left="1078"/>
      </w:pPr>
      <w:r>
        <w:rPr>
          <w:rFonts w:ascii="Times New Roman" w:eastAsia="Times New Roman"/>
        </w:rPr>
        <w:t>2</w:t>
      </w:r>
      <w:r>
        <w:rPr/>
        <w:t>、货币市场基金遵守以下投资组合比例限制：</w:t>
      </w:r>
    </w:p>
    <w:p>
      <w:pPr>
        <w:pStyle w:val="BodyText"/>
        <w:spacing w:before="7"/>
        <w:rPr>
          <w:sz w:val="15"/>
        </w:rPr>
      </w:pPr>
    </w:p>
    <w:p>
      <w:pPr>
        <w:pStyle w:val="ListParagraph"/>
        <w:numPr>
          <w:ilvl w:val="0"/>
          <w:numId w:val="25"/>
        </w:numPr>
        <w:tabs>
          <w:tab w:pos="1607" w:val="left" w:leader="none"/>
        </w:tabs>
        <w:spacing w:line="417" w:lineRule="auto" w:before="0" w:after="0"/>
        <w:ind w:left="658" w:right="1311" w:firstLine="419"/>
        <w:jc w:val="left"/>
        <w:rPr>
          <w:sz w:val="21"/>
        </w:rPr>
      </w:pPr>
      <w:r>
        <w:rPr>
          <w:spacing w:val="-4"/>
          <w:sz w:val="21"/>
        </w:rPr>
        <w:t>当货币市场基金前 </w:t>
      </w:r>
      <w:r>
        <w:rPr>
          <w:rFonts w:ascii="Times New Roman" w:eastAsia="Times New Roman"/>
          <w:sz w:val="21"/>
        </w:rPr>
        <w:t>10</w:t>
      </w:r>
      <w:r>
        <w:rPr>
          <w:rFonts w:ascii="Times New Roman" w:eastAsia="Times New Roman"/>
          <w:spacing w:val="45"/>
          <w:sz w:val="21"/>
        </w:rPr>
        <w:t> </w:t>
      </w:r>
      <w:r>
        <w:rPr>
          <w:spacing w:val="-4"/>
          <w:sz w:val="21"/>
        </w:rPr>
        <w:t>名份额持有人的持有份额合计超过基金总份额的 </w:t>
      </w:r>
      <w:r>
        <w:rPr>
          <w:rFonts w:ascii="Times New Roman" w:eastAsia="Times New Roman"/>
          <w:sz w:val="21"/>
        </w:rPr>
        <w:t>50%</w:t>
      </w:r>
      <w:r>
        <w:rPr>
          <w:spacing w:val="-3"/>
          <w:sz w:val="21"/>
        </w:rPr>
        <w:t>时， </w:t>
      </w:r>
      <w:r>
        <w:rPr>
          <w:spacing w:val="-5"/>
          <w:sz w:val="21"/>
        </w:rPr>
        <w:t>货币市场基金投资组合的平均剩余期限不得超过 </w:t>
      </w:r>
      <w:r>
        <w:rPr>
          <w:rFonts w:ascii="Times New Roman" w:eastAsia="Times New Roman"/>
          <w:sz w:val="21"/>
        </w:rPr>
        <w:t>60</w:t>
      </w:r>
      <w:r>
        <w:rPr>
          <w:rFonts w:ascii="Times New Roman" w:eastAsia="Times New Roman"/>
          <w:spacing w:val="14"/>
          <w:sz w:val="21"/>
        </w:rPr>
        <w:t> </w:t>
      </w:r>
      <w:r>
        <w:rPr>
          <w:spacing w:val="-6"/>
          <w:sz w:val="21"/>
        </w:rPr>
        <w:t>天，平均剩余存续期不得超过 </w:t>
      </w:r>
      <w:r>
        <w:rPr>
          <w:rFonts w:ascii="Times New Roman" w:eastAsia="Times New Roman"/>
          <w:sz w:val="21"/>
        </w:rPr>
        <w:t>120</w:t>
      </w:r>
      <w:r>
        <w:rPr>
          <w:rFonts w:ascii="Times New Roman" w:eastAsia="Times New Roman"/>
          <w:spacing w:val="12"/>
          <w:sz w:val="21"/>
        </w:rPr>
        <w:t> </w:t>
      </w:r>
      <w:r>
        <w:rPr>
          <w:spacing w:val="-3"/>
          <w:sz w:val="21"/>
        </w:rPr>
        <w:t>天；</w:t>
      </w:r>
    </w:p>
    <w:p>
      <w:pPr>
        <w:pStyle w:val="BodyText"/>
        <w:spacing w:line="417" w:lineRule="auto"/>
        <w:ind w:left="658" w:right="1205"/>
      </w:pPr>
      <w:r>
        <w:rPr>
          <w:spacing w:val="-14"/>
        </w:rPr>
        <w:t>投资组合中现金、国债、中央银行票据、政策性金融债券以及 </w:t>
      </w:r>
      <w:r>
        <w:rPr>
          <w:rFonts w:ascii="Times New Roman" w:eastAsia="Times New Roman"/>
        </w:rPr>
        <w:t>5 </w:t>
      </w:r>
      <w:r>
        <w:rPr>
          <w:spacing w:val="-3"/>
        </w:rPr>
        <w:t>个交易日内到期的其他金融</w:t>
      </w:r>
      <w:r>
        <w:rPr>
          <w:spacing w:val="-6"/>
        </w:rPr>
        <w:t>工具占基金资产净值的比例合计不得低于 </w:t>
      </w:r>
      <w:r>
        <w:rPr>
          <w:rFonts w:ascii="Times New Roman" w:eastAsia="Times New Roman"/>
        </w:rPr>
        <w:t>30%</w:t>
      </w:r>
      <w:r>
        <w:rPr>
          <w:spacing w:val="-8"/>
        </w:rPr>
        <w:t>；当货币市场基金前 </w:t>
      </w:r>
      <w:r>
        <w:rPr>
          <w:rFonts w:ascii="Times New Roman" w:eastAsia="Times New Roman"/>
        </w:rPr>
        <w:t>10 </w:t>
      </w:r>
      <w:r>
        <w:rPr>
          <w:spacing w:val="-3"/>
        </w:rPr>
        <w:t>名份额持有人的持有</w:t>
      </w:r>
      <w:r>
        <w:rPr>
          <w:spacing w:val="-6"/>
        </w:rPr>
        <w:t>份额合计超过基金总份额的 </w:t>
      </w:r>
      <w:r>
        <w:rPr>
          <w:rFonts w:ascii="Times New Roman" w:eastAsia="Times New Roman"/>
        </w:rPr>
        <w:t>20%</w:t>
      </w:r>
      <w:r>
        <w:rPr>
          <w:spacing w:val="-14"/>
        </w:rPr>
        <w:t>时，货币市场基金投资组合的平均剩余期限不得超过 </w:t>
      </w:r>
      <w:r>
        <w:rPr>
          <w:rFonts w:ascii="Times New Roman" w:eastAsia="Times New Roman"/>
        </w:rPr>
        <w:t>90 </w:t>
      </w:r>
      <w:r>
        <w:rPr>
          <w:spacing w:val="-3"/>
        </w:rPr>
        <w:t>天， </w:t>
      </w:r>
      <w:r>
        <w:rPr>
          <w:spacing w:val="-7"/>
        </w:rPr>
        <w:t>平均剩余存续期不得超过 </w:t>
      </w:r>
      <w:r>
        <w:rPr>
          <w:rFonts w:ascii="Times New Roman" w:eastAsia="Times New Roman"/>
        </w:rPr>
        <w:t>180 </w:t>
      </w:r>
      <w:r>
        <w:rPr>
          <w:spacing w:val="-11"/>
        </w:rPr>
        <w:t>天；投资组合中现金、国债、中央银行票据、政策性金融债券</w:t>
      </w:r>
      <w:r>
        <w:rPr>
          <w:spacing w:val="-25"/>
        </w:rPr>
        <w:t>以及 </w:t>
      </w:r>
      <w:r>
        <w:rPr>
          <w:rFonts w:ascii="Times New Roman" w:eastAsia="Times New Roman"/>
        </w:rPr>
        <w:t>5</w:t>
      </w:r>
      <w:r>
        <w:rPr>
          <w:rFonts w:ascii="Times New Roman" w:eastAsia="Times New Roman"/>
          <w:spacing w:val="-1"/>
        </w:rPr>
        <w:t> </w:t>
      </w:r>
      <w:r>
        <w:rPr>
          <w:spacing w:val="-5"/>
        </w:rPr>
        <w:t>个交易日内到期的其他金融工具占基金资产净值的比例合计不得低于 </w:t>
      </w:r>
      <w:r>
        <w:rPr>
          <w:rFonts w:ascii="Times New Roman" w:eastAsia="Times New Roman"/>
        </w:rPr>
        <w:t>20%</w:t>
      </w:r>
      <w:r>
        <w:rPr/>
        <w:t>；</w:t>
      </w:r>
    </w:p>
    <w:p>
      <w:pPr>
        <w:spacing w:after="0" w:line="417" w:lineRule="auto"/>
        <w:sectPr>
          <w:pgSz w:w="11910" w:h="16840"/>
          <w:pgMar w:header="852" w:footer="992" w:top="1220" w:bottom="1180" w:left="1140" w:right="480"/>
        </w:sectPr>
      </w:pPr>
    </w:p>
    <w:p>
      <w:pPr>
        <w:pStyle w:val="BodyText"/>
        <w:spacing w:before="7"/>
        <w:rPr>
          <w:sz w:val="18"/>
        </w:rPr>
      </w:pPr>
    </w:p>
    <w:p>
      <w:pPr>
        <w:pStyle w:val="ListParagraph"/>
        <w:numPr>
          <w:ilvl w:val="0"/>
          <w:numId w:val="25"/>
        </w:numPr>
        <w:tabs>
          <w:tab w:pos="1607" w:val="left" w:leader="none"/>
        </w:tabs>
        <w:spacing w:line="417" w:lineRule="auto" w:before="78" w:after="0"/>
        <w:ind w:left="658" w:right="1311" w:firstLine="419"/>
        <w:jc w:val="left"/>
        <w:rPr>
          <w:sz w:val="21"/>
        </w:rPr>
      </w:pPr>
      <w:r>
        <w:rPr>
          <w:spacing w:val="-3"/>
          <w:sz w:val="21"/>
        </w:rPr>
        <w:t>投资组合的平均剩余期限不得超过 </w:t>
      </w:r>
      <w:r>
        <w:rPr>
          <w:rFonts w:ascii="Times New Roman" w:eastAsia="Times New Roman"/>
          <w:sz w:val="21"/>
        </w:rPr>
        <w:t>120</w:t>
      </w:r>
      <w:r>
        <w:rPr>
          <w:rFonts w:ascii="Times New Roman" w:eastAsia="Times New Roman"/>
          <w:spacing w:val="4"/>
          <w:sz w:val="21"/>
        </w:rPr>
        <w:t> </w:t>
      </w:r>
      <w:r>
        <w:rPr>
          <w:spacing w:val="-10"/>
          <w:sz w:val="21"/>
        </w:rPr>
        <w:t>天，平均剩余存续期不得超过 </w:t>
      </w:r>
      <w:r>
        <w:rPr>
          <w:rFonts w:ascii="Times New Roman" w:eastAsia="Times New Roman"/>
          <w:sz w:val="21"/>
        </w:rPr>
        <w:t>240</w:t>
      </w:r>
      <w:r>
        <w:rPr>
          <w:rFonts w:ascii="Times New Roman" w:eastAsia="Times New Roman"/>
          <w:spacing w:val="3"/>
          <w:sz w:val="21"/>
        </w:rPr>
        <w:t> </w:t>
      </w:r>
      <w:r>
        <w:rPr>
          <w:spacing w:val="-16"/>
          <w:sz w:val="21"/>
        </w:rPr>
        <w:t>天， </w:t>
      </w:r>
      <w:r>
        <w:rPr>
          <w:spacing w:val="-1"/>
          <w:sz w:val="21"/>
        </w:rPr>
        <w:t>但上述第</w:t>
      </w:r>
      <w:r>
        <w:rPr>
          <w:sz w:val="21"/>
        </w:rPr>
        <w:t>（</w:t>
      </w:r>
      <w:r>
        <w:rPr>
          <w:rFonts w:ascii="Times New Roman" w:eastAsia="Times New Roman"/>
          <w:sz w:val="21"/>
        </w:rPr>
        <w:t>1</w:t>
      </w:r>
      <w:r>
        <w:rPr>
          <w:sz w:val="21"/>
        </w:rPr>
        <w:t>）</w:t>
      </w:r>
      <w:r>
        <w:rPr>
          <w:spacing w:val="-3"/>
          <w:sz w:val="21"/>
        </w:rPr>
        <w:t>项另有约定的除外；</w:t>
      </w:r>
    </w:p>
    <w:p>
      <w:pPr>
        <w:pStyle w:val="ListParagraph"/>
        <w:numPr>
          <w:ilvl w:val="0"/>
          <w:numId w:val="25"/>
        </w:numPr>
        <w:tabs>
          <w:tab w:pos="1607" w:val="left" w:leader="none"/>
        </w:tabs>
        <w:spacing w:line="417" w:lineRule="auto" w:before="0" w:after="0"/>
        <w:ind w:left="658" w:right="1309" w:firstLine="419"/>
        <w:jc w:val="left"/>
        <w:rPr>
          <w:sz w:val="21"/>
        </w:rPr>
      </w:pPr>
      <w:r>
        <w:rPr>
          <w:spacing w:val="-3"/>
          <w:sz w:val="21"/>
        </w:rPr>
        <w:t>不得与基金管理人的股东进行交易，不得通过交易上的安排认为降低投资组合的平均剩余期限的真实天数；</w:t>
      </w:r>
    </w:p>
    <w:p>
      <w:pPr>
        <w:pStyle w:val="ListParagraph"/>
        <w:numPr>
          <w:ilvl w:val="0"/>
          <w:numId w:val="25"/>
        </w:numPr>
        <w:tabs>
          <w:tab w:pos="1607" w:val="left" w:leader="none"/>
        </w:tabs>
        <w:spacing w:line="417" w:lineRule="auto" w:before="0" w:after="0"/>
        <w:ind w:left="658" w:right="1309" w:firstLine="419"/>
        <w:jc w:val="left"/>
        <w:rPr>
          <w:sz w:val="21"/>
        </w:rPr>
      </w:pPr>
      <w:r>
        <w:rPr>
          <w:spacing w:val="-3"/>
          <w:sz w:val="21"/>
        </w:rPr>
        <w:t>同一机构发行的债券、短期融资券、中期票据及其作为原始权益人的资产支持证</w:t>
      </w:r>
      <w:r>
        <w:rPr>
          <w:spacing w:val="-4"/>
          <w:sz w:val="21"/>
        </w:rPr>
        <w:t>券占基金资产净值的比例合计不得超过 </w:t>
      </w:r>
      <w:r>
        <w:rPr>
          <w:rFonts w:ascii="Times New Roman" w:eastAsia="Times New Roman"/>
          <w:spacing w:val="-10"/>
          <w:sz w:val="21"/>
        </w:rPr>
        <w:t>10%</w:t>
      </w:r>
      <w:r>
        <w:rPr>
          <w:spacing w:val="-11"/>
          <w:sz w:val="21"/>
        </w:rPr>
        <w:t>，国债、中央银行票据、政策性金融债券除外；</w:t>
      </w:r>
    </w:p>
    <w:p>
      <w:pPr>
        <w:pStyle w:val="ListParagraph"/>
        <w:numPr>
          <w:ilvl w:val="0"/>
          <w:numId w:val="25"/>
        </w:numPr>
        <w:tabs>
          <w:tab w:pos="1607" w:val="left" w:leader="none"/>
        </w:tabs>
        <w:spacing w:line="417" w:lineRule="auto" w:before="0" w:after="0"/>
        <w:ind w:left="658" w:right="1309" w:firstLine="419"/>
        <w:jc w:val="left"/>
        <w:rPr>
          <w:sz w:val="21"/>
        </w:rPr>
      </w:pPr>
      <w:r>
        <w:rPr>
          <w:spacing w:val="-4"/>
          <w:sz w:val="21"/>
        </w:rPr>
        <w:t>投资于固定期限银行存款的比例，不得超过基金资产净值的 </w:t>
      </w:r>
      <w:r>
        <w:rPr>
          <w:rFonts w:ascii="Times New Roman" w:eastAsia="Times New Roman"/>
          <w:sz w:val="21"/>
        </w:rPr>
        <w:t>30%</w:t>
      </w:r>
      <w:r>
        <w:rPr>
          <w:spacing w:val="-2"/>
          <w:sz w:val="21"/>
        </w:rPr>
        <w:t>，但如果基金投</w:t>
      </w:r>
      <w:r>
        <w:rPr>
          <w:spacing w:val="-3"/>
          <w:sz w:val="21"/>
        </w:rPr>
        <w:t>资有存款期限，但协议中约定可以提前支取的银行存款，不受该比例限制；</w:t>
      </w:r>
    </w:p>
    <w:p>
      <w:pPr>
        <w:pStyle w:val="ListParagraph"/>
        <w:numPr>
          <w:ilvl w:val="0"/>
          <w:numId w:val="25"/>
        </w:numPr>
        <w:tabs>
          <w:tab w:pos="1607" w:val="left" w:leader="none"/>
        </w:tabs>
        <w:spacing w:line="417" w:lineRule="auto" w:before="0" w:after="0"/>
        <w:ind w:left="658" w:right="1309" w:firstLine="419"/>
        <w:jc w:val="both"/>
        <w:rPr>
          <w:sz w:val="21"/>
        </w:rPr>
      </w:pPr>
      <w:r>
        <w:rPr>
          <w:spacing w:val="-3"/>
          <w:sz w:val="21"/>
        </w:rPr>
        <w:t>投资于具有基金托管资格的同一商业银行的存款、同业存单，合计不得超过基金</w:t>
      </w:r>
      <w:r>
        <w:rPr>
          <w:spacing w:val="4"/>
          <w:sz w:val="21"/>
        </w:rPr>
        <w:t>资产净值的 </w:t>
      </w:r>
      <w:r>
        <w:rPr>
          <w:rFonts w:ascii="Times New Roman" w:eastAsia="Times New Roman"/>
          <w:sz w:val="21"/>
        </w:rPr>
        <w:t>20%</w:t>
      </w:r>
      <w:r>
        <w:rPr>
          <w:spacing w:val="-1"/>
          <w:sz w:val="21"/>
        </w:rPr>
        <w:t>；投资于不具有基金托管资格的同一商业银行的存款、同业存单，合计不</w:t>
      </w:r>
      <w:r>
        <w:rPr>
          <w:spacing w:val="-8"/>
          <w:sz w:val="21"/>
        </w:rPr>
        <w:t>得超过基金资产净值的 </w:t>
      </w:r>
      <w:r>
        <w:rPr>
          <w:rFonts w:ascii="Times New Roman" w:eastAsia="Times New Roman"/>
          <w:sz w:val="21"/>
        </w:rPr>
        <w:t>5%</w:t>
      </w:r>
      <w:r>
        <w:rPr>
          <w:sz w:val="21"/>
        </w:rPr>
        <w:t>；</w:t>
      </w:r>
    </w:p>
    <w:p>
      <w:pPr>
        <w:pStyle w:val="ListParagraph"/>
        <w:numPr>
          <w:ilvl w:val="0"/>
          <w:numId w:val="25"/>
        </w:numPr>
        <w:tabs>
          <w:tab w:pos="1607" w:val="left" w:leader="none"/>
        </w:tabs>
        <w:spacing w:line="417" w:lineRule="auto" w:before="0" w:after="0"/>
        <w:ind w:left="658" w:right="1309" w:firstLine="419"/>
        <w:jc w:val="both"/>
        <w:rPr>
          <w:sz w:val="21"/>
        </w:rPr>
      </w:pPr>
      <w:r>
        <w:rPr>
          <w:spacing w:val="-3"/>
          <w:sz w:val="21"/>
        </w:rPr>
        <w:t>现金、国债、中央银行票据、政策性金融债券占基金资产净值的比例合计不得低</w:t>
      </w:r>
      <w:r>
        <w:rPr>
          <w:spacing w:val="-28"/>
          <w:sz w:val="21"/>
        </w:rPr>
        <w:t>于 </w:t>
      </w:r>
      <w:r>
        <w:rPr>
          <w:rFonts w:ascii="Times New Roman" w:eastAsia="Times New Roman"/>
          <w:sz w:val="21"/>
        </w:rPr>
        <w:t>5%</w:t>
      </w:r>
      <w:r>
        <w:rPr>
          <w:sz w:val="21"/>
        </w:rPr>
        <w:t>；</w:t>
      </w:r>
    </w:p>
    <w:p>
      <w:pPr>
        <w:pStyle w:val="ListParagraph"/>
        <w:numPr>
          <w:ilvl w:val="0"/>
          <w:numId w:val="25"/>
        </w:numPr>
        <w:tabs>
          <w:tab w:pos="1607" w:val="left" w:leader="none"/>
        </w:tabs>
        <w:spacing w:line="417" w:lineRule="auto" w:before="0" w:after="0"/>
        <w:ind w:left="658" w:right="1309" w:firstLine="419"/>
        <w:jc w:val="both"/>
        <w:rPr>
          <w:sz w:val="21"/>
        </w:rPr>
      </w:pPr>
      <w:r>
        <w:rPr>
          <w:spacing w:val="-5"/>
          <w:sz w:val="21"/>
        </w:rPr>
        <w:t>现金、国债、中央银行票据、政策性金融债券以及 </w:t>
      </w:r>
      <w:r>
        <w:rPr>
          <w:rFonts w:ascii="Times New Roman" w:eastAsia="Times New Roman"/>
          <w:sz w:val="21"/>
        </w:rPr>
        <w:t>5</w:t>
      </w:r>
      <w:r>
        <w:rPr>
          <w:rFonts w:ascii="Times New Roman" w:eastAsia="Times New Roman"/>
          <w:spacing w:val="26"/>
          <w:sz w:val="21"/>
        </w:rPr>
        <w:t> </w:t>
      </w:r>
      <w:r>
        <w:rPr>
          <w:spacing w:val="-3"/>
          <w:sz w:val="21"/>
        </w:rPr>
        <w:t>个交易日内到期的其他金融</w:t>
      </w:r>
      <w:r>
        <w:rPr>
          <w:spacing w:val="-6"/>
          <w:sz w:val="21"/>
        </w:rPr>
        <w:t>工具占基金资产净值的比例合计不得低于 </w:t>
      </w:r>
      <w:r>
        <w:rPr>
          <w:rFonts w:ascii="Times New Roman" w:eastAsia="Times New Roman"/>
          <w:sz w:val="21"/>
        </w:rPr>
        <w:t>10%</w:t>
      </w:r>
      <w:r>
        <w:rPr>
          <w:spacing w:val="-3"/>
          <w:sz w:val="21"/>
        </w:rPr>
        <w:t>，但上述第</w:t>
      </w:r>
      <w:r>
        <w:rPr>
          <w:sz w:val="21"/>
        </w:rPr>
        <w:t>（</w:t>
      </w:r>
      <w:r>
        <w:rPr>
          <w:rFonts w:ascii="Times New Roman" w:eastAsia="Times New Roman"/>
          <w:sz w:val="21"/>
        </w:rPr>
        <w:t>1</w:t>
      </w:r>
      <w:r>
        <w:rPr>
          <w:sz w:val="21"/>
        </w:rPr>
        <w:t>）</w:t>
      </w:r>
      <w:r>
        <w:rPr>
          <w:spacing w:val="-3"/>
          <w:sz w:val="21"/>
        </w:rPr>
        <w:t>项另有约定的除外；</w:t>
      </w:r>
    </w:p>
    <w:p>
      <w:pPr>
        <w:pStyle w:val="ListParagraph"/>
        <w:numPr>
          <w:ilvl w:val="0"/>
          <w:numId w:val="25"/>
        </w:numPr>
        <w:tabs>
          <w:tab w:pos="1605" w:val="left" w:leader="none"/>
        </w:tabs>
        <w:spacing w:line="417" w:lineRule="auto" w:before="0" w:after="0"/>
        <w:ind w:left="658" w:right="1308" w:firstLine="419"/>
        <w:jc w:val="both"/>
        <w:rPr>
          <w:sz w:val="21"/>
        </w:rPr>
      </w:pPr>
      <w:r>
        <w:rPr>
          <w:spacing w:val="-12"/>
          <w:sz w:val="21"/>
        </w:rPr>
        <w:t>到期日在 </w:t>
      </w:r>
      <w:r>
        <w:rPr>
          <w:rFonts w:ascii="Times New Roman" w:eastAsia="Times New Roman"/>
          <w:sz w:val="21"/>
        </w:rPr>
        <w:t>10</w:t>
      </w:r>
      <w:r>
        <w:rPr>
          <w:rFonts w:ascii="Times New Roman" w:eastAsia="Times New Roman"/>
          <w:spacing w:val="6"/>
          <w:sz w:val="21"/>
        </w:rPr>
        <w:t> </w:t>
      </w:r>
      <w:r>
        <w:rPr>
          <w:spacing w:val="-7"/>
          <w:sz w:val="21"/>
        </w:rPr>
        <w:t>个交易日以上的逆回购、银行定期存款等流动性受限资产投资占基金</w:t>
      </w:r>
      <w:r>
        <w:rPr>
          <w:spacing w:val="-9"/>
          <w:sz w:val="21"/>
        </w:rPr>
        <w:t>资产净值的比例合计不得超过 </w:t>
      </w:r>
      <w:r>
        <w:rPr>
          <w:rFonts w:ascii="Times New Roman" w:eastAsia="Times New Roman"/>
          <w:sz w:val="21"/>
        </w:rPr>
        <w:t>30%</w:t>
      </w:r>
      <w:r>
        <w:rPr>
          <w:sz w:val="21"/>
        </w:rPr>
        <w:t>；</w:t>
      </w:r>
    </w:p>
    <w:p>
      <w:pPr>
        <w:pStyle w:val="ListParagraph"/>
        <w:numPr>
          <w:ilvl w:val="0"/>
          <w:numId w:val="25"/>
        </w:numPr>
        <w:tabs>
          <w:tab w:pos="1713" w:val="left" w:leader="none"/>
        </w:tabs>
        <w:spacing w:line="417" w:lineRule="auto" w:before="0" w:after="0"/>
        <w:ind w:left="658" w:right="1309" w:firstLine="419"/>
        <w:jc w:val="both"/>
        <w:rPr>
          <w:sz w:val="21"/>
        </w:rPr>
      </w:pPr>
      <w:r>
        <w:rPr>
          <w:spacing w:val="-6"/>
          <w:sz w:val="21"/>
        </w:rPr>
        <w:t>除发生巨额赎回、连续 </w:t>
      </w:r>
      <w:r>
        <w:rPr>
          <w:rFonts w:ascii="Times New Roman" w:eastAsia="Times New Roman"/>
          <w:sz w:val="21"/>
        </w:rPr>
        <w:t>3</w:t>
      </w:r>
      <w:r>
        <w:rPr>
          <w:rFonts w:ascii="Times New Roman" w:eastAsia="Times New Roman"/>
          <w:spacing w:val="26"/>
          <w:sz w:val="21"/>
        </w:rPr>
        <w:t> </w:t>
      </w:r>
      <w:r>
        <w:rPr>
          <w:spacing w:val="-6"/>
          <w:sz w:val="21"/>
        </w:rPr>
        <w:t>个交易日累计赎回 </w:t>
      </w:r>
      <w:r>
        <w:rPr>
          <w:rFonts w:ascii="Times New Roman" w:eastAsia="Times New Roman"/>
          <w:sz w:val="21"/>
        </w:rPr>
        <w:t>20%</w:t>
      </w:r>
      <w:r>
        <w:rPr>
          <w:spacing w:val="-7"/>
          <w:sz w:val="21"/>
        </w:rPr>
        <w:t>以上或者连续 </w:t>
      </w:r>
      <w:r>
        <w:rPr>
          <w:rFonts w:ascii="Times New Roman" w:eastAsia="Times New Roman"/>
          <w:sz w:val="21"/>
        </w:rPr>
        <w:t>5</w:t>
      </w:r>
      <w:r>
        <w:rPr>
          <w:rFonts w:ascii="Times New Roman" w:eastAsia="Times New Roman"/>
          <w:spacing w:val="28"/>
          <w:sz w:val="21"/>
        </w:rPr>
        <w:t> </w:t>
      </w:r>
      <w:r>
        <w:rPr>
          <w:spacing w:val="-3"/>
          <w:sz w:val="21"/>
        </w:rPr>
        <w:t>个交易日累计</w:t>
      </w:r>
      <w:r>
        <w:rPr>
          <w:spacing w:val="-19"/>
          <w:sz w:val="21"/>
        </w:rPr>
        <w:t>赎回 </w:t>
      </w:r>
      <w:r>
        <w:rPr>
          <w:rFonts w:ascii="Times New Roman" w:eastAsia="Times New Roman"/>
          <w:sz w:val="21"/>
        </w:rPr>
        <w:t>30%</w:t>
      </w:r>
      <w:r>
        <w:rPr>
          <w:spacing w:val="-5"/>
          <w:sz w:val="21"/>
        </w:rPr>
        <w:t>以上的情形外，债券正回购的资金余额占基金资产净值的比例不得超过 </w:t>
      </w:r>
      <w:r>
        <w:rPr>
          <w:rFonts w:ascii="Times New Roman" w:eastAsia="Times New Roman"/>
          <w:sz w:val="21"/>
        </w:rPr>
        <w:t>20%</w:t>
      </w:r>
      <w:r>
        <w:rPr>
          <w:sz w:val="21"/>
        </w:rPr>
        <w:t>；</w:t>
      </w:r>
    </w:p>
    <w:p>
      <w:pPr>
        <w:pStyle w:val="ListParagraph"/>
        <w:numPr>
          <w:ilvl w:val="0"/>
          <w:numId w:val="25"/>
        </w:numPr>
        <w:tabs>
          <w:tab w:pos="1703" w:val="left" w:leader="none"/>
        </w:tabs>
        <w:spacing w:line="417" w:lineRule="auto" w:before="0" w:after="0"/>
        <w:ind w:left="658" w:right="1309" w:firstLine="419"/>
        <w:jc w:val="both"/>
        <w:rPr>
          <w:sz w:val="21"/>
        </w:rPr>
      </w:pPr>
      <w:r>
        <w:rPr>
          <w:spacing w:val="-3"/>
          <w:sz w:val="21"/>
        </w:rPr>
        <w:t>本基金管理人管理的全部货币市场基金投资于同一商业银行的银行存款及其发</w:t>
      </w:r>
      <w:r>
        <w:rPr>
          <w:spacing w:val="-5"/>
          <w:sz w:val="21"/>
        </w:rPr>
        <w:t>行的同业存单与债券，不得超过该商业银行最近一个季度末净资产的 </w:t>
      </w:r>
      <w:r>
        <w:rPr>
          <w:rFonts w:ascii="Times New Roman" w:eastAsia="Times New Roman"/>
          <w:sz w:val="21"/>
        </w:rPr>
        <w:t>10%</w:t>
      </w:r>
      <w:r>
        <w:rPr>
          <w:sz w:val="21"/>
        </w:rPr>
        <w:t>；</w:t>
      </w:r>
    </w:p>
    <w:p>
      <w:pPr>
        <w:pStyle w:val="ListParagraph"/>
        <w:numPr>
          <w:ilvl w:val="0"/>
          <w:numId w:val="25"/>
        </w:numPr>
        <w:tabs>
          <w:tab w:pos="1713" w:val="left" w:leader="none"/>
        </w:tabs>
        <w:spacing w:line="417" w:lineRule="auto" w:before="0" w:after="0"/>
        <w:ind w:left="658" w:right="1205" w:firstLine="419"/>
        <w:jc w:val="left"/>
        <w:rPr>
          <w:sz w:val="21"/>
        </w:rPr>
      </w:pPr>
      <w:r>
        <w:rPr>
          <w:spacing w:val="-6"/>
          <w:sz w:val="21"/>
        </w:rPr>
        <w:t>货币市场基金投资于主体信用评级低于 </w:t>
      </w:r>
      <w:r>
        <w:rPr>
          <w:rFonts w:ascii="Times New Roman" w:eastAsia="Times New Roman"/>
          <w:sz w:val="21"/>
        </w:rPr>
        <w:t>AAA</w:t>
      </w:r>
      <w:r>
        <w:rPr>
          <w:rFonts w:ascii="Times New Roman" w:eastAsia="Times New Roman"/>
          <w:spacing w:val="3"/>
          <w:sz w:val="21"/>
        </w:rPr>
        <w:t> </w:t>
      </w:r>
      <w:r>
        <w:rPr>
          <w:spacing w:val="-3"/>
          <w:sz w:val="21"/>
        </w:rPr>
        <w:t>的机构发行的金融工具占基金资产</w:t>
      </w:r>
      <w:r>
        <w:rPr>
          <w:spacing w:val="-1"/>
          <w:sz w:val="21"/>
        </w:rPr>
        <w:t>净值的比例合计不得超过 </w:t>
      </w:r>
      <w:r>
        <w:rPr>
          <w:rFonts w:ascii="Times New Roman" w:eastAsia="Times New Roman"/>
          <w:sz w:val="21"/>
        </w:rPr>
        <w:t>10%</w:t>
      </w:r>
      <w:r>
        <w:rPr>
          <w:sz w:val="21"/>
        </w:rPr>
        <w:t>，其中单一机构发行的金融工具占基金资产净值的比例合计</w:t>
      </w:r>
      <w:r>
        <w:rPr>
          <w:spacing w:val="8"/>
          <w:sz w:val="21"/>
        </w:rPr>
        <w:t>不得超过 </w:t>
      </w:r>
      <w:r>
        <w:rPr>
          <w:rFonts w:ascii="Times New Roman" w:eastAsia="Times New Roman"/>
          <w:sz w:val="21"/>
        </w:rPr>
        <w:t>2%</w:t>
      </w:r>
      <w:r>
        <w:rPr>
          <w:spacing w:val="-1"/>
          <w:sz w:val="21"/>
        </w:rPr>
        <w:t>；前述金融工具包括债券、非金融企业债务融资工具、银行存款、同业存单、</w:t>
      </w:r>
      <w:r>
        <w:rPr>
          <w:spacing w:val="-3"/>
          <w:sz w:val="21"/>
        </w:rPr>
        <w:t>相关机构作为原始权益人的资产支持证券及中国证监会认定的其他品种；</w:t>
      </w:r>
    </w:p>
    <w:p>
      <w:pPr>
        <w:pStyle w:val="BodyText"/>
        <w:spacing w:line="417" w:lineRule="auto"/>
        <w:ind w:left="658" w:right="1309" w:firstLine="419"/>
        <w:jc w:val="both"/>
      </w:pPr>
      <w:r>
        <w:rPr>
          <w:spacing w:val="-2"/>
        </w:rPr>
        <w:t>货币市场基金拟投资于主体信用评级低于 </w:t>
      </w:r>
      <w:r>
        <w:rPr>
          <w:rFonts w:ascii="Times New Roman" w:eastAsia="Times New Roman"/>
        </w:rPr>
        <w:t>AA+</w:t>
      </w:r>
      <w:r>
        <w:rPr>
          <w:spacing w:val="-3"/>
        </w:rPr>
        <w:t>的商业银行的银行存款与同业存单的， </w:t>
      </w:r>
      <w:r>
        <w:rPr>
          <w:spacing w:val="-8"/>
        </w:rPr>
        <w:t>应当经基金管理人董事会审议批准，相关交易应当事先征得基金托管人的同意，并作为重大</w:t>
      </w:r>
      <w:r>
        <w:rPr>
          <w:spacing w:val="-5"/>
        </w:rPr>
        <w:t>事项履行信息披露程序；</w:t>
      </w:r>
    </w:p>
    <w:p>
      <w:pPr>
        <w:pStyle w:val="ListParagraph"/>
        <w:numPr>
          <w:ilvl w:val="0"/>
          <w:numId w:val="25"/>
        </w:numPr>
        <w:tabs>
          <w:tab w:pos="1714" w:val="left" w:leader="none"/>
        </w:tabs>
        <w:spacing w:line="417" w:lineRule="auto" w:before="0" w:after="0"/>
        <w:ind w:left="658" w:right="1309" w:firstLine="419"/>
        <w:jc w:val="both"/>
        <w:rPr>
          <w:sz w:val="21"/>
        </w:rPr>
      </w:pPr>
      <w:r>
        <w:rPr>
          <w:spacing w:val="1"/>
          <w:sz w:val="21"/>
        </w:rPr>
        <w:t>货币市场基金主动投资于流动性受限资产的市值合计不超过基金资产的 </w:t>
      </w:r>
      <w:r>
        <w:rPr>
          <w:rFonts w:ascii="Times New Roman" w:eastAsia="Times New Roman"/>
          <w:spacing w:val="-4"/>
          <w:sz w:val="21"/>
        </w:rPr>
        <w:t>10%</w:t>
      </w:r>
      <w:r>
        <w:rPr>
          <w:spacing w:val="-4"/>
          <w:sz w:val="21"/>
        </w:rPr>
        <w:t>； </w:t>
      </w:r>
      <w:r>
        <w:rPr>
          <w:spacing w:val="-11"/>
          <w:sz w:val="21"/>
        </w:rPr>
        <w:t>因证券市场波动、证券停牌、基金规模变动等基金管理人之外的因素致使基金不符合本项所</w:t>
      </w:r>
    </w:p>
    <w:p>
      <w:pPr>
        <w:spacing w:after="0" w:line="417" w:lineRule="auto"/>
        <w:jc w:val="both"/>
        <w:rPr>
          <w:sz w:val="21"/>
        </w:rPr>
        <w:sectPr>
          <w:pgSz w:w="11910" w:h="16840"/>
          <w:pgMar w:header="852" w:footer="992" w:top="1220" w:bottom="1180" w:left="1140" w:right="480"/>
        </w:sectPr>
      </w:pPr>
    </w:p>
    <w:p>
      <w:pPr>
        <w:pStyle w:val="BodyText"/>
        <w:spacing w:before="1"/>
        <w:rPr>
          <w:sz w:val="19"/>
        </w:rPr>
      </w:pPr>
    </w:p>
    <w:p>
      <w:pPr>
        <w:pStyle w:val="BodyText"/>
        <w:spacing w:before="71"/>
        <w:ind w:left="658"/>
      </w:pPr>
      <w:r>
        <w:rPr/>
        <w:t>规定的比例限制的，基金管理人不得主动新增流动性受限资产的投资；</w:t>
      </w:r>
    </w:p>
    <w:p>
      <w:pPr>
        <w:pStyle w:val="BodyText"/>
        <w:spacing w:before="7"/>
        <w:rPr>
          <w:sz w:val="15"/>
        </w:rPr>
      </w:pPr>
    </w:p>
    <w:p>
      <w:pPr>
        <w:pStyle w:val="ListParagraph"/>
        <w:numPr>
          <w:ilvl w:val="0"/>
          <w:numId w:val="25"/>
        </w:numPr>
        <w:tabs>
          <w:tab w:pos="1713" w:val="left" w:leader="none"/>
        </w:tabs>
        <w:spacing w:line="417" w:lineRule="auto" w:before="0" w:after="0"/>
        <w:ind w:left="658" w:right="1309" w:firstLine="419"/>
        <w:jc w:val="left"/>
        <w:rPr>
          <w:sz w:val="21"/>
        </w:rPr>
      </w:pPr>
      <w:r>
        <w:rPr>
          <w:spacing w:val="-3"/>
          <w:sz w:val="21"/>
        </w:rPr>
        <w:t>本基金与私募类证券资管产品及中国证监会认定的其他主体为交易对手开展逆回购交易的，可接受质押品的资质要求应当与本基金合同约定的投资范围保持一致；</w:t>
      </w:r>
    </w:p>
    <w:p>
      <w:pPr>
        <w:pStyle w:val="ListParagraph"/>
        <w:numPr>
          <w:ilvl w:val="0"/>
          <w:numId w:val="25"/>
        </w:numPr>
        <w:tabs>
          <w:tab w:pos="1607" w:val="left" w:leader="none"/>
        </w:tabs>
        <w:spacing w:line="266" w:lineRule="exact" w:before="0" w:after="0"/>
        <w:ind w:left="1607" w:right="0" w:hanging="635"/>
        <w:jc w:val="left"/>
        <w:rPr>
          <w:sz w:val="21"/>
        </w:rPr>
      </w:pPr>
      <w:r>
        <w:rPr>
          <w:spacing w:val="-3"/>
          <w:position w:val="1"/>
          <w:sz w:val="21"/>
        </w:rPr>
        <w:t>中国证监会、中国人民银行规定的其他比例限制</w:t>
      </w:r>
    </w:p>
    <w:p>
      <w:pPr>
        <w:pStyle w:val="BodyText"/>
        <w:spacing w:before="9"/>
        <w:rPr>
          <w:sz w:val="15"/>
        </w:rPr>
      </w:pPr>
    </w:p>
    <w:p>
      <w:pPr>
        <w:spacing w:before="1"/>
        <w:ind w:left="658" w:right="0" w:firstLine="0"/>
        <w:jc w:val="left"/>
        <w:rPr>
          <w:b/>
          <w:sz w:val="21"/>
        </w:rPr>
      </w:pPr>
      <w:r>
        <w:rPr>
          <w:b/>
          <w:sz w:val="21"/>
        </w:rPr>
        <w:t>（九）基金的风险收益特征</w:t>
      </w:r>
    </w:p>
    <w:p>
      <w:pPr>
        <w:pStyle w:val="BodyText"/>
        <w:spacing w:before="6"/>
        <w:rPr>
          <w:b/>
          <w:sz w:val="15"/>
        </w:rPr>
      </w:pPr>
    </w:p>
    <w:p>
      <w:pPr>
        <w:pStyle w:val="BodyText"/>
        <w:spacing w:line="417" w:lineRule="auto"/>
        <w:ind w:left="658" w:right="1204" w:firstLine="419"/>
      </w:pPr>
      <w:r>
        <w:rPr/>
        <w:t>优选混合型基金是一种具有较高波动性和较高风险的投资工具。适合风险承受能力强、追求高投资回报的投资群体。</w:t>
      </w:r>
    </w:p>
    <w:p>
      <w:pPr>
        <w:pStyle w:val="BodyText"/>
        <w:spacing w:line="417" w:lineRule="auto" w:before="1"/>
        <w:ind w:left="658" w:right="1308" w:firstLine="419"/>
      </w:pPr>
      <w:r>
        <w:rPr>
          <w:spacing w:val="-8"/>
        </w:rPr>
        <w:t>货币市场基金具有低风险和收益稳定的特点，投资目标是在保持本金的高流动性和安全</w:t>
      </w:r>
      <w:r>
        <w:rPr>
          <w:spacing w:val="-5"/>
        </w:rPr>
        <w:t>性的前提下，获得高于基准的投资回报。</w:t>
      </w:r>
    </w:p>
    <w:p>
      <w:pPr>
        <w:pStyle w:val="BodyText"/>
        <w:spacing w:line="417" w:lineRule="auto"/>
        <w:ind w:left="658" w:right="1308" w:firstLine="419"/>
        <w:jc w:val="both"/>
      </w:pPr>
      <w:r>
        <w:rPr>
          <w:spacing w:val="-8"/>
        </w:rPr>
        <w:t>动力平衡基金是一种具有中等风险的投资工具，除了结合以上景顺长城股票及债券基金</w:t>
      </w:r>
      <w:r>
        <w:rPr>
          <w:spacing w:val="-11"/>
        </w:rPr>
        <w:t>的风险管理程序以外，为达到平稳回报的目的，该基金还将独立地对风险来源进行评估，并</w:t>
      </w:r>
      <w:r>
        <w:rPr>
          <w:spacing w:val="-6"/>
        </w:rPr>
        <w:t>设立额外的风险控制管理手段。</w:t>
      </w:r>
    </w:p>
    <w:p>
      <w:pPr>
        <w:pStyle w:val="BodyText"/>
        <w:spacing w:line="417" w:lineRule="auto"/>
        <w:ind w:left="658" w:right="1204" w:firstLine="314"/>
      </w:pPr>
      <w:r>
        <w:rPr>
          <w:spacing w:val="-15"/>
          <w:position w:val="1"/>
        </w:rPr>
        <w:t>根据 </w:t>
      </w:r>
      <w:r>
        <w:rPr>
          <w:rFonts w:ascii="Times New Roman" w:eastAsia="Times New Roman"/>
        </w:rPr>
        <w:t>2017 </w:t>
      </w:r>
      <w:r>
        <w:rPr>
          <w:spacing w:val="-23"/>
          <w:position w:val="1"/>
        </w:rPr>
        <w:t>年 </w:t>
      </w:r>
      <w:r>
        <w:rPr>
          <w:rFonts w:ascii="Times New Roman" w:eastAsia="Times New Roman"/>
        </w:rPr>
        <w:t>7 </w:t>
      </w:r>
      <w:r>
        <w:rPr>
          <w:spacing w:val="-23"/>
          <w:position w:val="1"/>
        </w:rPr>
        <w:t>月 </w:t>
      </w:r>
      <w:r>
        <w:rPr>
          <w:rFonts w:ascii="Times New Roman" w:eastAsia="Times New Roman"/>
        </w:rPr>
        <w:t>1 </w:t>
      </w:r>
      <w:r>
        <w:rPr>
          <w:spacing w:val="-9"/>
          <w:position w:val="1"/>
        </w:rPr>
        <w:t>日施行的《证券期货投资者适当性管理办法》，基金管理人和销售机</w:t>
      </w:r>
      <w:r>
        <w:rPr>
          <w:spacing w:val="-7"/>
        </w:rPr>
        <w:t>构已对本系列基金重新进行风险评级，风险评级行为不改变本基金的实质性风险收益特征， </w:t>
      </w:r>
      <w:r>
        <w:rPr>
          <w:spacing w:val="-8"/>
        </w:rPr>
        <w:t>但由于风险等级分类标准的变化，本系列基金的风险等级表述可能有相应变化，具体风险评</w:t>
      </w:r>
      <w:r>
        <w:rPr>
          <w:spacing w:val="-5"/>
        </w:rPr>
        <w:t>级结果应以基金管理人和销售机构提供的评级结果为准。</w:t>
      </w:r>
    </w:p>
    <w:p>
      <w:pPr>
        <w:spacing w:before="0"/>
        <w:ind w:left="658" w:right="0" w:firstLine="0"/>
        <w:jc w:val="left"/>
        <w:rPr>
          <w:b/>
          <w:sz w:val="21"/>
        </w:rPr>
      </w:pPr>
      <w:r>
        <w:rPr>
          <w:b/>
          <w:sz w:val="21"/>
        </w:rPr>
        <w:t>（十）基金投资组合报告（未经审计）</w:t>
      </w:r>
    </w:p>
    <w:p>
      <w:pPr>
        <w:pStyle w:val="BodyText"/>
        <w:spacing w:before="5"/>
        <w:rPr>
          <w:b/>
          <w:sz w:val="15"/>
        </w:rPr>
      </w:pPr>
    </w:p>
    <w:p>
      <w:pPr>
        <w:pStyle w:val="BodyText"/>
        <w:spacing w:line="417" w:lineRule="auto"/>
        <w:ind w:left="658" w:right="1309" w:firstLine="419"/>
      </w:pPr>
      <w:r>
        <w:rPr>
          <w:spacing w:val="-6"/>
        </w:rPr>
        <w:t>景顺长城基金管理人的董事会及董事保证本报告所载资料不存在虚假记载、误导性陈述</w:t>
      </w:r>
      <w:r>
        <w:rPr>
          <w:spacing w:val="-4"/>
        </w:rPr>
        <w:t>或重大遗漏，并对其内容的真实性、准确性和完整性承担个别及连带责任。</w:t>
      </w:r>
    </w:p>
    <w:p>
      <w:pPr>
        <w:pStyle w:val="BodyText"/>
        <w:spacing w:line="417" w:lineRule="auto"/>
        <w:ind w:left="658" w:right="1309" w:firstLine="419"/>
      </w:pPr>
      <w:r>
        <w:rPr>
          <w:spacing w:val="-7"/>
        </w:rPr>
        <w:t>基金托管人中国银行股份有限公司根据基金合同规定，已经复核了本投资组合报告，保</w:t>
      </w:r>
      <w:r>
        <w:rPr>
          <w:spacing w:val="-5"/>
        </w:rPr>
        <w:t>证复核内容不存在虚假记载、误导性陈述或者重大遗漏。</w:t>
      </w:r>
    </w:p>
    <w:p>
      <w:pPr>
        <w:pStyle w:val="BodyText"/>
        <w:ind w:left="1078"/>
      </w:pPr>
      <w:r>
        <w:rPr/>
        <w:t>本投资组合报告所载数据截至 2019 年 9 月 30 日，本报告中所列财务数据未经审计。</w:t>
      </w:r>
    </w:p>
    <w:p>
      <w:pPr>
        <w:pStyle w:val="BodyText"/>
        <w:rPr>
          <w:sz w:val="20"/>
        </w:rPr>
      </w:pPr>
    </w:p>
    <w:p>
      <w:pPr>
        <w:pStyle w:val="BodyText"/>
        <w:rPr>
          <w:sz w:val="20"/>
        </w:rPr>
      </w:pPr>
    </w:p>
    <w:p>
      <w:pPr>
        <w:spacing w:before="155"/>
        <w:ind w:left="658" w:right="0" w:firstLine="0"/>
        <w:jc w:val="left"/>
        <w:rPr>
          <w:b/>
          <w:sz w:val="21"/>
        </w:rPr>
      </w:pPr>
      <w:r>
        <w:rPr>
          <w:b/>
          <w:sz w:val="21"/>
        </w:rPr>
        <w:t>优选混合型基金投资组合报告</w:t>
      </w:r>
    </w:p>
    <w:p>
      <w:pPr>
        <w:pStyle w:val="BodyText"/>
        <w:spacing w:before="1"/>
        <w:rPr>
          <w:b/>
          <w:sz w:val="26"/>
        </w:rPr>
      </w:pPr>
    </w:p>
    <w:p>
      <w:pPr>
        <w:pStyle w:val="ListParagraph"/>
        <w:numPr>
          <w:ilvl w:val="0"/>
          <w:numId w:val="26"/>
        </w:numPr>
        <w:tabs>
          <w:tab w:pos="922" w:val="left" w:leader="none"/>
        </w:tabs>
        <w:spacing w:line="240" w:lineRule="auto" w:before="0" w:after="0"/>
        <w:ind w:left="922" w:right="0" w:hanging="264"/>
        <w:jc w:val="left"/>
        <w:rPr>
          <w:b/>
          <w:sz w:val="24"/>
        </w:rPr>
      </w:pPr>
      <w:r>
        <w:rPr>
          <w:b/>
          <w:sz w:val="24"/>
        </w:rPr>
        <w:t>报告期末基金资产组合情况</w:t>
      </w:r>
    </w:p>
    <w:p>
      <w:pPr>
        <w:pStyle w:val="BodyText"/>
        <w:rPr>
          <w:b/>
          <w:sz w:val="11"/>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3296"/>
        <w:gridCol w:w="2228"/>
        <w:gridCol w:w="2219"/>
      </w:tblGrid>
      <w:tr>
        <w:trPr>
          <w:trHeight w:val="359" w:hRule="atLeast"/>
        </w:trPr>
        <w:tc>
          <w:tcPr>
            <w:tcW w:w="581" w:type="dxa"/>
            <w:shd w:val="clear" w:color="auto" w:fill="D9D9D9"/>
          </w:tcPr>
          <w:p>
            <w:pPr>
              <w:pStyle w:val="TableParagraph"/>
              <w:spacing w:line="250" w:lineRule="exact" w:before="89"/>
              <w:ind w:left="60" w:right="51"/>
              <w:jc w:val="center"/>
              <w:rPr>
                <w:sz w:val="21"/>
              </w:rPr>
            </w:pPr>
            <w:r>
              <w:rPr>
                <w:sz w:val="21"/>
              </w:rPr>
              <w:t>序号</w:t>
            </w:r>
          </w:p>
        </w:tc>
        <w:tc>
          <w:tcPr>
            <w:tcW w:w="3296" w:type="dxa"/>
            <w:shd w:val="clear" w:color="auto" w:fill="D9D9D9"/>
          </w:tcPr>
          <w:p>
            <w:pPr>
              <w:pStyle w:val="TableParagraph"/>
              <w:spacing w:line="250" w:lineRule="exact" w:before="89"/>
              <w:ind w:left="1413" w:right="1413"/>
              <w:jc w:val="center"/>
              <w:rPr>
                <w:sz w:val="21"/>
              </w:rPr>
            </w:pPr>
            <w:r>
              <w:rPr>
                <w:sz w:val="21"/>
              </w:rPr>
              <w:t>项目</w:t>
            </w:r>
          </w:p>
        </w:tc>
        <w:tc>
          <w:tcPr>
            <w:tcW w:w="2228" w:type="dxa"/>
            <w:shd w:val="clear" w:color="auto" w:fill="D9D9D9"/>
          </w:tcPr>
          <w:p>
            <w:pPr>
              <w:pStyle w:val="TableParagraph"/>
              <w:spacing w:line="250" w:lineRule="exact" w:before="89"/>
              <w:ind w:left="582"/>
              <w:rPr>
                <w:sz w:val="21"/>
              </w:rPr>
            </w:pPr>
            <w:r>
              <w:rPr>
                <w:sz w:val="21"/>
              </w:rPr>
              <w:t>金额（元）</w:t>
            </w:r>
          </w:p>
        </w:tc>
        <w:tc>
          <w:tcPr>
            <w:tcW w:w="2219" w:type="dxa"/>
            <w:shd w:val="clear" w:color="auto" w:fill="D9D9D9"/>
          </w:tcPr>
          <w:p>
            <w:pPr>
              <w:pStyle w:val="TableParagraph"/>
              <w:spacing w:line="250" w:lineRule="exact" w:before="89"/>
              <w:ind w:left="-2"/>
              <w:rPr>
                <w:sz w:val="21"/>
              </w:rPr>
            </w:pPr>
            <w:r>
              <w:rPr>
                <w:sz w:val="21"/>
              </w:rPr>
              <w:t>占基金总资产的比例（%</w:t>
            </w:r>
          </w:p>
        </w:tc>
      </w:tr>
      <w:tr>
        <w:trPr>
          <w:trHeight w:val="359" w:hRule="atLeast"/>
        </w:trPr>
        <w:tc>
          <w:tcPr>
            <w:tcW w:w="581" w:type="dxa"/>
          </w:tcPr>
          <w:p>
            <w:pPr>
              <w:pStyle w:val="TableParagraph"/>
              <w:spacing w:line="250" w:lineRule="exact" w:before="90"/>
              <w:ind w:left="9"/>
              <w:jc w:val="center"/>
              <w:rPr>
                <w:sz w:val="21"/>
              </w:rPr>
            </w:pPr>
            <w:r>
              <w:rPr>
                <w:w w:val="100"/>
                <w:sz w:val="21"/>
              </w:rPr>
              <w:t>1</w:t>
            </w:r>
          </w:p>
        </w:tc>
        <w:tc>
          <w:tcPr>
            <w:tcW w:w="3296" w:type="dxa"/>
          </w:tcPr>
          <w:p>
            <w:pPr>
              <w:pStyle w:val="TableParagraph"/>
              <w:spacing w:line="250" w:lineRule="exact" w:before="90"/>
              <w:ind w:left="105"/>
              <w:rPr>
                <w:sz w:val="21"/>
              </w:rPr>
            </w:pPr>
            <w:r>
              <w:rPr>
                <w:sz w:val="21"/>
              </w:rPr>
              <w:t>权益投资</w:t>
            </w:r>
          </w:p>
        </w:tc>
        <w:tc>
          <w:tcPr>
            <w:tcW w:w="2228" w:type="dxa"/>
          </w:tcPr>
          <w:p>
            <w:pPr>
              <w:pStyle w:val="TableParagraph"/>
              <w:spacing w:line="250" w:lineRule="exact" w:before="90"/>
              <w:ind w:right="-15"/>
              <w:jc w:val="right"/>
              <w:rPr>
                <w:sz w:val="21"/>
              </w:rPr>
            </w:pPr>
            <w:r>
              <w:rPr>
                <w:sz w:val="21"/>
              </w:rPr>
              <w:t>2,385,346,702.93</w:t>
            </w:r>
          </w:p>
        </w:tc>
        <w:tc>
          <w:tcPr>
            <w:tcW w:w="2219" w:type="dxa"/>
          </w:tcPr>
          <w:p>
            <w:pPr>
              <w:pStyle w:val="TableParagraph"/>
              <w:spacing w:line="250" w:lineRule="exact" w:before="90"/>
              <w:ind w:right="-15"/>
              <w:jc w:val="right"/>
              <w:rPr>
                <w:sz w:val="21"/>
              </w:rPr>
            </w:pPr>
            <w:r>
              <w:rPr>
                <w:sz w:val="21"/>
              </w:rPr>
              <w:t>72.90</w:t>
            </w:r>
          </w:p>
        </w:tc>
      </w:tr>
      <w:tr>
        <w:trPr>
          <w:trHeight w:val="359" w:hRule="atLeast"/>
        </w:trPr>
        <w:tc>
          <w:tcPr>
            <w:tcW w:w="581" w:type="dxa"/>
          </w:tcPr>
          <w:p>
            <w:pPr>
              <w:pStyle w:val="TableParagraph"/>
              <w:rPr>
                <w:rFonts w:ascii="Times New Roman"/>
                <w:sz w:val="20"/>
              </w:rPr>
            </w:pPr>
          </w:p>
        </w:tc>
        <w:tc>
          <w:tcPr>
            <w:tcW w:w="3296" w:type="dxa"/>
          </w:tcPr>
          <w:p>
            <w:pPr>
              <w:pStyle w:val="TableParagraph"/>
              <w:spacing w:line="250" w:lineRule="exact" w:before="89"/>
              <w:ind w:left="105"/>
              <w:rPr>
                <w:sz w:val="21"/>
              </w:rPr>
            </w:pPr>
            <w:r>
              <w:rPr>
                <w:sz w:val="21"/>
              </w:rPr>
              <w:t>其中：股票</w:t>
            </w:r>
          </w:p>
        </w:tc>
        <w:tc>
          <w:tcPr>
            <w:tcW w:w="2228" w:type="dxa"/>
          </w:tcPr>
          <w:p>
            <w:pPr>
              <w:pStyle w:val="TableParagraph"/>
              <w:spacing w:line="250" w:lineRule="exact" w:before="89"/>
              <w:ind w:right="-15"/>
              <w:jc w:val="right"/>
              <w:rPr>
                <w:sz w:val="21"/>
              </w:rPr>
            </w:pPr>
            <w:r>
              <w:rPr>
                <w:sz w:val="21"/>
              </w:rPr>
              <w:t>2,385,346,702.93</w:t>
            </w:r>
          </w:p>
        </w:tc>
        <w:tc>
          <w:tcPr>
            <w:tcW w:w="2219" w:type="dxa"/>
          </w:tcPr>
          <w:p>
            <w:pPr>
              <w:pStyle w:val="TableParagraph"/>
              <w:spacing w:line="250" w:lineRule="exact" w:before="89"/>
              <w:ind w:right="-15"/>
              <w:jc w:val="right"/>
              <w:rPr>
                <w:sz w:val="21"/>
              </w:rPr>
            </w:pPr>
            <w:r>
              <w:rPr>
                <w:sz w:val="21"/>
              </w:rPr>
              <w:t>72.90</w:t>
            </w:r>
          </w:p>
        </w:tc>
      </w:tr>
      <w:tr>
        <w:trPr>
          <w:trHeight w:val="362" w:hRule="atLeast"/>
        </w:trPr>
        <w:tc>
          <w:tcPr>
            <w:tcW w:w="581" w:type="dxa"/>
          </w:tcPr>
          <w:p>
            <w:pPr>
              <w:pStyle w:val="TableParagraph"/>
              <w:spacing w:line="250" w:lineRule="exact" w:before="92"/>
              <w:ind w:left="9"/>
              <w:jc w:val="center"/>
              <w:rPr>
                <w:sz w:val="21"/>
              </w:rPr>
            </w:pPr>
            <w:r>
              <w:rPr>
                <w:w w:val="100"/>
                <w:sz w:val="21"/>
              </w:rPr>
              <w:t>2</w:t>
            </w:r>
          </w:p>
        </w:tc>
        <w:tc>
          <w:tcPr>
            <w:tcW w:w="3296" w:type="dxa"/>
          </w:tcPr>
          <w:p>
            <w:pPr>
              <w:pStyle w:val="TableParagraph"/>
              <w:spacing w:line="250" w:lineRule="exact" w:before="92"/>
              <w:ind w:left="105"/>
              <w:rPr>
                <w:sz w:val="21"/>
              </w:rPr>
            </w:pPr>
            <w:r>
              <w:rPr>
                <w:sz w:val="21"/>
              </w:rPr>
              <w:t>基金投资</w:t>
            </w:r>
          </w:p>
        </w:tc>
        <w:tc>
          <w:tcPr>
            <w:tcW w:w="2228" w:type="dxa"/>
          </w:tcPr>
          <w:p>
            <w:pPr>
              <w:pStyle w:val="TableParagraph"/>
              <w:spacing w:line="250" w:lineRule="exact" w:before="92"/>
              <w:jc w:val="right"/>
              <w:rPr>
                <w:sz w:val="21"/>
              </w:rPr>
            </w:pPr>
            <w:r>
              <w:rPr>
                <w:w w:val="100"/>
                <w:sz w:val="21"/>
              </w:rPr>
              <w:t>-</w:t>
            </w:r>
          </w:p>
        </w:tc>
        <w:tc>
          <w:tcPr>
            <w:tcW w:w="2219" w:type="dxa"/>
          </w:tcPr>
          <w:p>
            <w:pPr>
              <w:pStyle w:val="TableParagraph"/>
              <w:spacing w:line="250" w:lineRule="exact" w:before="92"/>
              <w:ind w:right="1"/>
              <w:jc w:val="right"/>
              <w:rPr>
                <w:sz w:val="21"/>
              </w:rPr>
            </w:pPr>
            <w:r>
              <w:rPr>
                <w:w w:val="100"/>
                <w:sz w:val="21"/>
              </w:rPr>
              <w:t>-</w:t>
            </w:r>
          </w:p>
        </w:tc>
      </w:tr>
      <w:tr>
        <w:trPr>
          <w:trHeight w:val="359" w:hRule="atLeast"/>
        </w:trPr>
        <w:tc>
          <w:tcPr>
            <w:tcW w:w="581" w:type="dxa"/>
          </w:tcPr>
          <w:p>
            <w:pPr>
              <w:pStyle w:val="TableParagraph"/>
              <w:spacing w:line="250" w:lineRule="exact" w:before="89"/>
              <w:ind w:left="9"/>
              <w:jc w:val="center"/>
              <w:rPr>
                <w:sz w:val="21"/>
              </w:rPr>
            </w:pPr>
            <w:r>
              <w:rPr>
                <w:w w:val="100"/>
                <w:sz w:val="21"/>
              </w:rPr>
              <w:t>3</w:t>
            </w:r>
          </w:p>
        </w:tc>
        <w:tc>
          <w:tcPr>
            <w:tcW w:w="3296" w:type="dxa"/>
          </w:tcPr>
          <w:p>
            <w:pPr>
              <w:pStyle w:val="TableParagraph"/>
              <w:spacing w:line="250" w:lineRule="exact" w:before="89"/>
              <w:ind w:left="105"/>
              <w:rPr>
                <w:sz w:val="21"/>
              </w:rPr>
            </w:pPr>
            <w:r>
              <w:rPr>
                <w:sz w:val="21"/>
              </w:rPr>
              <w:t>固定收益投资</w:t>
            </w:r>
          </w:p>
        </w:tc>
        <w:tc>
          <w:tcPr>
            <w:tcW w:w="2228" w:type="dxa"/>
          </w:tcPr>
          <w:p>
            <w:pPr>
              <w:pStyle w:val="TableParagraph"/>
              <w:spacing w:line="250" w:lineRule="exact" w:before="89"/>
              <w:ind w:right="-15"/>
              <w:jc w:val="right"/>
              <w:rPr>
                <w:sz w:val="21"/>
              </w:rPr>
            </w:pPr>
            <w:r>
              <w:rPr>
                <w:sz w:val="21"/>
              </w:rPr>
              <w:t>641,797,000.00</w:t>
            </w:r>
          </w:p>
        </w:tc>
        <w:tc>
          <w:tcPr>
            <w:tcW w:w="2219" w:type="dxa"/>
          </w:tcPr>
          <w:p>
            <w:pPr>
              <w:pStyle w:val="TableParagraph"/>
              <w:spacing w:line="250" w:lineRule="exact" w:before="89"/>
              <w:ind w:right="-15"/>
              <w:jc w:val="right"/>
              <w:rPr>
                <w:sz w:val="21"/>
              </w:rPr>
            </w:pPr>
            <w:r>
              <w:rPr>
                <w:sz w:val="21"/>
              </w:rPr>
              <w:t>19.61</w:t>
            </w:r>
          </w:p>
        </w:tc>
      </w:tr>
    </w:tbl>
    <w:p>
      <w:pPr>
        <w:spacing w:after="0" w:line="250" w:lineRule="exact"/>
        <w:jc w:val="right"/>
        <w:rPr>
          <w:sz w:val="21"/>
        </w:rPr>
        <w:sectPr>
          <w:pgSz w:w="11910" w:h="16840"/>
          <w:pgMar w:header="852" w:footer="992" w:top="1220" w:bottom="1180" w:left="1140" w:right="480"/>
        </w:sectPr>
      </w:pPr>
    </w:p>
    <w:p>
      <w:pPr>
        <w:pStyle w:val="BodyText"/>
        <w:spacing w:before="11"/>
        <w:rPr>
          <w:b/>
          <w:sz w:val="16"/>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3296"/>
        <w:gridCol w:w="2228"/>
        <w:gridCol w:w="2219"/>
      </w:tblGrid>
      <w:tr>
        <w:trPr>
          <w:trHeight w:val="360" w:hRule="atLeast"/>
        </w:trPr>
        <w:tc>
          <w:tcPr>
            <w:tcW w:w="581" w:type="dxa"/>
          </w:tcPr>
          <w:p>
            <w:pPr>
              <w:pStyle w:val="TableParagraph"/>
              <w:rPr>
                <w:rFonts w:ascii="Times New Roman"/>
                <w:sz w:val="20"/>
              </w:rPr>
            </w:pPr>
          </w:p>
        </w:tc>
        <w:tc>
          <w:tcPr>
            <w:tcW w:w="3296" w:type="dxa"/>
          </w:tcPr>
          <w:p>
            <w:pPr>
              <w:pStyle w:val="TableParagraph"/>
              <w:spacing w:line="250" w:lineRule="exact" w:before="90"/>
              <w:ind w:left="105"/>
              <w:rPr>
                <w:sz w:val="21"/>
              </w:rPr>
            </w:pPr>
            <w:r>
              <w:rPr>
                <w:sz w:val="21"/>
              </w:rPr>
              <w:t>其中：债券</w:t>
            </w:r>
          </w:p>
        </w:tc>
        <w:tc>
          <w:tcPr>
            <w:tcW w:w="2228" w:type="dxa"/>
          </w:tcPr>
          <w:p>
            <w:pPr>
              <w:pStyle w:val="TableParagraph"/>
              <w:spacing w:line="250" w:lineRule="exact" w:before="90"/>
              <w:ind w:right="-15"/>
              <w:jc w:val="right"/>
              <w:rPr>
                <w:sz w:val="21"/>
              </w:rPr>
            </w:pPr>
            <w:r>
              <w:rPr>
                <w:sz w:val="21"/>
              </w:rPr>
              <w:t>641,797,000.00</w:t>
            </w:r>
          </w:p>
        </w:tc>
        <w:tc>
          <w:tcPr>
            <w:tcW w:w="2219" w:type="dxa"/>
          </w:tcPr>
          <w:p>
            <w:pPr>
              <w:pStyle w:val="TableParagraph"/>
              <w:spacing w:line="250" w:lineRule="exact" w:before="90"/>
              <w:ind w:right="-15"/>
              <w:jc w:val="right"/>
              <w:rPr>
                <w:sz w:val="21"/>
              </w:rPr>
            </w:pPr>
            <w:r>
              <w:rPr>
                <w:sz w:val="21"/>
              </w:rPr>
              <w:t>19.61</w:t>
            </w:r>
          </w:p>
        </w:tc>
      </w:tr>
      <w:tr>
        <w:trPr>
          <w:trHeight w:val="359" w:hRule="atLeast"/>
        </w:trPr>
        <w:tc>
          <w:tcPr>
            <w:tcW w:w="581" w:type="dxa"/>
          </w:tcPr>
          <w:p>
            <w:pPr>
              <w:pStyle w:val="TableParagraph"/>
              <w:rPr>
                <w:rFonts w:ascii="Times New Roman"/>
                <w:sz w:val="20"/>
              </w:rPr>
            </w:pPr>
          </w:p>
        </w:tc>
        <w:tc>
          <w:tcPr>
            <w:tcW w:w="3296" w:type="dxa"/>
          </w:tcPr>
          <w:p>
            <w:pPr>
              <w:pStyle w:val="TableParagraph"/>
              <w:spacing w:line="250" w:lineRule="exact" w:before="89"/>
              <w:ind w:left="736"/>
              <w:rPr>
                <w:sz w:val="21"/>
              </w:rPr>
            </w:pPr>
            <w:r>
              <w:rPr>
                <w:sz w:val="21"/>
              </w:rPr>
              <w:t>资产支持证券</w:t>
            </w:r>
          </w:p>
        </w:tc>
        <w:tc>
          <w:tcPr>
            <w:tcW w:w="2228" w:type="dxa"/>
          </w:tcPr>
          <w:p>
            <w:pPr>
              <w:pStyle w:val="TableParagraph"/>
              <w:spacing w:line="250" w:lineRule="exact" w:before="89"/>
              <w:jc w:val="right"/>
              <w:rPr>
                <w:sz w:val="21"/>
              </w:rPr>
            </w:pPr>
            <w:r>
              <w:rPr>
                <w:w w:val="100"/>
                <w:sz w:val="21"/>
              </w:rPr>
              <w:t>-</w:t>
            </w:r>
          </w:p>
        </w:tc>
        <w:tc>
          <w:tcPr>
            <w:tcW w:w="2219" w:type="dxa"/>
          </w:tcPr>
          <w:p>
            <w:pPr>
              <w:pStyle w:val="TableParagraph"/>
              <w:spacing w:line="250" w:lineRule="exact" w:before="89"/>
              <w:ind w:right="1"/>
              <w:jc w:val="right"/>
              <w:rPr>
                <w:sz w:val="21"/>
              </w:rPr>
            </w:pPr>
            <w:r>
              <w:rPr>
                <w:w w:val="100"/>
                <w:sz w:val="21"/>
              </w:rPr>
              <w:t>-</w:t>
            </w:r>
          </w:p>
        </w:tc>
      </w:tr>
      <w:tr>
        <w:trPr>
          <w:trHeight w:val="362" w:hRule="atLeast"/>
        </w:trPr>
        <w:tc>
          <w:tcPr>
            <w:tcW w:w="581" w:type="dxa"/>
          </w:tcPr>
          <w:p>
            <w:pPr>
              <w:pStyle w:val="TableParagraph"/>
              <w:spacing w:line="250" w:lineRule="exact" w:before="92"/>
              <w:ind w:left="9"/>
              <w:jc w:val="center"/>
              <w:rPr>
                <w:sz w:val="21"/>
              </w:rPr>
            </w:pPr>
            <w:r>
              <w:rPr>
                <w:w w:val="100"/>
                <w:sz w:val="21"/>
              </w:rPr>
              <w:t>4</w:t>
            </w:r>
          </w:p>
        </w:tc>
        <w:tc>
          <w:tcPr>
            <w:tcW w:w="3296" w:type="dxa"/>
          </w:tcPr>
          <w:p>
            <w:pPr>
              <w:pStyle w:val="TableParagraph"/>
              <w:spacing w:line="250" w:lineRule="exact" w:before="92"/>
              <w:ind w:left="105"/>
              <w:rPr>
                <w:sz w:val="21"/>
              </w:rPr>
            </w:pPr>
            <w:r>
              <w:rPr>
                <w:sz w:val="21"/>
              </w:rPr>
              <w:t>贵金属投资</w:t>
            </w:r>
          </w:p>
        </w:tc>
        <w:tc>
          <w:tcPr>
            <w:tcW w:w="2228" w:type="dxa"/>
          </w:tcPr>
          <w:p>
            <w:pPr>
              <w:pStyle w:val="TableParagraph"/>
              <w:spacing w:line="250" w:lineRule="exact" w:before="92"/>
              <w:jc w:val="right"/>
              <w:rPr>
                <w:sz w:val="21"/>
              </w:rPr>
            </w:pPr>
            <w:r>
              <w:rPr>
                <w:w w:val="100"/>
                <w:sz w:val="21"/>
              </w:rPr>
              <w:t>-</w:t>
            </w:r>
          </w:p>
        </w:tc>
        <w:tc>
          <w:tcPr>
            <w:tcW w:w="2219" w:type="dxa"/>
          </w:tcPr>
          <w:p>
            <w:pPr>
              <w:pStyle w:val="TableParagraph"/>
              <w:spacing w:line="250" w:lineRule="exact" w:before="92"/>
              <w:ind w:right="1"/>
              <w:jc w:val="right"/>
              <w:rPr>
                <w:sz w:val="21"/>
              </w:rPr>
            </w:pPr>
            <w:r>
              <w:rPr>
                <w:w w:val="100"/>
                <w:sz w:val="21"/>
              </w:rPr>
              <w:t>-</w:t>
            </w:r>
          </w:p>
        </w:tc>
      </w:tr>
      <w:tr>
        <w:trPr>
          <w:trHeight w:val="359" w:hRule="atLeast"/>
        </w:trPr>
        <w:tc>
          <w:tcPr>
            <w:tcW w:w="581" w:type="dxa"/>
          </w:tcPr>
          <w:p>
            <w:pPr>
              <w:pStyle w:val="TableParagraph"/>
              <w:spacing w:line="250" w:lineRule="exact" w:before="90"/>
              <w:ind w:left="9"/>
              <w:jc w:val="center"/>
              <w:rPr>
                <w:sz w:val="21"/>
              </w:rPr>
            </w:pPr>
            <w:r>
              <w:rPr>
                <w:w w:val="100"/>
                <w:sz w:val="21"/>
              </w:rPr>
              <w:t>5</w:t>
            </w:r>
          </w:p>
        </w:tc>
        <w:tc>
          <w:tcPr>
            <w:tcW w:w="3296" w:type="dxa"/>
          </w:tcPr>
          <w:p>
            <w:pPr>
              <w:pStyle w:val="TableParagraph"/>
              <w:spacing w:line="250" w:lineRule="exact" w:before="90"/>
              <w:ind w:left="105"/>
              <w:rPr>
                <w:sz w:val="21"/>
              </w:rPr>
            </w:pPr>
            <w:r>
              <w:rPr>
                <w:sz w:val="21"/>
              </w:rPr>
              <w:t>金融衍生品投资</w:t>
            </w:r>
          </w:p>
        </w:tc>
        <w:tc>
          <w:tcPr>
            <w:tcW w:w="2228" w:type="dxa"/>
          </w:tcPr>
          <w:p>
            <w:pPr>
              <w:pStyle w:val="TableParagraph"/>
              <w:spacing w:line="250" w:lineRule="exact" w:before="90"/>
              <w:jc w:val="right"/>
              <w:rPr>
                <w:sz w:val="21"/>
              </w:rPr>
            </w:pPr>
            <w:r>
              <w:rPr>
                <w:w w:val="100"/>
                <w:sz w:val="21"/>
              </w:rPr>
              <w:t>-</w:t>
            </w:r>
          </w:p>
        </w:tc>
        <w:tc>
          <w:tcPr>
            <w:tcW w:w="2219" w:type="dxa"/>
          </w:tcPr>
          <w:p>
            <w:pPr>
              <w:pStyle w:val="TableParagraph"/>
              <w:spacing w:line="250" w:lineRule="exact" w:before="90"/>
              <w:ind w:right="1"/>
              <w:jc w:val="right"/>
              <w:rPr>
                <w:sz w:val="21"/>
              </w:rPr>
            </w:pPr>
            <w:r>
              <w:rPr>
                <w:w w:val="100"/>
                <w:sz w:val="21"/>
              </w:rPr>
              <w:t>-</w:t>
            </w:r>
          </w:p>
        </w:tc>
      </w:tr>
      <w:tr>
        <w:trPr>
          <w:trHeight w:val="359" w:hRule="atLeast"/>
        </w:trPr>
        <w:tc>
          <w:tcPr>
            <w:tcW w:w="581" w:type="dxa"/>
          </w:tcPr>
          <w:p>
            <w:pPr>
              <w:pStyle w:val="TableParagraph"/>
              <w:spacing w:line="250" w:lineRule="exact" w:before="90"/>
              <w:ind w:left="9"/>
              <w:jc w:val="center"/>
              <w:rPr>
                <w:sz w:val="21"/>
              </w:rPr>
            </w:pPr>
            <w:r>
              <w:rPr>
                <w:w w:val="100"/>
                <w:sz w:val="21"/>
              </w:rPr>
              <w:t>6</w:t>
            </w:r>
          </w:p>
        </w:tc>
        <w:tc>
          <w:tcPr>
            <w:tcW w:w="3296" w:type="dxa"/>
          </w:tcPr>
          <w:p>
            <w:pPr>
              <w:pStyle w:val="TableParagraph"/>
              <w:spacing w:line="250" w:lineRule="exact" w:before="90"/>
              <w:ind w:left="105"/>
              <w:rPr>
                <w:sz w:val="21"/>
              </w:rPr>
            </w:pPr>
            <w:r>
              <w:rPr>
                <w:sz w:val="21"/>
              </w:rPr>
              <w:t>买入返售金融资产</w:t>
            </w:r>
          </w:p>
        </w:tc>
        <w:tc>
          <w:tcPr>
            <w:tcW w:w="2228" w:type="dxa"/>
          </w:tcPr>
          <w:p>
            <w:pPr>
              <w:pStyle w:val="TableParagraph"/>
              <w:spacing w:line="250" w:lineRule="exact" w:before="90"/>
              <w:jc w:val="right"/>
              <w:rPr>
                <w:sz w:val="21"/>
              </w:rPr>
            </w:pPr>
            <w:r>
              <w:rPr>
                <w:w w:val="100"/>
                <w:sz w:val="21"/>
              </w:rPr>
              <w:t>-</w:t>
            </w:r>
          </w:p>
        </w:tc>
        <w:tc>
          <w:tcPr>
            <w:tcW w:w="2219" w:type="dxa"/>
          </w:tcPr>
          <w:p>
            <w:pPr>
              <w:pStyle w:val="TableParagraph"/>
              <w:spacing w:line="250" w:lineRule="exact" w:before="90"/>
              <w:ind w:right="1"/>
              <w:jc w:val="right"/>
              <w:rPr>
                <w:sz w:val="21"/>
              </w:rPr>
            </w:pPr>
            <w:r>
              <w:rPr>
                <w:w w:val="100"/>
                <w:sz w:val="21"/>
              </w:rPr>
              <w:t>-</w:t>
            </w:r>
          </w:p>
        </w:tc>
      </w:tr>
      <w:tr>
        <w:trPr>
          <w:trHeight w:val="719" w:hRule="atLeast"/>
        </w:trPr>
        <w:tc>
          <w:tcPr>
            <w:tcW w:w="581" w:type="dxa"/>
          </w:tcPr>
          <w:p>
            <w:pPr>
              <w:pStyle w:val="TableParagraph"/>
              <w:rPr>
                <w:rFonts w:ascii="Times New Roman"/>
                <w:sz w:val="20"/>
              </w:rPr>
            </w:pPr>
          </w:p>
        </w:tc>
        <w:tc>
          <w:tcPr>
            <w:tcW w:w="3296" w:type="dxa"/>
          </w:tcPr>
          <w:p>
            <w:pPr>
              <w:pStyle w:val="TableParagraph"/>
              <w:spacing w:line="360" w:lineRule="exact" w:before="11"/>
              <w:ind w:left="105"/>
              <w:rPr>
                <w:sz w:val="21"/>
              </w:rPr>
            </w:pPr>
            <w:r>
              <w:rPr>
                <w:sz w:val="21"/>
              </w:rPr>
              <w:t>其中：买断式回购的买入返售金融资产</w:t>
            </w:r>
          </w:p>
        </w:tc>
        <w:tc>
          <w:tcPr>
            <w:tcW w:w="2228" w:type="dxa"/>
          </w:tcPr>
          <w:p>
            <w:pPr>
              <w:pStyle w:val="TableParagraph"/>
              <w:rPr>
                <w:b/>
                <w:sz w:val="21"/>
              </w:rPr>
            </w:pPr>
          </w:p>
          <w:p>
            <w:pPr>
              <w:pStyle w:val="TableParagraph"/>
              <w:jc w:val="right"/>
              <w:rPr>
                <w:sz w:val="21"/>
              </w:rPr>
            </w:pPr>
            <w:r>
              <w:rPr>
                <w:w w:val="100"/>
                <w:sz w:val="21"/>
              </w:rPr>
              <w:t>-</w:t>
            </w:r>
          </w:p>
        </w:tc>
        <w:tc>
          <w:tcPr>
            <w:tcW w:w="2219" w:type="dxa"/>
          </w:tcPr>
          <w:p>
            <w:pPr>
              <w:pStyle w:val="TableParagraph"/>
              <w:rPr>
                <w:b/>
                <w:sz w:val="21"/>
              </w:rPr>
            </w:pPr>
          </w:p>
          <w:p>
            <w:pPr>
              <w:pStyle w:val="TableParagraph"/>
              <w:ind w:right="1"/>
              <w:jc w:val="right"/>
              <w:rPr>
                <w:sz w:val="21"/>
              </w:rPr>
            </w:pPr>
            <w:r>
              <w:rPr>
                <w:w w:val="100"/>
                <w:sz w:val="21"/>
              </w:rPr>
              <w:t>-</w:t>
            </w:r>
          </w:p>
        </w:tc>
      </w:tr>
      <w:tr>
        <w:trPr>
          <w:trHeight w:val="348" w:hRule="atLeast"/>
        </w:trPr>
        <w:tc>
          <w:tcPr>
            <w:tcW w:w="581" w:type="dxa"/>
          </w:tcPr>
          <w:p>
            <w:pPr>
              <w:pStyle w:val="TableParagraph"/>
              <w:spacing w:line="250" w:lineRule="exact" w:before="78"/>
              <w:ind w:left="9"/>
              <w:jc w:val="center"/>
              <w:rPr>
                <w:sz w:val="21"/>
              </w:rPr>
            </w:pPr>
            <w:r>
              <w:rPr>
                <w:w w:val="100"/>
                <w:sz w:val="21"/>
              </w:rPr>
              <w:t>7</w:t>
            </w:r>
          </w:p>
        </w:tc>
        <w:tc>
          <w:tcPr>
            <w:tcW w:w="3296" w:type="dxa"/>
          </w:tcPr>
          <w:p>
            <w:pPr>
              <w:pStyle w:val="TableParagraph"/>
              <w:spacing w:line="250" w:lineRule="exact" w:before="78"/>
              <w:ind w:left="105"/>
              <w:rPr>
                <w:sz w:val="21"/>
              </w:rPr>
            </w:pPr>
            <w:r>
              <w:rPr>
                <w:sz w:val="21"/>
              </w:rPr>
              <w:t>银行存款和结算备付金合计</w:t>
            </w:r>
          </w:p>
        </w:tc>
        <w:tc>
          <w:tcPr>
            <w:tcW w:w="2228" w:type="dxa"/>
          </w:tcPr>
          <w:p>
            <w:pPr>
              <w:pStyle w:val="TableParagraph"/>
              <w:spacing w:line="250" w:lineRule="exact" w:before="78"/>
              <w:ind w:right="-15"/>
              <w:jc w:val="right"/>
              <w:rPr>
                <w:sz w:val="21"/>
              </w:rPr>
            </w:pPr>
            <w:r>
              <w:rPr>
                <w:sz w:val="21"/>
              </w:rPr>
              <w:t>226,258,209.03</w:t>
            </w:r>
          </w:p>
        </w:tc>
        <w:tc>
          <w:tcPr>
            <w:tcW w:w="2219" w:type="dxa"/>
          </w:tcPr>
          <w:p>
            <w:pPr>
              <w:pStyle w:val="TableParagraph"/>
              <w:spacing w:line="250" w:lineRule="exact" w:before="78"/>
              <w:ind w:right="-15"/>
              <w:jc w:val="right"/>
              <w:rPr>
                <w:sz w:val="21"/>
              </w:rPr>
            </w:pPr>
            <w:r>
              <w:rPr>
                <w:sz w:val="21"/>
              </w:rPr>
              <w:t>6.91</w:t>
            </w:r>
          </w:p>
        </w:tc>
      </w:tr>
      <w:tr>
        <w:trPr>
          <w:trHeight w:val="359" w:hRule="atLeast"/>
        </w:trPr>
        <w:tc>
          <w:tcPr>
            <w:tcW w:w="581" w:type="dxa"/>
          </w:tcPr>
          <w:p>
            <w:pPr>
              <w:pStyle w:val="TableParagraph"/>
              <w:spacing w:line="250" w:lineRule="exact" w:before="90"/>
              <w:ind w:left="9"/>
              <w:jc w:val="center"/>
              <w:rPr>
                <w:sz w:val="21"/>
              </w:rPr>
            </w:pPr>
            <w:r>
              <w:rPr>
                <w:w w:val="100"/>
                <w:sz w:val="21"/>
              </w:rPr>
              <w:t>8</w:t>
            </w:r>
          </w:p>
        </w:tc>
        <w:tc>
          <w:tcPr>
            <w:tcW w:w="3296" w:type="dxa"/>
          </w:tcPr>
          <w:p>
            <w:pPr>
              <w:pStyle w:val="TableParagraph"/>
              <w:spacing w:line="250" w:lineRule="exact" w:before="90"/>
              <w:ind w:left="105"/>
              <w:rPr>
                <w:sz w:val="21"/>
              </w:rPr>
            </w:pPr>
            <w:r>
              <w:rPr>
                <w:sz w:val="21"/>
              </w:rPr>
              <w:t>其他资产</w:t>
            </w:r>
          </w:p>
        </w:tc>
        <w:tc>
          <w:tcPr>
            <w:tcW w:w="2228" w:type="dxa"/>
          </w:tcPr>
          <w:p>
            <w:pPr>
              <w:pStyle w:val="TableParagraph"/>
              <w:spacing w:line="250" w:lineRule="exact" w:before="90"/>
              <w:ind w:right="-15"/>
              <w:jc w:val="right"/>
              <w:rPr>
                <w:sz w:val="21"/>
              </w:rPr>
            </w:pPr>
            <w:r>
              <w:rPr>
                <w:sz w:val="21"/>
              </w:rPr>
              <w:t>18,723,553.33</w:t>
            </w:r>
          </w:p>
        </w:tc>
        <w:tc>
          <w:tcPr>
            <w:tcW w:w="2219" w:type="dxa"/>
          </w:tcPr>
          <w:p>
            <w:pPr>
              <w:pStyle w:val="TableParagraph"/>
              <w:spacing w:line="250" w:lineRule="exact" w:before="90"/>
              <w:ind w:right="-15"/>
              <w:jc w:val="right"/>
              <w:rPr>
                <w:sz w:val="21"/>
              </w:rPr>
            </w:pPr>
            <w:r>
              <w:rPr>
                <w:sz w:val="21"/>
              </w:rPr>
              <w:t>0.57</w:t>
            </w:r>
          </w:p>
        </w:tc>
      </w:tr>
      <w:tr>
        <w:trPr>
          <w:trHeight w:val="362" w:hRule="atLeast"/>
        </w:trPr>
        <w:tc>
          <w:tcPr>
            <w:tcW w:w="581" w:type="dxa"/>
          </w:tcPr>
          <w:p>
            <w:pPr>
              <w:pStyle w:val="TableParagraph"/>
              <w:spacing w:line="250" w:lineRule="exact" w:before="93"/>
              <w:ind w:left="9"/>
              <w:jc w:val="center"/>
              <w:rPr>
                <w:sz w:val="21"/>
              </w:rPr>
            </w:pPr>
            <w:r>
              <w:rPr>
                <w:w w:val="100"/>
                <w:sz w:val="21"/>
              </w:rPr>
              <w:t>9</w:t>
            </w:r>
          </w:p>
        </w:tc>
        <w:tc>
          <w:tcPr>
            <w:tcW w:w="3296" w:type="dxa"/>
          </w:tcPr>
          <w:p>
            <w:pPr>
              <w:pStyle w:val="TableParagraph"/>
              <w:spacing w:line="250" w:lineRule="exact" w:before="93"/>
              <w:ind w:left="105"/>
              <w:rPr>
                <w:sz w:val="21"/>
              </w:rPr>
            </w:pPr>
            <w:r>
              <w:rPr>
                <w:sz w:val="21"/>
              </w:rPr>
              <w:t>合计</w:t>
            </w:r>
          </w:p>
        </w:tc>
        <w:tc>
          <w:tcPr>
            <w:tcW w:w="2228" w:type="dxa"/>
          </w:tcPr>
          <w:p>
            <w:pPr>
              <w:pStyle w:val="TableParagraph"/>
              <w:spacing w:line="250" w:lineRule="exact" w:before="93"/>
              <w:ind w:right="-15"/>
              <w:jc w:val="right"/>
              <w:rPr>
                <w:sz w:val="21"/>
              </w:rPr>
            </w:pPr>
            <w:r>
              <w:rPr>
                <w:sz w:val="21"/>
              </w:rPr>
              <w:t>3,272,125,465.29</w:t>
            </w:r>
          </w:p>
        </w:tc>
        <w:tc>
          <w:tcPr>
            <w:tcW w:w="2219" w:type="dxa"/>
          </w:tcPr>
          <w:p>
            <w:pPr>
              <w:pStyle w:val="TableParagraph"/>
              <w:spacing w:line="250" w:lineRule="exact" w:before="93"/>
              <w:ind w:right="-15"/>
              <w:jc w:val="right"/>
              <w:rPr>
                <w:sz w:val="21"/>
              </w:rPr>
            </w:pPr>
            <w:r>
              <w:rPr>
                <w:sz w:val="21"/>
              </w:rPr>
              <w:t>100.00</w:t>
            </w:r>
          </w:p>
        </w:tc>
      </w:tr>
    </w:tbl>
    <w:p>
      <w:pPr>
        <w:pStyle w:val="ListParagraph"/>
        <w:numPr>
          <w:ilvl w:val="0"/>
          <w:numId w:val="26"/>
        </w:numPr>
        <w:tabs>
          <w:tab w:pos="922" w:val="left" w:leader="none"/>
        </w:tabs>
        <w:spacing w:line="240" w:lineRule="auto" w:before="156" w:after="0"/>
        <w:ind w:left="922" w:right="0" w:hanging="264"/>
        <w:jc w:val="left"/>
        <w:rPr>
          <w:b/>
          <w:sz w:val="24"/>
        </w:rPr>
      </w:pPr>
      <w:r>
        <w:rPr>
          <w:b/>
          <w:sz w:val="24"/>
        </w:rPr>
        <w:t>报告期末按行业分类的股票投资组合</w:t>
      </w:r>
    </w:p>
    <w:p>
      <w:pPr>
        <w:pStyle w:val="ListParagraph"/>
        <w:numPr>
          <w:ilvl w:val="1"/>
          <w:numId w:val="26"/>
        </w:numPr>
        <w:tabs>
          <w:tab w:pos="1064" w:val="left" w:leader="none"/>
        </w:tabs>
        <w:spacing w:line="240" w:lineRule="auto" w:before="160" w:after="0"/>
        <w:ind w:left="1063" w:right="0" w:hanging="406"/>
        <w:jc w:val="left"/>
        <w:rPr>
          <w:rFonts w:ascii="Cambria" w:eastAsia="Cambria"/>
          <w:b/>
          <w:sz w:val="24"/>
        </w:rPr>
      </w:pPr>
      <w:r>
        <w:rPr>
          <w:b/>
          <w:sz w:val="24"/>
        </w:rPr>
        <w:t>报告期末按行业分类的境内股票投资组合</w:t>
      </w:r>
    </w:p>
    <w:p>
      <w:pPr>
        <w:pStyle w:val="BodyText"/>
        <w:rPr>
          <w:b/>
          <w:sz w:val="5"/>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2895"/>
        <w:gridCol w:w="3005"/>
        <w:gridCol w:w="1721"/>
      </w:tblGrid>
      <w:tr>
        <w:trPr>
          <w:trHeight w:val="734" w:hRule="atLeast"/>
        </w:trPr>
        <w:tc>
          <w:tcPr>
            <w:tcW w:w="713" w:type="dxa"/>
            <w:shd w:val="clear" w:color="auto" w:fill="D9D9D9"/>
          </w:tcPr>
          <w:p>
            <w:pPr>
              <w:pStyle w:val="TableParagraph"/>
              <w:spacing w:before="2"/>
              <w:rPr>
                <w:b/>
                <w:sz w:val="22"/>
              </w:rPr>
            </w:pPr>
          </w:p>
          <w:p>
            <w:pPr>
              <w:pStyle w:val="TableParagraph"/>
              <w:ind w:left="125" w:right="118"/>
              <w:jc w:val="center"/>
              <w:rPr>
                <w:sz w:val="21"/>
              </w:rPr>
            </w:pPr>
            <w:r>
              <w:rPr>
                <w:sz w:val="21"/>
              </w:rPr>
              <w:t>代码</w:t>
            </w:r>
          </w:p>
        </w:tc>
        <w:tc>
          <w:tcPr>
            <w:tcW w:w="2895" w:type="dxa"/>
            <w:shd w:val="clear" w:color="auto" w:fill="D9D9D9"/>
          </w:tcPr>
          <w:p>
            <w:pPr>
              <w:pStyle w:val="TableParagraph"/>
              <w:spacing w:before="2"/>
              <w:rPr>
                <w:b/>
                <w:sz w:val="22"/>
              </w:rPr>
            </w:pPr>
          </w:p>
          <w:p>
            <w:pPr>
              <w:pStyle w:val="TableParagraph"/>
              <w:ind w:left="1005" w:right="999"/>
              <w:jc w:val="center"/>
              <w:rPr>
                <w:sz w:val="21"/>
              </w:rPr>
            </w:pPr>
            <w:r>
              <w:rPr>
                <w:sz w:val="21"/>
              </w:rPr>
              <w:t>行业类别</w:t>
            </w:r>
          </w:p>
        </w:tc>
        <w:tc>
          <w:tcPr>
            <w:tcW w:w="3005" w:type="dxa"/>
            <w:shd w:val="clear" w:color="auto" w:fill="D9D9D9"/>
          </w:tcPr>
          <w:p>
            <w:pPr>
              <w:pStyle w:val="TableParagraph"/>
              <w:spacing w:before="2"/>
              <w:rPr>
                <w:b/>
                <w:sz w:val="22"/>
              </w:rPr>
            </w:pPr>
          </w:p>
          <w:p>
            <w:pPr>
              <w:pStyle w:val="TableParagraph"/>
              <w:ind w:left="765"/>
              <w:rPr>
                <w:sz w:val="21"/>
              </w:rPr>
            </w:pPr>
            <w:r>
              <w:rPr>
                <w:sz w:val="21"/>
              </w:rPr>
              <w:t>公允价值（元）</w:t>
            </w:r>
          </w:p>
        </w:tc>
        <w:tc>
          <w:tcPr>
            <w:tcW w:w="1721" w:type="dxa"/>
            <w:shd w:val="clear" w:color="auto" w:fill="D9D9D9"/>
          </w:tcPr>
          <w:p>
            <w:pPr>
              <w:pStyle w:val="TableParagraph"/>
              <w:spacing w:line="360" w:lineRule="atLeast" w:before="13"/>
              <w:ind w:left="489" w:right="7" w:hanging="471"/>
              <w:rPr>
                <w:sz w:val="21"/>
              </w:rPr>
            </w:pPr>
            <w:r>
              <w:rPr>
                <w:sz w:val="21"/>
              </w:rPr>
              <w:t>占基金资产净值比例（%）</w:t>
            </w:r>
          </w:p>
        </w:tc>
      </w:tr>
      <w:tr>
        <w:trPr>
          <w:trHeight w:val="373" w:hRule="atLeast"/>
        </w:trPr>
        <w:tc>
          <w:tcPr>
            <w:tcW w:w="713" w:type="dxa"/>
          </w:tcPr>
          <w:p>
            <w:pPr>
              <w:pStyle w:val="TableParagraph"/>
              <w:spacing w:line="250" w:lineRule="exact" w:before="104"/>
              <w:ind w:left="6"/>
              <w:jc w:val="center"/>
              <w:rPr>
                <w:sz w:val="21"/>
              </w:rPr>
            </w:pPr>
            <w:r>
              <w:rPr>
                <w:w w:val="100"/>
                <w:sz w:val="21"/>
              </w:rPr>
              <w:t>A</w:t>
            </w:r>
          </w:p>
        </w:tc>
        <w:tc>
          <w:tcPr>
            <w:tcW w:w="2895" w:type="dxa"/>
          </w:tcPr>
          <w:p>
            <w:pPr>
              <w:pStyle w:val="TableParagraph"/>
              <w:spacing w:line="250" w:lineRule="exact" w:before="104"/>
              <w:ind w:left="13"/>
              <w:rPr>
                <w:sz w:val="21"/>
              </w:rPr>
            </w:pPr>
            <w:r>
              <w:rPr>
                <w:sz w:val="21"/>
              </w:rPr>
              <w:t>农、林、牧、渔业</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376" w:hRule="atLeast"/>
        </w:trPr>
        <w:tc>
          <w:tcPr>
            <w:tcW w:w="713" w:type="dxa"/>
          </w:tcPr>
          <w:p>
            <w:pPr>
              <w:pStyle w:val="TableParagraph"/>
              <w:spacing w:line="250" w:lineRule="exact" w:before="106"/>
              <w:ind w:left="6"/>
              <w:jc w:val="center"/>
              <w:rPr>
                <w:sz w:val="21"/>
              </w:rPr>
            </w:pPr>
            <w:r>
              <w:rPr>
                <w:w w:val="100"/>
                <w:sz w:val="21"/>
              </w:rPr>
              <w:t>B</w:t>
            </w:r>
          </w:p>
        </w:tc>
        <w:tc>
          <w:tcPr>
            <w:tcW w:w="2895" w:type="dxa"/>
          </w:tcPr>
          <w:p>
            <w:pPr>
              <w:pStyle w:val="TableParagraph"/>
              <w:spacing w:line="250" w:lineRule="exact" w:before="106"/>
              <w:ind w:left="13"/>
              <w:rPr>
                <w:sz w:val="21"/>
              </w:rPr>
            </w:pPr>
            <w:r>
              <w:rPr>
                <w:sz w:val="21"/>
              </w:rPr>
              <w:t>采矿业</w:t>
            </w:r>
          </w:p>
        </w:tc>
        <w:tc>
          <w:tcPr>
            <w:tcW w:w="3005" w:type="dxa"/>
          </w:tcPr>
          <w:p>
            <w:pPr>
              <w:pStyle w:val="TableParagraph"/>
              <w:spacing w:line="250" w:lineRule="exact" w:before="106"/>
              <w:ind w:right="-15"/>
              <w:jc w:val="right"/>
              <w:rPr>
                <w:sz w:val="21"/>
              </w:rPr>
            </w:pPr>
            <w:r>
              <w:rPr>
                <w:w w:val="100"/>
                <w:sz w:val="21"/>
              </w:rPr>
              <w:t>-</w:t>
            </w:r>
          </w:p>
        </w:tc>
        <w:tc>
          <w:tcPr>
            <w:tcW w:w="1721" w:type="dxa"/>
          </w:tcPr>
          <w:p>
            <w:pPr>
              <w:pStyle w:val="TableParagraph"/>
              <w:spacing w:line="250" w:lineRule="exact" w:before="106"/>
              <w:ind w:right="4"/>
              <w:jc w:val="right"/>
              <w:rPr>
                <w:sz w:val="21"/>
              </w:rPr>
            </w:pPr>
            <w:r>
              <w:rPr>
                <w:w w:val="100"/>
                <w:sz w:val="21"/>
              </w:rPr>
              <w:t>-</w:t>
            </w:r>
          </w:p>
        </w:tc>
      </w:tr>
      <w:tr>
        <w:trPr>
          <w:trHeight w:val="374" w:hRule="atLeast"/>
        </w:trPr>
        <w:tc>
          <w:tcPr>
            <w:tcW w:w="713" w:type="dxa"/>
          </w:tcPr>
          <w:p>
            <w:pPr>
              <w:pStyle w:val="TableParagraph"/>
              <w:spacing w:line="250" w:lineRule="exact" w:before="104"/>
              <w:ind w:left="6"/>
              <w:jc w:val="center"/>
              <w:rPr>
                <w:sz w:val="21"/>
              </w:rPr>
            </w:pPr>
            <w:r>
              <w:rPr>
                <w:w w:val="100"/>
                <w:sz w:val="21"/>
              </w:rPr>
              <w:t>C</w:t>
            </w:r>
          </w:p>
        </w:tc>
        <w:tc>
          <w:tcPr>
            <w:tcW w:w="2895" w:type="dxa"/>
          </w:tcPr>
          <w:p>
            <w:pPr>
              <w:pStyle w:val="TableParagraph"/>
              <w:spacing w:line="250" w:lineRule="exact" w:before="104"/>
              <w:ind w:left="13"/>
              <w:rPr>
                <w:sz w:val="21"/>
              </w:rPr>
            </w:pPr>
            <w:r>
              <w:rPr>
                <w:sz w:val="21"/>
              </w:rPr>
              <w:t>制造业</w:t>
            </w:r>
          </w:p>
        </w:tc>
        <w:tc>
          <w:tcPr>
            <w:tcW w:w="3005" w:type="dxa"/>
          </w:tcPr>
          <w:p>
            <w:pPr>
              <w:pStyle w:val="TableParagraph"/>
              <w:spacing w:line="250" w:lineRule="exact" w:before="104"/>
              <w:ind w:right="-15"/>
              <w:jc w:val="right"/>
              <w:rPr>
                <w:sz w:val="21"/>
              </w:rPr>
            </w:pPr>
            <w:r>
              <w:rPr>
                <w:sz w:val="21"/>
              </w:rPr>
              <w:t>1,604,724,670.29</w:t>
            </w:r>
          </w:p>
        </w:tc>
        <w:tc>
          <w:tcPr>
            <w:tcW w:w="1721" w:type="dxa"/>
          </w:tcPr>
          <w:p>
            <w:pPr>
              <w:pStyle w:val="TableParagraph"/>
              <w:spacing w:line="250" w:lineRule="exact" w:before="104"/>
              <w:ind w:right="2"/>
              <w:jc w:val="right"/>
              <w:rPr>
                <w:sz w:val="21"/>
              </w:rPr>
            </w:pPr>
            <w:r>
              <w:rPr>
                <w:sz w:val="21"/>
              </w:rPr>
              <w:t>51.25</w:t>
            </w:r>
          </w:p>
        </w:tc>
      </w:tr>
      <w:tr>
        <w:trPr>
          <w:trHeight w:val="736" w:hRule="atLeast"/>
        </w:trPr>
        <w:tc>
          <w:tcPr>
            <w:tcW w:w="713" w:type="dxa"/>
          </w:tcPr>
          <w:p>
            <w:pPr>
              <w:pStyle w:val="TableParagraph"/>
              <w:spacing w:before="107"/>
              <w:ind w:left="6"/>
              <w:jc w:val="center"/>
              <w:rPr>
                <w:sz w:val="21"/>
              </w:rPr>
            </w:pPr>
            <w:r>
              <w:rPr>
                <w:w w:val="100"/>
                <w:sz w:val="21"/>
              </w:rPr>
              <w:t>D</w:t>
            </w:r>
          </w:p>
        </w:tc>
        <w:tc>
          <w:tcPr>
            <w:tcW w:w="2895" w:type="dxa"/>
          </w:tcPr>
          <w:p>
            <w:pPr>
              <w:pStyle w:val="TableParagraph"/>
              <w:spacing w:line="360" w:lineRule="atLeast" w:before="16"/>
              <w:ind w:left="13" w:right="3"/>
              <w:rPr>
                <w:sz w:val="21"/>
              </w:rPr>
            </w:pPr>
            <w:r>
              <w:rPr>
                <w:spacing w:val="-12"/>
                <w:sz w:val="21"/>
              </w:rPr>
              <w:t>电力、热力、燃气及水生产和供</w:t>
            </w:r>
            <w:r>
              <w:rPr>
                <w:sz w:val="21"/>
              </w:rPr>
              <w:t>应业</w:t>
            </w:r>
          </w:p>
        </w:tc>
        <w:tc>
          <w:tcPr>
            <w:tcW w:w="3005" w:type="dxa"/>
          </w:tcPr>
          <w:p>
            <w:pPr>
              <w:pStyle w:val="TableParagraph"/>
              <w:rPr>
                <w:b/>
                <w:sz w:val="20"/>
              </w:rPr>
            </w:pPr>
          </w:p>
          <w:p>
            <w:pPr>
              <w:pStyle w:val="TableParagraph"/>
              <w:spacing w:before="5"/>
              <w:rPr>
                <w:b/>
                <w:sz w:val="16"/>
              </w:rPr>
            </w:pPr>
          </w:p>
          <w:p>
            <w:pPr>
              <w:pStyle w:val="TableParagraph"/>
              <w:spacing w:line="250" w:lineRule="exact"/>
              <w:ind w:right="-15"/>
              <w:jc w:val="right"/>
              <w:rPr>
                <w:sz w:val="21"/>
              </w:rPr>
            </w:pPr>
            <w:r>
              <w:rPr>
                <w:w w:val="100"/>
                <w:sz w:val="21"/>
              </w:rPr>
              <w:t>-</w:t>
            </w:r>
          </w:p>
        </w:tc>
        <w:tc>
          <w:tcPr>
            <w:tcW w:w="1721" w:type="dxa"/>
          </w:tcPr>
          <w:p>
            <w:pPr>
              <w:pStyle w:val="TableParagraph"/>
              <w:rPr>
                <w:b/>
                <w:sz w:val="20"/>
              </w:rPr>
            </w:pPr>
          </w:p>
          <w:p>
            <w:pPr>
              <w:pStyle w:val="TableParagraph"/>
              <w:spacing w:before="5"/>
              <w:rPr>
                <w:b/>
                <w:sz w:val="16"/>
              </w:rPr>
            </w:pPr>
          </w:p>
          <w:p>
            <w:pPr>
              <w:pStyle w:val="TableParagraph"/>
              <w:spacing w:line="250" w:lineRule="exact"/>
              <w:ind w:right="4"/>
              <w:jc w:val="right"/>
              <w:rPr>
                <w:sz w:val="21"/>
              </w:rPr>
            </w:pPr>
            <w:r>
              <w:rPr>
                <w:w w:val="100"/>
                <w:sz w:val="21"/>
              </w:rPr>
              <w:t>-</w:t>
            </w:r>
          </w:p>
        </w:tc>
      </w:tr>
      <w:tr>
        <w:trPr>
          <w:trHeight w:val="374" w:hRule="atLeast"/>
        </w:trPr>
        <w:tc>
          <w:tcPr>
            <w:tcW w:w="713" w:type="dxa"/>
          </w:tcPr>
          <w:p>
            <w:pPr>
              <w:pStyle w:val="TableParagraph"/>
              <w:spacing w:line="250" w:lineRule="exact" w:before="104"/>
              <w:ind w:left="6"/>
              <w:jc w:val="center"/>
              <w:rPr>
                <w:sz w:val="21"/>
              </w:rPr>
            </w:pPr>
            <w:r>
              <w:rPr>
                <w:w w:val="100"/>
                <w:sz w:val="21"/>
              </w:rPr>
              <w:t>E</w:t>
            </w:r>
          </w:p>
        </w:tc>
        <w:tc>
          <w:tcPr>
            <w:tcW w:w="2895" w:type="dxa"/>
          </w:tcPr>
          <w:p>
            <w:pPr>
              <w:pStyle w:val="TableParagraph"/>
              <w:spacing w:line="250" w:lineRule="exact" w:before="104"/>
              <w:ind w:left="13"/>
              <w:rPr>
                <w:sz w:val="21"/>
              </w:rPr>
            </w:pPr>
            <w:r>
              <w:rPr>
                <w:sz w:val="21"/>
              </w:rPr>
              <w:t>建筑业</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376" w:hRule="atLeast"/>
        </w:trPr>
        <w:tc>
          <w:tcPr>
            <w:tcW w:w="713" w:type="dxa"/>
          </w:tcPr>
          <w:p>
            <w:pPr>
              <w:pStyle w:val="TableParagraph"/>
              <w:spacing w:line="250" w:lineRule="exact" w:before="106"/>
              <w:ind w:left="6"/>
              <w:jc w:val="center"/>
              <w:rPr>
                <w:sz w:val="21"/>
              </w:rPr>
            </w:pPr>
            <w:r>
              <w:rPr>
                <w:w w:val="100"/>
                <w:sz w:val="21"/>
              </w:rPr>
              <w:t>F</w:t>
            </w:r>
          </w:p>
        </w:tc>
        <w:tc>
          <w:tcPr>
            <w:tcW w:w="2895" w:type="dxa"/>
          </w:tcPr>
          <w:p>
            <w:pPr>
              <w:pStyle w:val="TableParagraph"/>
              <w:spacing w:line="250" w:lineRule="exact" w:before="106"/>
              <w:ind w:left="13"/>
              <w:rPr>
                <w:sz w:val="21"/>
              </w:rPr>
            </w:pPr>
            <w:r>
              <w:rPr>
                <w:sz w:val="21"/>
              </w:rPr>
              <w:t>批发和零售业</w:t>
            </w:r>
          </w:p>
        </w:tc>
        <w:tc>
          <w:tcPr>
            <w:tcW w:w="3005" w:type="dxa"/>
          </w:tcPr>
          <w:p>
            <w:pPr>
              <w:pStyle w:val="TableParagraph"/>
              <w:spacing w:line="250" w:lineRule="exact" w:before="106"/>
              <w:ind w:right="-15"/>
              <w:jc w:val="right"/>
              <w:rPr>
                <w:sz w:val="21"/>
              </w:rPr>
            </w:pPr>
            <w:r>
              <w:rPr>
                <w:w w:val="100"/>
                <w:sz w:val="21"/>
              </w:rPr>
              <w:t>-</w:t>
            </w:r>
          </w:p>
        </w:tc>
        <w:tc>
          <w:tcPr>
            <w:tcW w:w="1721" w:type="dxa"/>
          </w:tcPr>
          <w:p>
            <w:pPr>
              <w:pStyle w:val="TableParagraph"/>
              <w:spacing w:line="250" w:lineRule="exact" w:before="106"/>
              <w:ind w:right="4"/>
              <w:jc w:val="right"/>
              <w:rPr>
                <w:sz w:val="21"/>
              </w:rPr>
            </w:pPr>
            <w:r>
              <w:rPr>
                <w:w w:val="100"/>
                <w:sz w:val="21"/>
              </w:rPr>
              <w:t>-</w:t>
            </w:r>
          </w:p>
        </w:tc>
      </w:tr>
      <w:tr>
        <w:trPr>
          <w:trHeight w:val="374" w:hRule="atLeast"/>
        </w:trPr>
        <w:tc>
          <w:tcPr>
            <w:tcW w:w="713" w:type="dxa"/>
          </w:tcPr>
          <w:p>
            <w:pPr>
              <w:pStyle w:val="TableParagraph"/>
              <w:spacing w:line="250" w:lineRule="exact" w:before="104"/>
              <w:ind w:left="6"/>
              <w:jc w:val="center"/>
              <w:rPr>
                <w:sz w:val="21"/>
              </w:rPr>
            </w:pPr>
            <w:r>
              <w:rPr>
                <w:w w:val="100"/>
                <w:sz w:val="21"/>
              </w:rPr>
              <w:t>G</w:t>
            </w:r>
          </w:p>
        </w:tc>
        <w:tc>
          <w:tcPr>
            <w:tcW w:w="2895" w:type="dxa"/>
          </w:tcPr>
          <w:p>
            <w:pPr>
              <w:pStyle w:val="TableParagraph"/>
              <w:spacing w:line="250" w:lineRule="exact" w:before="104"/>
              <w:ind w:left="13"/>
              <w:rPr>
                <w:sz w:val="21"/>
              </w:rPr>
            </w:pPr>
            <w:r>
              <w:rPr>
                <w:sz w:val="21"/>
              </w:rPr>
              <w:t>交通运输、仓储和邮政业</w:t>
            </w:r>
          </w:p>
        </w:tc>
        <w:tc>
          <w:tcPr>
            <w:tcW w:w="3005" w:type="dxa"/>
          </w:tcPr>
          <w:p>
            <w:pPr>
              <w:pStyle w:val="TableParagraph"/>
              <w:spacing w:line="250" w:lineRule="exact" w:before="104"/>
              <w:ind w:right="-15"/>
              <w:jc w:val="right"/>
              <w:rPr>
                <w:sz w:val="21"/>
              </w:rPr>
            </w:pPr>
            <w:r>
              <w:rPr>
                <w:sz w:val="21"/>
              </w:rPr>
              <w:t>162,861,877.26</w:t>
            </w:r>
          </w:p>
        </w:tc>
        <w:tc>
          <w:tcPr>
            <w:tcW w:w="1721" w:type="dxa"/>
          </w:tcPr>
          <w:p>
            <w:pPr>
              <w:pStyle w:val="TableParagraph"/>
              <w:spacing w:line="250" w:lineRule="exact" w:before="104"/>
              <w:ind w:right="2"/>
              <w:jc w:val="right"/>
              <w:rPr>
                <w:sz w:val="21"/>
              </w:rPr>
            </w:pPr>
            <w:r>
              <w:rPr>
                <w:sz w:val="21"/>
              </w:rPr>
              <w:t>5.20</w:t>
            </w:r>
          </w:p>
        </w:tc>
      </w:tr>
      <w:tr>
        <w:trPr>
          <w:trHeight w:val="373" w:hRule="atLeast"/>
        </w:trPr>
        <w:tc>
          <w:tcPr>
            <w:tcW w:w="713" w:type="dxa"/>
          </w:tcPr>
          <w:p>
            <w:pPr>
              <w:pStyle w:val="TableParagraph"/>
              <w:spacing w:line="250" w:lineRule="exact" w:before="104"/>
              <w:ind w:left="6"/>
              <w:jc w:val="center"/>
              <w:rPr>
                <w:sz w:val="21"/>
              </w:rPr>
            </w:pPr>
            <w:r>
              <w:rPr>
                <w:w w:val="100"/>
                <w:sz w:val="21"/>
              </w:rPr>
              <w:t>H</w:t>
            </w:r>
          </w:p>
        </w:tc>
        <w:tc>
          <w:tcPr>
            <w:tcW w:w="2895" w:type="dxa"/>
          </w:tcPr>
          <w:p>
            <w:pPr>
              <w:pStyle w:val="TableParagraph"/>
              <w:spacing w:line="250" w:lineRule="exact" w:before="104"/>
              <w:ind w:left="13"/>
              <w:rPr>
                <w:sz w:val="21"/>
              </w:rPr>
            </w:pPr>
            <w:r>
              <w:rPr>
                <w:sz w:val="21"/>
              </w:rPr>
              <w:t>住宿和餐饮业</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736" w:hRule="atLeast"/>
        </w:trPr>
        <w:tc>
          <w:tcPr>
            <w:tcW w:w="713" w:type="dxa"/>
          </w:tcPr>
          <w:p>
            <w:pPr>
              <w:pStyle w:val="TableParagraph"/>
              <w:spacing w:before="106"/>
              <w:ind w:left="6"/>
              <w:jc w:val="center"/>
              <w:rPr>
                <w:sz w:val="21"/>
              </w:rPr>
            </w:pPr>
            <w:r>
              <w:rPr>
                <w:w w:val="100"/>
                <w:sz w:val="21"/>
              </w:rPr>
              <w:t>I</w:t>
            </w:r>
          </w:p>
        </w:tc>
        <w:tc>
          <w:tcPr>
            <w:tcW w:w="2895" w:type="dxa"/>
          </w:tcPr>
          <w:p>
            <w:pPr>
              <w:pStyle w:val="TableParagraph"/>
              <w:spacing w:line="360" w:lineRule="atLeast" w:before="15"/>
              <w:ind w:left="13" w:right="3"/>
              <w:rPr>
                <w:sz w:val="21"/>
              </w:rPr>
            </w:pPr>
            <w:r>
              <w:rPr>
                <w:spacing w:val="-11"/>
                <w:sz w:val="21"/>
              </w:rPr>
              <w:t>信息传输、软件和信息技术服务</w:t>
            </w:r>
            <w:r>
              <w:rPr>
                <w:sz w:val="21"/>
              </w:rPr>
              <w:t>业</w:t>
            </w:r>
          </w:p>
        </w:tc>
        <w:tc>
          <w:tcPr>
            <w:tcW w:w="3005" w:type="dxa"/>
          </w:tcPr>
          <w:p>
            <w:pPr>
              <w:pStyle w:val="TableParagraph"/>
              <w:rPr>
                <w:b/>
                <w:sz w:val="20"/>
              </w:rPr>
            </w:pPr>
          </w:p>
          <w:p>
            <w:pPr>
              <w:pStyle w:val="TableParagraph"/>
              <w:spacing w:before="5"/>
              <w:rPr>
                <w:b/>
                <w:sz w:val="16"/>
              </w:rPr>
            </w:pPr>
          </w:p>
          <w:p>
            <w:pPr>
              <w:pStyle w:val="TableParagraph"/>
              <w:spacing w:line="250" w:lineRule="exact"/>
              <w:ind w:right="-15"/>
              <w:jc w:val="right"/>
              <w:rPr>
                <w:sz w:val="21"/>
              </w:rPr>
            </w:pPr>
            <w:r>
              <w:rPr>
                <w:sz w:val="21"/>
              </w:rPr>
              <w:t>170,434,057.10</w:t>
            </w:r>
          </w:p>
        </w:tc>
        <w:tc>
          <w:tcPr>
            <w:tcW w:w="1721" w:type="dxa"/>
          </w:tcPr>
          <w:p>
            <w:pPr>
              <w:pStyle w:val="TableParagraph"/>
              <w:rPr>
                <w:b/>
                <w:sz w:val="20"/>
              </w:rPr>
            </w:pPr>
          </w:p>
          <w:p>
            <w:pPr>
              <w:pStyle w:val="TableParagraph"/>
              <w:spacing w:before="5"/>
              <w:rPr>
                <w:b/>
                <w:sz w:val="16"/>
              </w:rPr>
            </w:pPr>
          </w:p>
          <w:p>
            <w:pPr>
              <w:pStyle w:val="TableParagraph"/>
              <w:spacing w:line="250" w:lineRule="exact"/>
              <w:ind w:right="2"/>
              <w:jc w:val="right"/>
              <w:rPr>
                <w:sz w:val="21"/>
              </w:rPr>
            </w:pPr>
            <w:r>
              <w:rPr>
                <w:sz w:val="21"/>
              </w:rPr>
              <w:t>5.44</w:t>
            </w:r>
          </w:p>
        </w:tc>
      </w:tr>
      <w:tr>
        <w:trPr>
          <w:trHeight w:val="374" w:hRule="atLeast"/>
        </w:trPr>
        <w:tc>
          <w:tcPr>
            <w:tcW w:w="713" w:type="dxa"/>
          </w:tcPr>
          <w:p>
            <w:pPr>
              <w:pStyle w:val="TableParagraph"/>
              <w:spacing w:line="250" w:lineRule="exact" w:before="104"/>
              <w:ind w:left="6"/>
              <w:jc w:val="center"/>
              <w:rPr>
                <w:sz w:val="21"/>
              </w:rPr>
            </w:pPr>
            <w:r>
              <w:rPr>
                <w:w w:val="100"/>
                <w:sz w:val="21"/>
              </w:rPr>
              <w:t>J</w:t>
            </w:r>
          </w:p>
        </w:tc>
        <w:tc>
          <w:tcPr>
            <w:tcW w:w="2895" w:type="dxa"/>
          </w:tcPr>
          <w:p>
            <w:pPr>
              <w:pStyle w:val="TableParagraph"/>
              <w:spacing w:line="250" w:lineRule="exact" w:before="104"/>
              <w:ind w:left="13"/>
              <w:rPr>
                <w:sz w:val="21"/>
              </w:rPr>
            </w:pPr>
            <w:r>
              <w:rPr>
                <w:sz w:val="21"/>
              </w:rPr>
              <w:t>金融业</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376" w:hRule="atLeast"/>
        </w:trPr>
        <w:tc>
          <w:tcPr>
            <w:tcW w:w="713" w:type="dxa"/>
          </w:tcPr>
          <w:p>
            <w:pPr>
              <w:pStyle w:val="TableParagraph"/>
              <w:spacing w:line="250" w:lineRule="exact" w:before="106"/>
              <w:ind w:left="6"/>
              <w:jc w:val="center"/>
              <w:rPr>
                <w:sz w:val="21"/>
              </w:rPr>
            </w:pPr>
            <w:r>
              <w:rPr>
                <w:w w:val="100"/>
                <w:sz w:val="21"/>
              </w:rPr>
              <w:t>K</w:t>
            </w:r>
          </w:p>
        </w:tc>
        <w:tc>
          <w:tcPr>
            <w:tcW w:w="2895" w:type="dxa"/>
          </w:tcPr>
          <w:p>
            <w:pPr>
              <w:pStyle w:val="TableParagraph"/>
              <w:spacing w:line="250" w:lineRule="exact" w:before="106"/>
              <w:ind w:left="13"/>
              <w:rPr>
                <w:sz w:val="21"/>
              </w:rPr>
            </w:pPr>
            <w:r>
              <w:rPr>
                <w:sz w:val="21"/>
              </w:rPr>
              <w:t>房地产业</w:t>
            </w:r>
          </w:p>
        </w:tc>
        <w:tc>
          <w:tcPr>
            <w:tcW w:w="3005" w:type="dxa"/>
          </w:tcPr>
          <w:p>
            <w:pPr>
              <w:pStyle w:val="TableParagraph"/>
              <w:spacing w:line="250" w:lineRule="exact" w:before="106"/>
              <w:ind w:right="-15"/>
              <w:jc w:val="right"/>
              <w:rPr>
                <w:sz w:val="21"/>
              </w:rPr>
            </w:pPr>
            <w:r>
              <w:rPr>
                <w:w w:val="100"/>
                <w:sz w:val="21"/>
              </w:rPr>
              <w:t>-</w:t>
            </w:r>
          </w:p>
        </w:tc>
        <w:tc>
          <w:tcPr>
            <w:tcW w:w="1721" w:type="dxa"/>
          </w:tcPr>
          <w:p>
            <w:pPr>
              <w:pStyle w:val="TableParagraph"/>
              <w:spacing w:line="250" w:lineRule="exact" w:before="106"/>
              <w:ind w:right="4"/>
              <w:jc w:val="right"/>
              <w:rPr>
                <w:sz w:val="21"/>
              </w:rPr>
            </w:pPr>
            <w:r>
              <w:rPr>
                <w:w w:val="100"/>
                <w:sz w:val="21"/>
              </w:rPr>
              <w:t>-</w:t>
            </w:r>
          </w:p>
        </w:tc>
      </w:tr>
      <w:tr>
        <w:trPr>
          <w:trHeight w:val="373" w:hRule="atLeast"/>
        </w:trPr>
        <w:tc>
          <w:tcPr>
            <w:tcW w:w="713" w:type="dxa"/>
          </w:tcPr>
          <w:p>
            <w:pPr>
              <w:pStyle w:val="TableParagraph"/>
              <w:spacing w:line="250" w:lineRule="exact" w:before="104"/>
              <w:ind w:left="6"/>
              <w:jc w:val="center"/>
              <w:rPr>
                <w:sz w:val="21"/>
              </w:rPr>
            </w:pPr>
            <w:r>
              <w:rPr>
                <w:w w:val="100"/>
                <w:sz w:val="21"/>
              </w:rPr>
              <w:t>L</w:t>
            </w:r>
          </w:p>
        </w:tc>
        <w:tc>
          <w:tcPr>
            <w:tcW w:w="2895" w:type="dxa"/>
          </w:tcPr>
          <w:p>
            <w:pPr>
              <w:pStyle w:val="TableParagraph"/>
              <w:spacing w:line="250" w:lineRule="exact" w:before="104"/>
              <w:ind w:left="13"/>
              <w:rPr>
                <w:sz w:val="21"/>
              </w:rPr>
            </w:pPr>
            <w:r>
              <w:rPr>
                <w:sz w:val="21"/>
              </w:rPr>
              <w:t>租赁和商务服务业</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374" w:hRule="atLeast"/>
        </w:trPr>
        <w:tc>
          <w:tcPr>
            <w:tcW w:w="713" w:type="dxa"/>
          </w:tcPr>
          <w:p>
            <w:pPr>
              <w:pStyle w:val="TableParagraph"/>
              <w:spacing w:line="250" w:lineRule="exact" w:before="104"/>
              <w:ind w:left="6"/>
              <w:jc w:val="center"/>
              <w:rPr>
                <w:sz w:val="21"/>
              </w:rPr>
            </w:pPr>
            <w:r>
              <w:rPr>
                <w:w w:val="100"/>
                <w:sz w:val="21"/>
              </w:rPr>
              <w:t>M</w:t>
            </w:r>
          </w:p>
        </w:tc>
        <w:tc>
          <w:tcPr>
            <w:tcW w:w="2895" w:type="dxa"/>
          </w:tcPr>
          <w:p>
            <w:pPr>
              <w:pStyle w:val="TableParagraph"/>
              <w:spacing w:line="250" w:lineRule="exact" w:before="104"/>
              <w:ind w:left="13"/>
              <w:rPr>
                <w:sz w:val="21"/>
              </w:rPr>
            </w:pPr>
            <w:r>
              <w:rPr>
                <w:sz w:val="21"/>
              </w:rPr>
              <w:t>科学研究和技术服务业</w:t>
            </w:r>
          </w:p>
        </w:tc>
        <w:tc>
          <w:tcPr>
            <w:tcW w:w="3005" w:type="dxa"/>
          </w:tcPr>
          <w:p>
            <w:pPr>
              <w:pStyle w:val="TableParagraph"/>
              <w:spacing w:line="250" w:lineRule="exact" w:before="104"/>
              <w:ind w:right="-15"/>
              <w:jc w:val="right"/>
              <w:rPr>
                <w:sz w:val="21"/>
              </w:rPr>
            </w:pPr>
            <w:r>
              <w:rPr>
                <w:sz w:val="21"/>
              </w:rPr>
              <w:t>14,213,598.00</w:t>
            </w:r>
          </w:p>
        </w:tc>
        <w:tc>
          <w:tcPr>
            <w:tcW w:w="1721" w:type="dxa"/>
          </w:tcPr>
          <w:p>
            <w:pPr>
              <w:pStyle w:val="TableParagraph"/>
              <w:spacing w:line="250" w:lineRule="exact" w:before="104"/>
              <w:ind w:right="2"/>
              <w:jc w:val="right"/>
              <w:rPr>
                <w:sz w:val="21"/>
              </w:rPr>
            </w:pPr>
            <w:r>
              <w:rPr>
                <w:sz w:val="21"/>
              </w:rPr>
              <w:t>0.45</w:t>
            </w:r>
          </w:p>
        </w:tc>
      </w:tr>
      <w:tr>
        <w:trPr>
          <w:trHeight w:val="376" w:hRule="atLeast"/>
        </w:trPr>
        <w:tc>
          <w:tcPr>
            <w:tcW w:w="713" w:type="dxa"/>
          </w:tcPr>
          <w:p>
            <w:pPr>
              <w:pStyle w:val="TableParagraph"/>
              <w:spacing w:line="250" w:lineRule="exact" w:before="106"/>
              <w:ind w:left="6"/>
              <w:jc w:val="center"/>
              <w:rPr>
                <w:sz w:val="21"/>
              </w:rPr>
            </w:pPr>
            <w:r>
              <w:rPr>
                <w:w w:val="100"/>
                <w:sz w:val="21"/>
              </w:rPr>
              <w:t>N</w:t>
            </w:r>
          </w:p>
        </w:tc>
        <w:tc>
          <w:tcPr>
            <w:tcW w:w="2895" w:type="dxa"/>
          </w:tcPr>
          <w:p>
            <w:pPr>
              <w:pStyle w:val="TableParagraph"/>
              <w:spacing w:line="250" w:lineRule="exact" w:before="106"/>
              <w:ind w:left="13"/>
              <w:rPr>
                <w:sz w:val="21"/>
              </w:rPr>
            </w:pPr>
            <w:r>
              <w:rPr>
                <w:sz w:val="21"/>
              </w:rPr>
              <w:t>水利、环境和公共设施管理业</w:t>
            </w:r>
          </w:p>
        </w:tc>
        <w:tc>
          <w:tcPr>
            <w:tcW w:w="3005" w:type="dxa"/>
          </w:tcPr>
          <w:p>
            <w:pPr>
              <w:pStyle w:val="TableParagraph"/>
              <w:spacing w:line="250" w:lineRule="exact" w:before="106"/>
              <w:ind w:right="-15"/>
              <w:jc w:val="right"/>
              <w:rPr>
                <w:sz w:val="21"/>
              </w:rPr>
            </w:pPr>
            <w:r>
              <w:rPr>
                <w:sz w:val="21"/>
              </w:rPr>
              <w:t>15,164,417.84</w:t>
            </w:r>
          </w:p>
        </w:tc>
        <w:tc>
          <w:tcPr>
            <w:tcW w:w="1721" w:type="dxa"/>
          </w:tcPr>
          <w:p>
            <w:pPr>
              <w:pStyle w:val="TableParagraph"/>
              <w:spacing w:line="250" w:lineRule="exact" w:before="106"/>
              <w:ind w:right="2"/>
              <w:jc w:val="right"/>
              <w:rPr>
                <w:sz w:val="21"/>
              </w:rPr>
            </w:pPr>
            <w:r>
              <w:rPr>
                <w:sz w:val="21"/>
              </w:rPr>
              <w:t>0.48</w:t>
            </w:r>
          </w:p>
        </w:tc>
      </w:tr>
      <w:tr>
        <w:trPr>
          <w:trHeight w:val="373" w:hRule="atLeast"/>
        </w:trPr>
        <w:tc>
          <w:tcPr>
            <w:tcW w:w="713" w:type="dxa"/>
          </w:tcPr>
          <w:p>
            <w:pPr>
              <w:pStyle w:val="TableParagraph"/>
              <w:spacing w:line="250" w:lineRule="exact" w:before="104"/>
              <w:ind w:left="6"/>
              <w:jc w:val="center"/>
              <w:rPr>
                <w:sz w:val="21"/>
              </w:rPr>
            </w:pPr>
            <w:r>
              <w:rPr>
                <w:w w:val="100"/>
                <w:sz w:val="21"/>
              </w:rPr>
              <w:t>O</w:t>
            </w:r>
          </w:p>
        </w:tc>
        <w:tc>
          <w:tcPr>
            <w:tcW w:w="2895" w:type="dxa"/>
          </w:tcPr>
          <w:p>
            <w:pPr>
              <w:pStyle w:val="TableParagraph"/>
              <w:spacing w:line="250" w:lineRule="exact" w:before="104"/>
              <w:ind w:left="13"/>
              <w:rPr>
                <w:sz w:val="21"/>
              </w:rPr>
            </w:pPr>
            <w:r>
              <w:rPr>
                <w:sz w:val="21"/>
              </w:rPr>
              <w:t>居民服务、修理和其他服务业</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376" w:hRule="atLeast"/>
        </w:trPr>
        <w:tc>
          <w:tcPr>
            <w:tcW w:w="713" w:type="dxa"/>
          </w:tcPr>
          <w:p>
            <w:pPr>
              <w:pStyle w:val="TableParagraph"/>
              <w:spacing w:line="250" w:lineRule="exact" w:before="106"/>
              <w:ind w:left="6"/>
              <w:jc w:val="center"/>
              <w:rPr>
                <w:sz w:val="21"/>
              </w:rPr>
            </w:pPr>
            <w:r>
              <w:rPr>
                <w:w w:val="100"/>
                <w:sz w:val="21"/>
              </w:rPr>
              <w:t>P</w:t>
            </w:r>
          </w:p>
        </w:tc>
        <w:tc>
          <w:tcPr>
            <w:tcW w:w="2895" w:type="dxa"/>
          </w:tcPr>
          <w:p>
            <w:pPr>
              <w:pStyle w:val="TableParagraph"/>
              <w:spacing w:line="250" w:lineRule="exact" w:before="106"/>
              <w:ind w:left="13"/>
              <w:rPr>
                <w:sz w:val="21"/>
              </w:rPr>
            </w:pPr>
            <w:r>
              <w:rPr>
                <w:sz w:val="21"/>
              </w:rPr>
              <w:t>教育</w:t>
            </w:r>
          </w:p>
        </w:tc>
        <w:tc>
          <w:tcPr>
            <w:tcW w:w="3005" w:type="dxa"/>
          </w:tcPr>
          <w:p>
            <w:pPr>
              <w:pStyle w:val="TableParagraph"/>
              <w:spacing w:line="250" w:lineRule="exact" w:before="106"/>
              <w:ind w:right="-15"/>
              <w:jc w:val="right"/>
              <w:rPr>
                <w:sz w:val="21"/>
              </w:rPr>
            </w:pPr>
            <w:r>
              <w:rPr>
                <w:w w:val="100"/>
                <w:sz w:val="21"/>
              </w:rPr>
              <w:t>-</w:t>
            </w:r>
          </w:p>
        </w:tc>
        <w:tc>
          <w:tcPr>
            <w:tcW w:w="1721" w:type="dxa"/>
          </w:tcPr>
          <w:p>
            <w:pPr>
              <w:pStyle w:val="TableParagraph"/>
              <w:spacing w:line="250" w:lineRule="exact" w:before="106"/>
              <w:ind w:right="4"/>
              <w:jc w:val="right"/>
              <w:rPr>
                <w:sz w:val="21"/>
              </w:rPr>
            </w:pPr>
            <w:r>
              <w:rPr>
                <w:w w:val="100"/>
                <w:sz w:val="21"/>
              </w:rPr>
              <w:t>-</w:t>
            </w:r>
          </w:p>
        </w:tc>
      </w:tr>
      <w:tr>
        <w:trPr>
          <w:trHeight w:val="373" w:hRule="atLeast"/>
        </w:trPr>
        <w:tc>
          <w:tcPr>
            <w:tcW w:w="713" w:type="dxa"/>
          </w:tcPr>
          <w:p>
            <w:pPr>
              <w:pStyle w:val="TableParagraph"/>
              <w:spacing w:line="250" w:lineRule="exact" w:before="104"/>
              <w:ind w:left="6"/>
              <w:jc w:val="center"/>
              <w:rPr>
                <w:sz w:val="21"/>
              </w:rPr>
            </w:pPr>
            <w:r>
              <w:rPr>
                <w:w w:val="100"/>
                <w:sz w:val="21"/>
              </w:rPr>
              <w:t>Q</w:t>
            </w:r>
          </w:p>
        </w:tc>
        <w:tc>
          <w:tcPr>
            <w:tcW w:w="2895" w:type="dxa"/>
          </w:tcPr>
          <w:p>
            <w:pPr>
              <w:pStyle w:val="TableParagraph"/>
              <w:spacing w:line="250" w:lineRule="exact" w:before="104"/>
              <w:ind w:left="13"/>
              <w:rPr>
                <w:sz w:val="21"/>
              </w:rPr>
            </w:pPr>
            <w:r>
              <w:rPr>
                <w:sz w:val="21"/>
              </w:rPr>
              <w:t>卫生和社会工作</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376" w:hRule="atLeast"/>
        </w:trPr>
        <w:tc>
          <w:tcPr>
            <w:tcW w:w="713" w:type="dxa"/>
          </w:tcPr>
          <w:p>
            <w:pPr>
              <w:pStyle w:val="TableParagraph"/>
              <w:spacing w:line="250" w:lineRule="exact" w:before="106"/>
              <w:ind w:left="6"/>
              <w:jc w:val="center"/>
              <w:rPr>
                <w:sz w:val="21"/>
              </w:rPr>
            </w:pPr>
            <w:r>
              <w:rPr>
                <w:w w:val="100"/>
                <w:sz w:val="21"/>
              </w:rPr>
              <w:t>R</w:t>
            </w:r>
          </w:p>
        </w:tc>
        <w:tc>
          <w:tcPr>
            <w:tcW w:w="2895" w:type="dxa"/>
          </w:tcPr>
          <w:p>
            <w:pPr>
              <w:pStyle w:val="TableParagraph"/>
              <w:spacing w:line="250" w:lineRule="exact" w:before="106"/>
              <w:ind w:left="13"/>
              <w:rPr>
                <w:sz w:val="21"/>
              </w:rPr>
            </w:pPr>
            <w:r>
              <w:rPr>
                <w:sz w:val="21"/>
              </w:rPr>
              <w:t>文化、体育和娱乐业</w:t>
            </w:r>
          </w:p>
        </w:tc>
        <w:tc>
          <w:tcPr>
            <w:tcW w:w="3005" w:type="dxa"/>
          </w:tcPr>
          <w:p>
            <w:pPr>
              <w:pStyle w:val="TableParagraph"/>
              <w:spacing w:line="250" w:lineRule="exact" w:before="106"/>
              <w:ind w:right="-15"/>
              <w:jc w:val="right"/>
              <w:rPr>
                <w:sz w:val="21"/>
              </w:rPr>
            </w:pPr>
            <w:r>
              <w:rPr>
                <w:sz w:val="21"/>
              </w:rPr>
              <w:t>294,122,898.24</w:t>
            </w:r>
          </w:p>
        </w:tc>
        <w:tc>
          <w:tcPr>
            <w:tcW w:w="1721" w:type="dxa"/>
          </w:tcPr>
          <w:p>
            <w:pPr>
              <w:pStyle w:val="TableParagraph"/>
              <w:spacing w:line="250" w:lineRule="exact" w:before="106"/>
              <w:ind w:right="2"/>
              <w:jc w:val="right"/>
              <w:rPr>
                <w:sz w:val="21"/>
              </w:rPr>
            </w:pPr>
            <w:r>
              <w:rPr>
                <w:sz w:val="21"/>
              </w:rPr>
              <w:t>9.39</w:t>
            </w:r>
          </w:p>
        </w:tc>
      </w:tr>
      <w:tr>
        <w:trPr>
          <w:trHeight w:val="374" w:hRule="atLeast"/>
        </w:trPr>
        <w:tc>
          <w:tcPr>
            <w:tcW w:w="713" w:type="dxa"/>
          </w:tcPr>
          <w:p>
            <w:pPr>
              <w:pStyle w:val="TableParagraph"/>
              <w:spacing w:line="250" w:lineRule="exact" w:before="104"/>
              <w:ind w:left="6"/>
              <w:jc w:val="center"/>
              <w:rPr>
                <w:sz w:val="21"/>
              </w:rPr>
            </w:pPr>
            <w:r>
              <w:rPr>
                <w:w w:val="100"/>
                <w:sz w:val="21"/>
              </w:rPr>
              <w:t>S</w:t>
            </w:r>
          </w:p>
        </w:tc>
        <w:tc>
          <w:tcPr>
            <w:tcW w:w="2895" w:type="dxa"/>
          </w:tcPr>
          <w:p>
            <w:pPr>
              <w:pStyle w:val="TableParagraph"/>
              <w:spacing w:line="250" w:lineRule="exact" w:before="104"/>
              <w:ind w:left="13"/>
              <w:rPr>
                <w:sz w:val="21"/>
              </w:rPr>
            </w:pPr>
            <w:r>
              <w:rPr>
                <w:sz w:val="21"/>
              </w:rPr>
              <w:t>综合</w:t>
            </w:r>
          </w:p>
        </w:tc>
        <w:tc>
          <w:tcPr>
            <w:tcW w:w="3005" w:type="dxa"/>
          </w:tcPr>
          <w:p>
            <w:pPr>
              <w:pStyle w:val="TableParagraph"/>
              <w:spacing w:line="250" w:lineRule="exact" w:before="104"/>
              <w:ind w:right="-15"/>
              <w:jc w:val="right"/>
              <w:rPr>
                <w:sz w:val="21"/>
              </w:rPr>
            </w:pPr>
            <w:r>
              <w:rPr>
                <w:sz w:val="21"/>
              </w:rPr>
              <w:t>123,825,184.20</w:t>
            </w:r>
          </w:p>
        </w:tc>
        <w:tc>
          <w:tcPr>
            <w:tcW w:w="1721" w:type="dxa"/>
          </w:tcPr>
          <w:p>
            <w:pPr>
              <w:pStyle w:val="TableParagraph"/>
              <w:spacing w:line="250" w:lineRule="exact" w:before="104"/>
              <w:ind w:right="2"/>
              <w:jc w:val="right"/>
              <w:rPr>
                <w:sz w:val="21"/>
              </w:rPr>
            </w:pPr>
            <w:r>
              <w:rPr>
                <w:sz w:val="21"/>
              </w:rPr>
              <w:t>3.95</w:t>
            </w:r>
          </w:p>
        </w:tc>
      </w:tr>
      <w:tr>
        <w:trPr>
          <w:trHeight w:val="376" w:hRule="atLeast"/>
        </w:trPr>
        <w:tc>
          <w:tcPr>
            <w:tcW w:w="713" w:type="dxa"/>
          </w:tcPr>
          <w:p>
            <w:pPr>
              <w:pStyle w:val="TableParagraph"/>
              <w:rPr>
                <w:rFonts w:ascii="Times New Roman"/>
                <w:sz w:val="20"/>
              </w:rPr>
            </w:pPr>
          </w:p>
        </w:tc>
        <w:tc>
          <w:tcPr>
            <w:tcW w:w="2895" w:type="dxa"/>
          </w:tcPr>
          <w:p>
            <w:pPr>
              <w:pStyle w:val="TableParagraph"/>
              <w:spacing w:line="252" w:lineRule="exact" w:before="104"/>
              <w:ind w:left="13"/>
              <w:rPr>
                <w:sz w:val="21"/>
              </w:rPr>
            </w:pPr>
            <w:r>
              <w:rPr>
                <w:sz w:val="21"/>
              </w:rPr>
              <w:t>合计</w:t>
            </w:r>
          </w:p>
        </w:tc>
        <w:tc>
          <w:tcPr>
            <w:tcW w:w="3005" w:type="dxa"/>
          </w:tcPr>
          <w:p>
            <w:pPr>
              <w:pStyle w:val="TableParagraph"/>
              <w:spacing w:line="252" w:lineRule="exact" w:before="104"/>
              <w:ind w:right="-15"/>
              <w:jc w:val="right"/>
              <w:rPr>
                <w:sz w:val="21"/>
              </w:rPr>
            </w:pPr>
            <w:r>
              <w:rPr>
                <w:sz w:val="21"/>
              </w:rPr>
              <w:t>2,385,346,702.93</w:t>
            </w:r>
          </w:p>
        </w:tc>
        <w:tc>
          <w:tcPr>
            <w:tcW w:w="1721" w:type="dxa"/>
          </w:tcPr>
          <w:p>
            <w:pPr>
              <w:pStyle w:val="TableParagraph"/>
              <w:spacing w:line="252" w:lineRule="exact" w:before="104"/>
              <w:ind w:right="2"/>
              <w:jc w:val="right"/>
              <w:rPr>
                <w:sz w:val="21"/>
              </w:rPr>
            </w:pPr>
            <w:r>
              <w:rPr>
                <w:sz w:val="21"/>
              </w:rPr>
              <w:t>76.18</w:t>
            </w:r>
          </w:p>
        </w:tc>
      </w:tr>
    </w:tbl>
    <w:p>
      <w:pPr>
        <w:spacing w:after="0" w:line="252" w:lineRule="exact"/>
        <w:jc w:val="right"/>
        <w:rPr>
          <w:sz w:val="21"/>
        </w:rPr>
        <w:sectPr>
          <w:pgSz w:w="11910" w:h="16840"/>
          <w:pgMar w:header="852" w:footer="992" w:top="1220" w:bottom="1180" w:left="1140" w:right="480"/>
        </w:sectPr>
      </w:pPr>
    </w:p>
    <w:p>
      <w:pPr>
        <w:pStyle w:val="BodyText"/>
        <w:rPr>
          <w:b/>
          <w:sz w:val="10"/>
        </w:rPr>
      </w:pPr>
    </w:p>
    <w:p>
      <w:pPr>
        <w:pStyle w:val="ListParagraph"/>
        <w:numPr>
          <w:ilvl w:val="1"/>
          <w:numId w:val="26"/>
        </w:numPr>
        <w:tabs>
          <w:tab w:pos="1064" w:val="left" w:leader="none"/>
        </w:tabs>
        <w:spacing w:line="240" w:lineRule="auto" w:before="88" w:after="0"/>
        <w:ind w:left="1063" w:right="0" w:hanging="406"/>
        <w:jc w:val="left"/>
        <w:rPr>
          <w:rFonts w:ascii="Cambria" w:eastAsia="Cambria"/>
          <w:b/>
          <w:sz w:val="24"/>
        </w:rPr>
      </w:pPr>
      <w:r>
        <w:rPr>
          <w:b/>
          <w:sz w:val="24"/>
        </w:rPr>
        <w:t>报告期末按行业分类的港股通投资股票投资组合</w:t>
      </w:r>
    </w:p>
    <w:p>
      <w:pPr>
        <w:pStyle w:val="BodyText"/>
        <w:spacing w:before="154"/>
        <w:ind w:left="1078"/>
      </w:pPr>
      <w:r>
        <w:rPr/>
        <w:t>无。</w:t>
      </w:r>
    </w:p>
    <w:p>
      <w:pPr>
        <w:pStyle w:val="BodyText"/>
        <w:spacing w:before="6"/>
        <w:rPr>
          <w:sz w:val="18"/>
        </w:rPr>
      </w:pPr>
    </w:p>
    <w:p>
      <w:pPr>
        <w:pStyle w:val="ListParagraph"/>
        <w:numPr>
          <w:ilvl w:val="0"/>
          <w:numId w:val="26"/>
        </w:numPr>
        <w:tabs>
          <w:tab w:pos="922" w:val="left" w:leader="none"/>
        </w:tabs>
        <w:spacing w:line="240" w:lineRule="auto" w:before="0" w:after="0"/>
        <w:ind w:left="922" w:right="0" w:hanging="264"/>
        <w:jc w:val="left"/>
        <w:rPr>
          <w:b/>
          <w:sz w:val="24"/>
        </w:rPr>
      </w:pPr>
      <w:r>
        <w:rPr>
          <w:b/>
          <w:sz w:val="24"/>
        </w:rPr>
        <w:t>报告期末按公允价值占基金资产净值比例大小排序的前十名股票投资明细</w:t>
      </w:r>
    </w:p>
    <w:p>
      <w:pPr>
        <w:pStyle w:val="BodyText"/>
        <w:rPr>
          <w:b/>
          <w:sz w:val="11"/>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245"/>
        <w:gridCol w:w="1354"/>
        <w:gridCol w:w="1697"/>
        <w:gridCol w:w="2117"/>
        <w:gridCol w:w="1364"/>
      </w:tblGrid>
      <w:tr>
        <w:trPr>
          <w:trHeight w:val="734" w:hRule="atLeast"/>
        </w:trPr>
        <w:tc>
          <w:tcPr>
            <w:tcW w:w="566" w:type="dxa"/>
            <w:shd w:val="clear" w:color="auto" w:fill="D9D9D9"/>
          </w:tcPr>
          <w:p>
            <w:pPr>
              <w:pStyle w:val="TableParagraph"/>
              <w:spacing w:before="2"/>
              <w:rPr>
                <w:b/>
                <w:sz w:val="22"/>
              </w:rPr>
            </w:pPr>
          </w:p>
          <w:p>
            <w:pPr>
              <w:pStyle w:val="TableParagraph"/>
              <w:ind w:left="53" w:right="43"/>
              <w:jc w:val="center"/>
              <w:rPr>
                <w:sz w:val="21"/>
              </w:rPr>
            </w:pPr>
            <w:r>
              <w:rPr>
                <w:sz w:val="21"/>
              </w:rPr>
              <w:t>序号</w:t>
            </w:r>
          </w:p>
        </w:tc>
        <w:tc>
          <w:tcPr>
            <w:tcW w:w="1245" w:type="dxa"/>
            <w:shd w:val="clear" w:color="auto" w:fill="D9D9D9"/>
          </w:tcPr>
          <w:p>
            <w:pPr>
              <w:pStyle w:val="TableParagraph"/>
              <w:spacing w:before="2"/>
              <w:rPr>
                <w:b/>
                <w:sz w:val="22"/>
              </w:rPr>
            </w:pPr>
          </w:p>
          <w:p>
            <w:pPr>
              <w:pStyle w:val="TableParagraph"/>
              <w:ind w:left="180" w:right="174"/>
              <w:jc w:val="center"/>
              <w:rPr>
                <w:sz w:val="21"/>
              </w:rPr>
            </w:pPr>
            <w:r>
              <w:rPr>
                <w:sz w:val="21"/>
              </w:rPr>
              <w:t>股票代码</w:t>
            </w:r>
          </w:p>
        </w:tc>
        <w:tc>
          <w:tcPr>
            <w:tcW w:w="1354" w:type="dxa"/>
            <w:shd w:val="clear" w:color="auto" w:fill="D9D9D9"/>
          </w:tcPr>
          <w:p>
            <w:pPr>
              <w:pStyle w:val="TableParagraph"/>
              <w:spacing w:before="2"/>
              <w:rPr>
                <w:b/>
                <w:sz w:val="22"/>
              </w:rPr>
            </w:pPr>
          </w:p>
          <w:p>
            <w:pPr>
              <w:pStyle w:val="TableParagraph"/>
              <w:ind w:left="234" w:right="225"/>
              <w:jc w:val="center"/>
              <w:rPr>
                <w:sz w:val="21"/>
              </w:rPr>
            </w:pPr>
            <w:r>
              <w:rPr>
                <w:sz w:val="21"/>
              </w:rPr>
              <w:t>股票名称</w:t>
            </w:r>
          </w:p>
        </w:tc>
        <w:tc>
          <w:tcPr>
            <w:tcW w:w="1697" w:type="dxa"/>
            <w:shd w:val="clear" w:color="auto" w:fill="D9D9D9"/>
          </w:tcPr>
          <w:p>
            <w:pPr>
              <w:pStyle w:val="TableParagraph"/>
              <w:spacing w:before="2"/>
              <w:rPr>
                <w:b/>
                <w:sz w:val="22"/>
              </w:rPr>
            </w:pPr>
          </w:p>
          <w:p>
            <w:pPr>
              <w:pStyle w:val="TableParagraph"/>
              <w:ind w:left="322"/>
              <w:rPr>
                <w:sz w:val="21"/>
              </w:rPr>
            </w:pPr>
            <w:r>
              <w:rPr>
                <w:sz w:val="21"/>
              </w:rPr>
              <w:t>数量（股）</w:t>
            </w:r>
          </w:p>
        </w:tc>
        <w:tc>
          <w:tcPr>
            <w:tcW w:w="2117" w:type="dxa"/>
            <w:shd w:val="clear" w:color="auto" w:fill="D9D9D9"/>
          </w:tcPr>
          <w:p>
            <w:pPr>
              <w:pStyle w:val="TableParagraph"/>
              <w:spacing w:before="2"/>
              <w:rPr>
                <w:b/>
                <w:sz w:val="22"/>
              </w:rPr>
            </w:pPr>
          </w:p>
          <w:p>
            <w:pPr>
              <w:pStyle w:val="TableParagraph"/>
              <w:ind w:left="322"/>
              <w:rPr>
                <w:sz w:val="21"/>
              </w:rPr>
            </w:pPr>
            <w:r>
              <w:rPr>
                <w:sz w:val="21"/>
              </w:rPr>
              <w:t>公允价值（元）</w:t>
            </w:r>
          </w:p>
        </w:tc>
        <w:tc>
          <w:tcPr>
            <w:tcW w:w="1364" w:type="dxa"/>
            <w:shd w:val="clear" w:color="auto" w:fill="D9D9D9"/>
          </w:tcPr>
          <w:p>
            <w:pPr>
              <w:pStyle w:val="TableParagraph"/>
              <w:spacing w:line="360" w:lineRule="atLeast" w:before="13"/>
              <w:ind w:left="101" w:right="38" w:hanging="51"/>
              <w:rPr>
                <w:sz w:val="21"/>
              </w:rPr>
            </w:pPr>
            <w:r>
              <w:rPr>
                <w:sz w:val="21"/>
              </w:rPr>
              <w:t>占基金资产净值比例（%）</w:t>
            </w:r>
          </w:p>
        </w:tc>
      </w:tr>
      <w:tr>
        <w:trPr>
          <w:trHeight w:val="376" w:hRule="atLeast"/>
        </w:trPr>
        <w:tc>
          <w:tcPr>
            <w:tcW w:w="566" w:type="dxa"/>
          </w:tcPr>
          <w:p>
            <w:pPr>
              <w:pStyle w:val="TableParagraph"/>
              <w:spacing w:line="250" w:lineRule="exact" w:before="106"/>
              <w:ind w:left="9"/>
              <w:jc w:val="center"/>
              <w:rPr>
                <w:sz w:val="21"/>
              </w:rPr>
            </w:pPr>
            <w:r>
              <w:rPr>
                <w:w w:val="100"/>
                <w:sz w:val="21"/>
              </w:rPr>
              <w:t>1</w:t>
            </w:r>
          </w:p>
        </w:tc>
        <w:tc>
          <w:tcPr>
            <w:tcW w:w="1245" w:type="dxa"/>
          </w:tcPr>
          <w:p>
            <w:pPr>
              <w:pStyle w:val="TableParagraph"/>
              <w:spacing w:line="250" w:lineRule="exact" w:before="106"/>
              <w:ind w:left="180" w:right="172"/>
              <w:jc w:val="center"/>
              <w:rPr>
                <w:sz w:val="21"/>
              </w:rPr>
            </w:pPr>
            <w:r>
              <w:rPr>
                <w:sz w:val="21"/>
              </w:rPr>
              <w:t>603160</w:t>
            </w:r>
          </w:p>
        </w:tc>
        <w:tc>
          <w:tcPr>
            <w:tcW w:w="1354" w:type="dxa"/>
          </w:tcPr>
          <w:p>
            <w:pPr>
              <w:pStyle w:val="TableParagraph"/>
              <w:spacing w:line="250" w:lineRule="exact" w:before="106"/>
              <w:ind w:left="236" w:right="222"/>
              <w:jc w:val="center"/>
              <w:rPr>
                <w:sz w:val="21"/>
              </w:rPr>
            </w:pPr>
            <w:r>
              <w:rPr>
                <w:sz w:val="21"/>
              </w:rPr>
              <w:t>汇顶科技</w:t>
            </w:r>
          </w:p>
        </w:tc>
        <w:tc>
          <w:tcPr>
            <w:tcW w:w="1697" w:type="dxa"/>
          </w:tcPr>
          <w:p>
            <w:pPr>
              <w:pStyle w:val="TableParagraph"/>
              <w:spacing w:line="250" w:lineRule="exact" w:before="106"/>
              <w:ind w:right="1"/>
              <w:jc w:val="right"/>
              <w:rPr>
                <w:sz w:val="21"/>
              </w:rPr>
            </w:pPr>
            <w:r>
              <w:rPr>
                <w:sz w:val="21"/>
              </w:rPr>
              <w:t>893,162</w:t>
            </w:r>
          </w:p>
        </w:tc>
        <w:tc>
          <w:tcPr>
            <w:tcW w:w="2117" w:type="dxa"/>
          </w:tcPr>
          <w:p>
            <w:pPr>
              <w:pStyle w:val="TableParagraph"/>
              <w:spacing w:line="250" w:lineRule="exact" w:before="106"/>
              <w:jc w:val="right"/>
              <w:rPr>
                <w:sz w:val="21"/>
              </w:rPr>
            </w:pPr>
            <w:r>
              <w:rPr>
                <w:sz w:val="21"/>
              </w:rPr>
              <w:t>181,669,150.80</w:t>
            </w:r>
          </w:p>
        </w:tc>
        <w:tc>
          <w:tcPr>
            <w:tcW w:w="1364" w:type="dxa"/>
          </w:tcPr>
          <w:p>
            <w:pPr>
              <w:pStyle w:val="TableParagraph"/>
              <w:spacing w:line="250" w:lineRule="exact" w:before="106"/>
              <w:ind w:right="1"/>
              <w:jc w:val="right"/>
              <w:rPr>
                <w:sz w:val="21"/>
              </w:rPr>
            </w:pPr>
            <w:r>
              <w:rPr>
                <w:sz w:val="21"/>
              </w:rPr>
              <w:t>5.80</w:t>
            </w:r>
          </w:p>
        </w:tc>
      </w:tr>
      <w:tr>
        <w:trPr>
          <w:trHeight w:val="374" w:hRule="atLeast"/>
        </w:trPr>
        <w:tc>
          <w:tcPr>
            <w:tcW w:w="566" w:type="dxa"/>
          </w:tcPr>
          <w:p>
            <w:pPr>
              <w:pStyle w:val="TableParagraph"/>
              <w:spacing w:line="250" w:lineRule="exact" w:before="104"/>
              <w:ind w:left="9"/>
              <w:jc w:val="center"/>
              <w:rPr>
                <w:sz w:val="21"/>
              </w:rPr>
            </w:pPr>
            <w:r>
              <w:rPr>
                <w:w w:val="100"/>
                <w:sz w:val="21"/>
              </w:rPr>
              <w:t>2</w:t>
            </w:r>
          </w:p>
        </w:tc>
        <w:tc>
          <w:tcPr>
            <w:tcW w:w="1245" w:type="dxa"/>
          </w:tcPr>
          <w:p>
            <w:pPr>
              <w:pStyle w:val="TableParagraph"/>
              <w:spacing w:line="250" w:lineRule="exact" w:before="104"/>
              <w:ind w:left="180" w:right="172"/>
              <w:jc w:val="center"/>
              <w:rPr>
                <w:sz w:val="21"/>
              </w:rPr>
            </w:pPr>
            <w:r>
              <w:rPr>
                <w:sz w:val="21"/>
              </w:rPr>
              <w:t>300207</w:t>
            </w:r>
          </w:p>
        </w:tc>
        <w:tc>
          <w:tcPr>
            <w:tcW w:w="1354" w:type="dxa"/>
          </w:tcPr>
          <w:p>
            <w:pPr>
              <w:pStyle w:val="TableParagraph"/>
              <w:spacing w:line="250" w:lineRule="exact" w:before="104"/>
              <w:ind w:left="236" w:right="224"/>
              <w:jc w:val="center"/>
              <w:rPr>
                <w:sz w:val="21"/>
              </w:rPr>
            </w:pPr>
            <w:r>
              <w:rPr>
                <w:sz w:val="21"/>
              </w:rPr>
              <w:t>欣旺达</w:t>
            </w:r>
          </w:p>
        </w:tc>
        <w:tc>
          <w:tcPr>
            <w:tcW w:w="1697" w:type="dxa"/>
          </w:tcPr>
          <w:p>
            <w:pPr>
              <w:pStyle w:val="TableParagraph"/>
              <w:spacing w:line="250" w:lineRule="exact" w:before="104"/>
              <w:ind w:right="1"/>
              <w:jc w:val="right"/>
              <w:rPr>
                <w:sz w:val="21"/>
              </w:rPr>
            </w:pPr>
            <w:r>
              <w:rPr>
                <w:sz w:val="21"/>
              </w:rPr>
              <w:t>11,422,647</w:t>
            </w:r>
          </w:p>
        </w:tc>
        <w:tc>
          <w:tcPr>
            <w:tcW w:w="2117" w:type="dxa"/>
          </w:tcPr>
          <w:p>
            <w:pPr>
              <w:pStyle w:val="TableParagraph"/>
              <w:spacing w:line="250" w:lineRule="exact" w:before="104"/>
              <w:jc w:val="right"/>
              <w:rPr>
                <w:sz w:val="21"/>
              </w:rPr>
            </w:pPr>
            <w:r>
              <w:rPr>
                <w:sz w:val="21"/>
              </w:rPr>
              <w:t>173,053,102.05</w:t>
            </w:r>
          </w:p>
        </w:tc>
        <w:tc>
          <w:tcPr>
            <w:tcW w:w="1364" w:type="dxa"/>
          </w:tcPr>
          <w:p>
            <w:pPr>
              <w:pStyle w:val="TableParagraph"/>
              <w:spacing w:line="250" w:lineRule="exact" w:before="104"/>
              <w:ind w:right="1"/>
              <w:jc w:val="right"/>
              <w:rPr>
                <w:sz w:val="21"/>
              </w:rPr>
            </w:pPr>
            <w:r>
              <w:rPr>
                <w:sz w:val="21"/>
              </w:rPr>
              <w:t>5.53</w:t>
            </w:r>
          </w:p>
        </w:tc>
      </w:tr>
      <w:tr>
        <w:trPr>
          <w:trHeight w:val="376" w:hRule="atLeast"/>
        </w:trPr>
        <w:tc>
          <w:tcPr>
            <w:tcW w:w="566" w:type="dxa"/>
          </w:tcPr>
          <w:p>
            <w:pPr>
              <w:pStyle w:val="TableParagraph"/>
              <w:spacing w:line="250" w:lineRule="exact" w:before="106"/>
              <w:ind w:left="9"/>
              <w:jc w:val="center"/>
              <w:rPr>
                <w:sz w:val="21"/>
              </w:rPr>
            </w:pPr>
            <w:r>
              <w:rPr>
                <w:w w:val="100"/>
                <w:sz w:val="21"/>
              </w:rPr>
              <w:t>3</w:t>
            </w:r>
          </w:p>
        </w:tc>
        <w:tc>
          <w:tcPr>
            <w:tcW w:w="1245" w:type="dxa"/>
          </w:tcPr>
          <w:p>
            <w:pPr>
              <w:pStyle w:val="TableParagraph"/>
              <w:spacing w:line="250" w:lineRule="exact" w:before="106"/>
              <w:ind w:left="180" w:right="172"/>
              <w:jc w:val="center"/>
              <w:rPr>
                <w:sz w:val="21"/>
              </w:rPr>
            </w:pPr>
            <w:r>
              <w:rPr>
                <w:sz w:val="21"/>
              </w:rPr>
              <w:t>002841</w:t>
            </w:r>
          </w:p>
        </w:tc>
        <w:tc>
          <w:tcPr>
            <w:tcW w:w="1354" w:type="dxa"/>
          </w:tcPr>
          <w:p>
            <w:pPr>
              <w:pStyle w:val="TableParagraph"/>
              <w:spacing w:line="250" w:lineRule="exact" w:before="106"/>
              <w:ind w:left="236" w:right="222"/>
              <w:jc w:val="center"/>
              <w:rPr>
                <w:sz w:val="21"/>
              </w:rPr>
            </w:pPr>
            <w:r>
              <w:rPr>
                <w:sz w:val="21"/>
              </w:rPr>
              <w:t>视源股份</w:t>
            </w:r>
          </w:p>
        </w:tc>
        <w:tc>
          <w:tcPr>
            <w:tcW w:w="1697" w:type="dxa"/>
          </w:tcPr>
          <w:p>
            <w:pPr>
              <w:pStyle w:val="TableParagraph"/>
              <w:spacing w:line="250" w:lineRule="exact" w:before="106"/>
              <w:ind w:right="1"/>
              <w:jc w:val="right"/>
              <w:rPr>
                <w:sz w:val="21"/>
              </w:rPr>
            </w:pPr>
            <w:r>
              <w:rPr>
                <w:sz w:val="21"/>
              </w:rPr>
              <w:t>1,912,774</w:t>
            </w:r>
          </w:p>
        </w:tc>
        <w:tc>
          <w:tcPr>
            <w:tcW w:w="2117" w:type="dxa"/>
          </w:tcPr>
          <w:p>
            <w:pPr>
              <w:pStyle w:val="TableParagraph"/>
              <w:spacing w:line="250" w:lineRule="exact" w:before="106"/>
              <w:jc w:val="right"/>
              <w:rPr>
                <w:sz w:val="21"/>
              </w:rPr>
            </w:pPr>
            <w:r>
              <w:rPr>
                <w:sz w:val="21"/>
              </w:rPr>
              <w:t>168,094,579.12</w:t>
            </w:r>
          </w:p>
        </w:tc>
        <w:tc>
          <w:tcPr>
            <w:tcW w:w="1364" w:type="dxa"/>
          </w:tcPr>
          <w:p>
            <w:pPr>
              <w:pStyle w:val="TableParagraph"/>
              <w:spacing w:line="250" w:lineRule="exact" w:before="106"/>
              <w:ind w:right="1"/>
              <w:jc w:val="right"/>
              <w:rPr>
                <w:sz w:val="21"/>
              </w:rPr>
            </w:pPr>
            <w:r>
              <w:rPr>
                <w:sz w:val="21"/>
              </w:rPr>
              <w:t>5.37</w:t>
            </w:r>
          </w:p>
        </w:tc>
      </w:tr>
      <w:tr>
        <w:trPr>
          <w:trHeight w:val="374" w:hRule="atLeast"/>
        </w:trPr>
        <w:tc>
          <w:tcPr>
            <w:tcW w:w="566" w:type="dxa"/>
          </w:tcPr>
          <w:p>
            <w:pPr>
              <w:pStyle w:val="TableParagraph"/>
              <w:spacing w:line="250" w:lineRule="exact" w:before="104"/>
              <w:ind w:left="9"/>
              <w:jc w:val="center"/>
              <w:rPr>
                <w:sz w:val="21"/>
              </w:rPr>
            </w:pPr>
            <w:r>
              <w:rPr>
                <w:w w:val="100"/>
                <w:sz w:val="21"/>
              </w:rPr>
              <w:t>4</w:t>
            </w:r>
          </w:p>
        </w:tc>
        <w:tc>
          <w:tcPr>
            <w:tcW w:w="1245" w:type="dxa"/>
          </w:tcPr>
          <w:p>
            <w:pPr>
              <w:pStyle w:val="TableParagraph"/>
              <w:spacing w:line="250" w:lineRule="exact" w:before="104"/>
              <w:ind w:left="180" w:right="172"/>
              <w:jc w:val="center"/>
              <w:rPr>
                <w:sz w:val="21"/>
              </w:rPr>
            </w:pPr>
            <w:r>
              <w:rPr>
                <w:sz w:val="21"/>
              </w:rPr>
              <w:t>002352</w:t>
            </w:r>
          </w:p>
        </w:tc>
        <w:tc>
          <w:tcPr>
            <w:tcW w:w="1354" w:type="dxa"/>
          </w:tcPr>
          <w:p>
            <w:pPr>
              <w:pStyle w:val="TableParagraph"/>
              <w:spacing w:line="250" w:lineRule="exact" w:before="104"/>
              <w:ind w:left="236" w:right="222"/>
              <w:jc w:val="center"/>
              <w:rPr>
                <w:sz w:val="21"/>
              </w:rPr>
            </w:pPr>
            <w:r>
              <w:rPr>
                <w:sz w:val="21"/>
              </w:rPr>
              <w:t>顺丰控股</w:t>
            </w:r>
          </w:p>
        </w:tc>
        <w:tc>
          <w:tcPr>
            <w:tcW w:w="1697" w:type="dxa"/>
          </w:tcPr>
          <w:p>
            <w:pPr>
              <w:pStyle w:val="TableParagraph"/>
              <w:spacing w:line="250" w:lineRule="exact" w:before="104"/>
              <w:ind w:right="1"/>
              <w:jc w:val="right"/>
              <w:rPr>
                <w:sz w:val="21"/>
              </w:rPr>
            </w:pPr>
            <w:r>
              <w:rPr>
                <w:sz w:val="21"/>
              </w:rPr>
              <w:t>4,131,453</w:t>
            </w:r>
          </w:p>
        </w:tc>
        <w:tc>
          <w:tcPr>
            <w:tcW w:w="2117" w:type="dxa"/>
          </w:tcPr>
          <w:p>
            <w:pPr>
              <w:pStyle w:val="TableParagraph"/>
              <w:spacing w:line="250" w:lineRule="exact" w:before="104"/>
              <w:jc w:val="right"/>
              <w:rPr>
                <w:sz w:val="21"/>
              </w:rPr>
            </w:pPr>
            <w:r>
              <w:rPr>
                <w:sz w:val="21"/>
              </w:rPr>
              <w:t>162,861,877.26</w:t>
            </w:r>
          </w:p>
        </w:tc>
        <w:tc>
          <w:tcPr>
            <w:tcW w:w="1364" w:type="dxa"/>
          </w:tcPr>
          <w:p>
            <w:pPr>
              <w:pStyle w:val="TableParagraph"/>
              <w:spacing w:line="250" w:lineRule="exact" w:before="104"/>
              <w:ind w:right="1"/>
              <w:jc w:val="right"/>
              <w:rPr>
                <w:sz w:val="21"/>
              </w:rPr>
            </w:pPr>
            <w:r>
              <w:rPr>
                <w:sz w:val="21"/>
              </w:rPr>
              <w:t>5.20</w:t>
            </w:r>
          </w:p>
        </w:tc>
      </w:tr>
      <w:tr>
        <w:trPr>
          <w:trHeight w:val="373" w:hRule="atLeast"/>
        </w:trPr>
        <w:tc>
          <w:tcPr>
            <w:tcW w:w="566" w:type="dxa"/>
          </w:tcPr>
          <w:p>
            <w:pPr>
              <w:pStyle w:val="TableParagraph"/>
              <w:spacing w:line="250" w:lineRule="exact" w:before="104"/>
              <w:ind w:left="9"/>
              <w:jc w:val="center"/>
              <w:rPr>
                <w:sz w:val="21"/>
              </w:rPr>
            </w:pPr>
            <w:r>
              <w:rPr>
                <w:w w:val="100"/>
                <w:sz w:val="21"/>
              </w:rPr>
              <w:t>5</w:t>
            </w:r>
          </w:p>
        </w:tc>
        <w:tc>
          <w:tcPr>
            <w:tcW w:w="1245" w:type="dxa"/>
          </w:tcPr>
          <w:p>
            <w:pPr>
              <w:pStyle w:val="TableParagraph"/>
              <w:spacing w:line="250" w:lineRule="exact" w:before="104"/>
              <w:ind w:left="180" w:right="172"/>
              <w:jc w:val="center"/>
              <w:rPr>
                <w:sz w:val="21"/>
              </w:rPr>
            </w:pPr>
            <w:r>
              <w:rPr>
                <w:sz w:val="21"/>
              </w:rPr>
              <w:t>300413</w:t>
            </w:r>
          </w:p>
        </w:tc>
        <w:tc>
          <w:tcPr>
            <w:tcW w:w="1354" w:type="dxa"/>
          </w:tcPr>
          <w:p>
            <w:pPr>
              <w:pStyle w:val="TableParagraph"/>
              <w:spacing w:line="250" w:lineRule="exact" w:before="104"/>
              <w:ind w:left="236" w:right="222"/>
              <w:jc w:val="center"/>
              <w:rPr>
                <w:sz w:val="21"/>
              </w:rPr>
            </w:pPr>
            <w:r>
              <w:rPr>
                <w:sz w:val="21"/>
              </w:rPr>
              <w:t>芒果超媒</w:t>
            </w:r>
          </w:p>
        </w:tc>
        <w:tc>
          <w:tcPr>
            <w:tcW w:w="1697" w:type="dxa"/>
          </w:tcPr>
          <w:p>
            <w:pPr>
              <w:pStyle w:val="TableParagraph"/>
              <w:spacing w:line="250" w:lineRule="exact" w:before="104"/>
              <w:ind w:right="1"/>
              <w:jc w:val="right"/>
              <w:rPr>
                <w:sz w:val="21"/>
              </w:rPr>
            </w:pPr>
            <w:r>
              <w:rPr>
                <w:sz w:val="21"/>
              </w:rPr>
              <w:t>3,492,958</w:t>
            </w:r>
          </w:p>
        </w:tc>
        <w:tc>
          <w:tcPr>
            <w:tcW w:w="2117" w:type="dxa"/>
          </w:tcPr>
          <w:p>
            <w:pPr>
              <w:pStyle w:val="TableParagraph"/>
              <w:spacing w:line="250" w:lineRule="exact" w:before="104"/>
              <w:jc w:val="right"/>
              <w:rPr>
                <w:sz w:val="21"/>
              </w:rPr>
            </w:pPr>
            <w:r>
              <w:rPr>
                <w:sz w:val="21"/>
              </w:rPr>
              <w:t>159,837,758.08</w:t>
            </w:r>
          </w:p>
        </w:tc>
        <w:tc>
          <w:tcPr>
            <w:tcW w:w="1364" w:type="dxa"/>
          </w:tcPr>
          <w:p>
            <w:pPr>
              <w:pStyle w:val="TableParagraph"/>
              <w:spacing w:line="250" w:lineRule="exact" w:before="104"/>
              <w:ind w:right="1"/>
              <w:jc w:val="right"/>
              <w:rPr>
                <w:sz w:val="21"/>
              </w:rPr>
            </w:pPr>
            <w:r>
              <w:rPr>
                <w:sz w:val="21"/>
              </w:rPr>
              <w:t>5.10</w:t>
            </w:r>
          </w:p>
        </w:tc>
      </w:tr>
      <w:tr>
        <w:trPr>
          <w:trHeight w:val="376" w:hRule="atLeast"/>
        </w:trPr>
        <w:tc>
          <w:tcPr>
            <w:tcW w:w="566" w:type="dxa"/>
          </w:tcPr>
          <w:p>
            <w:pPr>
              <w:pStyle w:val="TableParagraph"/>
              <w:spacing w:line="250" w:lineRule="exact" w:before="106"/>
              <w:ind w:left="9"/>
              <w:jc w:val="center"/>
              <w:rPr>
                <w:sz w:val="21"/>
              </w:rPr>
            </w:pPr>
            <w:r>
              <w:rPr>
                <w:w w:val="100"/>
                <w:sz w:val="21"/>
              </w:rPr>
              <w:t>6</w:t>
            </w:r>
          </w:p>
        </w:tc>
        <w:tc>
          <w:tcPr>
            <w:tcW w:w="1245" w:type="dxa"/>
          </w:tcPr>
          <w:p>
            <w:pPr>
              <w:pStyle w:val="TableParagraph"/>
              <w:spacing w:line="250" w:lineRule="exact" w:before="106"/>
              <w:ind w:left="180" w:right="172"/>
              <w:jc w:val="center"/>
              <w:rPr>
                <w:sz w:val="21"/>
              </w:rPr>
            </w:pPr>
            <w:r>
              <w:rPr>
                <w:sz w:val="21"/>
              </w:rPr>
              <w:t>300482</w:t>
            </w:r>
          </w:p>
        </w:tc>
        <w:tc>
          <w:tcPr>
            <w:tcW w:w="1354" w:type="dxa"/>
          </w:tcPr>
          <w:p>
            <w:pPr>
              <w:pStyle w:val="TableParagraph"/>
              <w:spacing w:line="250" w:lineRule="exact" w:before="106"/>
              <w:ind w:left="236" w:right="222"/>
              <w:jc w:val="center"/>
              <w:rPr>
                <w:sz w:val="21"/>
              </w:rPr>
            </w:pPr>
            <w:r>
              <w:rPr>
                <w:sz w:val="21"/>
              </w:rPr>
              <w:t>万孚生物</w:t>
            </w:r>
          </w:p>
        </w:tc>
        <w:tc>
          <w:tcPr>
            <w:tcW w:w="1697" w:type="dxa"/>
          </w:tcPr>
          <w:p>
            <w:pPr>
              <w:pStyle w:val="TableParagraph"/>
              <w:spacing w:line="250" w:lineRule="exact" w:before="106"/>
              <w:ind w:right="1"/>
              <w:jc w:val="right"/>
              <w:rPr>
                <w:sz w:val="21"/>
              </w:rPr>
            </w:pPr>
            <w:r>
              <w:rPr>
                <w:sz w:val="21"/>
              </w:rPr>
              <w:t>2,951,837</w:t>
            </w:r>
          </w:p>
        </w:tc>
        <w:tc>
          <w:tcPr>
            <w:tcW w:w="2117" w:type="dxa"/>
          </w:tcPr>
          <w:p>
            <w:pPr>
              <w:pStyle w:val="TableParagraph"/>
              <w:spacing w:line="250" w:lineRule="exact" w:before="106"/>
              <w:jc w:val="right"/>
              <w:rPr>
                <w:sz w:val="21"/>
              </w:rPr>
            </w:pPr>
            <w:r>
              <w:rPr>
                <w:sz w:val="21"/>
              </w:rPr>
              <w:t>144,049,645.60</w:t>
            </w:r>
          </w:p>
        </w:tc>
        <w:tc>
          <w:tcPr>
            <w:tcW w:w="1364" w:type="dxa"/>
          </w:tcPr>
          <w:p>
            <w:pPr>
              <w:pStyle w:val="TableParagraph"/>
              <w:spacing w:line="250" w:lineRule="exact" w:before="106"/>
              <w:ind w:right="1"/>
              <w:jc w:val="right"/>
              <w:rPr>
                <w:sz w:val="21"/>
              </w:rPr>
            </w:pPr>
            <w:r>
              <w:rPr>
                <w:sz w:val="21"/>
              </w:rPr>
              <w:t>4.60</w:t>
            </w:r>
          </w:p>
        </w:tc>
      </w:tr>
      <w:tr>
        <w:trPr>
          <w:trHeight w:val="374" w:hRule="atLeast"/>
        </w:trPr>
        <w:tc>
          <w:tcPr>
            <w:tcW w:w="566" w:type="dxa"/>
          </w:tcPr>
          <w:p>
            <w:pPr>
              <w:pStyle w:val="TableParagraph"/>
              <w:spacing w:line="250" w:lineRule="exact" w:before="104"/>
              <w:ind w:left="9"/>
              <w:jc w:val="center"/>
              <w:rPr>
                <w:sz w:val="21"/>
              </w:rPr>
            </w:pPr>
            <w:r>
              <w:rPr>
                <w:w w:val="100"/>
                <w:sz w:val="21"/>
              </w:rPr>
              <w:t>7</w:t>
            </w:r>
          </w:p>
        </w:tc>
        <w:tc>
          <w:tcPr>
            <w:tcW w:w="1245" w:type="dxa"/>
          </w:tcPr>
          <w:p>
            <w:pPr>
              <w:pStyle w:val="TableParagraph"/>
              <w:spacing w:line="250" w:lineRule="exact" w:before="104"/>
              <w:ind w:left="180" w:right="172"/>
              <w:jc w:val="center"/>
              <w:rPr>
                <w:sz w:val="21"/>
              </w:rPr>
            </w:pPr>
            <w:r>
              <w:rPr>
                <w:sz w:val="21"/>
              </w:rPr>
              <w:t>600673</w:t>
            </w:r>
          </w:p>
        </w:tc>
        <w:tc>
          <w:tcPr>
            <w:tcW w:w="1354" w:type="dxa"/>
          </w:tcPr>
          <w:p>
            <w:pPr>
              <w:pStyle w:val="TableParagraph"/>
              <w:spacing w:line="250" w:lineRule="exact" w:before="104"/>
              <w:ind w:left="236" w:right="224"/>
              <w:jc w:val="center"/>
              <w:rPr>
                <w:sz w:val="21"/>
              </w:rPr>
            </w:pPr>
            <w:r>
              <w:rPr>
                <w:sz w:val="21"/>
              </w:rPr>
              <w:t>东阳光</w:t>
            </w:r>
          </w:p>
        </w:tc>
        <w:tc>
          <w:tcPr>
            <w:tcW w:w="1697" w:type="dxa"/>
          </w:tcPr>
          <w:p>
            <w:pPr>
              <w:pStyle w:val="TableParagraph"/>
              <w:spacing w:line="250" w:lineRule="exact" w:before="104"/>
              <w:ind w:right="1"/>
              <w:jc w:val="right"/>
              <w:rPr>
                <w:sz w:val="21"/>
              </w:rPr>
            </w:pPr>
            <w:r>
              <w:rPr>
                <w:sz w:val="21"/>
              </w:rPr>
              <w:t>16,962,354</w:t>
            </w:r>
          </w:p>
        </w:tc>
        <w:tc>
          <w:tcPr>
            <w:tcW w:w="2117" w:type="dxa"/>
          </w:tcPr>
          <w:p>
            <w:pPr>
              <w:pStyle w:val="TableParagraph"/>
              <w:spacing w:line="250" w:lineRule="exact" w:before="104"/>
              <w:jc w:val="right"/>
              <w:rPr>
                <w:sz w:val="21"/>
              </w:rPr>
            </w:pPr>
            <w:r>
              <w:rPr>
                <w:sz w:val="21"/>
              </w:rPr>
              <w:t>123,825,184.20</w:t>
            </w:r>
          </w:p>
        </w:tc>
        <w:tc>
          <w:tcPr>
            <w:tcW w:w="1364" w:type="dxa"/>
          </w:tcPr>
          <w:p>
            <w:pPr>
              <w:pStyle w:val="TableParagraph"/>
              <w:spacing w:line="250" w:lineRule="exact" w:before="104"/>
              <w:ind w:right="1"/>
              <w:jc w:val="right"/>
              <w:rPr>
                <w:sz w:val="21"/>
              </w:rPr>
            </w:pPr>
            <w:r>
              <w:rPr>
                <w:sz w:val="21"/>
              </w:rPr>
              <w:t>3.95</w:t>
            </w:r>
          </w:p>
        </w:tc>
      </w:tr>
      <w:tr>
        <w:trPr>
          <w:trHeight w:val="376" w:hRule="atLeast"/>
        </w:trPr>
        <w:tc>
          <w:tcPr>
            <w:tcW w:w="566" w:type="dxa"/>
          </w:tcPr>
          <w:p>
            <w:pPr>
              <w:pStyle w:val="TableParagraph"/>
              <w:spacing w:line="250" w:lineRule="exact" w:before="106"/>
              <w:ind w:left="9"/>
              <w:jc w:val="center"/>
              <w:rPr>
                <w:sz w:val="21"/>
              </w:rPr>
            </w:pPr>
            <w:r>
              <w:rPr>
                <w:w w:val="100"/>
                <w:sz w:val="21"/>
              </w:rPr>
              <w:t>8</w:t>
            </w:r>
          </w:p>
        </w:tc>
        <w:tc>
          <w:tcPr>
            <w:tcW w:w="1245" w:type="dxa"/>
          </w:tcPr>
          <w:p>
            <w:pPr>
              <w:pStyle w:val="TableParagraph"/>
              <w:spacing w:line="250" w:lineRule="exact" w:before="106"/>
              <w:ind w:left="180" w:right="172"/>
              <w:jc w:val="center"/>
              <w:rPr>
                <w:sz w:val="21"/>
              </w:rPr>
            </w:pPr>
            <w:r>
              <w:rPr>
                <w:sz w:val="21"/>
              </w:rPr>
              <w:t>300568</w:t>
            </w:r>
          </w:p>
        </w:tc>
        <w:tc>
          <w:tcPr>
            <w:tcW w:w="1354" w:type="dxa"/>
          </w:tcPr>
          <w:p>
            <w:pPr>
              <w:pStyle w:val="TableParagraph"/>
              <w:spacing w:line="250" w:lineRule="exact" w:before="106"/>
              <w:ind w:left="236" w:right="222"/>
              <w:jc w:val="center"/>
              <w:rPr>
                <w:sz w:val="21"/>
              </w:rPr>
            </w:pPr>
            <w:r>
              <w:rPr>
                <w:sz w:val="21"/>
              </w:rPr>
              <w:t>星源材质</w:t>
            </w:r>
          </w:p>
        </w:tc>
        <w:tc>
          <w:tcPr>
            <w:tcW w:w="1697" w:type="dxa"/>
          </w:tcPr>
          <w:p>
            <w:pPr>
              <w:pStyle w:val="TableParagraph"/>
              <w:spacing w:line="250" w:lineRule="exact" w:before="106"/>
              <w:ind w:right="1"/>
              <w:jc w:val="right"/>
              <w:rPr>
                <w:sz w:val="21"/>
              </w:rPr>
            </w:pPr>
            <w:r>
              <w:rPr>
                <w:sz w:val="21"/>
              </w:rPr>
              <w:t>4,339,989</w:t>
            </w:r>
          </w:p>
        </w:tc>
        <w:tc>
          <w:tcPr>
            <w:tcW w:w="2117" w:type="dxa"/>
          </w:tcPr>
          <w:p>
            <w:pPr>
              <w:pStyle w:val="TableParagraph"/>
              <w:spacing w:line="250" w:lineRule="exact" w:before="106"/>
              <w:jc w:val="right"/>
              <w:rPr>
                <w:sz w:val="21"/>
              </w:rPr>
            </w:pPr>
            <w:r>
              <w:rPr>
                <w:sz w:val="21"/>
              </w:rPr>
              <w:t>119,783,696.40</w:t>
            </w:r>
          </w:p>
        </w:tc>
        <w:tc>
          <w:tcPr>
            <w:tcW w:w="1364" w:type="dxa"/>
          </w:tcPr>
          <w:p>
            <w:pPr>
              <w:pStyle w:val="TableParagraph"/>
              <w:spacing w:line="250" w:lineRule="exact" w:before="106"/>
              <w:ind w:right="1"/>
              <w:jc w:val="right"/>
              <w:rPr>
                <w:sz w:val="21"/>
              </w:rPr>
            </w:pPr>
            <w:r>
              <w:rPr>
                <w:sz w:val="21"/>
              </w:rPr>
              <w:t>3.83</w:t>
            </w:r>
          </w:p>
        </w:tc>
      </w:tr>
      <w:tr>
        <w:trPr>
          <w:trHeight w:val="373" w:hRule="atLeast"/>
        </w:trPr>
        <w:tc>
          <w:tcPr>
            <w:tcW w:w="566" w:type="dxa"/>
          </w:tcPr>
          <w:p>
            <w:pPr>
              <w:pStyle w:val="TableParagraph"/>
              <w:spacing w:line="250" w:lineRule="exact" w:before="104"/>
              <w:ind w:left="9"/>
              <w:jc w:val="center"/>
              <w:rPr>
                <w:sz w:val="21"/>
              </w:rPr>
            </w:pPr>
            <w:r>
              <w:rPr>
                <w:w w:val="100"/>
                <w:sz w:val="21"/>
              </w:rPr>
              <w:t>9</w:t>
            </w:r>
          </w:p>
        </w:tc>
        <w:tc>
          <w:tcPr>
            <w:tcW w:w="1245" w:type="dxa"/>
          </w:tcPr>
          <w:p>
            <w:pPr>
              <w:pStyle w:val="TableParagraph"/>
              <w:spacing w:line="250" w:lineRule="exact" w:before="104"/>
              <w:ind w:left="180" w:right="172"/>
              <w:jc w:val="center"/>
              <w:rPr>
                <w:sz w:val="21"/>
              </w:rPr>
            </w:pPr>
            <w:r>
              <w:rPr>
                <w:sz w:val="21"/>
              </w:rPr>
              <w:t>603601</w:t>
            </w:r>
          </w:p>
        </w:tc>
        <w:tc>
          <w:tcPr>
            <w:tcW w:w="1354" w:type="dxa"/>
          </w:tcPr>
          <w:p>
            <w:pPr>
              <w:pStyle w:val="TableParagraph"/>
              <w:spacing w:line="250" w:lineRule="exact" w:before="104"/>
              <w:ind w:left="236" w:right="222"/>
              <w:jc w:val="center"/>
              <w:rPr>
                <w:sz w:val="21"/>
              </w:rPr>
            </w:pPr>
            <w:r>
              <w:rPr>
                <w:sz w:val="21"/>
              </w:rPr>
              <w:t>再升科技</w:t>
            </w:r>
          </w:p>
        </w:tc>
        <w:tc>
          <w:tcPr>
            <w:tcW w:w="1697" w:type="dxa"/>
          </w:tcPr>
          <w:p>
            <w:pPr>
              <w:pStyle w:val="TableParagraph"/>
              <w:spacing w:line="250" w:lineRule="exact" w:before="104"/>
              <w:ind w:right="1"/>
              <w:jc w:val="right"/>
              <w:rPr>
                <w:sz w:val="21"/>
              </w:rPr>
            </w:pPr>
            <w:r>
              <w:rPr>
                <w:sz w:val="21"/>
              </w:rPr>
              <w:t>14,549,657</w:t>
            </w:r>
          </w:p>
        </w:tc>
        <w:tc>
          <w:tcPr>
            <w:tcW w:w="2117" w:type="dxa"/>
          </w:tcPr>
          <w:p>
            <w:pPr>
              <w:pStyle w:val="TableParagraph"/>
              <w:spacing w:line="250" w:lineRule="exact" w:before="104"/>
              <w:jc w:val="right"/>
              <w:rPr>
                <w:sz w:val="21"/>
              </w:rPr>
            </w:pPr>
            <w:r>
              <w:rPr>
                <w:sz w:val="21"/>
              </w:rPr>
              <w:t>106,503,489.24</w:t>
            </w:r>
          </w:p>
        </w:tc>
        <w:tc>
          <w:tcPr>
            <w:tcW w:w="1364" w:type="dxa"/>
          </w:tcPr>
          <w:p>
            <w:pPr>
              <w:pStyle w:val="TableParagraph"/>
              <w:spacing w:line="250" w:lineRule="exact" w:before="104"/>
              <w:ind w:right="1"/>
              <w:jc w:val="right"/>
              <w:rPr>
                <w:sz w:val="21"/>
              </w:rPr>
            </w:pPr>
            <w:r>
              <w:rPr>
                <w:sz w:val="21"/>
              </w:rPr>
              <w:t>3.40</w:t>
            </w:r>
          </w:p>
        </w:tc>
      </w:tr>
      <w:tr>
        <w:trPr>
          <w:trHeight w:val="376" w:hRule="atLeast"/>
        </w:trPr>
        <w:tc>
          <w:tcPr>
            <w:tcW w:w="566" w:type="dxa"/>
          </w:tcPr>
          <w:p>
            <w:pPr>
              <w:pStyle w:val="TableParagraph"/>
              <w:spacing w:line="250" w:lineRule="exact" w:before="106"/>
              <w:ind w:left="53" w:right="43"/>
              <w:jc w:val="center"/>
              <w:rPr>
                <w:sz w:val="21"/>
              </w:rPr>
            </w:pPr>
            <w:r>
              <w:rPr>
                <w:sz w:val="21"/>
              </w:rPr>
              <w:t>10</w:t>
            </w:r>
          </w:p>
        </w:tc>
        <w:tc>
          <w:tcPr>
            <w:tcW w:w="1245" w:type="dxa"/>
          </w:tcPr>
          <w:p>
            <w:pPr>
              <w:pStyle w:val="TableParagraph"/>
              <w:spacing w:line="250" w:lineRule="exact" w:before="106"/>
              <w:ind w:left="180" w:right="172"/>
              <w:jc w:val="center"/>
              <w:rPr>
                <w:sz w:val="21"/>
              </w:rPr>
            </w:pPr>
            <w:r>
              <w:rPr>
                <w:sz w:val="21"/>
              </w:rPr>
              <w:t>603197</w:t>
            </w:r>
          </w:p>
        </w:tc>
        <w:tc>
          <w:tcPr>
            <w:tcW w:w="1354" w:type="dxa"/>
          </w:tcPr>
          <w:p>
            <w:pPr>
              <w:pStyle w:val="TableParagraph"/>
              <w:spacing w:line="250" w:lineRule="exact" w:before="106"/>
              <w:ind w:left="236" w:right="222"/>
              <w:jc w:val="center"/>
              <w:rPr>
                <w:sz w:val="21"/>
              </w:rPr>
            </w:pPr>
            <w:r>
              <w:rPr>
                <w:sz w:val="21"/>
              </w:rPr>
              <w:t>保隆科技</w:t>
            </w:r>
          </w:p>
        </w:tc>
        <w:tc>
          <w:tcPr>
            <w:tcW w:w="1697" w:type="dxa"/>
          </w:tcPr>
          <w:p>
            <w:pPr>
              <w:pStyle w:val="TableParagraph"/>
              <w:spacing w:line="250" w:lineRule="exact" w:before="106"/>
              <w:ind w:right="1"/>
              <w:jc w:val="right"/>
              <w:rPr>
                <w:sz w:val="21"/>
              </w:rPr>
            </w:pPr>
            <w:r>
              <w:rPr>
                <w:sz w:val="21"/>
              </w:rPr>
              <w:t>4,175,310</w:t>
            </w:r>
          </w:p>
        </w:tc>
        <w:tc>
          <w:tcPr>
            <w:tcW w:w="2117" w:type="dxa"/>
          </w:tcPr>
          <w:p>
            <w:pPr>
              <w:pStyle w:val="TableParagraph"/>
              <w:spacing w:line="250" w:lineRule="exact" w:before="106"/>
              <w:jc w:val="right"/>
              <w:rPr>
                <w:sz w:val="21"/>
              </w:rPr>
            </w:pPr>
            <w:r>
              <w:rPr>
                <w:sz w:val="21"/>
              </w:rPr>
              <w:t>96,992,451.30</w:t>
            </w:r>
          </w:p>
        </w:tc>
        <w:tc>
          <w:tcPr>
            <w:tcW w:w="1364" w:type="dxa"/>
          </w:tcPr>
          <w:p>
            <w:pPr>
              <w:pStyle w:val="TableParagraph"/>
              <w:spacing w:line="250" w:lineRule="exact" w:before="106"/>
              <w:ind w:right="1"/>
              <w:jc w:val="right"/>
              <w:rPr>
                <w:sz w:val="21"/>
              </w:rPr>
            </w:pPr>
            <w:r>
              <w:rPr>
                <w:sz w:val="21"/>
              </w:rPr>
              <w:t>3.10</w:t>
            </w:r>
          </w:p>
        </w:tc>
      </w:tr>
    </w:tbl>
    <w:p>
      <w:pPr>
        <w:pStyle w:val="ListParagraph"/>
        <w:numPr>
          <w:ilvl w:val="0"/>
          <w:numId w:val="26"/>
        </w:numPr>
        <w:tabs>
          <w:tab w:pos="922" w:val="left" w:leader="none"/>
        </w:tabs>
        <w:spacing w:line="240" w:lineRule="auto" w:before="235" w:after="0"/>
        <w:ind w:left="922" w:right="0" w:hanging="264"/>
        <w:jc w:val="left"/>
        <w:rPr>
          <w:b/>
          <w:sz w:val="24"/>
        </w:rPr>
      </w:pPr>
      <w:r>
        <w:rPr>
          <w:b/>
          <w:sz w:val="24"/>
        </w:rPr>
        <w:t>报告期末按债券品种分类的债券投资组合</w:t>
      </w:r>
    </w:p>
    <w:p>
      <w:pPr>
        <w:pStyle w:val="BodyText"/>
        <w:spacing w:after="1"/>
        <w:rPr>
          <w:b/>
          <w:sz w:val="11"/>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344"/>
        <w:gridCol w:w="2753"/>
        <w:gridCol w:w="1582"/>
      </w:tblGrid>
      <w:tr>
        <w:trPr>
          <w:trHeight w:val="719" w:hRule="atLeast"/>
        </w:trPr>
        <w:tc>
          <w:tcPr>
            <w:tcW w:w="696" w:type="dxa"/>
            <w:shd w:val="clear" w:color="auto" w:fill="D9D9D9"/>
          </w:tcPr>
          <w:p>
            <w:pPr>
              <w:pStyle w:val="TableParagraph"/>
              <w:rPr>
                <w:b/>
                <w:sz w:val="21"/>
              </w:rPr>
            </w:pPr>
          </w:p>
          <w:p>
            <w:pPr>
              <w:pStyle w:val="TableParagraph"/>
              <w:ind w:left="117" w:right="108"/>
              <w:jc w:val="center"/>
              <w:rPr>
                <w:sz w:val="21"/>
              </w:rPr>
            </w:pPr>
            <w:r>
              <w:rPr>
                <w:sz w:val="21"/>
              </w:rPr>
              <w:t>序号</w:t>
            </w:r>
          </w:p>
        </w:tc>
        <w:tc>
          <w:tcPr>
            <w:tcW w:w="3344" w:type="dxa"/>
            <w:shd w:val="clear" w:color="auto" w:fill="D9D9D9"/>
          </w:tcPr>
          <w:p>
            <w:pPr>
              <w:pStyle w:val="TableParagraph"/>
              <w:rPr>
                <w:b/>
                <w:sz w:val="21"/>
              </w:rPr>
            </w:pPr>
          </w:p>
          <w:p>
            <w:pPr>
              <w:pStyle w:val="TableParagraph"/>
              <w:ind w:left="1231" w:right="1223"/>
              <w:jc w:val="center"/>
              <w:rPr>
                <w:sz w:val="21"/>
              </w:rPr>
            </w:pPr>
            <w:r>
              <w:rPr>
                <w:sz w:val="21"/>
              </w:rPr>
              <w:t>债券品种</w:t>
            </w:r>
          </w:p>
        </w:tc>
        <w:tc>
          <w:tcPr>
            <w:tcW w:w="2753" w:type="dxa"/>
            <w:shd w:val="clear" w:color="auto" w:fill="D9D9D9"/>
          </w:tcPr>
          <w:p>
            <w:pPr>
              <w:pStyle w:val="TableParagraph"/>
              <w:rPr>
                <w:b/>
                <w:sz w:val="21"/>
              </w:rPr>
            </w:pPr>
          </w:p>
          <w:p>
            <w:pPr>
              <w:pStyle w:val="TableParagraph"/>
              <w:ind w:left="640"/>
              <w:rPr>
                <w:sz w:val="21"/>
              </w:rPr>
            </w:pPr>
            <w:r>
              <w:rPr>
                <w:sz w:val="21"/>
              </w:rPr>
              <w:t>公允价值（元）</w:t>
            </w:r>
          </w:p>
        </w:tc>
        <w:tc>
          <w:tcPr>
            <w:tcW w:w="1582" w:type="dxa"/>
            <w:shd w:val="clear" w:color="auto" w:fill="D9D9D9"/>
          </w:tcPr>
          <w:p>
            <w:pPr>
              <w:pStyle w:val="TableParagraph"/>
              <w:spacing w:line="360" w:lineRule="exact" w:before="12"/>
              <w:ind w:left="314" w:right="43" w:hanging="262"/>
              <w:rPr>
                <w:sz w:val="21"/>
              </w:rPr>
            </w:pPr>
            <w:r>
              <w:rPr>
                <w:sz w:val="21"/>
              </w:rPr>
              <w:t>占基金资产净值比例（%）</w:t>
            </w:r>
          </w:p>
        </w:tc>
      </w:tr>
      <w:tr>
        <w:trPr>
          <w:trHeight w:val="347" w:hRule="atLeast"/>
        </w:trPr>
        <w:tc>
          <w:tcPr>
            <w:tcW w:w="696" w:type="dxa"/>
          </w:tcPr>
          <w:p>
            <w:pPr>
              <w:pStyle w:val="TableParagraph"/>
              <w:spacing w:line="250" w:lineRule="exact" w:before="77"/>
              <w:ind w:left="9"/>
              <w:jc w:val="center"/>
              <w:rPr>
                <w:sz w:val="21"/>
              </w:rPr>
            </w:pPr>
            <w:r>
              <w:rPr>
                <w:w w:val="100"/>
                <w:sz w:val="21"/>
              </w:rPr>
              <w:t>1</w:t>
            </w:r>
          </w:p>
        </w:tc>
        <w:tc>
          <w:tcPr>
            <w:tcW w:w="3344" w:type="dxa"/>
          </w:tcPr>
          <w:p>
            <w:pPr>
              <w:pStyle w:val="TableParagraph"/>
              <w:spacing w:line="250" w:lineRule="exact" w:before="77"/>
              <w:ind w:left="134"/>
              <w:rPr>
                <w:sz w:val="21"/>
              </w:rPr>
            </w:pPr>
            <w:r>
              <w:rPr>
                <w:sz w:val="21"/>
              </w:rPr>
              <w:t>国家债券</w:t>
            </w:r>
          </w:p>
        </w:tc>
        <w:tc>
          <w:tcPr>
            <w:tcW w:w="2753" w:type="dxa"/>
          </w:tcPr>
          <w:p>
            <w:pPr>
              <w:pStyle w:val="TableParagraph"/>
              <w:spacing w:line="250" w:lineRule="exact" w:before="77"/>
              <w:ind w:right="19"/>
              <w:jc w:val="right"/>
              <w:rPr>
                <w:sz w:val="21"/>
              </w:rPr>
            </w:pPr>
            <w:r>
              <w:rPr>
                <w:w w:val="100"/>
                <w:sz w:val="21"/>
              </w:rPr>
              <w:t>-</w:t>
            </w:r>
          </w:p>
        </w:tc>
        <w:tc>
          <w:tcPr>
            <w:tcW w:w="1582" w:type="dxa"/>
          </w:tcPr>
          <w:p>
            <w:pPr>
              <w:pStyle w:val="TableParagraph"/>
              <w:spacing w:line="250" w:lineRule="exact" w:before="77"/>
              <w:ind w:right="19"/>
              <w:jc w:val="right"/>
              <w:rPr>
                <w:sz w:val="21"/>
              </w:rPr>
            </w:pPr>
            <w:r>
              <w:rPr>
                <w:w w:val="100"/>
                <w:sz w:val="21"/>
              </w:rPr>
              <w:t>-</w:t>
            </w:r>
          </w:p>
        </w:tc>
      </w:tr>
      <w:tr>
        <w:trPr>
          <w:trHeight w:val="359" w:hRule="atLeast"/>
        </w:trPr>
        <w:tc>
          <w:tcPr>
            <w:tcW w:w="696" w:type="dxa"/>
          </w:tcPr>
          <w:p>
            <w:pPr>
              <w:pStyle w:val="TableParagraph"/>
              <w:spacing w:line="250" w:lineRule="exact" w:before="89"/>
              <w:ind w:left="9"/>
              <w:jc w:val="center"/>
              <w:rPr>
                <w:sz w:val="21"/>
              </w:rPr>
            </w:pPr>
            <w:r>
              <w:rPr>
                <w:w w:val="100"/>
                <w:sz w:val="21"/>
              </w:rPr>
              <w:t>2</w:t>
            </w:r>
          </w:p>
        </w:tc>
        <w:tc>
          <w:tcPr>
            <w:tcW w:w="3344" w:type="dxa"/>
          </w:tcPr>
          <w:p>
            <w:pPr>
              <w:pStyle w:val="TableParagraph"/>
              <w:spacing w:line="250" w:lineRule="exact" w:before="89"/>
              <w:ind w:left="134"/>
              <w:rPr>
                <w:sz w:val="21"/>
              </w:rPr>
            </w:pPr>
            <w:r>
              <w:rPr>
                <w:sz w:val="21"/>
              </w:rPr>
              <w:t>央行票据</w:t>
            </w:r>
          </w:p>
        </w:tc>
        <w:tc>
          <w:tcPr>
            <w:tcW w:w="2753" w:type="dxa"/>
          </w:tcPr>
          <w:p>
            <w:pPr>
              <w:pStyle w:val="TableParagraph"/>
              <w:spacing w:line="250" w:lineRule="exact" w:before="89"/>
              <w:ind w:right="19"/>
              <w:jc w:val="right"/>
              <w:rPr>
                <w:sz w:val="21"/>
              </w:rPr>
            </w:pPr>
            <w:r>
              <w:rPr>
                <w:w w:val="100"/>
                <w:sz w:val="21"/>
              </w:rPr>
              <w:t>-</w:t>
            </w:r>
          </w:p>
        </w:tc>
        <w:tc>
          <w:tcPr>
            <w:tcW w:w="1582" w:type="dxa"/>
          </w:tcPr>
          <w:p>
            <w:pPr>
              <w:pStyle w:val="TableParagraph"/>
              <w:spacing w:line="250" w:lineRule="exact" w:before="89"/>
              <w:ind w:right="19"/>
              <w:jc w:val="right"/>
              <w:rPr>
                <w:sz w:val="21"/>
              </w:rPr>
            </w:pPr>
            <w:r>
              <w:rPr>
                <w:w w:val="100"/>
                <w:sz w:val="21"/>
              </w:rPr>
              <w:t>-</w:t>
            </w:r>
          </w:p>
        </w:tc>
      </w:tr>
      <w:tr>
        <w:trPr>
          <w:trHeight w:val="359" w:hRule="atLeast"/>
        </w:trPr>
        <w:tc>
          <w:tcPr>
            <w:tcW w:w="696" w:type="dxa"/>
          </w:tcPr>
          <w:p>
            <w:pPr>
              <w:pStyle w:val="TableParagraph"/>
              <w:spacing w:line="250" w:lineRule="exact" w:before="90"/>
              <w:ind w:left="9"/>
              <w:jc w:val="center"/>
              <w:rPr>
                <w:sz w:val="21"/>
              </w:rPr>
            </w:pPr>
            <w:r>
              <w:rPr>
                <w:w w:val="100"/>
                <w:sz w:val="21"/>
              </w:rPr>
              <w:t>3</w:t>
            </w:r>
          </w:p>
        </w:tc>
        <w:tc>
          <w:tcPr>
            <w:tcW w:w="3344" w:type="dxa"/>
          </w:tcPr>
          <w:p>
            <w:pPr>
              <w:pStyle w:val="TableParagraph"/>
              <w:spacing w:line="250" w:lineRule="exact" w:before="90"/>
              <w:ind w:left="134"/>
              <w:rPr>
                <w:sz w:val="21"/>
              </w:rPr>
            </w:pPr>
            <w:r>
              <w:rPr>
                <w:sz w:val="21"/>
              </w:rPr>
              <w:t>金融债券</w:t>
            </w:r>
          </w:p>
        </w:tc>
        <w:tc>
          <w:tcPr>
            <w:tcW w:w="2753" w:type="dxa"/>
          </w:tcPr>
          <w:p>
            <w:pPr>
              <w:pStyle w:val="TableParagraph"/>
              <w:spacing w:line="250" w:lineRule="exact" w:before="90"/>
              <w:ind w:right="16"/>
              <w:jc w:val="right"/>
              <w:rPr>
                <w:sz w:val="21"/>
              </w:rPr>
            </w:pPr>
            <w:r>
              <w:rPr>
                <w:sz w:val="21"/>
              </w:rPr>
              <w:t>641,797,000.00</w:t>
            </w:r>
          </w:p>
        </w:tc>
        <w:tc>
          <w:tcPr>
            <w:tcW w:w="1582" w:type="dxa"/>
          </w:tcPr>
          <w:p>
            <w:pPr>
              <w:pStyle w:val="TableParagraph"/>
              <w:spacing w:line="250" w:lineRule="exact" w:before="90"/>
              <w:ind w:right="16"/>
              <w:jc w:val="right"/>
              <w:rPr>
                <w:sz w:val="21"/>
              </w:rPr>
            </w:pPr>
            <w:r>
              <w:rPr>
                <w:sz w:val="21"/>
              </w:rPr>
              <w:t>20.50</w:t>
            </w:r>
          </w:p>
        </w:tc>
      </w:tr>
      <w:tr>
        <w:trPr>
          <w:trHeight w:val="362" w:hRule="atLeast"/>
        </w:trPr>
        <w:tc>
          <w:tcPr>
            <w:tcW w:w="696" w:type="dxa"/>
          </w:tcPr>
          <w:p>
            <w:pPr>
              <w:pStyle w:val="TableParagraph"/>
              <w:rPr>
                <w:rFonts w:ascii="Times New Roman"/>
                <w:sz w:val="20"/>
              </w:rPr>
            </w:pPr>
          </w:p>
        </w:tc>
        <w:tc>
          <w:tcPr>
            <w:tcW w:w="3344" w:type="dxa"/>
          </w:tcPr>
          <w:p>
            <w:pPr>
              <w:pStyle w:val="TableParagraph"/>
              <w:spacing w:line="250" w:lineRule="exact" w:before="92"/>
              <w:ind w:left="134"/>
              <w:rPr>
                <w:sz w:val="21"/>
              </w:rPr>
            </w:pPr>
            <w:r>
              <w:rPr>
                <w:sz w:val="21"/>
              </w:rPr>
              <w:t>其中：政策性金融债</w:t>
            </w:r>
          </w:p>
        </w:tc>
        <w:tc>
          <w:tcPr>
            <w:tcW w:w="2753" w:type="dxa"/>
          </w:tcPr>
          <w:p>
            <w:pPr>
              <w:pStyle w:val="TableParagraph"/>
              <w:spacing w:line="250" w:lineRule="exact" w:before="92"/>
              <w:ind w:right="16"/>
              <w:jc w:val="right"/>
              <w:rPr>
                <w:sz w:val="21"/>
              </w:rPr>
            </w:pPr>
            <w:r>
              <w:rPr>
                <w:sz w:val="21"/>
              </w:rPr>
              <w:t>641,797,000.00</w:t>
            </w:r>
          </w:p>
        </w:tc>
        <w:tc>
          <w:tcPr>
            <w:tcW w:w="1582" w:type="dxa"/>
          </w:tcPr>
          <w:p>
            <w:pPr>
              <w:pStyle w:val="TableParagraph"/>
              <w:spacing w:line="250" w:lineRule="exact" w:before="92"/>
              <w:ind w:right="16"/>
              <w:jc w:val="right"/>
              <w:rPr>
                <w:sz w:val="21"/>
              </w:rPr>
            </w:pPr>
            <w:r>
              <w:rPr>
                <w:sz w:val="21"/>
              </w:rPr>
              <w:t>20.50</w:t>
            </w:r>
          </w:p>
        </w:tc>
      </w:tr>
      <w:tr>
        <w:trPr>
          <w:trHeight w:val="359" w:hRule="atLeast"/>
        </w:trPr>
        <w:tc>
          <w:tcPr>
            <w:tcW w:w="696" w:type="dxa"/>
          </w:tcPr>
          <w:p>
            <w:pPr>
              <w:pStyle w:val="TableParagraph"/>
              <w:spacing w:line="250" w:lineRule="exact" w:before="89"/>
              <w:ind w:left="9"/>
              <w:jc w:val="center"/>
              <w:rPr>
                <w:sz w:val="21"/>
              </w:rPr>
            </w:pPr>
            <w:r>
              <w:rPr>
                <w:w w:val="100"/>
                <w:sz w:val="21"/>
              </w:rPr>
              <w:t>4</w:t>
            </w:r>
          </w:p>
        </w:tc>
        <w:tc>
          <w:tcPr>
            <w:tcW w:w="3344" w:type="dxa"/>
          </w:tcPr>
          <w:p>
            <w:pPr>
              <w:pStyle w:val="TableParagraph"/>
              <w:spacing w:line="250" w:lineRule="exact" w:before="89"/>
              <w:ind w:left="134"/>
              <w:rPr>
                <w:sz w:val="21"/>
              </w:rPr>
            </w:pPr>
            <w:r>
              <w:rPr>
                <w:sz w:val="21"/>
              </w:rPr>
              <w:t>企业债券</w:t>
            </w:r>
          </w:p>
        </w:tc>
        <w:tc>
          <w:tcPr>
            <w:tcW w:w="2753" w:type="dxa"/>
          </w:tcPr>
          <w:p>
            <w:pPr>
              <w:pStyle w:val="TableParagraph"/>
              <w:spacing w:line="250" w:lineRule="exact" w:before="89"/>
              <w:ind w:right="19"/>
              <w:jc w:val="right"/>
              <w:rPr>
                <w:sz w:val="21"/>
              </w:rPr>
            </w:pPr>
            <w:r>
              <w:rPr>
                <w:w w:val="100"/>
                <w:sz w:val="21"/>
              </w:rPr>
              <w:t>-</w:t>
            </w:r>
          </w:p>
        </w:tc>
        <w:tc>
          <w:tcPr>
            <w:tcW w:w="1582" w:type="dxa"/>
          </w:tcPr>
          <w:p>
            <w:pPr>
              <w:pStyle w:val="TableParagraph"/>
              <w:spacing w:line="250" w:lineRule="exact" w:before="89"/>
              <w:ind w:right="19"/>
              <w:jc w:val="right"/>
              <w:rPr>
                <w:sz w:val="21"/>
              </w:rPr>
            </w:pPr>
            <w:r>
              <w:rPr>
                <w:w w:val="100"/>
                <w:sz w:val="21"/>
              </w:rPr>
              <w:t>-</w:t>
            </w:r>
          </w:p>
        </w:tc>
      </w:tr>
      <w:tr>
        <w:trPr>
          <w:trHeight w:val="359" w:hRule="atLeast"/>
        </w:trPr>
        <w:tc>
          <w:tcPr>
            <w:tcW w:w="696" w:type="dxa"/>
          </w:tcPr>
          <w:p>
            <w:pPr>
              <w:pStyle w:val="TableParagraph"/>
              <w:spacing w:line="250" w:lineRule="exact" w:before="90"/>
              <w:ind w:left="9"/>
              <w:jc w:val="center"/>
              <w:rPr>
                <w:sz w:val="21"/>
              </w:rPr>
            </w:pPr>
            <w:r>
              <w:rPr>
                <w:w w:val="100"/>
                <w:sz w:val="21"/>
              </w:rPr>
              <w:t>5</w:t>
            </w:r>
          </w:p>
        </w:tc>
        <w:tc>
          <w:tcPr>
            <w:tcW w:w="3344" w:type="dxa"/>
          </w:tcPr>
          <w:p>
            <w:pPr>
              <w:pStyle w:val="TableParagraph"/>
              <w:spacing w:line="250" w:lineRule="exact" w:before="90"/>
              <w:ind w:left="134"/>
              <w:rPr>
                <w:sz w:val="21"/>
              </w:rPr>
            </w:pPr>
            <w:r>
              <w:rPr>
                <w:sz w:val="21"/>
              </w:rPr>
              <w:t>企业短期融资券</w:t>
            </w:r>
          </w:p>
        </w:tc>
        <w:tc>
          <w:tcPr>
            <w:tcW w:w="2753" w:type="dxa"/>
          </w:tcPr>
          <w:p>
            <w:pPr>
              <w:pStyle w:val="TableParagraph"/>
              <w:spacing w:line="250" w:lineRule="exact" w:before="90"/>
              <w:ind w:right="19"/>
              <w:jc w:val="right"/>
              <w:rPr>
                <w:sz w:val="21"/>
              </w:rPr>
            </w:pPr>
            <w:r>
              <w:rPr>
                <w:w w:val="100"/>
                <w:sz w:val="21"/>
              </w:rPr>
              <w:t>-</w:t>
            </w:r>
          </w:p>
        </w:tc>
        <w:tc>
          <w:tcPr>
            <w:tcW w:w="1582" w:type="dxa"/>
          </w:tcPr>
          <w:p>
            <w:pPr>
              <w:pStyle w:val="TableParagraph"/>
              <w:spacing w:line="250" w:lineRule="exact" w:before="90"/>
              <w:ind w:right="19"/>
              <w:jc w:val="right"/>
              <w:rPr>
                <w:sz w:val="21"/>
              </w:rPr>
            </w:pPr>
            <w:r>
              <w:rPr>
                <w:w w:val="100"/>
                <w:sz w:val="21"/>
              </w:rPr>
              <w:t>-</w:t>
            </w:r>
          </w:p>
        </w:tc>
      </w:tr>
      <w:tr>
        <w:trPr>
          <w:trHeight w:val="360" w:hRule="atLeast"/>
        </w:trPr>
        <w:tc>
          <w:tcPr>
            <w:tcW w:w="696" w:type="dxa"/>
          </w:tcPr>
          <w:p>
            <w:pPr>
              <w:pStyle w:val="TableParagraph"/>
              <w:spacing w:line="250" w:lineRule="exact" w:before="90"/>
              <w:ind w:left="9"/>
              <w:jc w:val="center"/>
              <w:rPr>
                <w:sz w:val="21"/>
              </w:rPr>
            </w:pPr>
            <w:r>
              <w:rPr>
                <w:w w:val="100"/>
                <w:sz w:val="21"/>
              </w:rPr>
              <w:t>6</w:t>
            </w:r>
          </w:p>
        </w:tc>
        <w:tc>
          <w:tcPr>
            <w:tcW w:w="3344" w:type="dxa"/>
          </w:tcPr>
          <w:p>
            <w:pPr>
              <w:pStyle w:val="TableParagraph"/>
              <w:spacing w:line="250" w:lineRule="exact" w:before="90"/>
              <w:ind w:left="134"/>
              <w:rPr>
                <w:sz w:val="21"/>
              </w:rPr>
            </w:pPr>
            <w:r>
              <w:rPr>
                <w:sz w:val="21"/>
              </w:rPr>
              <w:t>中期票据</w:t>
            </w:r>
          </w:p>
        </w:tc>
        <w:tc>
          <w:tcPr>
            <w:tcW w:w="2753" w:type="dxa"/>
          </w:tcPr>
          <w:p>
            <w:pPr>
              <w:pStyle w:val="TableParagraph"/>
              <w:spacing w:line="250" w:lineRule="exact" w:before="90"/>
              <w:ind w:right="19"/>
              <w:jc w:val="right"/>
              <w:rPr>
                <w:sz w:val="21"/>
              </w:rPr>
            </w:pPr>
            <w:r>
              <w:rPr>
                <w:w w:val="100"/>
                <w:sz w:val="21"/>
              </w:rPr>
              <w:t>-</w:t>
            </w:r>
          </w:p>
        </w:tc>
        <w:tc>
          <w:tcPr>
            <w:tcW w:w="1582" w:type="dxa"/>
          </w:tcPr>
          <w:p>
            <w:pPr>
              <w:pStyle w:val="TableParagraph"/>
              <w:spacing w:line="250" w:lineRule="exact" w:before="90"/>
              <w:ind w:right="19"/>
              <w:jc w:val="right"/>
              <w:rPr>
                <w:sz w:val="21"/>
              </w:rPr>
            </w:pPr>
            <w:r>
              <w:rPr>
                <w:w w:val="100"/>
                <w:sz w:val="21"/>
              </w:rPr>
              <w:t>-</w:t>
            </w:r>
          </w:p>
        </w:tc>
      </w:tr>
      <w:tr>
        <w:trPr>
          <w:trHeight w:val="359" w:hRule="atLeast"/>
        </w:trPr>
        <w:tc>
          <w:tcPr>
            <w:tcW w:w="696" w:type="dxa"/>
          </w:tcPr>
          <w:p>
            <w:pPr>
              <w:pStyle w:val="TableParagraph"/>
              <w:spacing w:line="250" w:lineRule="exact" w:before="89"/>
              <w:ind w:left="9"/>
              <w:jc w:val="center"/>
              <w:rPr>
                <w:sz w:val="21"/>
              </w:rPr>
            </w:pPr>
            <w:r>
              <w:rPr>
                <w:w w:val="100"/>
                <w:sz w:val="21"/>
              </w:rPr>
              <w:t>7</w:t>
            </w:r>
          </w:p>
        </w:tc>
        <w:tc>
          <w:tcPr>
            <w:tcW w:w="3344" w:type="dxa"/>
          </w:tcPr>
          <w:p>
            <w:pPr>
              <w:pStyle w:val="TableParagraph"/>
              <w:spacing w:line="250" w:lineRule="exact" w:before="89"/>
              <w:ind w:left="134"/>
              <w:rPr>
                <w:sz w:val="21"/>
              </w:rPr>
            </w:pPr>
            <w:r>
              <w:rPr>
                <w:sz w:val="21"/>
              </w:rPr>
              <w:t>可转债（可交换债）</w:t>
            </w:r>
          </w:p>
        </w:tc>
        <w:tc>
          <w:tcPr>
            <w:tcW w:w="2753" w:type="dxa"/>
          </w:tcPr>
          <w:p>
            <w:pPr>
              <w:pStyle w:val="TableParagraph"/>
              <w:spacing w:line="250" w:lineRule="exact" w:before="89"/>
              <w:ind w:right="19"/>
              <w:jc w:val="right"/>
              <w:rPr>
                <w:sz w:val="21"/>
              </w:rPr>
            </w:pPr>
            <w:r>
              <w:rPr>
                <w:w w:val="100"/>
                <w:sz w:val="21"/>
              </w:rPr>
              <w:t>-</w:t>
            </w:r>
          </w:p>
        </w:tc>
        <w:tc>
          <w:tcPr>
            <w:tcW w:w="1582" w:type="dxa"/>
          </w:tcPr>
          <w:p>
            <w:pPr>
              <w:pStyle w:val="TableParagraph"/>
              <w:spacing w:line="250" w:lineRule="exact" w:before="89"/>
              <w:ind w:right="19"/>
              <w:jc w:val="right"/>
              <w:rPr>
                <w:sz w:val="21"/>
              </w:rPr>
            </w:pPr>
            <w:r>
              <w:rPr>
                <w:w w:val="100"/>
                <w:sz w:val="21"/>
              </w:rPr>
              <w:t>-</w:t>
            </w:r>
          </w:p>
        </w:tc>
      </w:tr>
      <w:tr>
        <w:trPr>
          <w:trHeight w:val="359" w:hRule="atLeast"/>
        </w:trPr>
        <w:tc>
          <w:tcPr>
            <w:tcW w:w="696" w:type="dxa"/>
          </w:tcPr>
          <w:p>
            <w:pPr>
              <w:pStyle w:val="TableParagraph"/>
              <w:spacing w:line="250" w:lineRule="exact" w:before="90"/>
              <w:ind w:left="9"/>
              <w:jc w:val="center"/>
              <w:rPr>
                <w:sz w:val="21"/>
              </w:rPr>
            </w:pPr>
            <w:r>
              <w:rPr>
                <w:w w:val="100"/>
                <w:sz w:val="21"/>
              </w:rPr>
              <w:t>8</w:t>
            </w:r>
          </w:p>
        </w:tc>
        <w:tc>
          <w:tcPr>
            <w:tcW w:w="3344" w:type="dxa"/>
          </w:tcPr>
          <w:p>
            <w:pPr>
              <w:pStyle w:val="TableParagraph"/>
              <w:spacing w:line="250" w:lineRule="exact" w:before="90"/>
              <w:ind w:left="134"/>
              <w:rPr>
                <w:sz w:val="21"/>
              </w:rPr>
            </w:pPr>
            <w:r>
              <w:rPr>
                <w:sz w:val="21"/>
              </w:rPr>
              <w:t>同业存单</w:t>
            </w:r>
          </w:p>
        </w:tc>
        <w:tc>
          <w:tcPr>
            <w:tcW w:w="2753" w:type="dxa"/>
          </w:tcPr>
          <w:p>
            <w:pPr>
              <w:pStyle w:val="TableParagraph"/>
              <w:spacing w:line="250" w:lineRule="exact" w:before="90"/>
              <w:ind w:right="19"/>
              <w:jc w:val="right"/>
              <w:rPr>
                <w:sz w:val="21"/>
              </w:rPr>
            </w:pPr>
            <w:r>
              <w:rPr>
                <w:w w:val="100"/>
                <w:sz w:val="21"/>
              </w:rPr>
              <w:t>-</w:t>
            </w:r>
          </w:p>
        </w:tc>
        <w:tc>
          <w:tcPr>
            <w:tcW w:w="1582" w:type="dxa"/>
          </w:tcPr>
          <w:p>
            <w:pPr>
              <w:pStyle w:val="TableParagraph"/>
              <w:spacing w:line="250" w:lineRule="exact" w:before="90"/>
              <w:ind w:right="19"/>
              <w:jc w:val="right"/>
              <w:rPr>
                <w:sz w:val="21"/>
              </w:rPr>
            </w:pPr>
            <w:r>
              <w:rPr>
                <w:w w:val="100"/>
                <w:sz w:val="21"/>
              </w:rPr>
              <w:t>-</w:t>
            </w:r>
          </w:p>
        </w:tc>
      </w:tr>
      <w:tr>
        <w:trPr>
          <w:trHeight w:val="361" w:hRule="atLeast"/>
        </w:trPr>
        <w:tc>
          <w:tcPr>
            <w:tcW w:w="696" w:type="dxa"/>
          </w:tcPr>
          <w:p>
            <w:pPr>
              <w:pStyle w:val="TableParagraph"/>
              <w:spacing w:line="250" w:lineRule="exact" w:before="92"/>
              <w:ind w:left="9"/>
              <w:jc w:val="center"/>
              <w:rPr>
                <w:sz w:val="21"/>
              </w:rPr>
            </w:pPr>
            <w:r>
              <w:rPr>
                <w:w w:val="100"/>
                <w:sz w:val="21"/>
              </w:rPr>
              <w:t>9</w:t>
            </w:r>
          </w:p>
        </w:tc>
        <w:tc>
          <w:tcPr>
            <w:tcW w:w="3344" w:type="dxa"/>
          </w:tcPr>
          <w:p>
            <w:pPr>
              <w:pStyle w:val="TableParagraph"/>
              <w:spacing w:line="250" w:lineRule="exact" w:before="92"/>
              <w:ind w:left="134"/>
              <w:rPr>
                <w:sz w:val="21"/>
              </w:rPr>
            </w:pPr>
            <w:r>
              <w:rPr>
                <w:sz w:val="21"/>
              </w:rPr>
              <w:t>其他</w:t>
            </w:r>
          </w:p>
        </w:tc>
        <w:tc>
          <w:tcPr>
            <w:tcW w:w="2753" w:type="dxa"/>
          </w:tcPr>
          <w:p>
            <w:pPr>
              <w:pStyle w:val="TableParagraph"/>
              <w:spacing w:line="250" w:lineRule="exact" w:before="92"/>
              <w:ind w:right="19"/>
              <w:jc w:val="right"/>
              <w:rPr>
                <w:sz w:val="21"/>
              </w:rPr>
            </w:pPr>
            <w:r>
              <w:rPr>
                <w:w w:val="100"/>
                <w:sz w:val="21"/>
              </w:rPr>
              <w:t>-</w:t>
            </w:r>
          </w:p>
        </w:tc>
        <w:tc>
          <w:tcPr>
            <w:tcW w:w="1582" w:type="dxa"/>
          </w:tcPr>
          <w:p>
            <w:pPr>
              <w:pStyle w:val="TableParagraph"/>
              <w:spacing w:line="250" w:lineRule="exact" w:before="92"/>
              <w:ind w:right="19"/>
              <w:jc w:val="right"/>
              <w:rPr>
                <w:sz w:val="21"/>
              </w:rPr>
            </w:pPr>
            <w:r>
              <w:rPr>
                <w:w w:val="100"/>
                <w:sz w:val="21"/>
              </w:rPr>
              <w:t>-</w:t>
            </w:r>
          </w:p>
        </w:tc>
      </w:tr>
      <w:tr>
        <w:trPr>
          <w:trHeight w:val="359" w:hRule="atLeast"/>
        </w:trPr>
        <w:tc>
          <w:tcPr>
            <w:tcW w:w="696" w:type="dxa"/>
          </w:tcPr>
          <w:p>
            <w:pPr>
              <w:pStyle w:val="TableParagraph"/>
              <w:spacing w:line="250" w:lineRule="exact" w:before="89"/>
              <w:ind w:left="117" w:right="108"/>
              <w:jc w:val="center"/>
              <w:rPr>
                <w:sz w:val="21"/>
              </w:rPr>
            </w:pPr>
            <w:r>
              <w:rPr>
                <w:sz w:val="21"/>
              </w:rPr>
              <w:t>10</w:t>
            </w:r>
          </w:p>
        </w:tc>
        <w:tc>
          <w:tcPr>
            <w:tcW w:w="3344" w:type="dxa"/>
          </w:tcPr>
          <w:p>
            <w:pPr>
              <w:pStyle w:val="TableParagraph"/>
              <w:spacing w:line="250" w:lineRule="exact" w:before="89"/>
              <w:ind w:left="134"/>
              <w:rPr>
                <w:sz w:val="21"/>
              </w:rPr>
            </w:pPr>
            <w:r>
              <w:rPr>
                <w:sz w:val="21"/>
              </w:rPr>
              <w:t>合计</w:t>
            </w:r>
          </w:p>
        </w:tc>
        <w:tc>
          <w:tcPr>
            <w:tcW w:w="2753" w:type="dxa"/>
          </w:tcPr>
          <w:p>
            <w:pPr>
              <w:pStyle w:val="TableParagraph"/>
              <w:spacing w:line="250" w:lineRule="exact" w:before="89"/>
              <w:ind w:right="16"/>
              <w:jc w:val="right"/>
              <w:rPr>
                <w:sz w:val="21"/>
              </w:rPr>
            </w:pPr>
            <w:r>
              <w:rPr>
                <w:sz w:val="21"/>
              </w:rPr>
              <w:t>641,797,000.00</w:t>
            </w:r>
          </w:p>
        </w:tc>
        <w:tc>
          <w:tcPr>
            <w:tcW w:w="1582" w:type="dxa"/>
          </w:tcPr>
          <w:p>
            <w:pPr>
              <w:pStyle w:val="TableParagraph"/>
              <w:spacing w:line="250" w:lineRule="exact" w:before="89"/>
              <w:ind w:right="16"/>
              <w:jc w:val="right"/>
              <w:rPr>
                <w:sz w:val="21"/>
              </w:rPr>
            </w:pPr>
            <w:r>
              <w:rPr>
                <w:sz w:val="21"/>
              </w:rPr>
              <w:t>20.50</w:t>
            </w:r>
          </w:p>
        </w:tc>
      </w:tr>
    </w:tbl>
    <w:p>
      <w:pPr>
        <w:pStyle w:val="ListParagraph"/>
        <w:numPr>
          <w:ilvl w:val="0"/>
          <w:numId w:val="26"/>
        </w:numPr>
        <w:tabs>
          <w:tab w:pos="922" w:val="left" w:leader="none"/>
        </w:tabs>
        <w:spacing w:line="240" w:lineRule="auto" w:before="235" w:after="0"/>
        <w:ind w:left="922" w:right="0" w:hanging="264"/>
        <w:jc w:val="left"/>
        <w:rPr>
          <w:b/>
          <w:sz w:val="24"/>
        </w:rPr>
      </w:pPr>
      <w:r>
        <w:rPr/>
        <w:pict>
          <v:shape style="position:absolute;margin-left:88.944pt;margin-top:34.190022pt;width:417.95pt;height:76.2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205"/>
                    <w:gridCol w:w="1292"/>
                    <w:gridCol w:w="1959"/>
                    <w:gridCol w:w="2064"/>
                    <w:gridCol w:w="1287"/>
                  </w:tblGrid>
                  <w:tr>
                    <w:trPr>
                      <w:trHeight w:val="733" w:hRule="atLeast"/>
                    </w:trPr>
                    <w:tc>
                      <w:tcPr>
                        <w:tcW w:w="538" w:type="dxa"/>
                        <w:shd w:val="clear" w:color="auto" w:fill="D9D9D9"/>
                      </w:tcPr>
                      <w:p>
                        <w:pPr>
                          <w:pStyle w:val="TableParagraph"/>
                          <w:spacing w:before="2"/>
                          <w:rPr>
                            <w:sz w:val="22"/>
                          </w:rPr>
                        </w:pPr>
                      </w:p>
                      <w:p>
                        <w:pPr>
                          <w:pStyle w:val="TableParagraph"/>
                          <w:ind w:left="36" w:right="32"/>
                          <w:jc w:val="center"/>
                          <w:rPr>
                            <w:sz w:val="21"/>
                          </w:rPr>
                        </w:pPr>
                        <w:r>
                          <w:rPr>
                            <w:sz w:val="21"/>
                          </w:rPr>
                          <w:t>序号</w:t>
                        </w:r>
                      </w:p>
                    </w:tc>
                    <w:tc>
                      <w:tcPr>
                        <w:tcW w:w="1205" w:type="dxa"/>
                        <w:shd w:val="clear" w:color="auto" w:fill="D9D9D9"/>
                      </w:tcPr>
                      <w:p>
                        <w:pPr>
                          <w:pStyle w:val="TableParagraph"/>
                          <w:spacing w:before="2"/>
                          <w:rPr>
                            <w:sz w:val="22"/>
                          </w:rPr>
                        </w:pPr>
                      </w:p>
                      <w:p>
                        <w:pPr>
                          <w:pStyle w:val="TableParagraph"/>
                          <w:ind w:left="160" w:right="154"/>
                          <w:jc w:val="center"/>
                          <w:rPr>
                            <w:sz w:val="21"/>
                          </w:rPr>
                        </w:pPr>
                        <w:r>
                          <w:rPr>
                            <w:sz w:val="21"/>
                          </w:rPr>
                          <w:t>债券代码</w:t>
                        </w:r>
                      </w:p>
                    </w:tc>
                    <w:tc>
                      <w:tcPr>
                        <w:tcW w:w="1292" w:type="dxa"/>
                        <w:shd w:val="clear" w:color="auto" w:fill="D9D9D9"/>
                      </w:tcPr>
                      <w:p>
                        <w:pPr>
                          <w:pStyle w:val="TableParagraph"/>
                          <w:spacing w:before="2"/>
                          <w:rPr>
                            <w:sz w:val="22"/>
                          </w:rPr>
                        </w:pPr>
                      </w:p>
                      <w:p>
                        <w:pPr>
                          <w:pStyle w:val="TableParagraph"/>
                          <w:ind w:left="98" w:right="93"/>
                          <w:jc w:val="center"/>
                          <w:rPr>
                            <w:sz w:val="21"/>
                          </w:rPr>
                        </w:pPr>
                        <w:r>
                          <w:rPr>
                            <w:sz w:val="21"/>
                          </w:rPr>
                          <w:t>债券名称</w:t>
                        </w:r>
                      </w:p>
                    </w:tc>
                    <w:tc>
                      <w:tcPr>
                        <w:tcW w:w="1959" w:type="dxa"/>
                        <w:shd w:val="clear" w:color="auto" w:fill="D9D9D9"/>
                      </w:tcPr>
                      <w:p>
                        <w:pPr>
                          <w:pStyle w:val="TableParagraph"/>
                          <w:spacing w:before="2"/>
                          <w:rPr>
                            <w:sz w:val="22"/>
                          </w:rPr>
                        </w:pPr>
                      </w:p>
                      <w:p>
                        <w:pPr>
                          <w:pStyle w:val="TableParagraph"/>
                          <w:ind w:left="452"/>
                          <w:rPr>
                            <w:sz w:val="21"/>
                          </w:rPr>
                        </w:pPr>
                        <w:r>
                          <w:rPr>
                            <w:sz w:val="21"/>
                          </w:rPr>
                          <w:t>数量（张）</w:t>
                        </w:r>
                      </w:p>
                    </w:tc>
                    <w:tc>
                      <w:tcPr>
                        <w:tcW w:w="2064" w:type="dxa"/>
                        <w:shd w:val="clear" w:color="auto" w:fill="D9D9D9"/>
                      </w:tcPr>
                      <w:p>
                        <w:pPr>
                          <w:pStyle w:val="TableParagraph"/>
                          <w:spacing w:before="2"/>
                          <w:rPr>
                            <w:sz w:val="22"/>
                          </w:rPr>
                        </w:pPr>
                      </w:p>
                      <w:p>
                        <w:pPr>
                          <w:pStyle w:val="TableParagraph"/>
                          <w:ind w:left="293"/>
                          <w:rPr>
                            <w:sz w:val="21"/>
                          </w:rPr>
                        </w:pPr>
                        <w:r>
                          <w:rPr>
                            <w:sz w:val="21"/>
                          </w:rPr>
                          <w:t>公允价值（元）</w:t>
                        </w:r>
                      </w:p>
                    </w:tc>
                    <w:tc>
                      <w:tcPr>
                        <w:tcW w:w="1287" w:type="dxa"/>
                        <w:shd w:val="clear" w:color="auto" w:fill="D9D9D9"/>
                      </w:tcPr>
                      <w:p>
                        <w:pPr>
                          <w:pStyle w:val="TableParagraph"/>
                          <w:spacing w:line="360" w:lineRule="atLeast" w:before="13"/>
                          <w:ind w:left="13" w:right="106" w:firstLine="101"/>
                          <w:rPr>
                            <w:sz w:val="21"/>
                          </w:rPr>
                        </w:pPr>
                        <w:r>
                          <w:rPr>
                            <w:sz w:val="21"/>
                          </w:rPr>
                          <w:t>占基金资产净值比例（%</w:t>
                        </w:r>
                      </w:p>
                    </w:tc>
                  </w:tr>
                  <w:tr>
                    <w:trPr>
                      <w:trHeight w:val="376" w:hRule="atLeast"/>
                    </w:trPr>
                    <w:tc>
                      <w:tcPr>
                        <w:tcW w:w="538" w:type="dxa"/>
                      </w:tcPr>
                      <w:p>
                        <w:pPr>
                          <w:pStyle w:val="TableParagraph"/>
                          <w:spacing w:line="250" w:lineRule="exact" w:before="107"/>
                          <w:ind w:left="4"/>
                          <w:jc w:val="center"/>
                          <w:rPr>
                            <w:sz w:val="21"/>
                          </w:rPr>
                        </w:pPr>
                        <w:r>
                          <w:rPr>
                            <w:w w:val="100"/>
                            <w:sz w:val="21"/>
                          </w:rPr>
                          <w:t>1</w:t>
                        </w:r>
                      </w:p>
                    </w:tc>
                    <w:tc>
                      <w:tcPr>
                        <w:tcW w:w="1205" w:type="dxa"/>
                      </w:tcPr>
                      <w:p>
                        <w:pPr>
                          <w:pStyle w:val="TableParagraph"/>
                          <w:spacing w:line="250" w:lineRule="exact" w:before="107"/>
                          <w:ind w:left="160" w:right="152"/>
                          <w:jc w:val="center"/>
                          <w:rPr>
                            <w:sz w:val="21"/>
                          </w:rPr>
                        </w:pPr>
                        <w:r>
                          <w:rPr>
                            <w:sz w:val="21"/>
                          </w:rPr>
                          <w:t>180202</w:t>
                        </w:r>
                      </w:p>
                    </w:tc>
                    <w:tc>
                      <w:tcPr>
                        <w:tcW w:w="1292" w:type="dxa"/>
                      </w:tcPr>
                      <w:p>
                        <w:pPr>
                          <w:pStyle w:val="TableParagraph"/>
                          <w:spacing w:line="250" w:lineRule="exact" w:before="107"/>
                          <w:ind w:left="98" w:right="93"/>
                          <w:jc w:val="center"/>
                          <w:rPr>
                            <w:sz w:val="21"/>
                          </w:rPr>
                        </w:pPr>
                        <w:r>
                          <w:rPr>
                            <w:sz w:val="21"/>
                          </w:rPr>
                          <w:t>18 国开 02</w:t>
                        </w:r>
                      </w:p>
                    </w:tc>
                    <w:tc>
                      <w:tcPr>
                        <w:tcW w:w="1959" w:type="dxa"/>
                      </w:tcPr>
                      <w:p>
                        <w:pPr>
                          <w:pStyle w:val="TableParagraph"/>
                          <w:spacing w:line="250" w:lineRule="exact" w:before="107"/>
                          <w:ind w:right="1"/>
                          <w:jc w:val="right"/>
                          <w:rPr>
                            <w:sz w:val="21"/>
                          </w:rPr>
                        </w:pPr>
                        <w:r>
                          <w:rPr>
                            <w:sz w:val="21"/>
                          </w:rPr>
                          <w:t>2,100,000</w:t>
                        </w:r>
                      </w:p>
                    </w:tc>
                    <w:tc>
                      <w:tcPr>
                        <w:tcW w:w="2064" w:type="dxa"/>
                      </w:tcPr>
                      <w:p>
                        <w:pPr>
                          <w:pStyle w:val="TableParagraph"/>
                          <w:spacing w:line="250" w:lineRule="exact" w:before="107"/>
                          <w:ind w:right="3"/>
                          <w:jc w:val="right"/>
                          <w:rPr>
                            <w:sz w:val="21"/>
                          </w:rPr>
                        </w:pPr>
                        <w:r>
                          <w:rPr>
                            <w:sz w:val="21"/>
                          </w:rPr>
                          <w:t>211,386,000.00</w:t>
                        </w:r>
                      </w:p>
                    </w:tc>
                    <w:tc>
                      <w:tcPr>
                        <w:tcW w:w="1287" w:type="dxa"/>
                      </w:tcPr>
                      <w:p>
                        <w:pPr>
                          <w:pStyle w:val="TableParagraph"/>
                          <w:spacing w:line="250" w:lineRule="exact" w:before="107"/>
                          <w:ind w:right="3"/>
                          <w:jc w:val="right"/>
                          <w:rPr>
                            <w:sz w:val="21"/>
                          </w:rPr>
                        </w:pPr>
                        <w:r>
                          <w:rPr>
                            <w:sz w:val="21"/>
                          </w:rPr>
                          <w:t>6.75</w:t>
                        </w:r>
                      </w:p>
                    </w:tc>
                  </w:tr>
                  <w:tr>
                    <w:trPr>
                      <w:trHeight w:val="373" w:hRule="atLeast"/>
                    </w:trPr>
                    <w:tc>
                      <w:tcPr>
                        <w:tcW w:w="538" w:type="dxa"/>
                      </w:tcPr>
                      <w:p>
                        <w:pPr>
                          <w:pStyle w:val="TableParagraph"/>
                          <w:spacing w:line="250" w:lineRule="exact" w:before="104"/>
                          <w:ind w:left="4"/>
                          <w:jc w:val="center"/>
                          <w:rPr>
                            <w:sz w:val="21"/>
                          </w:rPr>
                        </w:pPr>
                        <w:r>
                          <w:rPr>
                            <w:w w:val="100"/>
                            <w:sz w:val="21"/>
                          </w:rPr>
                          <w:t>2</w:t>
                        </w:r>
                      </w:p>
                    </w:tc>
                    <w:tc>
                      <w:tcPr>
                        <w:tcW w:w="1205" w:type="dxa"/>
                      </w:tcPr>
                      <w:p>
                        <w:pPr>
                          <w:pStyle w:val="TableParagraph"/>
                          <w:spacing w:line="250" w:lineRule="exact" w:before="104"/>
                          <w:ind w:left="160" w:right="152"/>
                          <w:jc w:val="center"/>
                          <w:rPr>
                            <w:sz w:val="21"/>
                          </w:rPr>
                        </w:pPr>
                        <w:r>
                          <w:rPr>
                            <w:sz w:val="21"/>
                          </w:rPr>
                          <w:t>190201</w:t>
                        </w:r>
                      </w:p>
                    </w:tc>
                    <w:tc>
                      <w:tcPr>
                        <w:tcW w:w="1292" w:type="dxa"/>
                      </w:tcPr>
                      <w:p>
                        <w:pPr>
                          <w:pStyle w:val="TableParagraph"/>
                          <w:spacing w:line="250" w:lineRule="exact" w:before="104"/>
                          <w:ind w:left="98" w:right="93"/>
                          <w:jc w:val="center"/>
                          <w:rPr>
                            <w:sz w:val="21"/>
                          </w:rPr>
                        </w:pPr>
                        <w:r>
                          <w:rPr>
                            <w:sz w:val="21"/>
                          </w:rPr>
                          <w:t>19 国开 01</w:t>
                        </w:r>
                      </w:p>
                    </w:tc>
                    <w:tc>
                      <w:tcPr>
                        <w:tcW w:w="1959" w:type="dxa"/>
                      </w:tcPr>
                      <w:p>
                        <w:pPr>
                          <w:pStyle w:val="TableParagraph"/>
                          <w:spacing w:line="250" w:lineRule="exact" w:before="104"/>
                          <w:ind w:right="1"/>
                          <w:jc w:val="right"/>
                          <w:rPr>
                            <w:sz w:val="21"/>
                          </w:rPr>
                        </w:pPr>
                        <w:r>
                          <w:rPr>
                            <w:sz w:val="21"/>
                          </w:rPr>
                          <w:t>1,900,000</w:t>
                        </w:r>
                      </w:p>
                    </w:tc>
                    <w:tc>
                      <w:tcPr>
                        <w:tcW w:w="2064" w:type="dxa"/>
                      </w:tcPr>
                      <w:p>
                        <w:pPr>
                          <w:pStyle w:val="TableParagraph"/>
                          <w:spacing w:line="250" w:lineRule="exact" w:before="104"/>
                          <w:ind w:right="3"/>
                          <w:jc w:val="right"/>
                          <w:rPr>
                            <w:sz w:val="21"/>
                          </w:rPr>
                        </w:pPr>
                        <w:r>
                          <w:rPr>
                            <w:sz w:val="21"/>
                          </w:rPr>
                          <w:t>190,019,000.00</w:t>
                        </w:r>
                      </w:p>
                    </w:tc>
                    <w:tc>
                      <w:tcPr>
                        <w:tcW w:w="1287" w:type="dxa"/>
                      </w:tcPr>
                      <w:p>
                        <w:pPr>
                          <w:pStyle w:val="TableParagraph"/>
                          <w:spacing w:line="250" w:lineRule="exact" w:before="104"/>
                          <w:ind w:right="3"/>
                          <w:jc w:val="right"/>
                          <w:rPr>
                            <w:sz w:val="21"/>
                          </w:rPr>
                        </w:pPr>
                        <w:r>
                          <w:rPr>
                            <w:sz w:val="21"/>
                          </w:rPr>
                          <w:t>6.07</w:t>
                        </w:r>
                      </w:p>
                    </w:tc>
                  </w:tr>
                </w:tbl>
                <w:p>
                  <w:pPr>
                    <w:pStyle w:val="BodyText"/>
                  </w:pPr>
                </w:p>
              </w:txbxContent>
            </v:textbox>
            <w10:wrap type="none"/>
          </v:shape>
        </w:pict>
      </w:r>
      <w:r>
        <w:rPr>
          <w:b/>
          <w:sz w:val="24"/>
        </w:rPr>
        <w:t>报告期末按公允价值占基金资产净值比例大小排序的前五名债券投资明细</w:t>
      </w:r>
    </w:p>
    <w:p>
      <w:pPr>
        <w:pStyle w:val="BodyText"/>
        <w:rPr>
          <w:b/>
          <w:sz w:val="28"/>
        </w:rPr>
      </w:pPr>
    </w:p>
    <w:p>
      <w:pPr>
        <w:pStyle w:val="BodyText"/>
        <w:rPr>
          <w:b/>
          <w:sz w:val="20"/>
        </w:rPr>
      </w:pPr>
    </w:p>
    <w:p>
      <w:pPr>
        <w:pStyle w:val="BodyText"/>
        <w:ind w:right="1205"/>
        <w:jc w:val="right"/>
      </w:pPr>
      <w:r>
        <w:rPr>
          <w:w w:val="100"/>
        </w:rPr>
        <w:t>）</w:t>
      </w:r>
    </w:p>
    <w:p>
      <w:pPr>
        <w:spacing w:after="0"/>
        <w:jc w:val="right"/>
        <w:sectPr>
          <w:pgSz w:w="11910" w:h="16840"/>
          <w:pgMar w:header="852" w:footer="992" w:top="1220" w:bottom="1180" w:left="1140" w:right="480"/>
        </w:sectPr>
      </w:pPr>
    </w:p>
    <w:p>
      <w:pPr>
        <w:pStyle w:val="BodyText"/>
        <w:spacing w:before="11"/>
        <w:rPr>
          <w:sz w:val="16"/>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205"/>
        <w:gridCol w:w="1292"/>
        <w:gridCol w:w="1959"/>
        <w:gridCol w:w="2064"/>
        <w:gridCol w:w="1287"/>
      </w:tblGrid>
      <w:tr>
        <w:trPr>
          <w:trHeight w:val="374" w:hRule="atLeast"/>
        </w:trPr>
        <w:tc>
          <w:tcPr>
            <w:tcW w:w="538" w:type="dxa"/>
          </w:tcPr>
          <w:p>
            <w:pPr>
              <w:pStyle w:val="TableParagraph"/>
              <w:spacing w:line="250" w:lineRule="exact" w:before="104"/>
              <w:ind w:left="4"/>
              <w:jc w:val="center"/>
              <w:rPr>
                <w:sz w:val="21"/>
              </w:rPr>
            </w:pPr>
            <w:r>
              <w:rPr>
                <w:w w:val="100"/>
                <w:sz w:val="21"/>
              </w:rPr>
              <w:t>3</w:t>
            </w:r>
          </w:p>
        </w:tc>
        <w:tc>
          <w:tcPr>
            <w:tcW w:w="1205" w:type="dxa"/>
          </w:tcPr>
          <w:p>
            <w:pPr>
              <w:pStyle w:val="TableParagraph"/>
              <w:spacing w:line="250" w:lineRule="exact" w:before="104"/>
              <w:ind w:right="274"/>
              <w:jc w:val="right"/>
              <w:rPr>
                <w:sz w:val="21"/>
              </w:rPr>
            </w:pPr>
            <w:r>
              <w:rPr>
                <w:sz w:val="21"/>
              </w:rPr>
              <w:t>170205</w:t>
            </w:r>
          </w:p>
        </w:tc>
        <w:tc>
          <w:tcPr>
            <w:tcW w:w="1292" w:type="dxa"/>
          </w:tcPr>
          <w:p>
            <w:pPr>
              <w:pStyle w:val="TableParagraph"/>
              <w:spacing w:line="250" w:lineRule="exact" w:before="104"/>
              <w:ind w:left="98" w:right="93"/>
              <w:jc w:val="center"/>
              <w:rPr>
                <w:sz w:val="21"/>
              </w:rPr>
            </w:pPr>
            <w:r>
              <w:rPr>
                <w:sz w:val="21"/>
              </w:rPr>
              <w:t>17 国开 05</w:t>
            </w:r>
          </w:p>
        </w:tc>
        <w:tc>
          <w:tcPr>
            <w:tcW w:w="1959" w:type="dxa"/>
          </w:tcPr>
          <w:p>
            <w:pPr>
              <w:pStyle w:val="TableParagraph"/>
              <w:spacing w:line="250" w:lineRule="exact" w:before="104"/>
              <w:ind w:right="1"/>
              <w:jc w:val="right"/>
              <w:rPr>
                <w:sz w:val="21"/>
              </w:rPr>
            </w:pPr>
            <w:r>
              <w:rPr>
                <w:sz w:val="21"/>
              </w:rPr>
              <w:t>800,000</w:t>
            </w:r>
          </w:p>
        </w:tc>
        <w:tc>
          <w:tcPr>
            <w:tcW w:w="2064" w:type="dxa"/>
          </w:tcPr>
          <w:p>
            <w:pPr>
              <w:pStyle w:val="TableParagraph"/>
              <w:spacing w:line="250" w:lineRule="exact" w:before="104"/>
              <w:ind w:right="3"/>
              <w:jc w:val="right"/>
              <w:rPr>
                <w:sz w:val="21"/>
              </w:rPr>
            </w:pPr>
            <w:r>
              <w:rPr>
                <w:sz w:val="21"/>
              </w:rPr>
              <w:t>80,464,000.00</w:t>
            </w:r>
          </w:p>
        </w:tc>
        <w:tc>
          <w:tcPr>
            <w:tcW w:w="1287" w:type="dxa"/>
          </w:tcPr>
          <w:p>
            <w:pPr>
              <w:pStyle w:val="TableParagraph"/>
              <w:spacing w:line="250" w:lineRule="exact" w:before="104"/>
              <w:ind w:right="3"/>
              <w:jc w:val="right"/>
              <w:rPr>
                <w:sz w:val="21"/>
              </w:rPr>
            </w:pPr>
            <w:r>
              <w:rPr>
                <w:sz w:val="21"/>
              </w:rPr>
              <w:t>2.57</w:t>
            </w:r>
          </w:p>
        </w:tc>
      </w:tr>
      <w:tr>
        <w:trPr>
          <w:trHeight w:val="376" w:hRule="atLeast"/>
        </w:trPr>
        <w:tc>
          <w:tcPr>
            <w:tcW w:w="538" w:type="dxa"/>
          </w:tcPr>
          <w:p>
            <w:pPr>
              <w:pStyle w:val="TableParagraph"/>
              <w:spacing w:line="250" w:lineRule="exact" w:before="106"/>
              <w:ind w:left="4"/>
              <w:jc w:val="center"/>
              <w:rPr>
                <w:sz w:val="21"/>
              </w:rPr>
            </w:pPr>
            <w:r>
              <w:rPr>
                <w:w w:val="100"/>
                <w:sz w:val="21"/>
              </w:rPr>
              <w:t>4</w:t>
            </w:r>
          </w:p>
        </w:tc>
        <w:tc>
          <w:tcPr>
            <w:tcW w:w="1205" w:type="dxa"/>
          </w:tcPr>
          <w:p>
            <w:pPr>
              <w:pStyle w:val="TableParagraph"/>
              <w:spacing w:line="250" w:lineRule="exact" w:before="106"/>
              <w:ind w:right="274"/>
              <w:jc w:val="right"/>
              <w:rPr>
                <w:sz w:val="21"/>
              </w:rPr>
            </w:pPr>
            <w:r>
              <w:rPr>
                <w:sz w:val="21"/>
              </w:rPr>
              <w:t>190206</w:t>
            </w:r>
          </w:p>
        </w:tc>
        <w:tc>
          <w:tcPr>
            <w:tcW w:w="1292" w:type="dxa"/>
          </w:tcPr>
          <w:p>
            <w:pPr>
              <w:pStyle w:val="TableParagraph"/>
              <w:spacing w:line="250" w:lineRule="exact" w:before="106"/>
              <w:ind w:left="98" w:right="93"/>
              <w:jc w:val="center"/>
              <w:rPr>
                <w:sz w:val="21"/>
              </w:rPr>
            </w:pPr>
            <w:r>
              <w:rPr>
                <w:sz w:val="21"/>
              </w:rPr>
              <w:t>19 国开 06</w:t>
            </w:r>
          </w:p>
        </w:tc>
        <w:tc>
          <w:tcPr>
            <w:tcW w:w="1959" w:type="dxa"/>
          </w:tcPr>
          <w:p>
            <w:pPr>
              <w:pStyle w:val="TableParagraph"/>
              <w:spacing w:line="250" w:lineRule="exact" w:before="106"/>
              <w:ind w:right="1"/>
              <w:jc w:val="right"/>
              <w:rPr>
                <w:sz w:val="21"/>
              </w:rPr>
            </w:pPr>
            <w:r>
              <w:rPr>
                <w:sz w:val="21"/>
              </w:rPr>
              <w:t>600,000</w:t>
            </w:r>
          </w:p>
        </w:tc>
        <w:tc>
          <w:tcPr>
            <w:tcW w:w="2064" w:type="dxa"/>
          </w:tcPr>
          <w:p>
            <w:pPr>
              <w:pStyle w:val="TableParagraph"/>
              <w:spacing w:line="250" w:lineRule="exact" w:before="106"/>
              <w:ind w:right="3"/>
              <w:jc w:val="right"/>
              <w:rPr>
                <w:sz w:val="21"/>
              </w:rPr>
            </w:pPr>
            <w:r>
              <w:rPr>
                <w:sz w:val="21"/>
              </w:rPr>
              <w:t>59,982,000.00</w:t>
            </w:r>
          </w:p>
        </w:tc>
        <w:tc>
          <w:tcPr>
            <w:tcW w:w="1287" w:type="dxa"/>
          </w:tcPr>
          <w:p>
            <w:pPr>
              <w:pStyle w:val="TableParagraph"/>
              <w:spacing w:line="250" w:lineRule="exact" w:before="106"/>
              <w:ind w:right="3"/>
              <w:jc w:val="right"/>
              <w:rPr>
                <w:sz w:val="21"/>
              </w:rPr>
            </w:pPr>
            <w:r>
              <w:rPr>
                <w:sz w:val="21"/>
              </w:rPr>
              <w:t>1.92</w:t>
            </w:r>
          </w:p>
        </w:tc>
      </w:tr>
      <w:tr>
        <w:trPr>
          <w:trHeight w:val="373" w:hRule="atLeast"/>
        </w:trPr>
        <w:tc>
          <w:tcPr>
            <w:tcW w:w="538" w:type="dxa"/>
          </w:tcPr>
          <w:p>
            <w:pPr>
              <w:pStyle w:val="TableParagraph"/>
              <w:spacing w:line="250" w:lineRule="exact" w:before="104"/>
              <w:ind w:left="4"/>
              <w:jc w:val="center"/>
              <w:rPr>
                <w:sz w:val="21"/>
              </w:rPr>
            </w:pPr>
            <w:r>
              <w:rPr>
                <w:w w:val="100"/>
                <w:sz w:val="21"/>
              </w:rPr>
              <w:t>5</w:t>
            </w:r>
          </w:p>
        </w:tc>
        <w:tc>
          <w:tcPr>
            <w:tcW w:w="1205" w:type="dxa"/>
          </w:tcPr>
          <w:p>
            <w:pPr>
              <w:pStyle w:val="TableParagraph"/>
              <w:spacing w:line="250" w:lineRule="exact" w:before="104"/>
              <w:ind w:right="274"/>
              <w:jc w:val="right"/>
              <w:rPr>
                <w:sz w:val="21"/>
              </w:rPr>
            </w:pPr>
            <w:r>
              <w:rPr>
                <w:sz w:val="21"/>
              </w:rPr>
              <w:t>190402</w:t>
            </w:r>
          </w:p>
        </w:tc>
        <w:tc>
          <w:tcPr>
            <w:tcW w:w="1292" w:type="dxa"/>
          </w:tcPr>
          <w:p>
            <w:pPr>
              <w:pStyle w:val="TableParagraph"/>
              <w:spacing w:line="250" w:lineRule="exact" w:before="104"/>
              <w:ind w:left="98" w:right="93"/>
              <w:jc w:val="center"/>
              <w:rPr>
                <w:sz w:val="21"/>
              </w:rPr>
            </w:pPr>
            <w:r>
              <w:rPr>
                <w:sz w:val="21"/>
              </w:rPr>
              <w:t>19 农发 02</w:t>
            </w:r>
          </w:p>
        </w:tc>
        <w:tc>
          <w:tcPr>
            <w:tcW w:w="1959" w:type="dxa"/>
          </w:tcPr>
          <w:p>
            <w:pPr>
              <w:pStyle w:val="TableParagraph"/>
              <w:spacing w:line="250" w:lineRule="exact" w:before="104"/>
              <w:ind w:right="1"/>
              <w:jc w:val="right"/>
              <w:rPr>
                <w:sz w:val="21"/>
              </w:rPr>
            </w:pPr>
            <w:r>
              <w:rPr>
                <w:sz w:val="21"/>
              </w:rPr>
              <w:t>600,000</w:t>
            </w:r>
          </w:p>
        </w:tc>
        <w:tc>
          <w:tcPr>
            <w:tcW w:w="2064" w:type="dxa"/>
          </w:tcPr>
          <w:p>
            <w:pPr>
              <w:pStyle w:val="TableParagraph"/>
              <w:spacing w:line="250" w:lineRule="exact" w:before="104"/>
              <w:ind w:right="3"/>
              <w:jc w:val="right"/>
              <w:rPr>
                <w:sz w:val="21"/>
              </w:rPr>
            </w:pPr>
            <w:r>
              <w:rPr>
                <w:sz w:val="21"/>
              </w:rPr>
              <w:t>59,934,000.00</w:t>
            </w:r>
          </w:p>
        </w:tc>
        <w:tc>
          <w:tcPr>
            <w:tcW w:w="1287" w:type="dxa"/>
          </w:tcPr>
          <w:p>
            <w:pPr>
              <w:pStyle w:val="TableParagraph"/>
              <w:spacing w:line="250" w:lineRule="exact" w:before="104"/>
              <w:ind w:right="3"/>
              <w:jc w:val="right"/>
              <w:rPr>
                <w:sz w:val="21"/>
              </w:rPr>
            </w:pPr>
            <w:r>
              <w:rPr>
                <w:sz w:val="21"/>
              </w:rPr>
              <w:t>1.91</w:t>
            </w:r>
          </w:p>
        </w:tc>
      </w:tr>
    </w:tbl>
    <w:p>
      <w:pPr>
        <w:pStyle w:val="BodyText"/>
        <w:spacing w:before="6"/>
        <w:rPr>
          <w:sz w:val="11"/>
        </w:rPr>
      </w:pPr>
    </w:p>
    <w:p>
      <w:pPr>
        <w:pStyle w:val="ListParagraph"/>
        <w:numPr>
          <w:ilvl w:val="0"/>
          <w:numId w:val="26"/>
        </w:numPr>
        <w:tabs>
          <w:tab w:pos="922" w:val="left" w:leader="none"/>
        </w:tabs>
        <w:spacing w:line="364" w:lineRule="auto" w:before="88" w:after="0"/>
        <w:ind w:left="1111" w:right="1414" w:hanging="454"/>
        <w:jc w:val="left"/>
        <w:rPr>
          <w:b/>
          <w:sz w:val="24"/>
        </w:rPr>
      </w:pPr>
      <w:r>
        <w:rPr>
          <w:b/>
          <w:spacing w:val="-1"/>
          <w:sz w:val="24"/>
        </w:rPr>
        <w:t>报告期末按公允价值占基金资产净值比例大小排序的前十名资产支持证券投</w:t>
      </w:r>
      <w:r>
        <w:rPr>
          <w:b/>
          <w:sz w:val="24"/>
        </w:rPr>
        <w:t>资明细</w:t>
      </w:r>
    </w:p>
    <w:p>
      <w:pPr>
        <w:pStyle w:val="BodyText"/>
        <w:spacing w:before="82"/>
        <w:ind w:left="1078"/>
      </w:pPr>
      <w:r>
        <w:rPr/>
        <w:t>本基金本报告期末未持有资产支持证券。</w:t>
      </w:r>
    </w:p>
    <w:p>
      <w:pPr>
        <w:pStyle w:val="BodyText"/>
        <w:spacing w:before="1"/>
        <w:rPr>
          <w:sz w:val="26"/>
        </w:rPr>
      </w:pPr>
    </w:p>
    <w:p>
      <w:pPr>
        <w:pStyle w:val="ListParagraph"/>
        <w:numPr>
          <w:ilvl w:val="0"/>
          <w:numId w:val="26"/>
        </w:numPr>
        <w:tabs>
          <w:tab w:pos="922" w:val="left" w:leader="none"/>
        </w:tabs>
        <w:spacing w:line="240" w:lineRule="auto" w:before="0" w:after="0"/>
        <w:ind w:left="922" w:right="0" w:hanging="264"/>
        <w:jc w:val="left"/>
        <w:rPr>
          <w:b/>
          <w:sz w:val="24"/>
        </w:rPr>
      </w:pPr>
      <w:r>
        <w:rPr>
          <w:b/>
          <w:sz w:val="24"/>
        </w:rPr>
        <w:t>报告期末按公允价值占基金资产净值比例大小排序的前五名贵金属投资明细</w:t>
      </w:r>
    </w:p>
    <w:p>
      <w:pPr>
        <w:pStyle w:val="BodyText"/>
        <w:spacing w:before="241"/>
        <w:ind w:left="1078"/>
      </w:pPr>
      <w:r>
        <w:rPr/>
        <w:t>本基金本报告期末未持有贵金属。</w:t>
      </w:r>
    </w:p>
    <w:p>
      <w:pPr>
        <w:pStyle w:val="BodyText"/>
        <w:spacing w:before="2"/>
        <w:rPr>
          <w:sz w:val="26"/>
        </w:rPr>
      </w:pPr>
    </w:p>
    <w:p>
      <w:pPr>
        <w:pStyle w:val="ListParagraph"/>
        <w:numPr>
          <w:ilvl w:val="0"/>
          <w:numId w:val="26"/>
        </w:numPr>
        <w:tabs>
          <w:tab w:pos="922" w:val="left" w:leader="none"/>
        </w:tabs>
        <w:spacing w:line="240" w:lineRule="auto" w:before="0" w:after="0"/>
        <w:ind w:left="922" w:right="0" w:hanging="264"/>
        <w:jc w:val="left"/>
        <w:rPr>
          <w:b/>
          <w:sz w:val="24"/>
        </w:rPr>
      </w:pPr>
      <w:r>
        <w:rPr>
          <w:b/>
          <w:sz w:val="24"/>
        </w:rPr>
        <w:t>报告期末按公允价值占基金资产净值比例大小排序的前五名权证投资明细</w:t>
      </w:r>
    </w:p>
    <w:p>
      <w:pPr>
        <w:pStyle w:val="BodyText"/>
        <w:spacing w:before="241"/>
        <w:ind w:left="1078"/>
      </w:pPr>
      <w:r>
        <w:rPr/>
        <w:t>本基金本报告期末未持有权证。</w:t>
      </w:r>
    </w:p>
    <w:p>
      <w:pPr>
        <w:pStyle w:val="BodyText"/>
        <w:spacing w:before="1"/>
        <w:rPr>
          <w:sz w:val="26"/>
        </w:rPr>
      </w:pPr>
    </w:p>
    <w:p>
      <w:pPr>
        <w:pStyle w:val="ListParagraph"/>
        <w:numPr>
          <w:ilvl w:val="0"/>
          <w:numId w:val="26"/>
        </w:numPr>
        <w:tabs>
          <w:tab w:pos="922" w:val="left" w:leader="none"/>
        </w:tabs>
        <w:spacing w:line="240" w:lineRule="auto" w:before="0" w:after="0"/>
        <w:ind w:left="922" w:right="0" w:hanging="264"/>
        <w:jc w:val="left"/>
        <w:rPr>
          <w:b/>
          <w:sz w:val="24"/>
        </w:rPr>
      </w:pPr>
      <w:r>
        <w:rPr>
          <w:b/>
          <w:w w:val="95"/>
          <w:sz w:val="24"/>
        </w:rPr>
        <w:t>报告期末本基金投资的股指期货交易情况说明</w:t>
      </w:r>
    </w:p>
    <w:p>
      <w:pPr>
        <w:pStyle w:val="BodyText"/>
        <w:spacing w:before="9"/>
        <w:rPr>
          <w:b/>
          <w:sz w:val="24"/>
        </w:rPr>
      </w:pPr>
    </w:p>
    <w:p>
      <w:pPr>
        <w:pStyle w:val="ListParagraph"/>
        <w:numPr>
          <w:ilvl w:val="1"/>
          <w:numId w:val="26"/>
        </w:numPr>
        <w:tabs>
          <w:tab w:pos="1064" w:val="left" w:leader="none"/>
        </w:tabs>
        <w:spacing w:line="240" w:lineRule="auto" w:before="0" w:after="0"/>
        <w:ind w:left="1063" w:right="0" w:hanging="406"/>
        <w:jc w:val="left"/>
        <w:rPr>
          <w:rFonts w:ascii="Cambria" w:eastAsia="Cambria"/>
          <w:b/>
          <w:sz w:val="24"/>
        </w:rPr>
      </w:pPr>
      <w:r>
        <w:rPr>
          <w:b/>
          <w:w w:val="95"/>
          <w:sz w:val="24"/>
        </w:rPr>
        <w:t>报告期末本基金投资的股指期货持仓和损益明细</w:t>
      </w:r>
    </w:p>
    <w:p>
      <w:pPr>
        <w:pStyle w:val="BodyText"/>
        <w:spacing w:before="143"/>
        <w:ind w:left="1078"/>
      </w:pPr>
      <w:r>
        <w:rPr/>
        <w:t>本基金本报告期末未持有股指期货。</w:t>
      </w:r>
    </w:p>
    <w:p>
      <w:pPr>
        <w:pStyle w:val="BodyText"/>
        <w:spacing w:before="4"/>
        <w:rPr>
          <w:sz w:val="29"/>
        </w:rPr>
      </w:pPr>
    </w:p>
    <w:p>
      <w:pPr>
        <w:pStyle w:val="ListParagraph"/>
        <w:numPr>
          <w:ilvl w:val="1"/>
          <w:numId w:val="26"/>
        </w:numPr>
        <w:tabs>
          <w:tab w:pos="1064" w:val="left" w:leader="none"/>
        </w:tabs>
        <w:spacing w:line="240" w:lineRule="auto" w:before="0" w:after="0"/>
        <w:ind w:left="1063" w:right="0" w:hanging="406"/>
        <w:jc w:val="left"/>
        <w:rPr>
          <w:rFonts w:ascii="Cambria" w:eastAsia="Cambria"/>
          <w:b/>
          <w:sz w:val="24"/>
        </w:rPr>
      </w:pPr>
      <w:r>
        <w:rPr>
          <w:b/>
          <w:sz w:val="24"/>
        </w:rPr>
        <w:t>本基金投资股指期货的投资政策</w:t>
      </w:r>
    </w:p>
    <w:p>
      <w:pPr>
        <w:pStyle w:val="BodyText"/>
        <w:spacing w:before="241"/>
        <w:ind w:left="1078"/>
      </w:pPr>
      <w:r>
        <w:rPr/>
        <w:t>根据本基金基金合同约定，本基金投资范围不包括股指期货。</w:t>
      </w:r>
    </w:p>
    <w:p>
      <w:pPr>
        <w:pStyle w:val="BodyText"/>
        <w:spacing w:before="1"/>
        <w:rPr>
          <w:sz w:val="26"/>
        </w:rPr>
      </w:pPr>
    </w:p>
    <w:p>
      <w:pPr>
        <w:pStyle w:val="ListParagraph"/>
        <w:numPr>
          <w:ilvl w:val="0"/>
          <w:numId w:val="26"/>
        </w:numPr>
        <w:tabs>
          <w:tab w:pos="1064" w:val="left" w:leader="none"/>
        </w:tabs>
        <w:spacing w:line="240" w:lineRule="auto" w:before="0" w:after="0"/>
        <w:ind w:left="1063" w:right="0" w:hanging="406"/>
        <w:jc w:val="left"/>
        <w:rPr>
          <w:b/>
          <w:sz w:val="24"/>
        </w:rPr>
      </w:pPr>
      <w:r>
        <w:rPr>
          <w:b/>
          <w:sz w:val="24"/>
        </w:rPr>
        <w:t>报告期末本基金投资的国债期货交易情况说明</w:t>
      </w:r>
    </w:p>
    <w:p>
      <w:pPr>
        <w:pStyle w:val="BodyText"/>
        <w:spacing w:before="9"/>
        <w:rPr>
          <w:b/>
          <w:sz w:val="24"/>
        </w:rPr>
      </w:pPr>
    </w:p>
    <w:p>
      <w:pPr>
        <w:pStyle w:val="ListParagraph"/>
        <w:numPr>
          <w:ilvl w:val="1"/>
          <w:numId w:val="26"/>
        </w:numPr>
        <w:tabs>
          <w:tab w:pos="1208" w:val="left" w:leader="none"/>
        </w:tabs>
        <w:spacing w:line="240" w:lineRule="auto" w:before="0" w:after="0"/>
        <w:ind w:left="1207" w:right="0" w:hanging="550"/>
        <w:jc w:val="left"/>
        <w:rPr>
          <w:rFonts w:ascii="Cambria" w:eastAsia="Cambria"/>
          <w:b/>
          <w:sz w:val="24"/>
        </w:rPr>
      </w:pPr>
      <w:r>
        <w:rPr>
          <w:b/>
          <w:sz w:val="24"/>
        </w:rPr>
        <w:t>本期国债期货投资政策</w:t>
      </w:r>
    </w:p>
    <w:p>
      <w:pPr>
        <w:pStyle w:val="BodyText"/>
        <w:spacing w:before="241"/>
        <w:ind w:left="1078"/>
      </w:pPr>
      <w:r>
        <w:rPr/>
        <w:t>根据本基金基金合同约定，本基金投资范围不包括国债期货。</w:t>
      </w:r>
    </w:p>
    <w:p>
      <w:pPr>
        <w:pStyle w:val="BodyText"/>
        <w:spacing w:before="2"/>
        <w:rPr>
          <w:sz w:val="26"/>
        </w:rPr>
      </w:pPr>
    </w:p>
    <w:p>
      <w:pPr>
        <w:pStyle w:val="ListParagraph"/>
        <w:numPr>
          <w:ilvl w:val="1"/>
          <w:numId w:val="26"/>
        </w:numPr>
        <w:tabs>
          <w:tab w:pos="1208" w:val="left" w:leader="none"/>
        </w:tabs>
        <w:spacing w:line="240" w:lineRule="auto" w:before="0" w:after="0"/>
        <w:ind w:left="1207" w:right="0" w:hanging="550"/>
        <w:jc w:val="left"/>
        <w:rPr>
          <w:rFonts w:ascii="Cambria" w:eastAsia="Cambria"/>
          <w:b/>
          <w:sz w:val="24"/>
        </w:rPr>
      </w:pPr>
      <w:r>
        <w:rPr>
          <w:b/>
          <w:sz w:val="24"/>
        </w:rPr>
        <w:t>报告期末本基金投资的国债期货持仓和损益明细</w:t>
      </w:r>
    </w:p>
    <w:p>
      <w:pPr>
        <w:pStyle w:val="BodyText"/>
        <w:spacing w:before="143"/>
        <w:ind w:left="1078"/>
      </w:pPr>
      <w:r>
        <w:rPr/>
        <w:t>本基金本报告期末未持有国债期货。</w:t>
      </w:r>
    </w:p>
    <w:p>
      <w:pPr>
        <w:pStyle w:val="BodyText"/>
        <w:spacing w:before="1"/>
        <w:rPr>
          <w:sz w:val="29"/>
        </w:rPr>
      </w:pPr>
    </w:p>
    <w:p>
      <w:pPr>
        <w:pStyle w:val="ListParagraph"/>
        <w:numPr>
          <w:ilvl w:val="1"/>
          <w:numId w:val="26"/>
        </w:numPr>
        <w:tabs>
          <w:tab w:pos="1208" w:val="left" w:leader="none"/>
        </w:tabs>
        <w:spacing w:line="240" w:lineRule="auto" w:before="0" w:after="0"/>
        <w:ind w:left="1207" w:right="0" w:hanging="550"/>
        <w:jc w:val="left"/>
        <w:rPr>
          <w:rFonts w:ascii="Cambria" w:eastAsia="Cambria"/>
          <w:b/>
          <w:sz w:val="24"/>
        </w:rPr>
      </w:pPr>
      <w:r>
        <w:rPr>
          <w:b/>
          <w:sz w:val="24"/>
        </w:rPr>
        <w:t>本期国债期货投资评价</w:t>
      </w:r>
    </w:p>
    <w:p>
      <w:pPr>
        <w:pStyle w:val="BodyText"/>
        <w:spacing w:before="241"/>
        <w:ind w:left="1078"/>
      </w:pPr>
      <w:r>
        <w:rPr/>
        <w:t>本基金本报告期末未持有国债期货。</w:t>
      </w:r>
    </w:p>
    <w:p>
      <w:pPr>
        <w:pStyle w:val="BodyText"/>
        <w:rPr>
          <w:sz w:val="22"/>
        </w:rPr>
      </w:pPr>
    </w:p>
    <w:p>
      <w:pPr>
        <w:pStyle w:val="ListParagraph"/>
        <w:numPr>
          <w:ilvl w:val="0"/>
          <w:numId w:val="26"/>
        </w:numPr>
        <w:tabs>
          <w:tab w:pos="1064" w:val="left" w:leader="none"/>
        </w:tabs>
        <w:spacing w:line="240" w:lineRule="auto" w:before="0" w:after="0"/>
        <w:ind w:left="1063" w:right="0" w:hanging="406"/>
        <w:jc w:val="left"/>
        <w:rPr>
          <w:b/>
          <w:sz w:val="24"/>
        </w:rPr>
      </w:pPr>
      <w:r>
        <w:rPr>
          <w:b/>
          <w:sz w:val="24"/>
        </w:rPr>
        <w:t>投资组合报告附注</w:t>
      </w:r>
    </w:p>
    <w:p>
      <w:pPr>
        <w:pStyle w:val="ListParagraph"/>
        <w:numPr>
          <w:ilvl w:val="1"/>
          <w:numId w:val="26"/>
        </w:numPr>
        <w:tabs>
          <w:tab w:pos="1208" w:val="left" w:leader="none"/>
        </w:tabs>
        <w:spacing w:line="280" w:lineRule="auto" w:before="206" w:after="0"/>
        <w:ind w:left="658" w:right="1368" w:firstLine="0"/>
        <w:jc w:val="left"/>
        <w:rPr>
          <w:rFonts w:ascii="Cambria" w:eastAsia="Cambria"/>
          <w:b/>
          <w:sz w:val="24"/>
        </w:rPr>
      </w:pPr>
      <w:r>
        <w:rPr>
          <w:b/>
          <w:spacing w:val="-1"/>
          <w:sz w:val="24"/>
        </w:rPr>
        <w:t>本基金投资的前十名证券的发行主体本期是否出现被监管部门立案调查， </w:t>
      </w:r>
      <w:r>
        <w:rPr>
          <w:b/>
          <w:sz w:val="24"/>
        </w:rPr>
        <w:t>或在报告编制日前一年内受到公开谴责、处罚的情形。</w:t>
      </w:r>
    </w:p>
    <w:p>
      <w:pPr>
        <w:pStyle w:val="BodyText"/>
        <w:spacing w:before="131"/>
        <w:ind w:left="1078"/>
      </w:pPr>
      <w:r>
        <w:rPr>
          <w:w w:val="100"/>
        </w:rPr>
        <w:t>1</w:t>
      </w:r>
      <w:r>
        <w:rPr>
          <w:spacing w:val="-3"/>
          <w:w w:val="100"/>
        </w:rPr>
        <w:t>、芒果超媒股份有限公司</w:t>
      </w:r>
      <w:r>
        <w:rPr>
          <w:w w:val="100"/>
        </w:rPr>
        <w:t>（</w:t>
      </w:r>
      <w:r>
        <w:rPr>
          <w:spacing w:val="-12"/>
          <w:w w:val="100"/>
        </w:rPr>
        <w:t>以下简称“芒果超媒”，股票代码：</w:t>
      </w:r>
      <w:r>
        <w:rPr>
          <w:w w:val="100"/>
        </w:rPr>
        <w:t>300</w:t>
      </w:r>
      <w:r>
        <w:rPr>
          <w:spacing w:val="-3"/>
          <w:w w:val="100"/>
        </w:rPr>
        <w:t>4</w:t>
      </w:r>
      <w:r>
        <w:rPr>
          <w:spacing w:val="-1"/>
          <w:w w:val="100"/>
        </w:rPr>
        <w:t>1</w:t>
      </w:r>
      <w:r>
        <w:rPr>
          <w:w w:val="100"/>
        </w:rPr>
        <w:t>3</w:t>
      </w:r>
      <w:r>
        <w:rPr>
          <w:spacing w:val="-3"/>
          <w:w w:val="100"/>
        </w:rPr>
        <w:t>）</w:t>
      </w:r>
      <w:r>
        <w:rPr>
          <w:w w:val="100"/>
        </w:rPr>
        <w:t>于</w:t>
      </w:r>
      <w:r>
        <w:rPr>
          <w:spacing w:val="-30"/>
        </w:rPr>
        <w:t> </w:t>
      </w:r>
      <w:r>
        <w:rPr>
          <w:w w:val="100"/>
        </w:rPr>
        <w:t>2</w:t>
      </w:r>
      <w:r>
        <w:rPr>
          <w:spacing w:val="-3"/>
          <w:w w:val="100"/>
        </w:rPr>
        <w:t>0</w:t>
      </w:r>
      <w:r>
        <w:rPr>
          <w:w w:val="100"/>
        </w:rPr>
        <w:t>19</w:t>
      </w:r>
      <w:r>
        <w:rPr>
          <w:spacing w:val="-31"/>
        </w:rPr>
        <w:t> </w:t>
      </w:r>
      <w:r>
        <w:rPr>
          <w:w w:val="100"/>
        </w:rPr>
        <w:t>年</w:t>
      </w:r>
      <w:r>
        <w:rPr>
          <w:spacing w:val="-29"/>
        </w:rPr>
        <w:t> </w:t>
      </w:r>
      <w:r>
        <w:rPr>
          <w:w w:val="100"/>
        </w:rPr>
        <w:t>1</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203"/>
      </w:pPr>
      <w:r>
        <w:rPr>
          <w:spacing w:val="-22"/>
        </w:rPr>
        <w:t>月 </w:t>
      </w:r>
      <w:r>
        <w:rPr/>
        <w:t>2</w:t>
      </w:r>
      <w:r>
        <w:rPr>
          <w:spacing w:val="-11"/>
        </w:rPr>
        <w:t> 日收到中国保险监督管理委员会湖南保监局的行政处罚决定，其因存在未按照规定设立</w:t>
      </w:r>
      <w:r>
        <w:rPr>
          <w:spacing w:val="-6"/>
        </w:rPr>
        <w:t>专门账簿记载业务收支情况，欺骗保险人、投保人、被保险人或者受益人等违法违规行为， </w:t>
      </w:r>
      <w:r>
        <w:rPr>
          <w:spacing w:val="-7"/>
        </w:rPr>
        <w:t>违反了《保险法》相关规定，被处以合计 </w:t>
      </w:r>
      <w:r>
        <w:rPr/>
        <w:t>9</w:t>
      </w:r>
      <w:r>
        <w:rPr>
          <w:spacing w:val="-10"/>
        </w:rPr>
        <w:t> 万元罚款。</w:t>
      </w:r>
    </w:p>
    <w:p>
      <w:pPr>
        <w:pStyle w:val="BodyText"/>
        <w:spacing w:line="417" w:lineRule="auto"/>
        <w:ind w:left="658" w:right="1309" w:firstLine="422"/>
      </w:pPr>
      <w:r>
        <w:rPr>
          <w:spacing w:val="-7"/>
        </w:rPr>
        <w:t>本基金基金经理依据基金合同及公司投资管理制度，在投资授权范围内，经正常投资决</w:t>
      </w:r>
      <w:r>
        <w:rPr>
          <w:spacing w:val="-5"/>
        </w:rPr>
        <w:t>策程序对芒果超媒进行了投资。</w:t>
      </w:r>
    </w:p>
    <w:p>
      <w:pPr>
        <w:pStyle w:val="BodyText"/>
        <w:spacing w:line="417" w:lineRule="auto"/>
        <w:ind w:left="658" w:right="1309" w:firstLine="422"/>
      </w:pPr>
      <w:r>
        <w:rPr/>
        <w:t>2、其余九名证券的发行主体本报告期内没有被监管部门立案调查或在本报告编制日前一年内受到公开谴责、处罚的情况。</w:t>
      </w:r>
    </w:p>
    <w:p>
      <w:pPr>
        <w:pStyle w:val="ListParagraph"/>
        <w:numPr>
          <w:ilvl w:val="1"/>
          <w:numId w:val="26"/>
        </w:numPr>
        <w:tabs>
          <w:tab w:pos="1208" w:val="left" w:leader="none"/>
        </w:tabs>
        <w:spacing w:line="240" w:lineRule="auto" w:before="135" w:after="0"/>
        <w:ind w:left="1207" w:right="0" w:hanging="550"/>
        <w:jc w:val="left"/>
        <w:rPr>
          <w:rFonts w:ascii="Cambria" w:eastAsia="Cambria"/>
          <w:b/>
          <w:sz w:val="24"/>
        </w:rPr>
      </w:pPr>
      <w:r>
        <w:rPr>
          <w:b/>
          <w:sz w:val="24"/>
        </w:rPr>
        <w:t>基金投资的前十名股票是否超出基金合同规定的备选股票库。</w:t>
      </w:r>
    </w:p>
    <w:p>
      <w:pPr>
        <w:pStyle w:val="BodyText"/>
        <w:spacing w:before="241"/>
        <w:ind w:left="1078"/>
      </w:pPr>
      <w:r>
        <w:rPr/>
        <w:t>本基金投资的前十名股票未超出基金合同规定的备选股票库。</w:t>
      </w:r>
    </w:p>
    <w:p>
      <w:pPr>
        <w:pStyle w:val="BodyText"/>
        <w:spacing w:before="1"/>
        <w:rPr>
          <w:sz w:val="26"/>
        </w:rPr>
      </w:pPr>
    </w:p>
    <w:p>
      <w:pPr>
        <w:pStyle w:val="ListParagraph"/>
        <w:numPr>
          <w:ilvl w:val="1"/>
          <w:numId w:val="26"/>
        </w:numPr>
        <w:tabs>
          <w:tab w:pos="1208" w:val="left" w:leader="none"/>
        </w:tabs>
        <w:spacing w:line="240" w:lineRule="auto" w:before="1" w:after="0"/>
        <w:ind w:left="1207" w:right="0" w:hanging="550"/>
        <w:jc w:val="left"/>
        <w:rPr>
          <w:rFonts w:ascii="Cambria" w:eastAsia="Cambria"/>
          <w:b/>
          <w:sz w:val="24"/>
        </w:rPr>
      </w:pPr>
      <w:r>
        <w:rPr>
          <w:b/>
          <w:sz w:val="24"/>
        </w:rPr>
        <w:t>其他资产构成</w:t>
      </w:r>
    </w:p>
    <w:p>
      <w:pPr>
        <w:pStyle w:val="BodyText"/>
        <w:rPr>
          <w:b/>
          <w:sz w:val="11"/>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6"/>
        <w:gridCol w:w="2129"/>
        <w:gridCol w:w="5348"/>
      </w:tblGrid>
      <w:tr>
        <w:trPr>
          <w:trHeight w:val="373" w:hRule="atLeast"/>
        </w:trPr>
        <w:tc>
          <w:tcPr>
            <w:tcW w:w="866" w:type="dxa"/>
            <w:shd w:val="clear" w:color="auto" w:fill="D9D9D9"/>
          </w:tcPr>
          <w:p>
            <w:pPr>
              <w:pStyle w:val="TableParagraph"/>
              <w:spacing w:line="250" w:lineRule="exact" w:before="104"/>
              <w:ind w:left="201" w:right="194"/>
              <w:jc w:val="center"/>
              <w:rPr>
                <w:sz w:val="21"/>
              </w:rPr>
            </w:pPr>
            <w:r>
              <w:rPr>
                <w:sz w:val="21"/>
              </w:rPr>
              <w:t>序号</w:t>
            </w:r>
          </w:p>
        </w:tc>
        <w:tc>
          <w:tcPr>
            <w:tcW w:w="2129" w:type="dxa"/>
            <w:shd w:val="clear" w:color="auto" w:fill="D9D9D9"/>
          </w:tcPr>
          <w:p>
            <w:pPr>
              <w:pStyle w:val="TableParagraph"/>
              <w:spacing w:line="250" w:lineRule="exact" w:before="104"/>
              <w:ind w:left="833" w:right="826"/>
              <w:jc w:val="center"/>
              <w:rPr>
                <w:sz w:val="21"/>
              </w:rPr>
            </w:pPr>
            <w:r>
              <w:rPr>
                <w:sz w:val="21"/>
              </w:rPr>
              <w:t>名称</w:t>
            </w:r>
          </w:p>
        </w:tc>
        <w:tc>
          <w:tcPr>
            <w:tcW w:w="5348" w:type="dxa"/>
            <w:shd w:val="clear" w:color="auto" w:fill="D9D9D9"/>
          </w:tcPr>
          <w:p>
            <w:pPr>
              <w:pStyle w:val="TableParagraph"/>
              <w:spacing w:line="250" w:lineRule="exact" w:before="104"/>
              <w:ind w:left="2128" w:right="2120"/>
              <w:jc w:val="center"/>
              <w:rPr>
                <w:sz w:val="21"/>
              </w:rPr>
            </w:pPr>
            <w:r>
              <w:rPr>
                <w:sz w:val="21"/>
              </w:rPr>
              <w:t>金额（元）</w:t>
            </w:r>
          </w:p>
        </w:tc>
      </w:tr>
      <w:tr>
        <w:trPr>
          <w:trHeight w:val="376" w:hRule="atLeast"/>
        </w:trPr>
        <w:tc>
          <w:tcPr>
            <w:tcW w:w="866" w:type="dxa"/>
          </w:tcPr>
          <w:p>
            <w:pPr>
              <w:pStyle w:val="TableParagraph"/>
              <w:spacing w:line="250" w:lineRule="exact" w:before="106"/>
              <w:ind w:left="7"/>
              <w:jc w:val="center"/>
              <w:rPr>
                <w:sz w:val="21"/>
              </w:rPr>
            </w:pPr>
            <w:r>
              <w:rPr>
                <w:w w:val="100"/>
                <w:sz w:val="21"/>
              </w:rPr>
              <w:t>1</w:t>
            </w:r>
          </w:p>
        </w:tc>
        <w:tc>
          <w:tcPr>
            <w:tcW w:w="2129" w:type="dxa"/>
          </w:tcPr>
          <w:p>
            <w:pPr>
              <w:pStyle w:val="TableParagraph"/>
              <w:spacing w:line="250" w:lineRule="exact" w:before="106"/>
              <w:ind w:left="14"/>
              <w:rPr>
                <w:sz w:val="21"/>
              </w:rPr>
            </w:pPr>
            <w:r>
              <w:rPr>
                <w:sz w:val="21"/>
              </w:rPr>
              <w:t>存出保证金</w:t>
            </w:r>
          </w:p>
        </w:tc>
        <w:tc>
          <w:tcPr>
            <w:tcW w:w="5348" w:type="dxa"/>
          </w:tcPr>
          <w:p>
            <w:pPr>
              <w:pStyle w:val="TableParagraph"/>
              <w:spacing w:line="250" w:lineRule="exact" w:before="106"/>
              <w:ind w:right="1"/>
              <w:jc w:val="right"/>
              <w:rPr>
                <w:sz w:val="21"/>
              </w:rPr>
            </w:pPr>
            <w:r>
              <w:rPr>
                <w:sz w:val="21"/>
              </w:rPr>
              <w:t>659,068.72</w:t>
            </w:r>
          </w:p>
        </w:tc>
      </w:tr>
      <w:tr>
        <w:trPr>
          <w:trHeight w:val="374" w:hRule="atLeast"/>
        </w:trPr>
        <w:tc>
          <w:tcPr>
            <w:tcW w:w="866" w:type="dxa"/>
          </w:tcPr>
          <w:p>
            <w:pPr>
              <w:pStyle w:val="TableParagraph"/>
              <w:spacing w:line="250" w:lineRule="exact" w:before="104"/>
              <w:ind w:left="7"/>
              <w:jc w:val="center"/>
              <w:rPr>
                <w:sz w:val="21"/>
              </w:rPr>
            </w:pPr>
            <w:r>
              <w:rPr>
                <w:w w:val="100"/>
                <w:sz w:val="21"/>
              </w:rPr>
              <w:t>2</w:t>
            </w:r>
          </w:p>
        </w:tc>
        <w:tc>
          <w:tcPr>
            <w:tcW w:w="2129" w:type="dxa"/>
          </w:tcPr>
          <w:p>
            <w:pPr>
              <w:pStyle w:val="TableParagraph"/>
              <w:spacing w:line="250" w:lineRule="exact" w:before="104"/>
              <w:ind w:left="14"/>
              <w:rPr>
                <w:sz w:val="21"/>
              </w:rPr>
            </w:pPr>
            <w:r>
              <w:rPr>
                <w:sz w:val="21"/>
              </w:rPr>
              <w:t>应收证券清算款</w:t>
            </w:r>
          </w:p>
        </w:tc>
        <w:tc>
          <w:tcPr>
            <w:tcW w:w="5348" w:type="dxa"/>
          </w:tcPr>
          <w:p>
            <w:pPr>
              <w:pStyle w:val="TableParagraph"/>
              <w:spacing w:line="250" w:lineRule="exact" w:before="104"/>
              <w:ind w:right="4"/>
              <w:jc w:val="right"/>
              <w:rPr>
                <w:sz w:val="21"/>
              </w:rPr>
            </w:pPr>
            <w:r>
              <w:rPr>
                <w:w w:val="100"/>
                <w:sz w:val="21"/>
              </w:rPr>
              <w:t>-</w:t>
            </w:r>
          </w:p>
        </w:tc>
      </w:tr>
      <w:tr>
        <w:trPr>
          <w:trHeight w:val="376" w:hRule="atLeast"/>
        </w:trPr>
        <w:tc>
          <w:tcPr>
            <w:tcW w:w="866" w:type="dxa"/>
          </w:tcPr>
          <w:p>
            <w:pPr>
              <w:pStyle w:val="TableParagraph"/>
              <w:spacing w:line="250" w:lineRule="exact" w:before="106"/>
              <w:ind w:left="7"/>
              <w:jc w:val="center"/>
              <w:rPr>
                <w:sz w:val="21"/>
              </w:rPr>
            </w:pPr>
            <w:r>
              <w:rPr>
                <w:w w:val="100"/>
                <w:sz w:val="21"/>
              </w:rPr>
              <w:t>3</w:t>
            </w:r>
          </w:p>
        </w:tc>
        <w:tc>
          <w:tcPr>
            <w:tcW w:w="2129" w:type="dxa"/>
          </w:tcPr>
          <w:p>
            <w:pPr>
              <w:pStyle w:val="TableParagraph"/>
              <w:spacing w:line="250" w:lineRule="exact" w:before="106"/>
              <w:ind w:left="14"/>
              <w:rPr>
                <w:sz w:val="21"/>
              </w:rPr>
            </w:pPr>
            <w:r>
              <w:rPr>
                <w:sz w:val="21"/>
              </w:rPr>
              <w:t>应收股利</w:t>
            </w:r>
          </w:p>
        </w:tc>
        <w:tc>
          <w:tcPr>
            <w:tcW w:w="5348" w:type="dxa"/>
          </w:tcPr>
          <w:p>
            <w:pPr>
              <w:pStyle w:val="TableParagraph"/>
              <w:spacing w:line="250" w:lineRule="exact" w:before="106"/>
              <w:ind w:right="4"/>
              <w:jc w:val="right"/>
              <w:rPr>
                <w:sz w:val="21"/>
              </w:rPr>
            </w:pPr>
            <w:r>
              <w:rPr>
                <w:w w:val="100"/>
                <w:sz w:val="21"/>
              </w:rPr>
              <w:t>-</w:t>
            </w:r>
          </w:p>
        </w:tc>
      </w:tr>
      <w:tr>
        <w:trPr>
          <w:trHeight w:val="374" w:hRule="atLeast"/>
        </w:trPr>
        <w:tc>
          <w:tcPr>
            <w:tcW w:w="866" w:type="dxa"/>
          </w:tcPr>
          <w:p>
            <w:pPr>
              <w:pStyle w:val="TableParagraph"/>
              <w:spacing w:line="250" w:lineRule="exact" w:before="104"/>
              <w:ind w:left="7"/>
              <w:jc w:val="center"/>
              <w:rPr>
                <w:sz w:val="21"/>
              </w:rPr>
            </w:pPr>
            <w:r>
              <w:rPr>
                <w:w w:val="100"/>
                <w:sz w:val="21"/>
              </w:rPr>
              <w:t>4</w:t>
            </w:r>
          </w:p>
        </w:tc>
        <w:tc>
          <w:tcPr>
            <w:tcW w:w="2129" w:type="dxa"/>
          </w:tcPr>
          <w:p>
            <w:pPr>
              <w:pStyle w:val="TableParagraph"/>
              <w:spacing w:line="250" w:lineRule="exact" w:before="104"/>
              <w:ind w:left="14"/>
              <w:rPr>
                <w:sz w:val="21"/>
              </w:rPr>
            </w:pPr>
            <w:r>
              <w:rPr>
                <w:sz w:val="21"/>
              </w:rPr>
              <w:t>应收利息</w:t>
            </w:r>
          </w:p>
        </w:tc>
        <w:tc>
          <w:tcPr>
            <w:tcW w:w="5348" w:type="dxa"/>
          </w:tcPr>
          <w:p>
            <w:pPr>
              <w:pStyle w:val="TableParagraph"/>
              <w:spacing w:line="250" w:lineRule="exact" w:before="104"/>
              <w:ind w:right="2"/>
              <w:jc w:val="right"/>
              <w:rPr>
                <w:sz w:val="21"/>
              </w:rPr>
            </w:pPr>
            <w:r>
              <w:rPr>
                <w:sz w:val="21"/>
              </w:rPr>
              <w:t>13,498,506.87</w:t>
            </w:r>
          </w:p>
        </w:tc>
      </w:tr>
      <w:tr>
        <w:trPr>
          <w:trHeight w:val="373" w:hRule="atLeast"/>
        </w:trPr>
        <w:tc>
          <w:tcPr>
            <w:tcW w:w="866" w:type="dxa"/>
          </w:tcPr>
          <w:p>
            <w:pPr>
              <w:pStyle w:val="TableParagraph"/>
              <w:spacing w:line="250" w:lineRule="exact" w:before="104"/>
              <w:ind w:left="7"/>
              <w:jc w:val="center"/>
              <w:rPr>
                <w:sz w:val="21"/>
              </w:rPr>
            </w:pPr>
            <w:r>
              <w:rPr>
                <w:w w:val="100"/>
                <w:sz w:val="21"/>
              </w:rPr>
              <w:t>5</w:t>
            </w:r>
          </w:p>
        </w:tc>
        <w:tc>
          <w:tcPr>
            <w:tcW w:w="2129" w:type="dxa"/>
          </w:tcPr>
          <w:p>
            <w:pPr>
              <w:pStyle w:val="TableParagraph"/>
              <w:spacing w:line="250" w:lineRule="exact" w:before="104"/>
              <w:ind w:left="14"/>
              <w:rPr>
                <w:sz w:val="21"/>
              </w:rPr>
            </w:pPr>
            <w:r>
              <w:rPr>
                <w:sz w:val="21"/>
              </w:rPr>
              <w:t>应收申购款</w:t>
            </w:r>
          </w:p>
        </w:tc>
        <w:tc>
          <w:tcPr>
            <w:tcW w:w="5348" w:type="dxa"/>
          </w:tcPr>
          <w:p>
            <w:pPr>
              <w:pStyle w:val="TableParagraph"/>
              <w:spacing w:line="250" w:lineRule="exact" w:before="104"/>
              <w:ind w:right="2"/>
              <w:jc w:val="right"/>
              <w:rPr>
                <w:sz w:val="21"/>
              </w:rPr>
            </w:pPr>
            <w:r>
              <w:rPr>
                <w:sz w:val="21"/>
              </w:rPr>
              <w:t>4,565,977.74</w:t>
            </w:r>
          </w:p>
        </w:tc>
      </w:tr>
      <w:tr>
        <w:trPr>
          <w:trHeight w:val="376" w:hRule="atLeast"/>
        </w:trPr>
        <w:tc>
          <w:tcPr>
            <w:tcW w:w="866" w:type="dxa"/>
          </w:tcPr>
          <w:p>
            <w:pPr>
              <w:pStyle w:val="TableParagraph"/>
              <w:spacing w:line="250" w:lineRule="exact" w:before="106"/>
              <w:ind w:left="7"/>
              <w:jc w:val="center"/>
              <w:rPr>
                <w:sz w:val="21"/>
              </w:rPr>
            </w:pPr>
            <w:r>
              <w:rPr>
                <w:w w:val="100"/>
                <w:sz w:val="21"/>
              </w:rPr>
              <w:t>6</w:t>
            </w:r>
          </w:p>
        </w:tc>
        <w:tc>
          <w:tcPr>
            <w:tcW w:w="2129" w:type="dxa"/>
          </w:tcPr>
          <w:p>
            <w:pPr>
              <w:pStyle w:val="TableParagraph"/>
              <w:spacing w:line="250" w:lineRule="exact" w:before="106"/>
              <w:ind w:left="14"/>
              <w:rPr>
                <w:sz w:val="21"/>
              </w:rPr>
            </w:pPr>
            <w:r>
              <w:rPr>
                <w:sz w:val="21"/>
              </w:rPr>
              <w:t>其他应收款</w:t>
            </w:r>
          </w:p>
        </w:tc>
        <w:tc>
          <w:tcPr>
            <w:tcW w:w="5348" w:type="dxa"/>
          </w:tcPr>
          <w:p>
            <w:pPr>
              <w:pStyle w:val="TableParagraph"/>
              <w:spacing w:line="250" w:lineRule="exact" w:before="106"/>
              <w:ind w:right="4"/>
              <w:jc w:val="right"/>
              <w:rPr>
                <w:sz w:val="21"/>
              </w:rPr>
            </w:pPr>
            <w:r>
              <w:rPr>
                <w:w w:val="100"/>
                <w:sz w:val="21"/>
              </w:rPr>
              <w:t>-</w:t>
            </w:r>
          </w:p>
        </w:tc>
      </w:tr>
      <w:tr>
        <w:trPr>
          <w:trHeight w:val="374" w:hRule="atLeast"/>
        </w:trPr>
        <w:tc>
          <w:tcPr>
            <w:tcW w:w="866" w:type="dxa"/>
          </w:tcPr>
          <w:p>
            <w:pPr>
              <w:pStyle w:val="TableParagraph"/>
              <w:spacing w:line="250" w:lineRule="exact" w:before="104"/>
              <w:ind w:left="7"/>
              <w:jc w:val="center"/>
              <w:rPr>
                <w:sz w:val="21"/>
              </w:rPr>
            </w:pPr>
            <w:r>
              <w:rPr>
                <w:w w:val="100"/>
                <w:sz w:val="21"/>
              </w:rPr>
              <w:t>7</w:t>
            </w:r>
          </w:p>
        </w:tc>
        <w:tc>
          <w:tcPr>
            <w:tcW w:w="2129" w:type="dxa"/>
          </w:tcPr>
          <w:p>
            <w:pPr>
              <w:pStyle w:val="TableParagraph"/>
              <w:spacing w:line="250" w:lineRule="exact" w:before="104"/>
              <w:ind w:left="14"/>
              <w:rPr>
                <w:sz w:val="21"/>
              </w:rPr>
            </w:pPr>
            <w:r>
              <w:rPr>
                <w:sz w:val="21"/>
              </w:rPr>
              <w:t>待摊费用</w:t>
            </w:r>
          </w:p>
        </w:tc>
        <w:tc>
          <w:tcPr>
            <w:tcW w:w="5348" w:type="dxa"/>
          </w:tcPr>
          <w:p>
            <w:pPr>
              <w:pStyle w:val="TableParagraph"/>
              <w:spacing w:line="250" w:lineRule="exact" w:before="104"/>
              <w:ind w:right="4"/>
              <w:jc w:val="right"/>
              <w:rPr>
                <w:sz w:val="21"/>
              </w:rPr>
            </w:pPr>
            <w:r>
              <w:rPr>
                <w:w w:val="100"/>
                <w:sz w:val="21"/>
              </w:rPr>
              <w:t>-</w:t>
            </w:r>
          </w:p>
        </w:tc>
      </w:tr>
      <w:tr>
        <w:trPr>
          <w:trHeight w:val="376" w:hRule="atLeast"/>
        </w:trPr>
        <w:tc>
          <w:tcPr>
            <w:tcW w:w="866" w:type="dxa"/>
          </w:tcPr>
          <w:p>
            <w:pPr>
              <w:pStyle w:val="TableParagraph"/>
              <w:spacing w:line="250" w:lineRule="exact" w:before="106"/>
              <w:ind w:left="7"/>
              <w:jc w:val="center"/>
              <w:rPr>
                <w:sz w:val="21"/>
              </w:rPr>
            </w:pPr>
            <w:r>
              <w:rPr>
                <w:w w:val="100"/>
                <w:sz w:val="21"/>
              </w:rPr>
              <w:t>8</w:t>
            </w:r>
          </w:p>
        </w:tc>
        <w:tc>
          <w:tcPr>
            <w:tcW w:w="2129" w:type="dxa"/>
          </w:tcPr>
          <w:p>
            <w:pPr>
              <w:pStyle w:val="TableParagraph"/>
              <w:spacing w:line="250" w:lineRule="exact" w:before="106"/>
              <w:ind w:left="14"/>
              <w:rPr>
                <w:sz w:val="21"/>
              </w:rPr>
            </w:pPr>
            <w:r>
              <w:rPr>
                <w:sz w:val="21"/>
              </w:rPr>
              <w:t>其他</w:t>
            </w:r>
          </w:p>
        </w:tc>
        <w:tc>
          <w:tcPr>
            <w:tcW w:w="5348" w:type="dxa"/>
          </w:tcPr>
          <w:p>
            <w:pPr>
              <w:pStyle w:val="TableParagraph"/>
              <w:spacing w:line="250" w:lineRule="exact" w:before="106"/>
              <w:ind w:right="4"/>
              <w:jc w:val="right"/>
              <w:rPr>
                <w:sz w:val="21"/>
              </w:rPr>
            </w:pPr>
            <w:r>
              <w:rPr>
                <w:w w:val="100"/>
                <w:sz w:val="21"/>
              </w:rPr>
              <w:t>-</w:t>
            </w:r>
          </w:p>
        </w:tc>
      </w:tr>
      <w:tr>
        <w:trPr>
          <w:trHeight w:val="373" w:hRule="atLeast"/>
        </w:trPr>
        <w:tc>
          <w:tcPr>
            <w:tcW w:w="866" w:type="dxa"/>
          </w:tcPr>
          <w:p>
            <w:pPr>
              <w:pStyle w:val="TableParagraph"/>
              <w:spacing w:line="250" w:lineRule="exact" w:before="104"/>
              <w:ind w:left="7"/>
              <w:jc w:val="center"/>
              <w:rPr>
                <w:sz w:val="21"/>
              </w:rPr>
            </w:pPr>
            <w:r>
              <w:rPr>
                <w:w w:val="100"/>
                <w:sz w:val="21"/>
              </w:rPr>
              <w:t>9</w:t>
            </w:r>
          </w:p>
        </w:tc>
        <w:tc>
          <w:tcPr>
            <w:tcW w:w="2129" w:type="dxa"/>
          </w:tcPr>
          <w:p>
            <w:pPr>
              <w:pStyle w:val="TableParagraph"/>
              <w:spacing w:line="250" w:lineRule="exact" w:before="104"/>
              <w:ind w:left="14"/>
              <w:rPr>
                <w:sz w:val="21"/>
              </w:rPr>
            </w:pPr>
            <w:r>
              <w:rPr>
                <w:sz w:val="21"/>
              </w:rPr>
              <w:t>合计</w:t>
            </w:r>
          </w:p>
        </w:tc>
        <w:tc>
          <w:tcPr>
            <w:tcW w:w="5348" w:type="dxa"/>
          </w:tcPr>
          <w:p>
            <w:pPr>
              <w:pStyle w:val="TableParagraph"/>
              <w:spacing w:line="250" w:lineRule="exact" w:before="104"/>
              <w:ind w:right="2"/>
              <w:jc w:val="right"/>
              <w:rPr>
                <w:sz w:val="21"/>
              </w:rPr>
            </w:pPr>
            <w:r>
              <w:rPr>
                <w:sz w:val="21"/>
              </w:rPr>
              <w:t>18,723,553.33</w:t>
            </w:r>
          </w:p>
        </w:tc>
      </w:tr>
    </w:tbl>
    <w:p>
      <w:pPr>
        <w:pStyle w:val="ListParagraph"/>
        <w:numPr>
          <w:ilvl w:val="1"/>
          <w:numId w:val="26"/>
        </w:numPr>
        <w:tabs>
          <w:tab w:pos="1208" w:val="left" w:leader="none"/>
        </w:tabs>
        <w:spacing w:line="240" w:lineRule="auto" w:before="235" w:after="0"/>
        <w:ind w:left="1207" w:right="0" w:hanging="550"/>
        <w:jc w:val="left"/>
        <w:rPr>
          <w:rFonts w:ascii="Cambria" w:eastAsia="Cambria"/>
          <w:b/>
          <w:sz w:val="24"/>
        </w:rPr>
      </w:pPr>
      <w:r>
        <w:rPr>
          <w:b/>
          <w:sz w:val="24"/>
        </w:rPr>
        <w:t>报告期末持有的处于转股期的可转换债券明细</w:t>
      </w:r>
    </w:p>
    <w:p>
      <w:pPr>
        <w:pStyle w:val="BodyText"/>
        <w:spacing w:before="241"/>
        <w:ind w:left="1078"/>
      </w:pPr>
      <w:r>
        <w:rPr/>
        <w:t>本基金本报告期末未持有处于转股期的可转换债券。</w:t>
      </w:r>
    </w:p>
    <w:p>
      <w:pPr>
        <w:pStyle w:val="BodyText"/>
        <w:spacing w:before="2"/>
        <w:rPr>
          <w:sz w:val="26"/>
        </w:rPr>
      </w:pPr>
    </w:p>
    <w:p>
      <w:pPr>
        <w:pStyle w:val="ListParagraph"/>
        <w:numPr>
          <w:ilvl w:val="1"/>
          <w:numId w:val="26"/>
        </w:numPr>
        <w:tabs>
          <w:tab w:pos="1208" w:val="left" w:leader="none"/>
        </w:tabs>
        <w:spacing w:line="240" w:lineRule="auto" w:before="0" w:after="0"/>
        <w:ind w:left="1207" w:right="0" w:hanging="550"/>
        <w:jc w:val="left"/>
        <w:rPr>
          <w:rFonts w:ascii="Cambria" w:eastAsia="Cambria"/>
          <w:b/>
          <w:sz w:val="24"/>
        </w:rPr>
      </w:pPr>
      <w:r>
        <w:rPr>
          <w:b/>
          <w:sz w:val="24"/>
        </w:rPr>
        <w:t>报告期末前十名股票中存在流通受限情况的说明</w:t>
      </w:r>
    </w:p>
    <w:p>
      <w:pPr>
        <w:pStyle w:val="BodyText"/>
        <w:spacing w:before="241"/>
        <w:ind w:left="1078"/>
      </w:pPr>
      <w:r>
        <w:rPr/>
        <w:t>本基金本报告期末前十名股票中不存在流通受限的情况。</w:t>
      </w:r>
    </w:p>
    <w:p>
      <w:pPr>
        <w:pStyle w:val="BodyText"/>
        <w:spacing w:before="1"/>
        <w:rPr>
          <w:sz w:val="26"/>
        </w:rPr>
      </w:pPr>
    </w:p>
    <w:p>
      <w:pPr>
        <w:pStyle w:val="ListParagraph"/>
        <w:numPr>
          <w:ilvl w:val="1"/>
          <w:numId w:val="26"/>
        </w:numPr>
        <w:tabs>
          <w:tab w:pos="1138" w:val="left" w:leader="none"/>
        </w:tabs>
        <w:spacing w:line="240" w:lineRule="auto" w:before="0" w:after="0"/>
        <w:ind w:left="1138" w:right="0" w:hanging="480"/>
        <w:jc w:val="left"/>
        <w:rPr>
          <w:rFonts w:ascii="Cambria" w:eastAsia="Cambria"/>
          <w:b/>
          <w:sz w:val="21"/>
        </w:rPr>
      </w:pPr>
      <w:r>
        <w:rPr>
          <w:b/>
          <w:sz w:val="24"/>
        </w:rPr>
        <w:t>投资组合报告附注的其他文字描述部分</w:t>
      </w:r>
    </w:p>
    <w:p>
      <w:pPr>
        <w:pStyle w:val="BodyText"/>
        <w:spacing w:before="10"/>
        <w:rPr>
          <w:b/>
          <w:sz w:val="18"/>
        </w:rPr>
      </w:pPr>
    </w:p>
    <w:p>
      <w:pPr>
        <w:pStyle w:val="BodyText"/>
        <w:ind w:left="1078"/>
      </w:pPr>
      <w:r>
        <w:rPr/>
        <w:t>无。</w:t>
      </w:r>
    </w:p>
    <w:p>
      <w:pPr>
        <w:pStyle w:val="BodyText"/>
        <w:spacing w:before="7"/>
        <w:rPr>
          <w:sz w:val="15"/>
        </w:rPr>
      </w:pPr>
    </w:p>
    <w:p>
      <w:pPr>
        <w:spacing w:before="0"/>
        <w:ind w:left="658" w:right="0" w:firstLine="0"/>
        <w:jc w:val="left"/>
        <w:rPr>
          <w:b/>
          <w:sz w:val="21"/>
        </w:rPr>
      </w:pPr>
      <w:r>
        <w:rPr>
          <w:b/>
          <w:sz w:val="21"/>
        </w:rPr>
        <w:t>货币市场基金投资组合报告</w:t>
      </w:r>
    </w:p>
    <w:p>
      <w:pPr>
        <w:pStyle w:val="BodyText"/>
        <w:spacing w:before="12"/>
        <w:rPr>
          <w:b/>
          <w:sz w:val="19"/>
        </w:rPr>
      </w:pPr>
    </w:p>
    <w:p>
      <w:pPr>
        <w:pStyle w:val="ListParagraph"/>
        <w:numPr>
          <w:ilvl w:val="0"/>
          <w:numId w:val="27"/>
        </w:numPr>
        <w:tabs>
          <w:tab w:pos="922" w:val="left" w:leader="none"/>
        </w:tabs>
        <w:spacing w:line="240" w:lineRule="auto" w:before="0" w:after="0"/>
        <w:ind w:left="922" w:right="0" w:hanging="264"/>
        <w:jc w:val="left"/>
        <w:rPr>
          <w:rFonts w:ascii="Cambria" w:eastAsia="Cambria"/>
          <w:b/>
          <w:sz w:val="24"/>
        </w:rPr>
      </w:pPr>
      <w:r>
        <w:rPr>
          <w:b/>
          <w:sz w:val="24"/>
        </w:rPr>
        <w:t>报告期末基金资产组合情况</w:t>
      </w:r>
    </w:p>
    <w:p>
      <w:pPr>
        <w:pStyle w:val="BodyText"/>
        <w:spacing w:before="1"/>
        <w:rPr>
          <w:b/>
          <w:sz w:val="5"/>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734"/>
        <w:gridCol w:w="2667"/>
        <w:gridCol w:w="3253"/>
      </w:tblGrid>
      <w:tr>
        <w:trPr>
          <w:trHeight w:val="361" w:hRule="atLeast"/>
        </w:trPr>
        <w:tc>
          <w:tcPr>
            <w:tcW w:w="670" w:type="dxa"/>
            <w:shd w:val="clear" w:color="auto" w:fill="D9D9D9"/>
          </w:tcPr>
          <w:p>
            <w:pPr>
              <w:pStyle w:val="TableParagraph"/>
              <w:spacing w:line="252" w:lineRule="exact" w:before="89"/>
              <w:ind w:left="124"/>
              <w:rPr>
                <w:sz w:val="21"/>
              </w:rPr>
            </w:pPr>
            <w:r>
              <w:rPr>
                <w:sz w:val="21"/>
              </w:rPr>
              <w:t>序号</w:t>
            </w:r>
          </w:p>
        </w:tc>
        <w:tc>
          <w:tcPr>
            <w:tcW w:w="1734" w:type="dxa"/>
            <w:shd w:val="clear" w:color="auto" w:fill="D9D9D9"/>
          </w:tcPr>
          <w:p>
            <w:pPr>
              <w:pStyle w:val="TableParagraph"/>
              <w:spacing w:line="252" w:lineRule="exact" w:before="89"/>
              <w:ind w:left="632" w:right="632"/>
              <w:jc w:val="center"/>
              <w:rPr>
                <w:sz w:val="21"/>
              </w:rPr>
            </w:pPr>
            <w:r>
              <w:rPr>
                <w:sz w:val="21"/>
              </w:rPr>
              <w:t>项目</w:t>
            </w:r>
          </w:p>
        </w:tc>
        <w:tc>
          <w:tcPr>
            <w:tcW w:w="2667" w:type="dxa"/>
            <w:shd w:val="clear" w:color="auto" w:fill="D9D9D9"/>
          </w:tcPr>
          <w:p>
            <w:pPr>
              <w:pStyle w:val="TableParagraph"/>
              <w:spacing w:line="252" w:lineRule="exact" w:before="89"/>
              <w:ind w:left="800"/>
              <w:rPr>
                <w:sz w:val="21"/>
              </w:rPr>
            </w:pPr>
            <w:r>
              <w:rPr>
                <w:sz w:val="21"/>
              </w:rPr>
              <w:t>金额（元）</w:t>
            </w:r>
          </w:p>
        </w:tc>
        <w:tc>
          <w:tcPr>
            <w:tcW w:w="3253" w:type="dxa"/>
            <w:shd w:val="clear" w:color="auto" w:fill="D9D9D9"/>
          </w:tcPr>
          <w:p>
            <w:pPr>
              <w:pStyle w:val="TableParagraph"/>
              <w:spacing w:line="252" w:lineRule="exact" w:before="89"/>
              <w:ind w:left="411"/>
              <w:rPr>
                <w:sz w:val="21"/>
              </w:rPr>
            </w:pPr>
            <w:r>
              <w:rPr>
                <w:sz w:val="21"/>
              </w:rPr>
              <w:t>占基金总资产的比例（%）</w:t>
            </w:r>
          </w:p>
        </w:tc>
      </w:tr>
    </w:tbl>
    <w:p>
      <w:pPr>
        <w:spacing w:after="0" w:line="252" w:lineRule="exact"/>
        <w:rPr>
          <w:sz w:val="21"/>
        </w:rPr>
        <w:sectPr>
          <w:pgSz w:w="11910" w:h="16840"/>
          <w:pgMar w:header="852" w:footer="992" w:top="1220" w:bottom="1180" w:left="1140" w:right="480"/>
        </w:sectPr>
      </w:pPr>
    </w:p>
    <w:p>
      <w:pPr>
        <w:pStyle w:val="BodyText"/>
        <w:spacing w:before="11"/>
        <w:rPr>
          <w:b/>
          <w:sz w:val="16"/>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734"/>
        <w:gridCol w:w="2667"/>
        <w:gridCol w:w="3253"/>
      </w:tblGrid>
      <w:tr>
        <w:trPr>
          <w:trHeight w:val="360" w:hRule="atLeast"/>
        </w:trPr>
        <w:tc>
          <w:tcPr>
            <w:tcW w:w="670" w:type="dxa"/>
          </w:tcPr>
          <w:p>
            <w:pPr>
              <w:pStyle w:val="TableParagraph"/>
              <w:spacing w:line="250" w:lineRule="exact" w:before="90"/>
              <w:ind w:left="6"/>
              <w:jc w:val="center"/>
              <w:rPr>
                <w:sz w:val="21"/>
              </w:rPr>
            </w:pPr>
            <w:r>
              <w:rPr>
                <w:w w:val="100"/>
                <w:sz w:val="21"/>
              </w:rPr>
              <w:t>1</w:t>
            </w:r>
          </w:p>
        </w:tc>
        <w:tc>
          <w:tcPr>
            <w:tcW w:w="1734" w:type="dxa"/>
          </w:tcPr>
          <w:p>
            <w:pPr>
              <w:pStyle w:val="TableParagraph"/>
              <w:spacing w:line="250" w:lineRule="exact" w:before="90"/>
              <w:ind w:left="104"/>
              <w:rPr>
                <w:sz w:val="21"/>
              </w:rPr>
            </w:pPr>
            <w:r>
              <w:rPr>
                <w:sz w:val="21"/>
              </w:rPr>
              <w:t>固定收益投资</w:t>
            </w:r>
          </w:p>
        </w:tc>
        <w:tc>
          <w:tcPr>
            <w:tcW w:w="2667" w:type="dxa"/>
          </w:tcPr>
          <w:p>
            <w:pPr>
              <w:pStyle w:val="TableParagraph"/>
              <w:spacing w:line="250" w:lineRule="exact" w:before="90"/>
              <w:ind w:right="1"/>
              <w:jc w:val="right"/>
              <w:rPr>
                <w:sz w:val="21"/>
              </w:rPr>
            </w:pPr>
            <w:r>
              <w:rPr>
                <w:sz w:val="21"/>
              </w:rPr>
              <w:t>609,441,428.71</w:t>
            </w:r>
          </w:p>
        </w:tc>
        <w:tc>
          <w:tcPr>
            <w:tcW w:w="3253" w:type="dxa"/>
          </w:tcPr>
          <w:p>
            <w:pPr>
              <w:pStyle w:val="TableParagraph"/>
              <w:spacing w:line="250" w:lineRule="exact" w:before="90"/>
              <w:ind w:right="-15"/>
              <w:jc w:val="right"/>
              <w:rPr>
                <w:sz w:val="21"/>
              </w:rPr>
            </w:pPr>
            <w:r>
              <w:rPr>
                <w:sz w:val="21"/>
              </w:rPr>
              <w:t>19.18</w:t>
            </w:r>
          </w:p>
        </w:tc>
      </w:tr>
      <w:tr>
        <w:trPr>
          <w:trHeight w:val="359" w:hRule="atLeast"/>
        </w:trPr>
        <w:tc>
          <w:tcPr>
            <w:tcW w:w="670" w:type="dxa"/>
          </w:tcPr>
          <w:p>
            <w:pPr>
              <w:pStyle w:val="TableParagraph"/>
              <w:rPr>
                <w:rFonts w:ascii="Times New Roman"/>
                <w:sz w:val="20"/>
              </w:rPr>
            </w:pPr>
          </w:p>
        </w:tc>
        <w:tc>
          <w:tcPr>
            <w:tcW w:w="1734" w:type="dxa"/>
          </w:tcPr>
          <w:p>
            <w:pPr>
              <w:pStyle w:val="TableParagraph"/>
              <w:spacing w:line="250" w:lineRule="exact" w:before="89"/>
              <w:ind w:left="104"/>
              <w:rPr>
                <w:sz w:val="21"/>
              </w:rPr>
            </w:pPr>
            <w:r>
              <w:rPr>
                <w:sz w:val="21"/>
              </w:rPr>
              <w:t>其中：债券</w:t>
            </w:r>
          </w:p>
        </w:tc>
        <w:tc>
          <w:tcPr>
            <w:tcW w:w="2667" w:type="dxa"/>
          </w:tcPr>
          <w:p>
            <w:pPr>
              <w:pStyle w:val="TableParagraph"/>
              <w:spacing w:line="250" w:lineRule="exact" w:before="89"/>
              <w:ind w:right="1"/>
              <w:jc w:val="right"/>
              <w:rPr>
                <w:sz w:val="21"/>
              </w:rPr>
            </w:pPr>
            <w:r>
              <w:rPr>
                <w:sz w:val="21"/>
              </w:rPr>
              <w:t>609,441,428.71</w:t>
            </w:r>
          </w:p>
        </w:tc>
        <w:tc>
          <w:tcPr>
            <w:tcW w:w="3253" w:type="dxa"/>
          </w:tcPr>
          <w:p>
            <w:pPr>
              <w:pStyle w:val="TableParagraph"/>
              <w:spacing w:line="250" w:lineRule="exact" w:before="89"/>
              <w:ind w:right="-15"/>
              <w:jc w:val="right"/>
              <w:rPr>
                <w:sz w:val="21"/>
              </w:rPr>
            </w:pPr>
            <w:r>
              <w:rPr>
                <w:sz w:val="21"/>
              </w:rPr>
              <w:t>19.18</w:t>
            </w:r>
          </w:p>
        </w:tc>
      </w:tr>
      <w:tr>
        <w:trPr>
          <w:trHeight w:val="722" w:hRule="atLeast"/>
        </w:trPr>
        <w:tc>
          <w:tcPr>
            <w:tcW w:w="670" w:type="dxa"/>
          </w:tcPr>
          <w:p>
            <w:pPr>
              <w:pStyle w:val="TableParagraph"/>
              <w:rPr>
                <w:rFonts w:ascii="Times New Roman"/>
                <w:sz w:val="20"/>
              </w:rPr>
            </w:pPr>
          </w:p>
        </w:tc>
        <w:tc>
          <w:tcPr>
            <w:tcW w:w="1734" w:type="dxa"/>
          </w:tcPr>
          <w:p>
            <w:pPr>
              <w:pStyle w:val="TableParagraph"/>
              <w:spacing w:before="92"/>
              <w:ind w:left="733" w:right="-15"/>
              <w:rPr>
                <w:sz w:val="21"/>
              </w:rPr>
            </w:pPr>
            <w:r>
              <w:rPr>
                <w:spacing w:val="36"/>
                <w:sz w:val="21"/>
              </w:rPr>
              <w:t>资产支持</w:t>
            </w:r>
          </w:p>
          <w:p>
            <w:pPr>
              <w:pStyle w:val="TableParagraph"/>
              <w:spacing w:line="250" w:lineRule="exact" w:before="91"/>
              <w:ind w:left="104"/>
              <w:rPr>
                <w:sz w:val="21"/>
              </w:rPr>
            </w:pPr>
            <w:r>
              <w:rPr>
                <w:sz w:val="21"/>
              </w:rPr>
              <w:t>证券</w:t>
            </w:r>
          </w:p>
        </w:tc>
        <w:tc>
          <w:tcPr>
            <w:tcW w:w="2667" w:type="dxa"/>
          </w:tcPr>
          <w:p>
            <w:pPr>
              <w:pStyle w:val="TableParagraph"/>
              <w:spacing w:before="3"/>
              <w:rPr>
                <w:b/>
                <w:sz w:val="21"/>
              </w:rPr>
            </w:pPr>
          </w:p>
          <w:p>
            <w:pPr>
              <w:pStyle w:val="TableParagraph"/>
              <w:ind w:right="1"/>
              <w:jc w:val="right"/>
              <w:rPr>
                <w:sz w:val="21"/>
              </w:rPr>
            </w:pPr>
            <w:r>
              <w:rPr>
                <w:w w:val="100"/>
                <w:sz w:val="21"/>
              </w:rPr>
              <w:t>-</w:t>
            </w:r>
          </w:p>
        </w:tc>
        <w:tc>
          <w:tcPr>
            <w:tcW w:w="3253" w:type="dxa"/>
          </w:tcPr>
          <w:p>
            <w:pPr>
              <w:pStyle w:val="TableParagraph"/>
              <w:spacing w:before="3"/>
              <w:rPr>
                <w:b/>
                <w:sz w:val="21"/>
              </w:rPr>
            </w:pPr>
          </w:p>
          <w:p>
            <w:pPr>
              <w:pStyle w:val="TableParagraph"/>
              <w:ind w:right="1"/>
              <w:jc w:val="right"/>
              <w:rPr>
                <w:sz w:val="21"/>
              </w:rPr>
            </w:pPr>
            <w:r>
              <w:rPr>
                <w:w w:val="100"/>
                <w:sz w:val="21"/>
              </w:rPr>
              <w:t>-</w:t>
            </w:r>
          </w:p>
        </w:tc>
      </w:tr>
      <w:tr>
        <w:trPr>
          <w:trHeight w:val="359" w:hRule="atLeast"/>
        </w:trPr>
        <w:tc>
          <w:tcPr>
            <w:tcW w:w="670" w:type="dxa"/>
          </w:tcPr>
          <w:p>
            <w:pPr>
              <w:pStyle w:val="TableParagraph"/>
              <w:spacing w:line="250" w:lineRule="exact" w:before="90"/>
              <w:ind w:left="6"/>
              <w:jc w:val="center"/>
              <w:rPr>
                <w:sz w:val="21"/>
              </w:rPr>
            </w:pPr>
            <w:r>
              <w:rPr>
                <w:w w:val="100"/>
                <w:sz w:val="21"/>
              </w:rPr>
              <w:t>2</w:t>
            </w:r>
          </w:p>
        </w:tc>
        <w:tc>
          <w:tcPr>
            <w:tcW w:w="1734" w:type="dxa"/>
          </w:tcPr>
          <w:p>
            <w:pPr>
              <w:pStyle w:val="TableParagraph"/>
              <w:spacing w:line="250" w:lineRule="exact" w:before="90"/>
              <w:ind w:left="-1"/>
              <w:rPr>
                <w:sz w:val="21"/>
              </w:rPr>
            </w:pPr>
            <w:r>
              <w:rPr>
                <w:sz w:val="21"/>
              </w:rPr>
              <w:t>买入返售金融资产</w:t>
            </w:r>
          </w:p>
        </w:tc>
        <w:tc>
          <w:tcPr>
            <w:tcW w:w="2667" w:type="dxa"/>
          </w:tcPr>
          <w:p>
            <w:pPr>
              <w:pStyle w:val="TableParagraph"/>
              <w:spacing w:line="250" w:lineRule="exact" w:before="90"/>
              <w:ind w:right="1"/>
              <w:jc w:val="right"/>
              <w:rPr>
                <w:sz w:val="21"/>
              </w:rPr>
            </w:pPr>
            <w:r>
              <w:rPr>
                <w:sz w:val="21"/>
              </w:rPr>
              <w:t>674,520,451.79</w:t>
            </w:r>
          </w:p>
        </w:tc>
        <w:tc>
          <w:tcPr>
            <w:tcW w:w="3253" w:type="dxa"/>
          </w:tcPr>
          <w:p>
            <w:pPr>
              <w:pStyle w:val="TableParagraph"/>
              <w:spacing w:line="250" w:lineRule="exact" w:before="90"/>
              <w:ind w:right="-15"/>
              <w:jc w:val="right"/>
              <w:rPr>
                <w:sz w:val="21"/>
              </w:rPr>
            </w:pPr>
            <w:r>
              <w:rPr>
                <w:sz w:val="21"/>
              </w:rPr>
              <w:t>21.23</w:t>
            </w:r>
          </w:p>
        </w:tc>
      </w:tr>
      <w:tr>
        <w:trPr>
          <w:trHeight w:val="1079" w:hRule="atLeast"/>
        </w:trPr>
        <w:tc>
          <w:tcPr>
            <w:tcW w:w="670" w:type="dxa"/>
          </w:tcPr>
          <w:p>
            <w:pPr>
              <w:pStyle w:val="TableParagraph"/>
              <w:rPr>
                <w:rFonts w:ascii="Times New Roman"/>
                <w:sz w:val="20"/>
              </w:rPr>
            </w:pPr>
          </w:p>
        </w:tc>
        <w:tc>
          <w:tcPr>
            <w:tcW w:w="1734" w:type="dxa"/>
          </w:tcPr>
          <w:p>
            <w:pPr>
              <w:pStyle w:val="TableParagraph"/>
              <w:spacing w:line="360" w:lineRule="exact" w:before="12"/>
              <w:ind w:left="-1"/>
              <w:jc w:val="both"/>
              <w:rPr>
                <w:sz w:val="21"/>
              </w:rPr>
            </w:pPr>
            <w:r>
              <w:rPr>
                <w:sz w:val="21"/>
              </w:rPr>
              <w:t>其中：买断式回购的买入返售金融资产</w:t>
            </w:r>
          </w:p>
        </w:tc>
        <w:tc>
          <w:tcPr>
            <w:tcW w:w="2667" w:type="dxa"/>
          </w:tcPr>
          <w:p>
            <w:pPr>
              <w:pStyle w:val="TableParagraph"/>
              <w:rPr>
                <w:b/>
                <w:sz w:val="20"/>
              </w:rPr>
            </w:pPr>
          </w:p>
          <w:p>
            <w:pPr>
              <w:pStyle w:val="TableParagraph"/>
              <w:spacing w:before="1"/>
              <w:rPr>
                <w:b/>
                <w:sz w:val="15"/>
              </w:rPr>
            </w:pPr>
          </w:p>
          <w:p>
            <w:pPr>
              <w:pStyle w:val="TableParagraph"/>
              <w:ind w:right="1"/>
              <w:jc w:val="right"/>
              <w:rPr>
                <w:sz w:val="21"/>
              </w:rPr>
            </w:pPr>
            <w:r>
              <w:rPr>
                <w:w w:val="100"/>
                <w:sz w:val="21"/>
              </w:rPr>
              <w:t>-</w:t>
            </w:r>
          </w:p>
        </w:tc>
        <w:tc>
          <w:tcPr>
            <w:tcW w:w="3253" w:type="dxa"/>
          </w:tcPr>
          <w:p>
            <w:pPr>
              <w:pStyle w:val="TableParagraph"/>
              <w:rPr>
                <w:b/>
                <w:sz w:val="20"/>
              </w:rPr>
            </w:pPr>
          </w:p>
          <w:p>
            <w:pPr>
              <w:pStyle w:val="TableParagraph"/>
              <w:spacing w:before="1"/>
              <w:rPr>
                <w:b/>
                <w:sz w:val="15"/>
              </w:rPr>
            </w:pPr>
          </w:p>
          <w:p>
            <w:pPr>
              <w:pStyle w:val="TableParagraph"/>
              <w:ind w:right="1"/>
              <w:jc w:val="right"/>
              <w:rPr>
                <w:sz w:val="21"/>
              </w:rPr>
            </w:pPr>
            <w:r>
              <w:rPr>
                <w:w w:val="100"/>
                <w:sz w:val="21"/>
              </w:rPr>
              <w:t>-</w:t>
            </w:r>
          </w:p>
        </w:tc>
      </w:tr>
      <w:tr>
        <w:trPr>
          <w:trHeight w:val="708" w:hRule="atLeast"/>
        </w:trPr>
        <w:tc>
          <w:tcPr>
            <w:tcW w:w="670" w:type="dxa"/>
          </w:tcPr>
          <w:p>
            <w:pPr>
              <w:pStyle w:val="TableParagraph"/>
              <w:spacing w:before="1"/>
              <w:rPr>
                <w:b/>
                <w:sz w:val="20"/>
              </w:rPr>
            </w:pPr>
          </w:p>
          <w:p>
            <w:pPr>
              <w:pStyle w:val="TableParagraph"/>
              <w:ind w:left="6"/>
              <w:jc w:val="center"/>
              <w:rPr>
                <w:sz w:val="21"/>
              </w:rPr>
            </w:pPr>
            <w:r>
              <w:rPr>
                <w:w w:val="100"/>
                <w:sz w:val="21"/>
              </w:rPr>
              <w:t>3</w:t>
            </w:r>
          </w:p>
        </w:tc>
        <w:tc>
          <w:tcPr>
            <w:tcW w:w="1734" w:type="dxa"/>
          </w:tcPr>
          <w:p>
            <w:pPr>
              <w:pStyle w:val="TableParagraph"/>
              <w:spacing w:before="77"/>
              <w:ind w:left="-1"/>
              <w:rPr>
                <w:sz w:val="21"/>
              </w:rPr>
            </w:pPr>
            <w:r>
              <w:rPr>
                <w:sz w:val="21"/>
              </w:rPr>
              <w:t>银行存款和结算备</w:t>
            </w:r>
          </w:p>
          <w:p>
            <w:pPr>
              <w:pStyle w:val="TableParagraph"/>
              <w:spacing w:line="250" w:lineRule="exact" w:before="92"/>
              <w:ind w:left="-1"/>
              <w:rPr>
                <w:sz w:val="21"/>
              </w:rPr>
            </w:pPr>
            <w:r>
              <w:rPr>
                <w:sz w:val="21"/>
              </w:rPr>
              <w:t>付金合计</w:t>
            </w:r>
          </w:p>
        </w:tc>
        <w:tc>
          <w:tcPr>
            <w:tcW w:w="2667" w:type="dxa"/>
          </w:tcPr>
          <w:p>
            <w:pPr>
              <w:pStyle w:val="TableParagraph"/>
              <w:spacing w:before="1"/>
              <w:rPr>
                <w:b/>
                <w:sz w:val="20"/>
              </w:rPr>
            </w:pPr>
          </w:p>
          <w:p>
            <w:pPr>
              <w:pStyle w:val="TableParagraph"/>
              <w:ind w:right="1"/>
              <w:jc w:val="right"/>
              <w:rPr>
                <w:sz w:val="21"/>
              </w:rPr>
            </w:pPr>
            <w:r>
              <w:rPr>
                <w:sz w:val="21"/>
              </w:rPr>
              <w:t>1,871,248,933.92</w:t>
            </w:r>
          </w:p>
        </w:tc>
        <w:tc>
          <w:tcPr>
            <w:tcW w:w="3253" w:type="dxa"/>
          </w:tcPr>
          <w:p>
            <w:pPr>
              <w:pStyle w:val="TableParagraph"/>
              <w:spacing w:before="1"/>
              <w:rPr>
                <w:b/>
                <w:sz w:val="20"/>
              </w:rPr>
            </w:pPr>
          </w:p>
          <w:p>
            <w:pPr>
              <w:pStyle w:val="TableParagraph"/>
              <w:ind w:right="-15"/>
              <w:jc w:val="right"/>
              <w:rPr>
                <w:sz w:val="21"/>
              </w:rPr>
            </w:pPr>
            <w:r>
              <w:rPr>
                <w:sz w:val="21"/>
              </w:rPr>
              <w:t>58.89</w:t>
            </w:r>
          </w:p>
        </w:tc>
      </w:tr>
      <w:tr>
        <w:trPr>
          <w:trHeight w:val="359" w:hRule="atLeast"/>
        </w:trPr>
        <w:tc>
          <w:tcPr>
            <w:tcW w:w="670" w:type="dxa"/>
          </w:tcPr>
          <w:p>
            <w:pPr>
              <w:pStyle w:val="TableParagraph"/>
              <w:spacing w:line="250" w:lineRule="exact" w:before="89"/>
              <w:ind w:left="6"/>
              <w:jc w:val="center"/>
              <w:rPr>
                <w:sz w:val="21"/>
              </w:rPr>
            </w:pPr>
            <w:r>
              <w:rPr>
                <w:w w:val="100"/>
                <w:sz w:val="21"/>
              </w:rPr>
              <w:t>4</w:t>
            </w:r>
          </w:p>
        </w:tc>
        <w:tc>
          <w:tcPr>
            <w:tcW w:w="1734" w:type="dxa"/>
          </w:tcPr>
          <w:p>
            <w:pPr>
              <w:pStyle w:val="TableParagraph"/>
              <w:spacing w:line="250" w:lineRule="exact" w:before="89"/>
              <w:ind w:left="104"/>
              <w:rPr>
                <w:sz w:val="21"/>
              </w:rPr>
            </w:pPr>
            <w:r>
              <w:rPr>
                <w:sz w:val="21"/>
              </w:rPr>
              <w:t>其他资产</w:t>
            </w:r>
          </w:p>
        </w:tc>
        <w:tc>
          <w:tcPr>
            <w:tcW w:w="2667" w:type="dxa"/>
          </w:tcPr>
          <w:p>
            <w:pPr>
              <w:pStyle w:val="TableParagraph"/>
              <w:spacing w:line="250" w:lineRule="exact" w:before="89"/>
              <w:ind w:right="1"/>
              <w:jc w:val="right"/>
              <w:rPr>
                <w:sz w:val="21"/>
              </w:rPr>
            </w:pPr>
            <w:r>
              <w:rPr>
                <w:sz w:val="21"/>
              </w:rPr>
              <w:t>22,359,382.11</w:t>
            </w:r>
          </w:p>
        </w:tc>
        <w:tc>
          <w:tcPr>
            <w:tcW w:w="3253" w:type="dxa"/>
          </w:tcPr>
          <w:p>
            <w:pPr>
              <w:pStyle w:val="TableParagraph"/>
              <w:spacing w:line="250" w:lineRule="exact" w:before="89"/>
              <w:ind w:right="-15"/>
              <w:jc w:val="right"/>
              <w:rPr>
                <w:sz w:val="21"/>
              </w:rPr>
            </w:pPr>
            <w:r>
              <w:rPr>
                <w:sz w:val="21"/>
              </w:rPr>
              <w:t>0.70</w:t>
            </w:r>
          </w:p>
        </w:tc>
      </w:tr>
      <w:tr>
        <w:trPr>
          <w:trHeight w:val="361" w:hRule="atLeast"/>
        </w:trPr>
        <w:tc>
          <w:tcPr>
            <w:tcW w:w="670" w:type="dxa"/>
          </w:tcPr>
          <w:p>
            <w:pPr>
              <w:pStyle w:val="TableParagraph"/>
              <w:spacing w:line="252" w:lineRule="exact" w:before="90"/>
              <w:ind w:left="6"/>
              <w:jc w:val="center"/>
              <w:rPr>
                <w:sz w:val="21"/>
              </w:rPr>
            </w:pPr>
            <w:r>
              <w:rPr>
                <w:w w:val="100"/>
                <w:sz w:val="21"/>
              </w:rPr>
              <w:t>5</w:t>
            </w:r>
          </w:p>
        </w:tc>
        <w:tc>
          <w:tcPr>
            <w:tcW w:w="1734" w:type="dxa"/>
          </w:tcPr>
          <w:p>
            <w:pPr>
              <w:pStyle w:val="TableParagraph"/>
              <w:spacing w:line="252" w:lineRule="exact" w:before="90"/>
              <w:ind w:left="104"/>
              <w:rPr>
                <w:sz w:val="21"/>
              </w:rPr>
            </w:pPr>
            <w:r>
              <w:rPr>
                <w:sz w:val="21"/>
              </w:rPr>
              <w:t>合计</w:t>
            </w:r>
          </w:p>
        </w:tc>
        <w:tc>
          <w:tcPr>
            <w:tcW w:w="2667" w:type="dxa"/>
          </w:tcPr>
          <w:p>
            <w:pPr>
              <w:pStyle w:val="TableParagraph"/>
              <w:spacing w:line="252" w:lineRule="exact" w:before="90"/>
              <w:ind w:right="1"/>
              <w:jc w:val="right"/>
              <w:rPr>
                <w:sz w:val="21"/>
              </w:rPr>
            </w:pPr>
            <w:r>
              <w:rPr>
                <w:sz w:val="21"/>
              </w:rPr>
              <w:t>3,177,570,196.53</w:t>
            </w:r>
          </w:p>
        </w:tc>
        <w:tc>
          <w:tcPr>
            <w:tcW w:w="3253" w:type="dxa"/>
          </w:tcPr>
          <w:p>
            <w:pPr>
              <w:pStyle w:val="TableParagraph"/>
              <w:spacing w:line="252" w:lineRule="exact" w:before="90"/>
              <w:ind w:right="-15"/>
              <w:jc w:val="right"/>
              <w:rPr>
                <w:sz w:val="21"/>
              </w:rPr>
            </w:pPr>
            <w:r>
              <w:rPr>
                <w:sz w:val="21"/>
              </w:rPr>
              <w:t>100.00</w:t>
            </w:r>
          </w:p>
        </w:tc>
      </w:tr>
    </w:tbl>
    <w:p>
      <w:pPr>
        <w:pStyle w:val="BodyText"/>
        <w:spacing w:before="99"/>
        <w:ind w:left="658"/>
      </w:pPr>
      <w:r>
        <w:rPr/>
        <w:t>注:银行存款和结算备付金合计中包含定期存款 1,869,900,000.00 元。</w:t>
      </w:r>
    </w:p>
    <w:p>
      <w:pPr>
        <w:pStyle w:val="BodyText"/>
        <w:spacing w:before="10"/>
        <w:rPr>
          <w:sz w:val="19"/>
        </w:rPr>
      </w:pPr>
    </w:p>
    <w:p>
      <w:pPr>
        <w:pStyle w:val="ListParagraph"/>
        <w:numPr>
          <w:ilvl w:val="0"/>
          <w:numId w:val="27"/>
        </w:numPr>
        <w:tabs>
          <w:tab w:pos="922" w:val="left" w:leader="none"/>
        </w:tabs>
        <w:spacing w:line="240" w:lineRule="auto" w:before="0" w:after="0"/>
        <w:ind w:left="922" w:right="0" w:hanging="264"/>
        <w:jc w:val="left"/>
        <w:rPr>
          <w:rFonts w:ascii="Cambria" w:eastAsia="Cambria"/>
          <w:b/>
          <w:sz w:val="24"/>
        </w:rPr>
      </w:pPr>
      <w:r>
        <w:rPr>
          <w:b/>
          <w:sz w:val="24"/>
        </w:rPr>
        <w:t>报告期债券回购融资情况</w:t>
      </w:r>
    </w:p>
    <w:p>
      <w:pPr>
        <w:pStyle w:val="BodyText"/>
        <w:rPr>
          <w:b/>
          <w:sz w:val="5"/>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3346"/>
        <w:gridCol w:w="2695"/>
        <w:gridCol w:w="1531"/>
      </w:tblGrid>
      <w:tr>
        <w:trPr>
          <w:trHeight w:val="376" w:hRule="atLeast"/>
        </w:trPr>
        <w:tc>
          <w:tcPr>
            <w:tcW w:w="749" w:type="dxa"/>
            <w:tcBorders>
              <w:right w:val="single" w:sz="6" w:space="0" w:color="000000"/>
            </w:tcBorders>
            <w:shd w:val="clear" w:color="auto" w:fill="D9D9D9"/>
          </w:tcPr>
          <w:p>
            <w:pPr>
              <w:pStyle w:val="TableParagraph"/>
              <w:spacing w:line="257" w:lineRule="exact" w:before="99"/>
              <w:ind w:left="143" w:right="132"/>
              <w:jc w:val="center"/>
              <w:rPr>
                <w:sz w:val="21"/>
              </w:rPr>
            </w:pPr>
            <w:r>
              <w:rPr>
                <w:sz w:val="21"/>
              </w:rPr>
              <w:t>序号</w:t>
            </w:r>
          </w:p>
        </w:tc>
        <w:tc>
          <w:tcPr>
            <w:tcW w:w="3346" w:type="dxa"/>
            <w:tcBorders>
              <w:left w:val="single" w:sz="6" w:space="0" w:color="000000"/>
            </w:tcBorders>
            <w:shd w:val="clear" w:color="auto" w:fill="D9D9D9"/>
          </w:tcPr>
          <w:p>
            <w:pPr>
              <w:pStyle w:val="TableParagraph"/>
              <w:spacing w:line="257" w:lineRule="exact" w:before="99"/>
              <w:ind w:left="388" w:right="381"/>
              <w:jc w:val="center"/>
              <w:rPr>
                <w:sz w:val="21"/>
              </w:rPr>
            </w:pPr>
            <w:r>
              <w:rPr>
                <w:sz w:val="21"/>
              </w:rPr>
              <w:t>项目</w:t>
            </w:r>
          </w:p>
        </w:tc>
        <w:tc>
          <w:tcPr>
            <w:tcW w:w="4226" w:type="dxa"/>
            <w:gridSpan w:val="2"/>
            <w:shd w:val="clear" w:color="auto" w:fill="D9D9D9"/>
          </w:tcPr>
          <w:p>
            <w:pPr>
              <w:pStyle w:val="TableParagraph"/>
              <w:spacing w:line="257" w:lineRule="exact" w:before="99"/>
              <w:ind w:left="852"/>
              <w:rPr>
                <w:sz w:val="21"/>
              </w:rPr>
            </w:pPr>
            <w:r>
              <w:rPr>
                <w:sz w:val="21"/>
              </w:rPr>
              <w:t>占基金资产净值比例（％）</w:t>
            </w:r>
          </w:p>
        </w:tc>
      </w:tr>
      <w:tr>
        <w:trPr>
          <w:trHeight w:val="359" w:hRule="atLeast"/>
        </w:trPr>
        <w:tc>
          <w:tcPr>
            <w:tcW w:w="749" w:type="dxa"/>
            <w:tcBorders>
              <w:right w:val="single" w:sz="6" w:space="0" w:color="000000"/>
            </w:tcBorders>
          </w:tcPr>
          <w:p>
            <w:pPr>
              <w:pStyle w:val="TableParagraph"/>
              <w:spacing w:line="250" w:lineRule="exact" w:before="90"/>
              <w:ind w:left="11"/>
              <w:jc w:val="center"/>
              <w:rPr>
                <w:sz w:val="21"/>
              </w:rPr>
            </w:pPr>
            <w:r>
              <w:rPr>
                <w:w w:val="100"/>
                <w:sz w:val="21"/>
              </w:rPr>
              <w:t>1</w:t>
            </w:r>
          </w:p>
        </w:tc>
        <w:tc>
          <w:tcPr>
            <w:tcW w:w="3346" w:type="dxa"/>
            <w:tcBorders>
              <w:left w:val="single" w:sz="6" w:space="0" w:color="000000"/>
            </w:tcBorders>
          </w:tcPr>
          <w:p>
            <w:pPr>
              <w:pStyle w:val="TableParagraph"/>
              <w:spacing w:line="250" w:lineRule="exact" w:before="90"/>
              <w:ind w:left="386" w:right="382"/>
              <w:jc w:val="center"/>
              <w:rPr>
                <w:sz w:val="21"/>
              </w:rPr>
            </w:pPr>
            <w:r>
              <w:rPr>
                <w:sz w:val="21"/>
              </w:rPr>
              <w:t>报告期内债券回购融资余额</w:t>
            </w:r>
          </w:p>
        </w:tc>
        <w:tc>
          <w:tcPr>
            <w:tcW w:w="4226" w:type="dxa"/>
            <w:gridSpan w:val="2"/>
          </w:tcPr>
          <w:p>
            <w:pPr>
              <w:pStyle w:val="TableParagraph"/>
              <w:spacing w:line="250" w:lineRule="exact" w:before="90"/>
              <w:ind w:right="-15"/>
              <w:jc w:val="right"/>
              <w:rPr>
                <w:sz w:val="21"/>
              </w:rPr>
            </w:pPr>
            <w:r>
              <w:rPr>
                <w:sz w:val="21"/>
              </w:rPr>
              <w:t>3.49</w:t>
            </w:r>
          </w:p>
        </w:tc>
      </w:tr>
      <w:tr>
        <w:trPr>
          <w:trHeight w:val="359" w:hRule="atLeast"/>
        </w:trPr>
        <w:tc>
          <w:tcPr>
            <w:tcW w:w="749" w:type="dxa"/>
            <w:tcBorders>
              <w:right w:val="single" w:sz="6" w:space="0" w:color="000000"/>
            </w:tcBorders>
          </w:tcPr>
          <w:p>
            <w:pPr>
              <w:pStyle w:val="TableParagraph"/>
              <w:rPr>
                <w:rFonts w:ascii="Times New Roman"/>
                <w:sz w:val="20"/>
              </w:rPr>
            </w:pPr>
          </w:p>
        </w:tc>
        <w:tc>
          <w:tcPr>
            <w:tcW w:w="3346" w:type="dxa"/>
            <w:tcBorders>
              <w:left w:val="single" w:sz="6" w:space="0" w:color="000000"/>
            </w:tcBorders>
          </w:tcPr>
          <w:p>
            <w:pPr>
              <w:pStyle w:val="TableParagraph"/>
              <w:spacing w:line="250" w:lineRule="exact" w:before="89"/>
              <w:ind w:left="388" w:right="382"/>
              <w:jc w:val="center"/>
              <w:rPr>
                <w:sz w:val="21"/>
              </w:rPr>
            </w:pPr>
            <w:r>
              <w:rPr>
                <w:sz w:val="21"/>
              </w:rPr>
              <w:t>其中：买断式回购融资</w:t>
            </w:r>
          </w:p>
        </w:tc>
        <w:tc>
          <w:tcPr>
            <w:tcW w:w="4226" w:type="dxa"/>
            <w:gridSpan w:val="2"/>
          </w:tcPr>
          <w:p>
            <w:pPr>
              <w:pStyle w:val="TableParagraph"/>
              <w:spacing w:line="250" w:lineRule="exact" w:before="89"/>
              <w:ind w:right="-15"/>
              <w:jc w:val="right"/>
              <w:rPr>
                <w:sz w:val="21"/>
              </w:rPr>
            </w:pPr>
            <w:r>
              <w:rPr>
                <w:w w:val="100"/>
                <w:sz w:val="21"/>
              </w:rPr>
              <w:t>-</w:t>
            </w:r>
          </w:p>
        </w:tc>
      </w:tr>
      <w:tr>
        <w:trPr>
          <w:trHeight w:val="719" w:hRule="atLeast"/>
        </w:trPr>
        <w:tc>
          <w:tcPr>
            <w:tcW w:w="749" w:type="dxa"/>
            <w:tcBorders>
              <w:right w:val="single" w:sz="6" w:space="0" w:color="000000"/>
            </w:tcBorders>
          </w:tcPr>
          <w:p>
            <w:pPr>
              <w:pStyle w:val="TableParagraph"/>
              <w:spacing w:before="1"/>
              <w:rPr>
                <w:b/>
                <w:sz w:val="21"/>
              </w:rPr>
            </w:pPr>
          </w:p>
          <w:p>
            <w:pPr>
              <w:pStyle w:val="TableParagraph"/>
              <w:ind w:left="143" w:right="132"/>
              <w:jc w:val="center"/>
              <w:rPr>
                <w:sz w:val="21"/>
              </w:rPr>
            </w:pPr>
            <w:r>
              <w:rPr>
                <w:sz w:val="21"/>
              </w:rPr>
              <w:t>序号</w:t>
            </w:r>
          </w:p>
        </w:tc>
        <w:tc>
          <w:tcPr>
            <w:tcW w:w="3346" w:type="dxa"/>
            <w:tcBorders>
              <w:left w:val="single" w:sz="6" w:space="0" w:color="000000"/>
              <w:bottom w:val="single" w:sz="6" w:space="0" w:color="000000"/>
            </w:tcBorders>
          </w:tcPr>
          <w:p>
            <w:pPr>
              <w:pStyle w:val="TableParagraph"/>
              <w:spacing w:before="1"/>
              <w:rPr>
                <w:b/>
                <w:sz w:val="21"/>
              </w:rPr>
            </w:pPr>
          </w:p>
          <w:p>
            <w:pPr>
              <w:pStyle w:val="TableParagraph"/>
              <w:ind w:left="388" w:right="376"/>
              <w:jc w:val="center"/>
              <w:rPr>
                <w:sz w:val="21"/>
              </w:rPr>
            </w:pPr>
            <w:r>
              <w:rPr>
                <w:sz w:val="21"/>
              </w:rPr>
              <w:t>项目</w:t>
            </w:r>
          </w:p>
        </w:tc>
        <w:tc>
          <w:tcPr>
            <w:tcW w:w="2695" w:type="dxa"/>
          </w:tcPr>
          <w:p>
            <w:pPr>
              <w:pStyle w:val="TableParagraph"/>
              <w:spacing w:before="1"/>
              <w:rPr>
                <w:b/>
                <w:sz w:val="21"/>
              </w:rPr>
            </w:pPr>
          </w:p>
          <w:p>
            <w:pPr>
              <w:pStyle w:val="TableParagraph"/>
              <w:ind w:left="820"/>
              <w:rPr>
                <w:sz w:val="21"/>
              </w:rPr>
            </w:pPr>
            <w:r>
              <w:rPr>
                <w:sz w:val="21"/>
              </w:rPr>
              <w:t>金额（元）</w:t>
            </w:r>
          </w:p>
        </w:tc>
        <w:tc>
          <w:tcPr>
            <w:tcW w:w="1531" w:type="dxa"/>
          </w:tcPr>
          <w:p>
            <w:pPr>
              <w:pStyle w:val="TableParagraph"/>
              <w:spacing w:line="360" w:lineRule="atLeast"/>
              <w:ind w:left="194" w:right="16" w:hanging="166"/>
              <w:rPr>
                <w:sz w:val="24"/>
              </w:rPr>
            </w:pPr>
            <w:r>
              <w:rPr>
                <w:sz w:val="21"/>
              </w:rPr>
              <w:t>占基金资产净值比例</w:t>
            </w:r>
            <w:r>
              <w:rPr>
                <w:sz w:val="24"/>
              </w:rPr>
              <w:t>（％）</w:t>
            </w:r>
          </w:p>
        </w:tc>
      </w:tr>
      <w:tr>
        <w:trPr>
          <w:trHeight w:val="361" w:hRule="atLeast"/>
        </w:trPr>
        <w:tc>
          <w:tcPr>
            <w:tcW w:w="749" w:type="dxa"/>
            <w:tcBorders>
              <w:right w:val="single" w:sz="6" w:space="0" w:color="000000"/>
            </w:tcBorders>
          </w:tcPr>
          <w:p>
            <w:pPr>
              <w:pStyle w:val="TableParagraph"/>
              <w:spacing w:line="250" w:lineRule="exact" w:before="92"/>
              <w:ind w:left="6"/>
              <w:jc w:val="center"/>
              <w:rPr>
                <w:sz w:val="21"/>
              </w:rPr>
            </w:pPr>
            <w:r>
              <w:rPr>
                <w:w w:val="100"/>
                <w:sz w:val="21"/>
              </w:rPr>
              <w:t>2</w:t>
            </w:r>
          </w:p>
        </w:tc>
        <w:tc>
          <w:tcPr>
            <w:tcW w:w="3346" w:type="dxa"/>
            <w:tcBorders>
              <w:top w:val="single" w:sz="6" w:space="0" w:color="000000"/>
              <w:left w:val="single" w:sz="6" w:space="0" w:color="000000"/>
              <w:bottom w:val="single" w:sz="6" w:space="0" w:color="000000"/>
            </w:tcBorders>
          </w:tcPr>
          <w:p>
            <w:pPr>
              <w:pStyle w:val="TableParagraph"/>
              <w:spacing w:line="250" w:lineRule="exact" w:before="92"/>
              <w:ind w:left="388" w:right="380"/>
              <w:jc w:val="center"/>
              <w:rPr>
                <w:sz w:val="21"/>
              </w:rPr>
            </w:pPr>
            <w:r>
              <w:rPr>
                <w:sz w:val="21"/>
              </w:rPr>
              <w:t>报告期末债券回购融资余额</w:t>
            </w:r>
          </w:p>
        </w:tc>
        <w:tc>
          <w:tcPr>
            <w:tcW w:w="2695" w:type="dxa"/>
          </w:tcPr>
          <w:p>
            <w:pPr>
              <w:pStyle w:val="TableParagraph"/>
              <w:spacing w:line="250" w:lineRule="exact" w:before="92"/>
              <w:ind w:right="-15"/>
              <w:jc w:val="right"/>
              <w:rPr>
                <w:sz w:val="21"/>
              </w:rPr>
            </w:pPr>
            <w:r>
              <w:rPr>
                <w:sz w:val="21"/>
              </w:rPr>
              <w:t>25,046,842.43</w:t>
            </w:r>
          </w:p>
        </w:tc>
        <w:tc>
          <w:tcPr>
            <w:tcW w:w="1531" w:type="dxa"/>
          </w:tcPr>
          <w:p>
            <w:pPr>
              <w:pStyle w:val="TableParagraph"/>
              <w:spacing w:line="250" w:lineRule="exact" w:before="92"/>
              <w:ind w:right="-15"/>
              <w:jc w:val="right"/>
              <w:rPr>
                <w:sz w:val="21"/>
              </w:rPr>
            </w:pPr>
            <w:r>
              <w:rPr>
                <w:sz w:val="21"/>
              </w:rPr>
              <w:t>0.79</w:t>
            </w:r>
          </w:p>
        </w:tc>
      </w:tr>
      <w:tr>
        <w:trPr>
          <w:trHeight w:val="359" w:hRule="atLeast"/>
        </w:trPr>
        <w:tc>
          <w:tcPr>
            <w:tcW w:w="749" w:type="dxa"/>
            <w:tcBorders>
              <w:right w:val="single" w:sz="6" w:space="0" w:color="000000"/>
            </w:tcBorders>
          </w:tcPr>
          <w:p>
            <w:pPr>
              <w:pStyle w:val="TableParagraph"/>
              <w:rPr>
                <w:rFonts w:ascii="Times New Roman"/>
                <w:sz w:val="20"/>
              </w:rPr>
            </w:pPr>
          </w:p>
        </w:tc>
        <w:tc>
          <w:tcPr>
            <w:tcW w:w="3346" w:type="dxa"/>
            <w:tcBorders>
              <w:top w:val="single" w:sz="6" w:space="0" w:color="000000"/>
              <w:left w:val="single" w:sz="6" w:space="0" w:color="000000"/>
            </w:tcBorders>
          </w:tcPr>
          <w:p>
            <w:pPr>
              <w:pStyle w:val="TableParagraph"/>
              <w:spacing w:line="250" w:lineRule="exact" w:before="89"/>
              <w:ind w:left="388" w:right="377"/>
              <w:jc w:val="center"/>
              <w:rPr>
                <w:sz w:val="21"/>
              </w:rPr>
            </w:pPr>
            <w:r>
              <w:rPr>
                <w:sz w:val="21"/>
              </w:rPr>
              <w:t>其中：买断式回购融资</w:t>
            </w:r>
          </w:p>
        </w:tc>
        <w:tc>
          <w:tcPr>
            <w:tcW w:w="2695" w:type="dxa"/>
          </w:tcPr>
          <w:p>
            <w:pPr>
              <w:pStyle w:val="TableParagraph"/>
              <w:spacing w:line="250" w:lineRule="exact" w:before="89"/>
              <w:ind w:right="-15"/>
              <w:jc w:val="right"/>
              <w:rPr>
                <w:sz w:val="21"/>
              </w:rPr>
            </w:pPr>
            <w:r>
              <w:rPr>
                <w:w w:val="100"/>
                <w:sz w:val="21"/>
              </w:rPr>
              <w:t>-</w:t>
            </w:r>
          </w:p>
        </w:tc>
        <w:tc>
          <w:tcPr>
            <w:tcW w:w="1531" w:type="dxa"/>
          </w:tcPr>
          <w:p>
            <w:pPr>
              <w:pStyle w:val="TableParagraph"/>
              <w:spacing w:line="250" w:lineRule="exact" w:before="89"/>
              <w:ind w:right="-15"/>
              <w:jc w:val="right"/>
              <w:rPr>
                <w:sz w:val="21"/>
              </w:rPr>
            </w:pPr>
            <w:r>
              <w:rPr>
                <w:w w:val="100"/>
                <w:sz w:val="21"/>
              </w:rPr>
              <w:t>-</w:t>
            </w:r>
          </w:p>
        </w:tc>
      </w:tr>
    </w:tbl>
    <w:p>
      <w:pPr>
        <w:pStyle w:val="BodyText"/>
        <w:spacing w:line="417" w:lineRule="auto" w:before="100"/>
        <w:ind w:left="658" w:right="1325"/>
      </w:pPr>
      <w:r>
        <w:rPr/>
        <w:t>注:报告期内债券回购融资余额占基金资产净值的比例为报告期内每个交易日融资余额占资产净值比例的简单平均值。</w:t>
      </w:r>
    </w:p>
    <w:p>
      <w:pPr>
        <w:spacing w:line="258" w:lineRule="exact" w:before="0"/>
        <w:ind w:left="658" w:right="0" w:firstLine="0"/>
        <w:jc w:val="left"/>
        <w:rPr>
          <w:b/>
          <w:sz w:val="24"/>
        </w:rPr>
      </w:pPr>
      <w:r>
        <w:rPr>
          <w:b/>
          <w:sz w:val="24"/>
        </w:rPr>
        <w:t>债券正回购的资金余额超过基金资产净值的 20%的说明</w:t>
      </w:r>
    </w:p>
    <w:p>
      <w:pPr>
        <w:pStyle w:val="BodyText"/>
        <w:spacing w:before="102"/>
        <w:ind w:left="658"/>
      </w:pPr>
      <w:r>
        <w:rPr/>
        <w:t>本报告期内本货币市场基金债券正回购的资金余额未超过资产净值的 20％。</w:t>
      </w:r>
    </w:p>
    <w:p>
      <w:pPr>
        <w:pStyle w:val="BodyText"/>
        <w:spacing w:before="12"/>
        <w:rPr>
          <w:sz w:val="19"/>
        </w:rPr>
      </w:pPr>
    </w:p>
    <w:p>
      <w:pPr>
        <w:pStyle w:val="ListParagraph"/>
        <w:numPr>
          <w:ilvl w:val="0"/>
          <w:numId w:val="27"/>
        </w:numPr>
        <w:tabs>
          <w:tab w:pos="968" w:val="left" w:leader="none"/>
        </w:tabs>
        <w:spacing w:line="240" w:lineRule="auto" w:before="0" w:after="0"/>
        <w:ind w:left="967" w:right="0" w:hanging="310"/>
        <w:jc w:val="left"/>
        <w:rPr>
          <w:b/>
          <w:sz w:val="24"/>
        </w:rPr>
      </w:pPr>
      <w:r>
        <w:rPr>
          <w:b/>
          <w:sz w:val="24"/>
        </w:rPr>
        <w:t>基金投资组合平均剩余期限</w:t>
      </w:r>
    </w:p>
    <w:p>
      <w:pPr>
        <w:pStyle w:val="ListParagraph"/>
        <w:numPr>
          <w:ilvl w:val="1"/>
          <w:numId w:val="27"/>
        </w:numPr>
        <w:tabs>
          <w:tab w:pos="1064" w:val="left" w:leader="none"/>
        </w:tabs>
        <w:spacing w:line="240" w:lineRule="auto" w:before="161" w:after="0"/>
        <w:ind w:left="1063" w:right="0" w:hanging="406"/>
        <w:jc w:val="left"/>
        <w:rPr>
          <w:b/>
          <w:sz w:val="24"/>
        </w:rPr>
      </w:pPr>
      <w:r>
        <w:rPr>
          <w:b/>
          <w:sz w:val="24"/>
        </w:rPr>
        <w:t>投资组合平均剩余期限基本情况</w:t>
      </w:r>
    </w:p>
    <w:p>
      <w:pPr>
        <w:pStyle w:val="BodyText"/>
        <w:rPr>
          <w:b/>
          <w:sz w:val="5"/>
        </w:rPr>
      </w:pPr>
    </w:p>
    <w:tbl>
      <w:tblPr>
        <w:tblW w:w="0" w:type="auto"/>
        <w:jc w:val="left"/>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3819"/>
      </w:tblGrid>
      <w:tr>
        <w:trPr>
          <w:trHeight w:val="374" w:hRule="atLeast"/>
        </w:trPr>
        <w:tc>
          <w:tcPr>
            <w:tcW w:w="4503" w:type="dxa"/>
            <w:shd w:val="clear" w:color="auto" w:fill="D9D9D9"/>
          </w:tcPr>
          <w:p>
            <w:pPr>
              <w:pStyle w:val="TableParagraph"/>
              <w:spacing w:line="257" w:lineRule="exact" w:before="97"/>
              <w:ind w:left="6"/>
              <w:rPr>
                <w:sz w:val="21"/>
              </w:rPr>
            </w:pPr>
            <w:r>
              <w:rPr>
                <w:sz w:val="21"/>
              </w:rPr>
              <w:t>项目</w:t>
            </w:r>
          </w:p>
        </w:tc>
        <w:tc>
          <w:tcPr>
            <w:tcW w:w="3819" w:type="dxa"/>
            <w:shd w:val="clear" w:color="auto" w:fill="D9D9D9"/>
          </w:tcPr>
          <w:p>
            <w:pPr>
              <w:pStyle w:val="TableParagraph"/>
              <w:spacing w:line="257" w:lineRule="exact" w:before="97"/>
              <w:ind w:left="6"/>
              <w:rPr>
                <w:sz w:val="21"/>
              </w:rPr>
            </w:pPr>
            <w:r>
              <w:rPr>
                <w:sz w:val="21"/>
              </w:rPr>
              <w:t>天数</w:t>
            </w:r>
          </w:p>
        </w:tc>
      </w:tr>
      <w:tr>
        <w:trPr>
          <w:trHeight w:val="361" w:hRule="atLeast"/>
        </w:trPr>
        <w:tc>
          <w:tcPr>
            <w:tcW w:w="4503" w:type="dxa"/>
          </w:tcPr>
          <w:p>
            <w:pPr>
              <w:pStyle w:val="TableParagraph"/>
              <w:spacing w:line="250" w:lineRule="exact" w:before="92"/>
              <w:ind w:left="6"/>
              <w:rPr>
                <w:sz w:val="21"/>
              </w:rPr>
            </w:pPr>
            <w:r>
              <w:rPr>
                <w:sz w:val="21"/>
              </w:rPr>
              <w:t>报告期末投资组合平均剩余期限</w:t>
            </w:r>
          </w:p>
        </w:tc>
        <w:tc>
          <w:tcPr>
            <w:tcW w:w="3819" w:type="dxa"/>
          </w:tcPr>
          <w:p>
            <w:pPr>
              <w:pStyle w:val="TableParagraph"/>
              <w:spacing w:line="250" w:lineRule="exact" w:before="92"/>
              <w:ind w:right="-15"/>
              <w:jc w:val="right"/>
              <w:rPr>
                <w:sz w:val="21"/>
              </w:rPr>
            </w:pPr>
            <w:r>
              <w:rPr>
                <w:sz w:val="21"/>
              </w:rPr>
              <w:t>71</w:t>
            </w:r>
          </w:p>
        </w:tc>
      </w:tr>
      <w:tr>
        <w:trPr>
          <w:trHeight w:val="359" w:hRule="atLeast"/>
        </w:trPr>
        <w:tc>
          <w:tcPr>
            <w:tcW w:w="4503" w:type="dxa"/>
          </w:tcPr>
          <w:p>
            <w:pPr>
              <w:pStyle w:val="TableParagraph"/>
              <w:spacing w:line="250" w:lineRule="exact" w:before="89"/>
              <w:ind w:left="6"/>
              <w:rPr>
                <w:sz w:val="21"/>
              </w:rPr>
            </w:pPr>
            <w:r>
              <w:rPr>
                <w:sz w:val="21"/>
              </w:rPr>
              <w:t>报告期内投资组合平均剩余期限最高值</w:t>
            </w:r>
          </w:p>
        </w:tc>
        <w:tc>
          <w:tcPr>
            <w:tcW w:w="3819" w:type="dxa"/>
          </w:tcPr>
          <w:p>
            <w:pPr>
              <w:pStyle w:val="TableParagraph"/>
              <w:spacing w:line="250" w:lineRule="exact" w:before="89"/>
              <w:ind w:right="-15"/>
              <w:jc w:val="right"/>
              <w:rPr>
                <w:sz w:val="21"/>
              </w:rPr>
            </w:pPr>
            <w:r>
              <w:rPr>
                <w:sz w:val="21"/>
              </w:rPr>
              <w:t>83</w:t>
            </w:r>
          </w:p>
        </w:tc>
      </w:tr>
      <w:tr>
        <w:trPr>
          <w:trHeight w:val="359" w:hRule="atLeast"/>
        </w:trPr>
        <w:tc>
          <w:tcPr>
            <w:tcW w:w="4503" w:type="dxa"/>
            <w:tcBorders>
              <w:left w:val="single" w:sz="6" w:space="0" w:color="000000"/>
              <w:bottom w:val="single" w:sz="6" w:space="0" w:color="000000"/>
            </w:tcBorders>
          </w:tcPr>
          <w:p>
            <w:pPr>
              <w:pStyle w:val="TableParagraph"/>
              <w:spacing w:line="250" w:lineRule="exact" w:before="89"/>
              <w:ind w:left="6"/>
              <w:rPr>
                <w:sz w:val="21"/>
              </w:rPr>
            </w:pPr>
            <w:r>
              <w:rPr>
                <w:sz w:val="21"/>
              </w:rPr>
              <w:t>报告期内投资组合平均剩余期限最低值</w:t>
            </w:r>
          </w:p>
        </w:tc>
        <w:tc>
          <w:tcPr>
            <w:tcW w:w="3819" w:type="dxa"/>
          </w:tcPr>
          <w:p>
            <w:pPr>
              <w:pStyle w:val="TableParagraph"/>
              <w:spacing w:line="250" w:lineRule="exact" w:before="89"/>
              <w:ind w:right="-15"/>
              <w:jc w:val="right"/>
              <w:rPr>
                <w:sz w:val="21"/>
              </w:rPr>
            </w:pPr>
            <w:r>
              <w:rPr>
                <w:sz w:val="21"/>
              </w:rPr>
              <w:t>29</w:t>
            </w:r>
          </w:p>
        </w:tc>
      </w:tr>
    </w:tbl>
    <w:p>
      <w:pPr>
        <w:spacing w:before="50"/>
        <w:ind w:left="658" w:right="0" w:firstLine="0"/>
        <w:jc w:val="left"/>
        <w:rPr>
          <w:b/>
          <w:sz w:val="24"/>
        </w:rPr>
      </w:pPr>
      <w:r>
        <w:rPr>
          <w:b/>
          <w:sz w:val="24"/>
        </w:rPr>
        <w:t>报告期内投资组合平均剩余期限超过 120 天情况说明</w:t>
      </w:r>
    </w:p>
    <w:p>
      <w:pPr>
        <w:pStyle w:val="BodyText"/>
        <w:spacing w:before="92"/>
        <w:ind w:left="658"/>
      </w:pPr>
      <w:r>
        <w:rPr/>
        <w:t>本报告期内，本货币基金投资组合平均剩余期限未超过 120 天。</w:t>
      </w:r>
    </w:p>
    <w:p>
      <w:pPr>
        <w:pStyle w:val="ListParagraph"/>
        <w:numPr>
          <w:ilvl w:val="1"/>
          <w:numId w:val="27"/>
        </w:numPr>
        <w:tabs>
          <w:tab w:pos="1064" w:val="left" w:leader="none"/>
        </w:tabs>
        <w:spacing w:line="240" w:lineRule="auto" w:before="158" w:after="0"/>
        <w:ind w:left="1063" w:right="0" w:hanging="406"/>
        <w:jc w:val="left"/>
        <w:rPr>
          <w:b/>
          <w:sz w:val="24"/>
        </w:rPr>
      </w:pPr>
      <w:r>
        <w:rPr>
          <w:b/>
          <w:sz w:val="24"/>
        </w:rPr>
        <w:t>报告期末投资组合平均剩余期限分布比例</w:t>
      </w:r>
    </w:p>
    <w:p>
      <w:pPr>
        <w:pStyle w:val="BodyText"/>
        <w:rPr>
          <w:b/>
          <w:sz w:val="5"/>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
        <w:gridCol w:w="3236"/>
        <w:gridCol w:w="2252"/>
        <w:gridCol w:w="2315"/>
      </w:tblGrid>
      <w:tr>
        <w:trPr>
          <w:trHeight w:val="362" w:hRule="atLeast"/>
        </w:trPr>
        <w:tc>
          <w:tcPr>
            <w:tcW w:w="521" w:type="dxa"/>
            <w:shd w:val="clear" w:color="auto" w:fill="D9D9D9"/>
          </w:tcPr>
          <w:p>
            <w:pPr>
              <w:pStyle w:val="TableParagraph"/>
              <w:spacing w:line="252" w:lineRule="exact" w:before="90"/>
              <w:ind w:left="47"/>
              <w:rPr>
                <w:sz w:val="21"/>
              </w:rPr>
            </w:pPr>
            <w:r>
              <w:rPr>
                <w:sz w:val="21"/>
              </w:rPr>
              <w:t>序号</w:t>
            </w:r>
          </w:p>
        </w:tc>
        <w:tc>
          <w:tcPr>
            <w:tcW w:w="3236" w:type="dxa"/>
            <w:shd w:val="clear" w:color="auto" w:fill="D9D9D9"/>
          </w:tcPr>
          <w:p>
            <w:pPr>
              <w:pStyle w:val="TableParagraph"/>
              <w:spacing w:line="252" w:lineRule="exact" w:before="90"/>
              <w:ind w:left="983"/>
              <w:rPr>
                <w:sz w:val="21"/>
              </w:rPr>
            </w:pPr>
            <w:r>
              <w:rPr>
                <w:sz w:val="21"/>
              </w:rPr>
              <w:t>平均剩余期限</w:t>
            </w:r>
          </w:p>
        </w:tc>
        <w:tc>
          <w:tcPr>
            <w:tcW w:w="2252" w:type="dxa"/>
            <w:shd w:val="clear" w:color="auto" w:fill="D9D9D9"/>
          </w:tcPr>
          <w:p>
            <w:pPr>
              <w:pStyle w:val="TableParagraph"/>
              <w:spacing w:line="252" w:lineRule="exact" w:before="90"/>
              <w:ind w:left="73"/>
              <w:rPr>
                <w:sz w:val="21"/>
              </w:rPr>
            </w:pPr>
            <w:r>
              <w:rPr>
                <w:sz w:val="21"/>
              </w:rPr>
              <w:t>各期限资产占基金资产</w:t>
            </w:r>
          </w:p>
        </w:tc>
        <w:tc>
          <w:tcPr>
            <w:tcW w:w="2315" w:type="dxa"/>
            <w:shd w:val="clear" w:color="auto" w:fill="D9D9D9"/>
          </w:tcPr>
          <w:p>
            <w:pPr>
              <w:pStyle w:val="TableParagraph"/>
              <w:spacing w:line="252" w:lineRule="exact" w:before="90"/>
              <w:ind w:left="104"/>
              <w:rPr>
                <w:sz w:val="21"/>
              </w:rPr>
            </w:pPr>
            <w:r>
              <w:rPr>
                <w:sz w:val="21"/>
              </w:rPr>
              <w:t>各期限负债占基金资产</w:t>
            </w:r>
          </w:p>
        </w:tc>
      </w:tr>
    </w:tbl>
    <w:p>
      <w:pPr>
        <w:spacing w:after="0" w:line="252" w:lineRule="exact"/>
        <w:rPr>
          <w:sz w:val="21"/>
        </w:rPr>
        <w:sectPr>
          <w:pgSz w:w="11910" w:h="16840"/>
          <w:pgMar w:header="852" w:footer="992" w:top="1220" w:bottom="1180" w:left="1140" w:right="480"/>
        </w:sectPr>
      </w:pPr>
    </w:p>
    <w:p>
      <w:pPr>
        <w:pStyle w:val="BodyText"/>
        <w:spacing w:before="11"/>
        <w:rPr>
          <w:b/>
          <w:sz w:val="16"/>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
        <w:gridCol w:w="3236"/>
        <w:gridCol w:w="2252"/>
        <w:gridCol w:w="2315"/>
      </w:tblGrid>
      <w:tr>
        <w:trPr>
          <w:trHeight w:val="360" w:hRule="atLeast"/>
        </w:trPr>
        <w:tc>
          <w:tcPr>
            <w:tcW w:w="521" w:type="dxa"/>
            <w:shd w:val="clear" w:color="auto" w:fill="D9D9D9"/>
          </w:tcPr>
          <w:p>
            <w:pPr>
              <w:pStyle w:val="TableParagraph"/>
              <w:rPr>
                <w:rFonts w:ascii="Times New Roman"/>
                <w:sz w:val="20"/>
              </w:rPr>
            </w:pPr>
          </w:p>
        </w:tc>
        <w:tc>
          <w:tcPr>
            <w:tcW w:w="3236" w:type="dxa"/>
            <w:shd w:val="clear" w:color="auto" w:fill="D9D9D9"/>
          </w:tcPr>
          <w:p>
            <w:pPr>
              <w:pStyle w:val="TableParagraph"/>
              <w:rPr>
                <w:rFonts w:ascii="Times New Roman"/>
                <w:sz w:val="20"/>
              </w:rPr>
            </w:pPr>
          </w:p>
        </w:tc>
        <w:tc>
          <w:tcPr>
            <w:tcW w:w="2252" w:type="dxa"/>
            <w:shd w:val="clear" w:color="auto" w:fill="D9D9D9"/>
          </w:tcPr>
          <w:p>
            <w:pPr>
              <w:pStyle w:val="TableParagraph"/>
              <w:spacing w:line="250" w:lineRule="exact" w:before="90"/>
              <w:ind w:left="335"/>
              <w:rPr>
                <w:sz w:val="21"/>
              </w:rPr>
            </w:pPr>
            <w:r>
              <w:rPr>
                <w:sz w:val="21"/>
              </w:rPr>
              <w:t>净值的比例（%）</w:t>
            </w:r>
          </w:p>
        </w:tc>
        <w:tc>
          <w:tcPr>
            <w:tcW w:w="2315" w:type="dxa"/>
            <w:shd w:val="clear" w:color="auto" w:fill="D9D9D9"/>
          </w:tcPr>
          <w:p>
            <w:pPr>
              <w:pStyle w:val="TableParagraph"/>
              <w:spacing w:line="250" w:lineRule="exact" w:before="90"/>
              <w:ind w:left="366"/>
              <w:rPr>
                <w:sz w:val="21"/>
              </w:rPr>
            </w:pPr>
            <w:r>
              <w:rPr>
                <w:sz w:val="21"/>
              </w:rPr>
              <w:t>净值的比例（%）</w:t>
            </w:r>
          </w:p>
        </w:tc>
      </w:tr>
      <w:tr>
        <w:trPr>
          <w:trHeight w:val="359" w:hRule="atLeast"/>
        </w:trPr>
        <w:tc>
          <w:tcPr>
            <w:tcW w:w="521" w:type="dxa"/>
          </w:tcPr>
          <w:p>
            <w:pPr>
              <w:pStyle w:val="TableParagraph"/>
              <w:spacing w:line="250" w:lineRule="exact" w:before="89"/>
              <w:ind w:left="7"/>
              <w:jc w:val="center"/>
              <w:rPr>
                <w:sz w:val="21"/>
              </w:rPr>
            </w:pPr>
            <w:r>
              <w:rPr>
                <w:w w:val="100"/>
                <w:sz w:val="21"/>
              </w:rPr>
              <w:t>1</w:t>
            </w:r>
          </w:p>
        </w:tc>
        <w:tc>
          <w:tcPr>
            <w:tcW w:w="3236" w:type="dxa"/>
          </w:tcPr>
          <w:p>
            <w:pPr>
              <w:pStyle w:val="TableParagraph"/>
              <w:spacing w:line="250" w:lineRule="exact" w:before="89"/>
              <w:ind w:left="1"/>
              <w:rPr>
                <w:sz w:val="21"/>
              </w:rPr>
            </w:pPr>
            <w:r>
              <w:rPr>
                <w:sz w:val="21"/>
              </w:rPr>
              <w:t>30 天以内</w:t>
            </w:r>
          </w:p>
        </w:tc>
        <w:tc>
          <w:tcPr>
            <w:tcW w:w="2252" w:type="dxa"/>
          </w:tcPr>
          <w:p>
            <w:pPr>
              <w:pStyle w:val="TableParagraph"/>
              <w:spacing w:line="250" w:lineRule="exact" w:before="89"/>
              <w:ind w:right="-15"/>
              <w:jc w:val="right"/>
              <w:rPr>
                <w:sz w:val="21"/>
              </w:rPr>
            </w:pPr>
            <w:r>
              <w:rPr>
                <w:sz w:val="21"/>
              </w:rPr>
              <w:t>23.03</w:t>
            </w:r>
          </w:p>
        </w:tc>
        <w:tc>
          <w:tcPr>
            <w:tcW w:w="2315" w:type="dxa"/>
          </w:tcPr>
          <w:p>
            <w:pPr>
              <w:pStyle w:val="TableParagraph"/>
              <w:spacing w:line="250" w:lineRule="exact" w:before="89"/>
              <w:ind w:right="-15"/>
              <w:jc w:val="right"/>
              <w:rPr>
                <w:sz w:val="21"/>
              </w:rPr>
            </w:pPr>
            <w:r>
              <w:rPr>
                <w:sz w:val="21"/>
              </w:rPr>
              <w:t>0.79</w:t>
            </w:r>
          </w:p>
        </w:tc>
      </w:tr>
      <w:tr>
        <w:trPr>
          <w:trHeight w:val="722" w:hRule="atLeast"/>
        </w:trPr>
        <w:tc>
          <w:tcPr>
            <w:tcW w:w="521" w:type="dxa"/>
          </w:tcPr>
          <w:p>
            <w:pPr>
              <w:pStyle w:val="TableParagraph"/>
              <w:rPr>
                <w:rFonts w:ascii="Times New Roman"/>
                <w:sz w:val="20"/>
              </w:rPr>
            </w:pPr>
          </w:p>
        </w:tc>
        <w:tc>
          <w:tcPr>
            <w:tcW w:w="3236" w:type="dxa"/>
          </w:tcPr>
          <w:p>
            <w:pPr>
              <w:pStyle w:val="TableParagraph"/>
              <w:spacing w:line="360" w:lineRule="atLeast" w:before="1"/>
              <w:ind w:left="1" w:right="-15"/>
              <w:rPr>
                <w:sz w:val="21"/>
              </w:rPr>
            </w:pPr>
            <w:r>
              <w:rPr>
                <w:spacing w:val="-4"/>
                <w:sz w:val="21"/>
              </w:rPr>
              <w:t>其中：剩余存续期超过 </w:t>
            </w:r>
            <w:r>
              <w:rPr>
                <w:sz w:val="21"/>
              </w:rPr>
              <w:t>397</w:t>
            </w:r>
            <w:r>
              <w:rPr>
                <w:spacing w:val="-3"/>
                <w:sz w:val="21"/>
              </w:rPr>
              <w:t> 天的浮动利率债</w:t>
            </w:r>
          </w:p>
        </w:tc>
        <w:tc>
          <w:tcPr>
            <w:tcW w:w="2252" w:type="dxa"/>
          </w:tcPr>
          <w:p>
            <w:pPr>
              <w:pStyle w:val="TableParagraph"/>
              <w:spacing w:before="3"/>
              <w:rPr>
                <w:b/>
                <w:sz w:val="21"/>
              </w:rPr>
            </w:pPr>
          </w:p>
          <w:p>
            <w:pPr>
              <w:pStyle w:val="TableParagraph"/>
              <w:ind w:right="-15"/>
              <w:jc w:val="right"/>
              <w:rPr>
                <w:sz w:val="21"/>
              </w:rPr>
            </w:pPr>
            <w:r>
              <w:rPr>
                <w:w w:val="100"/>
                <w:sz w:val="21"/>
              </w:rPr>
              <w:t>-</w:t>
            </w:r>
          </w:p>
        </w:tc>
        <w:tc>
          <w:tcPr>
            <w:tcW w:w="2315" w:type="dxa"/>
          </w:tcPr>
          <w:p>
            <w:pPr>
              <w:pStyle w:val="TableParagraph"/>
              <w:spacing w:before="3"/>
              <w:rPr>
                <w:b/>
                <w:sz w:val="21"/>
              </w:rPr>
            </w:pPr>
          </w:p>
          <w:p>
            <w:pPr>
              <w:pStyle w:val="TableParagraph"/>
              <w:ind w:right="-15"/>
              <w:jc w:val="right"/>
              <w:rPr>
                <w:sz w:val="21"/>
              </w:rPr>
            </w:pPr>
            <w:r>
              <w:rPr>
                <w:w w:val="100"/>
                <w:sz w:val="21"/>
              </w:rPr>
              <w:t>-</w:t>
            </w:r>
          </w:p>
        </w:tc>
      </w:tr>
      <w:tr>
        <w:trPr>
          <w:trHeight w:val="359" w:hRule="atLeast"/>
        </w:trPr>
        <w:tc>
          <w:tcPr>
            <w:tcW w:w="521" w:type="dxa"/>
          </w:tcPr>
          <w:p>
            <w:pPr>
              <w:pStyle w:val="TableParagraph"/>
              <w:spacing w:line="250" w:lineRule="exact" w:before="90"/>
              <w:ind w:left="7"/>
              <w:jc w:val="center"/>
              <w:rPr>
                <w:sz w:val="21"/>
              </w:rPr>
            </w:pPr>
            <w:r>
              <w:rPr>
                <w:w w:val="100"/>
                <w:sz w:val="21"/>
              </w:rPr>
              <w:t>2</w:t>
            </w:r>
          </w:p>
        </w:tc>
        <w:tc>
          <w:tcPr>
            <w:tcW w:w="3236" w:type="dxa"/>
          </w:tcPr>
          <w:p>
            <w:pPr>
              <w:pStyle w:val="TableParagraph"/>
              <w:spacing w:line="250" w:lineRule="exact" w:before="90"/>
              <w:ind w:left="1"/>
              <w:rPr>
                <w:sz w:val="21"/>
              </w:rPr>
            </w:pPr>
            <w:r>
              <w:rPr>
                <w:sz w:val="21"/>
              </w:rPr>
              <w:t>30 天（含）—60 天</w:t>
            </w:r>
          </w:p>
        </w:tc>
        <w:tc>
          <w:tcPr>
            <w:tcW w:w="2252" w:type="dxa"/>
          </w:tcPr>
          <w:p>
            <w:pPr>
              <w:pStyle w:val="TableParagraph"/>
              <w:spacing w:line="250" w:lineRule="exact" w:before="90"/>
              <w:ind w:right="-15"/>
              <w:jc w:val="right"/>
              <w:rPr>
                <w:sz w:val="21"/>
              </w:rPr>
            </w:pPr>
            <w:r>
              <w:rPr>
                <w:sz w:val="21"/>
              </w:rPr>
              <w:t>16.87</w:t>
            </w:r>
          </w:p>
        </w:tc>
        <w:tc>
          <w:tcPr>
            <w:tcW w:w="2315" w:type="dxa"/>
          </w:tcPr>
          <w:p>
            <w:pPr>
              <w:pStyle w:val="TableParagraph"/>
              <w:spacing w:line="250" w:lineRule="exact" w:before="90"/>
              <w:ind w:right="-15"/>
              <w:jc w:val="right"/>
              <w:rPr>
                <w:sz w:val="21"/>
              </w:rPr>
            </w:pPr>
            <w:r>
              <w:rPr>
                <w:w w:val="100"/>
                <w:sz w:val="21"/>
              </w:rPr>
              <w:t>-</w:t>
            </w:r>
          </w:p>
        </w:tc>
      </w:tr>
      <w:tr>
        <w:trPr>
          <w:trHeight w:val="719" w:hRule="atLeast"/>
        </w:trPr>
        <w:tc>
          <w:tcPr>
            <w:tcW w:w="521" w:type="dxa"/>
          </w:tcPr>
          <w:p>
            <w:pPr>
              <w:pStyle w:val="TableParagraph"/>
              <w:rPr>
                <w:rFonts w:ascii="Times New Roman"/>
                <w:sz w:val="20"/>
              </w:rPr>
            </w:pPr>
          </w:p>
        </w:tc>
        <w:tc>
          <w:tcPr>
            <w:tcW w:w="3236" w:type="dxa"/>
          </w:tcPr>
          <w:p>
            <w:pPr>
              <w:pStyle w:val="TableParagraph"/>
              <w:spacing w:line="360" w:lineRule="exact" w:before="12"/>
              <w:ind w:left="1" w:right="-15"/>
              <w:rPr>
                <w:sz w:val="21"/>
              </w:rPr>
            </w:pPr>
            <w:r>
              <w:rPr>
                <w:spacing w:val="-4"/>
                <w:sz w:val="21"/>
              </w:rPr>
              <w:t>其中：剩余存续期超过 </w:t>
            </w:r>
            <w:r>
              <w:rPr>
                <w:sz w:val="21"/>
              </w:rPr>
              <w:t>397</w:t>
            </w:r>
            <w:r>
              <w:rPr>
                <w:spacing w:val="-3"/>
                <w:sz w:val="21"/>
              </w:rPr>
              <w:t> 天的浮动利率债</w:t>
            </w:r>
          </w:p>
        </w:tc>
        <w:tc>
          <w:tcPr>
            <w:tcW w:w="2252" w:type="dxa"/>
          </w:tcPr>
          <w:p>
            <w:pPr>
              <w:pStyle w:val="TableParagraph"/>
              <w:rPr>
                <w:b/>
                <w:sz w:val="21"/>
              </w:rPr>
            </w:pPr>
          </w:p>
          <w:p>
            <w:pPr>
              <w:pStyle w:val="TableParagraph"/>
              <w:ind w:right="-15"/>
              <w:jc w:val="right"/>
              <w:rPr>
                <w:sz w:val="21"/>
              </w:rPr>
            </w:pPr>
            <w:r>
              <w:rPr>
                <w:w w:val="100"/>
                <w:sz w:val="21"/>
              </w:rPr>
              <w:t>-</w:t>
            </w:r>
          </w:p>
        </w:tc>
        <w:tc>
          <w:tcPr>
            <w:tcW w:w="2315" w:type="dxa"/>
          </w:tcPr>
          <w:p>
            <w:pPr>
              <w:pStyle w:val="TableParagraph"/>
              <w:rPr>
                <w:b/>
                <w:sz w:val="21"/>
              </w:rPr>
            </w:pPr>
          </w:p>
          <w:p>
            <w:pPr>
              <w:pStyle w:val="TableParagraph"/>
              <w:ind w:right="-15"/>
              <w:jc w:val="right"/>
              <w:rPr>
                <w:sz w:val="21"/>
              </w:rPr>
            </w:pPr>
            <w:r>
              <w:rPr>
                <w:w w:val="100"/>
                <w:sz w:val="21"/>
              </w:rPr>
              <w:t>-</w:t>
            </w:r>
          </w:p>
        </w:tc>
      </w:tr>
      <w:tr>
        <w:trPr>
          <w:trHeight w:val="347" w:hRule="atLeast"/>
        </w:trPr>
        <w:tc>
          <w:tcPr>
            <w:tcW w:w="521" w:type="dxa"/>
          </w:tcPr>
          <w:p>
            <w:pPr>
              <w:pStyle w:val="TableParagraph"/>
              <w:spacing w:line="250" w:lineRule="exact" w:before="77"/>
              <w:ind w:left="7"/>
              <w:jc w:val="center"/>
              <w:rPr>
                <w:sz w:val="21"/>
              </w:rPr>
            </w:pPr>
            <w:r>
              <w:rPr>
                <w:w w:val="100"/>
                <w:sz w:val="21"/>
              </w:rPr>
              <w:t>3</w:t>
            </w:r>
          </w:p>
        </w:tc>
        <w:tc>
          <w:tcPr>
            <w:tcW w:w="3236" w:type="dxa"/>
          </w:tcPr>
          <w:p>
            <w:pPr>
              <w:pStyle w:val="TableParagraph"/>
              <w:spacing w:line="250" w:lineRule="exact" w:before="77"/>
              <w:ind w:left="1"/>
              <w:rPr>
                <w:sz w:val="21"/>
              </w:rPr>
            </w:pPr>
            <w:r>
              <w:rPr>
                <w:sz w:val="21"/>
              </w:rPr>
              <w:t>60 天（含）—90 天</w:t>
            </w:r>
          </w:p>
        </w:tc>
        <w:tc>
          <w:tcPr>
            <w:tcW w:w="2252" w:type="dxa"/>
          </w:tcPr>
          <w:p>
            <w:pPr>
              <w:pStyle w:val="TableParagraph"/>
              <w:spacing w:line="250" w:lineRule="exact" w:before="77"/>
              <w:ind w:right="-15"/>
              <w:jc w:val="right"/>
              <w:rPr>
                <w:sz w:val="21"/>
              </w:rPr>
            </w:pPr>
            <w:r>
              <w:rPr>
                <w:sz w:val="21"/>
              </w:rPr>
              <w:t>45.69</w:t>
            </w:r>
          </w:p>
        </w:tc>
        <w:tc>
          <w:tcPr>
            <w:tcW w:w="2315" w:type="dxa"/>
          </w:tcPr>
          <w:p>
            <w:pPr>
              <w:pStyle w:val="TableParagraph"/>
              <w:spacing w:line="250" w:lineRule="exact" w:before="77"/>
              <w:ind w:right="-15"/>
              <w:jc w:val="right"/>
              <w:rPr>
                <w:sz w:val="21"/>
              </w:rPr>
            </w:pPr>
            <w:r>
              <w:rPr>
                <w:w w:val="100"/>
                <w:sz w:val="21"/>
              </w:rPr>
              <w:t>-</w:t>
            </w:r>
          </w:p>
        </w:tc>
      </w:tr>
      <w:tr>
        <w:trPr>
          <w:trHeight w:val="720" w:hRule="atLeast"/>
        </w:trPr>
        <w:tc>
          <w:tcPr>
            <w:tcW w:w="521" w:type="dxa"/>
          </w:tcPr>
          <w:p>
            <w:pPr>
              <w:pStyle w:val="TableParagraph"/>
              <w:rPr>
                <w:rFonts w:ascii="Times New Roman"/>
                <w:sz w:val="20"/>
              </w:rPr>
            </w:pPr>
          </w:p>
        </w:tc>
        <w:tc>
          <w:tcPr>
            <w:tcW w:w="3236" w:type="dxa"/>
          </w:tcPr>
          <w:p>
            <w:pPr>
              <w:pStyle w:val="TableParagraph"/>
              <w:spacing w:line="360" w:lineRule="exact" w:before="12"/>
              <w:ind w:left="1" w:right="-15"/>
              <w:rPr>
                <w:sz w:val="21"/>
              </w:rPr>
            </w:pPr>
            <w:r>
              <w:rPr>
                <w:spacing w:val="-4"/>
                <w:sz w:val="21"/>
              </w:rPr>
              <w:t>其中：剩余存续期超过 </w:t>
            </w:r>
            <w:r>
              <w:rPr>
                <w:sz w:val="21"/>
              </w:rPr>
              <w:t>397</w:t>
            </w:r>
            <w:r>
              <w:rPr>
                <w:spacing w:val="-3"/>
                <w:sz w:val="21"/>
              </w:rPr>
              <w:t> 天的浮动利率债</w:t>
            </w:r>
          </w:p>
        </w:tc>
        <w:tc>
          <w:tcPr>
            <w:tcW w:w="2252" w:type="dxa"/>
          </w:tcPr>
          <w:p>
            <w:pPr>
              <w:pStyle w:val="TableParagraph"/>
              <w:rPr>
                <w:b/>
                <w:sz w:val="21"/>
              </w:rPr>
            </w:pPr>
          </w:p>
          <w:p>
            <w:pPr>
              <w:pStyle w:val="TableParagraph"/>
              <w:ind w:right="-15"/>
              <w:jc w:val="right"/>
              <w:rPr>
                <w:sz w:val="21"/>
              </w:rPr>
            </w:pPr>
            <w:r>
              <w:rPr>
                <w:w w:val="100"/>
                <w:sz w:val="21"/>
              </w:rPr>
              <w:t>-</w:t>
            </w:r>
          </w:p>
        </w:tc>
        <w:tc>
          <w:tcPr>
            <w:tcW w:w="2315" w:type="dxa"/>
          </w:tcPr>
          <w:p>
            <w:pPr>
              <w:pStyle w:val="TableParagraph"/>
              <w:rPr>
                <w:b/>
                <w:sz w:val="21"/>
              </w:rPr>
            </w:pPr>
          </w:p>
          <w:p>
            <w:pPr>
              <w:pStyle w:val="TableParagraph"/>
              <w:ind w:right="-15"/>
              <w:jc w:val="right"/>
              <w:rPr>
                <w:sz w:val="21"/>
              </w:rPr>
            </w:pPr>
            <w:r>
              <w:rPr>
                <w:w w:val="100"/>
                <w:sz w:val="21"/>
              </w:rPr>
              <w:t>-</w:t>
            </w:r>
          </w:p>
        </w:tc>
      </w:tr>
      <w:tr>
        <w:trPr>
          <w:trHeight w:val="347" w:hRule="atLeast"/>
        </w:trPr>
        <w:tc>
          <w:tcPr>
            <w:tcW w:w="521" w:type="dxa"/>
          </w:tcPr>
          <w:p>
            <w:pPr>
              <w:pStyle w:val="TableParagraph"/>
              <w:spacing w:line="250" w:lineRule="exact" w:before="78"/>
              <w:ind w:left="7"/>
              <w:jc w:val="center"/>
              <w:rPr>
                <w:sz w:val="21"/>
              </w:rPr>
            </w:pPr>
            <w:r>
              <w:rPr>
                <w:w w:val="100"/>
                <w:sz w:val="21"/>
              </w:rPr>
              <w:t>4</w:t>
            </w:r>
          </w:p>
        </w:tc>
        <w:tc>
          <w:tcPr>
            <w:tcW w:w="3236" w:type="dxa"/>
          </w:tcPr>
          <w:p>
            <w:pPr>
              <w:pStyle w:val="TableParagraph"/>
              <w:spacing w:line="250" w:lineRule="exact" w:before="78"/>
              <w:ind w:left="1"/>
              <w:rPr>
                <w:sz w:val="21"/>
              </w:rPr>
            </w:pPr>
            <w:r>
              <w:rPr>
                <w:sz w:val="21"/>
              </w:rPr>
              <w:t>90 天（含）—120 天</w:t>
            </w:r>
          </w:p>
        </w:tc>
        <w:tc>
          <w:tcPr>
            <w:tcW w:w="2252" w:type="dxa"/>
          </w:tcPr>
          <w:p>
            <w:pPr>
              <w:pStyle w:val="TableParagraph"/>
              <w:spacing w:line="250" w:lineRule="exact" w:before="78"/>
              <w:ind w:right="-15"/>
              <w:jc w:val="right"/>
              <w:rPr>
                <w:sz w:val="21"/>
              </w:rPr>
            </w:pPr>
            <w:r>
              <w:rPr>
                <w:sz w:val="21"/>
              </w:rPr>
              <w:t>0.63</w:t>
            </w:r>
          </w:p>
        </w:tc>
        <w:tc>
          <w:tcPr>
            <w:tcW w:w="2315" w:type="dxa"/>
          </w:tcPr>
          <w:p>
            <w:pPr>
              <w:pStyle w:val="TableParagraph"/>
              <w:spacing w:line="250" w:lineRule="exact" w:before="78"/>
              <w:ind w:right="-15"/>
              <w:jc w:val="right"/>
              <w:rPr>
                <w:sz w:val="21"/>
              </w:rPr>
            </w:pPr>
            <w:r>
              <w:rPr>
                <w:w w:val="100"/>
                <w:sz w:val="21"/>
              </w:rPr>
              <w:t>-</w:t>
            </w:r>
          </w:p>
        </w:tc>
      </w:tr>
      <w:tr>
        <w:trPr>
          <w:trHeight w:val="721" w:hRule="atLeast"/>
        </w:trPr>
        <w:tc>
          <w:tcPr>
            <w:tcW w:w="521" w:type="dxa"/>
          </w:tcPr>
          <w:p>
            <w:pPr>
              <w:pStyle w:val="TableParagraph"/>
              <w:rPr>
                <w:rFonts w:ascii="Times New Roman"/>
                <w:sz w:val="20"/>
              </w:rPr>
            </w:pPr>
          </w:p>
        </w:tc>
        <w:tc>
          <w:tcPr>
            <w:tcW w:w="3236" w:type="dxa"/>
          </w:tcPr>
          <w:p>
            <w:pPr>
              <w:pStyle w:val="TableParagraph"/>
              <w:spacing w:line="360" w:lineRule="atLeast" w:before="1"/>
              <w:ind w:left="1" w:right="-15"/>
              <w:rPr>
                <w:sz w:val="21"/>
              </w:rPr>
            </w:pPr>
            <w:r>
              <w:rPr>
                <w:spacing w:val="-4"/>
                <w:sz w:val="21"/>
              </w:rPr>
              <w:t>其中：剩余存续期超过 </w:t>
            </w:r>
            <w:r>
              <w:rPr>
                <w:sz w:val="21"/>
              </w:rPr>
              <w:t>397</w:t>
            </w:r>
            <w:r>
              <w:rPr>
                <w:spacing w:val="-3"/>
                <w:sz w:val="21"/>
              </w:rPr>
              <w:t> 天的浮动利率债</w:t>
            </w:r>
          </w:p>
        </w:tc>
        <w:tc>
          <w:tcPr>
            <w:tcW w:w="2252" w:type="dxa"/>
          </w:tcPr>
          <w:p>
            <w:pPr>
              <w:pStyle w:val="TableParagraph"/>
              <w:spacing w:before="3"/>
              <w:rPr>
                <w:b/>
                <w:sz w:val="21"/>
              </w:rPr>
            </w:pPr>
          </w:p>
          <w:p>
            <w:pPr>
              <w:pStyle w:val="TableParagraph"/>
              <w:ind w:right="-15"/>
              <w:jc w:val="right"/>
              <w:rPr>
                <w:sz w:val="21"/>
              </w:rPr>
            </w:pPr>
            <w:r>
              <w:rPr>
                <w:w w:val="100"/>
                <w:sz w:val="21"/>
              </w:rPr>
              <w:t>-</w:t>
            </w:r>
          </w:p>
        </w:tc>
        <w:tc>
          <w:tcPr>
            <w:tcW w:w="2315" w:type="dxa"/>
          </w:tcPr>
          <w:p>
            <w:pPr>
              <w:pStyle w:val="TableParagraph"/>
              <w:spacing w:before="3"/>
              <w:rPr>
                <w:b/>
                <w:sz w:val="21"/>
              </w:rPr>
            </w:pPr>
          </w:p>
          <w:p>
            <w:pPr>
              <w:pStyle w:val="TableParagraph"/>
              <w:ind w:right="-15"/>
              <w:jc w:val="right"/>
              <w:rPr>
                <w:sz w:val="21"/>
              </w:rPr>
            </w:pPr>
            <w:r>
              <w:rPr>
                <w:w w:val="100"/>
                <w:sz w:val="21"/>
              </w:rPr>
              <w:t>-</w:t>
            </w:r>
          </w:p>
        </w:tc>
      </w:tr>
      <w:tr>
        <w:trPr>
          <w:trHeight w:val="359" w:hRule="atLeast"/>
        </w:trPr>
        <w:tc>
          <w:tcPr>
            <w:tcW w:w="521" w:type="dxa"/>
          </w:tcPr>
          <w:p>
            <w:pPr>
              <w:pStyle w:val="TableParagraph"/>
              <w:spacing w:line="250" w:lineRule="exact" w:before="89"/>
              <w:ind w:left="7"/>
              <w:jc w:val="center"/>
              <w:rPr>
                <w:sz w:val="21"/>
              </w:rPr>
            </w:pPr>
            <w:r>
              <w:rPr>
                <w:w w:val="100"/>
                <w:sz w:val="21"/>
              </w:rPr>
              <w:t>5</w:t>
            </w:r>
          </w:p>
        </w:tc>
        <w:tc>
          <w:tcPr>
            <w:tcW w:w="3236" w:type="dxa"/>
          </w:tcPr>
          <w:p>
            <w:pPr>
              <w:pStyle w:val="TableParagraph"/>
              <w:spacing w:line="250" w:lineRule="exact" w:before="89"/>
              <w:ind w:left="1"/>
              <w:rPr>
                <w:sz w:val="21"/>
              </w:rPr>
            </w:pPr>
            <w:r>
              <w:rPr>
                <w:sz w:val="21"/>
              </w:rPr>
              <w:t>120 天（含）—397 天（含）</w:t>
            </w:r>
          </w:p>
        </w:tc>
        <w:tc>
          <w:tcPr>
            <w:tcW w:w="2252" w:type="dxa"/>
          </w:tcPr>
          <w:p>
            <w:pPr>
              <w:pStyle w:val="TableParagraph"/>
              <w:spacing w:line="250" w:lineRule="exact" w:before="89"/>
              <w:ind w:right="-15"/>
              <w:jc w:val="right"/>
              <w:rPr>
                <w:sz w:val="21"/>
              </w:rPr>
            </w:pPr>
            <w:r>
              <w:rPr>
                <w:sz w:val="21"/>
              </w:rPr>
              <w:t>13.90</w:t>
            </w:r>
          </w:p>
        </w:tc>
        <w:tc>
          <w:tcPr>
            <w:tcW w:w="2315" w:type="dxa"/>
          </w:tcPr>
          <w:p>
            <w:pPr>
              <w:pStyle w:val="TableParagraph"/>
              <w:spacing w:line="250" w:lineRule="exact" w:before="89"/>
              <w:ind w:right="-15"/>
              <w:jc w:val="right"/>
              <w:rPr>
                <w:sz w:val="21"/>
              </w:rPr>
            </w:pPr>
            <w:r>
              <w:rPr>
                <w:w w:val="100"/>
                <w:sz w:val="21"/>
              </w:rPr>
              <w:t>-</w:t>
            </w:r>
          </w:p>
        </w:tc>
      </w:tr>
      <w:tr>
        <w:trPr>
          <w:trHeight w:val="719" w:hRule="atLeast"/>
        </w:trPr>
        <w:tc>
          <w:tcPr>
            <w:tcW w:w="521" w:type="dxa"/>
          </w:tcPr>
          <w:p>
            <w:pPr>
              <w:pStyle w:val="TableParagraph"/>
              <w:rPr>
                <w:rFonts w:ascii="Times New Roman"/>
                <w:sz w:val="20"/>
              </w:rPr>
            </w:pPr>
          </w:p>
        </w:tc>
        <w:tc>
          <w:tcPr>
            <w:tcW w:w="3236" w:type="dxa"/>
          </w:tcPr>
          <w:p>
            <w:pPr>
              <w:pStyle w:val="TableParagraph"/>
              <w:spacing w:line="360" w:lineRule="exact" w:before="11"/>
              <w:ind w:left="1" w:right="-15"/>
              <w:rPr>
                <w:sz w:val="21"/>
              </w:rPr>
            </w:pPr>
            <w:r>
              <w:rPr>
                <w:spacing w:val="-4"/>
                <w:sz w:val="21"/>
              </w:rPr>
              <w:t>其中：剩余存续期超过 </w:t>
            </w:r>
            <w:r>
              <w:rPr>
                <w:sz w:val="21"/>
              </w:rPr>
              <w:t>397</w:t>
            </w:r>
            <w:r>
              <w:rPr>
                <w:spacing w:val="-3"/>
                <w:sz w:val="21"/>
              </w:rPr>
              <w:t> 天的浮动利率债</w:t>
            </w:r>
          </w:p>
        </w:tc>
        <w:tc>
          <w:tcPr>
            <w:tcW w:w="2252" w:type="dxa"/>
          </w:tcPr>
          <w:p>
            <w:pPr>
              <w:pStyle w:val="TableParagraph"/>
              <w:rPr>
                <w:b/>
                <w:sz w:val="21"/>
              </w:rPr>
            </w:pPr>
          </w:p>
          <w:p>
            <w:pPr>
              <w:pStyle w:val="TableParagraph"/>
              <w:ind w:right="-15"/>
              <w:jc w:val="right"/>
              <w:rPr>
                <w:sz w:val="21"/>
              </w:rPr>
            </w:pPr>
            <w:r>
              <w:rPr>
                <w:w w:val="100"/>
                <w:sz w:val="21"/>
              </w:rPr>
              <w:t>-</w:t>
            </w:r>
          </w:p>
        </w:tc>
        <w:tc>
          <w:tcPr>
            <w:tcW w:w="2315" w:type="dxa"/>
          </w:tcPr>
          <w:p>
            <w:pPr>
              <w:pStyle w:val="TableParagraph"/>
              <w:rPr>
                <w:b/>
                <w:sz w:val="21"/>
              </w:rPr>
            </w:pPr>
          </w:p>
          <w:p>
            <w:pPr>
              <w:pStyle w:val="TableParagraph"/>
              <w:ind w:right="-15"/>
              <w:jc w:val="right"/>
              <w:rPr>
                <w:sz w:val="21"/>
              </w:rPr>
            </w:pPr>
            <w:r>
              <w:rPr>
                <w:w w:val="100"/>
                <w:sz w:val="21"/>
              </w:rPr>
              <w:t>-</w:t>
            </w:r>
          </w:p>
        </w:tc>
      </w:tr>
      <w:tr>
        <w:trPr>
          <w:trHeight w:val="348" w:hRule="atLeast"/>
        </w:trPr>
        <w:tc>
          <w:tcPr>
            <w:tcW w:w="3757" w:type="dxa"/>
            <w:gridSpan w:val="2"/>
          </w:tcPr>
          <w:p>
            <w:pPr>
              <w:pStyle w:val="TableParagraph"/>
              <w:spacing w:line="250" w:lineRule="exact" w:before="78"/>
              <w:ind w:left="1646" w:right="1640"/>
              <w:jc w:val="center"/>
              <w:rPr>
                <w:sz w:val="21"/>
              </w:rPr>
            </w:pPr>
            <w:r>
              <w:rPr>
                <w:sz w:val="21"/>
              </w:rPr>
              <w:t>合计</w:t>
            </w:r>
          </w:p>
        </w:tc>
        <w:tc>
          <w:tcPr>
            <w:tcW w:w="2252" w:type="dxa"/>
          </w:tcPr>
          <w:p>
            <w:pPr>
              <w:pStyle w:val="TableParagraph"/>
              <w:spacing w:line="250" w:lineRule="exact" w:before="78"/>
              <w:ind w:right="-15"/>
              <w:jc w:val="right"/>
              <w:rPr>
                <w:sz w:val="21"/>
              </w:rPr>
            </w:pPr>
            <w:r>
              <w:rPr>
                <w:sz w:val="21"/>
              </w:rPr>
              <w:t>100.12</w:t>
            </w:r>
          </w:p>
        </w:tc>
        <w:tc>
          <w:tcPr>
            <w:tcW w:w="2315" w:type="dxa"/>
          </w:tcPr>
          <w:p>
            <w:pPr>
              <w:pStyle w:val="TableParagraph"/>
              <w:spacing w:line="250" w:lineRule="exact" w:before="78"/>
              <w:ind w:right="-15"/>
              <w:jc w:val="right"/>
              <w:rPr>
                <w:sz w:val="21"/>
              </w:rPr>
            </w:pPr>
            <w:r>
              <w:rPr>
                <w:sz w:val="21"/>
              </w:rPr>
              <w:t>0.79</w:t>
            </w:r>
          </w:p>
        </w:tc>
      </w:tr>
    </w:tbl>
    <w:p>
      <w:pPr>
        <w:pStyle w:val="ListParagraph"/>
        <w:numPr>
          <w:ilvl w:val="0"/>
          <w:numId w:val="27"/>
        </w:numPr>
        <w:tabs>
          <w:tab w:pos="968" w:val="left" w:leader="none"/>
        </w:tabs>
        <w:spacing w:line="240" w:lineRule="auto" w:before="156" w:after="0"/>
        <w:ind w:left="967" w:right="0" w:hanging="310"/>
        <w:jc w:val="left"/>
        <w:rPr>
          <w:b/>
          <w:sz w:val="24"/>
        </w:rPr>
      </w:pPr>
      <w:r>
        <w:rPr>
          <w:b/>
          <w:spacing w:val="-4"/>
          <w:sz w:val="24"/>
        </w:rPr>
        <w:t>报告期内投资组合平均剩余存续期超过 </w:t>
      </w:r>
      <w:r>
        <w:rPr>
          <w:rFonts w:ascii="Cambria" w:eastAsia="Cambria"/>
          <w:b/>
          <w:sz w:val="24"/>
        </w:rPr>
        <w:t>240</w:t>
      </w:r>
      <w:r>
        <w:rPr>
          <w:rFonts w:ascii="Cambria" w:eastAsia="Cambria"/>
          <w:b/>
          <w:spacing w:val="7"/>
          <w:sz w:val="24"/>
        </w:rPr>
        <w:t> </w:t>
      </w:r>
      <w:r>
        <w:rPr>
          <w:b/>
          <w:sz w:val="24"/>
        </w:rPr>
        <w:t>天情况说明</w:t>
      </w:r>
    </w:p>
    <w:p>
      <w:pPr>
        <w:pStyle w:val="BodyText"/>
        <w:spacing w:before="164"/>
        <w:ind w:left="658"/>
      </w:pPr>
      <w:r>
        <w:rPr/>
        <w:t>本报告期内，本货币基金投资组合平均剩余期限未超过 240 天。</w:t>
      </w:r>
    </w:p>
    <w:p>
      <w:pPr>
        <w:pStyle w:val="BodyText"/>
        <w:spacing w:before="12"/>
        <w:rPr>
          <w:sz w:val="19"/>
        </w:rPr>
      </w:pPr>
    </w:p>
    <w:p>
      <w:pPr>
        <w:pStyle w:val="ListParagraph"/>
        <w:numPr>
          <w:ilvl w:val="0"/>
          <w:numId w:val="27"/>
        </w:numPr>
        <w:tabs>
          <w:tab w:pos="968" w:val="left" w:leader="none"/>
        </w:tabs>
        <w:spacing w:line="240" w:lineRule="auto" w:before="0" w:after="0"/>
        <w:ind w:left="967" w:right="0" w:hanging="310"/>
        <w:jc w:val="left"/>
        <w:rPr>
          <w:b/>
          <w:sz w:val="24"/>
        </w:rPr>
      </w:pPr>
      <w:r>
        <w:rPr>
          <w:b/>
          <w:sz w:val="24"/>
        </w:rPr>
        <w:t>报告期末按债券品种分类的债券投资组合</w:t>
      </w:r>
    </w:p>
    <w:p>
      <w:pPr>
        <w:pStyle w:val="BodyText"/>
        <w:rPr>
          <w:b/>
          <w:sz w:val="5"/>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7"/>
        <w:gridCol w:w="2902"/>
        <w:gridCol w:w="3684"/>
        <w:gridCol w:w="1351"/>
      </w:tblGrid>
      <w:tr>
        <w:trPr>
          <w:trHeight w:val="719" w:hRule="atLeast"/>
        </w:trPr>
        <w:tc>
          <w:tcPr>
            <w:tcW w:w="437" w:type="dxa"/>
            <w:shd w:val="clear" w:color="auto" w:fill="D9D9D9"/>
          </w:tcPr>
          <w:p>
            <w:pPr>
              <w:pStyle w:val="TableParagraph"/>
              <w:spacing w:line="360" w:lineRule="exact" w:before="11"/>
              <w:ind w:left="112" w:right="101"/>
              <w:rPr>
                <w:sz w:val="21"/>
              </w:rPr>
            </w:pPr>
            <w:r>
              <w:rPr>
                <w:sz w:val="21"/>
              </w:rPr>
              <w:t>序号</w:t>
            </w:r>
          </w:p>
        </w:tc>
        <w:tc>
          <w:tcPr>
            <w:tcW w:w="2902" w:type="dxa"/>
            <w:shd w:val="clear" w:color="auto" w:fill="D9D9D9"/>
          </w:tcPr>
          <w:p>
            <w:pPr>
              <w:pStyle w:val="TableParagraph"/>
              <w:rPr>
                <w:b/>
                <w:sz w:val="21"/>
              </w:rPr>
            </w:pPr>
          </w:p>
          <w:p>
            <w:pPr>
              <w:pStyle w:val="TableParagraph"/>
              <w:ind w:left="1010" w:right="1002"/>
              <w:jc w:val="center"/>
              <w:rPr>
                <w:sz w:val="21"/>
              </w:rPr>
            </w:pPr>
            <w:r>
              <w:rPr>
                <w:sz w:val="21"/>
              </w:rPr>
              <w:t>债券品种</w:t>
            </w:r>
          </w:p>
        </w:tc>
        <w:tc>
          <w:tcPr>
            <w:tcW w:w="3684" w:type="dxa"/>
            <w:shd w:val="clear" w:color="auto" w:fill="D9D9D9"/>
          </w:tcPr>
          <w:p>
            <w:pPr>
              <w:pStyle w:val="TableParagraph"/>
              <w:rPr>
                <w:b/>
                <w:sz w:val="21"/>
              </w:rPr>
            </w:pPr>
          </w:p>
          <w:p>
            <w:pPr>
              <w:pStyle w:val="TableParagraph"/>
              <w:ind w:left="1106"/>
              <w:rPr>
                <w:sz w:val="21"/>
              </w:rPr>
            </w:pPr>
            <w:r>
              <w:rPr>
                <w:sz w:val="21"/>
              </w:rPr>
              <w:t>摊余成本（元）</w:t>
            </w:r>
          </w:p>
        </w:tc>
        <w:tc>
          <w:tcPr>
            <w:tcW w:w="1351" w:type="dxa"/>
            <w:shd w:val="clear" w:color="auto" w:fill="D9D9D9"/>
          </w:tcPr>
          <w:p>
            <w:pPr>
              <w:pStyle w:val="TableParagraph"/>
              <w:spacing w:line="360" w:lineRule="exact" w:before="11"/>
              <w:ind w:left="99" w:right="30" w:hanging="54"/>
              <w:rPr>
                <w:sz w:val="21"/>
              </w:rPr>
            </w:pPr>
            <w:r>
              <w:rPr>
                <w:sz w:val="21"/>
              </w:rPr>
              <w:t>占基金资产净值比例（%）</w:t>
            </w:r>
          </w:p>
        </w:tc>
      </w:tr>
      <w:tr>
        <w:trPr>
          <w:trHeight w:val="348" w:hRule="atLeast"/>
        </w:trPr>
        <w:tc>
          <w:tcPr>
            <w:tcW w:w="437" w:type="dxa"/>
          </w:tcPr>
          <w:p>
            <w:pPr>
              <w:pStyle w:val="TableParagraph"/>
              <w:spacing w:line="250" w:lineRule="exact" w:before="78"/>
              <w:ind w:left="9"/>
              <w:jc w:val="center"/>
              <w:rPr>
                <w:sz w:val="21"/>
              </w:rPr>
            </w:pPr>
            <w:r>
              <w:rPr>
                <w:w w:val="100"/>
                <w:sz w:val="21"/>
              </w:rPr>
              <w:t>1</w:t>
            </w:r>
          </w:p>
        </w:tc>
        <w:tc>
          <w:tcPr>
            <w:tcW w:w="2902" w:type="dxa"/>
          </w:tcPr>
          <w:p>
            <w:pPr>
              <w:pStyle w:val="TableParagraph"/>
              <w:spacing w:line="250" w:lineRule="exact" w:before="78"/>
              <w:ind w:left="133"/>
              <w:rPr>
                <w:sz w:val="21"/>
              </w:rPr>
            </w:pPr>
            <w:r>
              <w:rPr>
                <w:sz w:val="21"/>
              </w:rPr>
              <w:t>国家债券</w:t>
            </w:r>
          </w:p>
        </w:tc>
        <w:tc>
          <w:tcPr>
            <w:tcW w:w="3684" w:type="dxa"/>
          </w:tcPr>
          <w:p>
            <w:pPr>
              <w:pStyle w:val="TableParagraph"/>
              <w:spacing w:line="250" w:lineRule="exact" w:before="78"/>
              <w:ind w:right="16"/>
              <w:jc w:val="right"/>
              <w:rPr>
                <w:sz w:val="21"/>
              </w:rPr>
            </w:pPr>
            <w:r>
              <w:rPr>
                <w:w w:val="100"/>
                <w:sz w:val="21"/>
              </w:rPr>
              <w:t>-</w:t>
            </w:r>
          </w:p>
        </w:tc>
        <w:tc>
          <w:tcPr>
            <w:tcW w:w="1351" w:type="dxa"/>
          </w:tcPr>
          <w:p>
            <w:pPr>
              <w:pStyle w:val="TableParagraph"/>
              <w:spacing w:line="250" w:lineRule="exact" w:before="78"/>
              <w:ind w:right="15"/>
              <w:jc w:val="right"/>
              <w:rPr>
                <w:sz w:val="21"/>
              </w:rPr>
            </w:pPr>
            <w:r>
              <w:rPr>
                <w:w w:val="100"/>
                <w:sz w:val="21"/>
              </w:rPr>
              <w:t>-</w:t>
            </w:r>
          </w:p>
        </w:tc>
      </w:tr>
      <w:tr>
        <w:trPr>
          <w:trHeight w:val="362" w:hRule="atLeast"/>
        </w:trPr>
        <w:tc>
          <w:tcPr>
            <w:tcW w:w="437" w:type="dxa"/>
          </w:tcPr>
          <w:p>
            <w:pPr>
              <w:pStyle w:val="TableParagraph"/>
              <w:spacing w:line="250" w:lineRule="exact" w:before="92"/>
              <w:ind w:left="9"/>
              <w:jc w:val="center"/>
              <w:rPr>
                <w:sz w:val="21"/>
              </w:rPr>
            </w:pPr>
            <w:r>
              <w:rPr>
                <w:w w:val="100"/>
                <w:sz w:val="21"/>
              </w:rPr>
              <w:t>2</w:t>
            </w:r>
          </w:p>
        </w:tc>
        <w:tc>
          <w:tcPr>
            <w:tcW w:w="2902" w:type="dxa"/>
          </w:tcPr>
          <w:p>
            <w:pPr>
              <w:pStyle w:val="TableParagraph"/>
              <w:spacing w:line="250" w:lineRule="exact" w:before="92"/>
              <w:ind w:left="133"/>
              <w:rPr>
                <w:sz w:val="21"/>
              </w:rPr>
            </w:pPr>
            <w:r>
              <w:rPr>
                <w:sz w:val="21"/>
              </w:rPr>
              <w:t>央行票据</w:t>
            </w:r>
          </w:p>
        </w:tc>
        <w:tc>
          <w:tcPr>
            <w:tcW w:w="3684" w:type="dxa"/>
          </w:tcPr>
          <w:p>
            <w:pPr>
              <w:pStyle w:val="TableParagraph"/>
              <w:spacing w:line="250" w:lineRule="exact" w:before="92"/>
              <w:ind w:right="16"/>
              <w:jc w:val="right"/>
              <w:rPr>
                <w:sz w:val="21"/>
              </w:rPr>
            </w:pPr>
            <w:r>
              <w:rPr>
                <w:w w:val="100"/>
                <w:sz w:val="21"/>
              </w:rPr>
              <w:t>-</w:t>
            </w:r>
          </w:p>
        </w:tc>
        <w:tc>
          <w:tcPr>
            <w:tcW w:w="1351" w:type="dxa"/>
          </w:tcPr>
          <w:p>
            <w:pPr>
              <w:pStyle w:val="TableParagraph"/>
              <w:spacing w:line="250" w:lineRule="exact" w:before="92"/>
              <w:ind w:right="15"/>
              <w:jc w:val="right"/>
              <w:rPr>
                <w:sz w:val="21"/>
              </w:rPr>
            </w:pPr>
            <w:r>
              <w:rPr>
                <w:w w:val="100"/>
                <w:sz w:val="21"/>
              </w:rPr>
              <w:t>-</w:t>
            </w:r>
          </w:p>
        </w:tc>
      </w:tr>
      <w:tr>
        <w:trPr>
          <w:trHeight w:val="359" w:hRule="atLeast"/>
        </w:trPr>
        <w:tc>
          <w:tcPr>
            <w:tcW w:w="437" w:type="dxa"/>
          </w:tcPr>
          <w:p>
            <w:pPr>
              <w:pStyle w:val="TableParagraph"/>
              <w:spacing w:line="250" w:lineRule="exact" w:before="89"/>
              <w:ind w:left="9"/>
              <w:jc w:val="center"/>
              <w:rPr>
                <w:sz w:val="21"/>
              </w:rPr>
            </w:pPr>
            <w:r>
              <w:rPr>
                <w:w w:val="100"/>
                <w:sz w:val="21"/>
              </w:rPr>
              <w:t>3</w:t>
            </w:r>
          </w:p>
        </w:tc>
        <w:tc>
          <w:tcPr>
            <w:tcW w:w="2902" w:type="dxa"/>
          </w:tcPr>
          <w:p>
            <w:pPr>
              <w:pStyle w:val="TableParagraph"/>
              <w:spacing w:line="250" w:lineRule="exact" w:before="89"/>
              <w:ind w:left="133"/>
              <w:rPr>
                <w:sz w:val="21"/>
              </w:rPr>
            </w:pPr>
            <w:r>
              <w:rPr>
                <w:sz w:val="21"/>
              </w:rPr>
              <w:t>金融债券</w:t>
            </w:r>
          </w:p>
        </w:tc>
        <w:tc>
          <w:tcPr>
            <w:tcW w:w="3684" w:type="dxa"/>
          </w:tcPr>
          <w:p>
            <w:pPr>
              <w:pStyle w:val="TableParagraph"/>
              <w:spacing w:line="250" w:lineRule="exact" w:before="89"/>
              <w:ind w:right="14"/>
              <w:jc w:val="right"/>
              <w:rPr>
                <w:sz w:val="21"/>
              </w:rPr>
            </w:pPr>
            <w:r>
              <w:rPr>
                <w:sz w:val="21"/>
              </w:rPr>
              <w:t>179,946,018.84</w:t>
            </w:r>
          </w:p>
        </w:tc>
        <w:tc>
          <w:tcPr>
            <w:tcW w:w="1351" w:type="dxa"/>
          </w:tcPr>
          <w:p>
            <w:pPr>
              <w:pStyle w:val="TableParagraph"/>
              <w:spacing w:line="250" w:lineRule="exact" w:before="89"/>
              <w:ind w:right="13"/>
              <w:jc w:val="right"/>
              <w:rPr>
                <w:sz w:val="21"/>
              </w:rPr>
            </w:pPr>
            <w:r>
              <w:rPr>
                <w:sz w:val="21"/>
              </w:rPr>
              <w:t>5.71</w:t>
            </w:r>
          </w:p>
        </w:tc>
      </w:tr>
      <w:tr>
        <w:trPr>
          <w:trHeight w:val="360" w:hRule="atLeast"/>
        </w:trPr>
        <w:tc>
          <w:tcPr>
            <w:tcW w:w="437" w:type="dxa"/>
          </w:tcPr>
          <w:p>
            <w:pPr>
              <w:pStyle w:val="TableParagraph"/>
              <w:rPr>
                <w:rFonts w:ascii="Times New Roman"/>
                <w:sz w:val="20"/>
              </w:rPr>
            </w:pPr>
          </w:p>
        </w:tc>
        <w:tc>
          <w:tcPr>
            <w:tcW w:w="2902" w:type="dxa"/>
          </w:tcPr>
          <w:p>
            <w:pPr>
              <w:pStyle w:val="TableParagraph"/>
              <w:spacing w:line="250" w:lineRule="exact" w:before="90"/>
              <w:ind w:left="133"/>
              <w:rPr>
                <w:sz w:val="21"/>
              </w:rPr>
            </w:pPr>
            <w:r>
              <w:rPr>
                <w:sz w:val="21"/>
              </w:rPr>
              <w:t>其中：政策性金融债</w:t>
            </w:r>
          </w:p>
        </w:tc>
        <w:tc>
          <w:tcPr>
            <w:tcW w:w="3684" w:type="dxa"/>
          </w:tcPr>
          <w:p>
            <w:pPr>
              <w:pStyle w:val="TableParagraph"/>
              <w:spacing w:line="250" w:lineRule="exact" w:before="90"/>
              <w:ind w:right="14"/>
              <w:jc w:val="right"/>
              <w:rPr>
                <w:sz w:val="21"/>
              </w:rPr>
            </w:pPr>
            <w:r>
              <w:rPr>
                <w:sz w:val="21"/>
              </w:rPr>
              <w:t>179,946,018.84</w:t>
            </w:r>
          </w:p>
        </w:tc>
        <w:tc>
          <w:tcPr>
            <w:tcW w:w="1351" w:type="dxa"/>
          </w:tcPr>
          <w:p>
            <w:pPr>
              <w:pStyle w:val="TableParagraph"/>
              <w:spacing w:line="250" w:lineRule="exact" w:before="90"/>
              <w:ind w:right="13"/>
              <w:jc w:val="right"/>
              <w:rPr>
                <w:sz w:val="21"/>
              </w:rPr>
            </w:pPr>
            <w:r>
              <w:rPr>
                <w:sz w:val="21"/>
              </w:rPr>
              <w:t>5.71</w:t>
            </w:r>
          </w:p>
        </w:tc>
      </w:tr>
      <w:tr>
        <w:trPr>
          <w:trHeight w:val="359" w:hRule="atLeast"/>
        </w:trPr>
        <w:tc>
          <w:tcPr>
            <w:tcW w:w="437" w:type="dxa"/>
          </w:tcPr>
          <w:p>
            <w:pPr>
              <w:pStyle w:val="TableParagraph"/>
              <w:spacing w:line="250" w:lineRule="exact" w:before="89"/>
              <w:ind w:left="9"/>
              <w:jc w:val="center"/>
              <w:rPr>
                <w:sz w:val="21"/>
              </w:rPr>
            </w:pPr>
            <w:r>
              <w:rPr>
                <w:w w:val="100"/>
                <w:sz w:val="21"/>
              </w:rPr>
              <w:t>4</w:t>
            </w:r>
          </w:p>
        </w:tc>
        <w:tc>
          <w:tcPr>
            <w:tcW w:w="2902" w:type="dxa"/>
          </w:tcPr>
          <w:p>
            <w:pPr>
              <w:pStyle w:val="TableParagraph"/>
              <w:spacing w:line="250" w:lineRule="exact" w:before="89"/>
              <w:ind w:left="133"/>
              <w:rPr>
                <w:sz w:val="21"/>
              </w:rPr>
            </w:pPr>
            <w:r>
              <w:rPr>
                <w:sz w:val="21"/>
              </w:rPr>
              <w:t>企业债券</w:t>
            </w:r>
          </w:p>
        </w:tc>
        <w:tc>
          <w:tcPr>
            <w:tcW w:w="3684" w:type="dxa"/>
          </w:tcPr>
          <w:p>
            <w:pPr>
              <w:pStyle w:val="TableParagraph"/>
              <w:spacing w:line="250" w:lineRule="exact" w:before="89"/>
              <w:ind w:right="16"/>
              <w:jc w:val="right"/>
              <w:rPr>
                <w:sz w:val="21"/>
              </w:rPr>
            </w:pPr>
            <w:r>
              <w:rPr>
                <w:w w:val="100"/>
                <w:sz w:val="21"/>
              </w:rPr>
              <w:t>-</w:t>
            </w:r>
          </w:p>
        </w:tc>
        <w:tc>
          <w:tcPr>
            <w:tcW w:w="1351" w:type="dxa"/>
          </w:tcPr>
          <w:p>
            <w:pPr>
              <w:pStyle w:val="TableParagraph"/>
              <w:spacing w:line="250" w:lineRule="exact" w:before="89"/>
              <w:ind w:right="15"/>
              <w:jc w:val="right"/>
              <w:rPr>
                <w:sz w:val="21"/>
              </w:rPr>
            </w:pPr>
            <w:r>
              <w:rPr>
                <w:w w:val="100"/>
                <w:sz w:val="21"/>
              </w:rPr>
              <w:t>-</w:t>
            </w:r>
          </w:p>
        </w:tc>
      </w:tr>
      <w:tr>
        <w:trPr>
          <w:trHeight w:val="359" w:hRule="atLeast"/>
        </w:trPr>
        <w:tc>
          <w:tcPr>
            <w:tcW w:w="437" w:type="dxa"/>
          </w:tcPr>
          <w:p>
            <w:pPr>
              <w:pStyle w:val="TableParagraph"/>
              <w:spacing w:line="250" w:lineRule="exact" w:before="89"/>
              <w:ind w:left="9"/>
              <w:jc w:val="center"/>
              <w:rPr>
                <w:sz w:val="21"/>
              </w:rPr>
            </w:pPr>
            <w:r>
              <w:rPr>
                <w:w w:val="100"/>
                <w:sz w:val="21"/>
              </w:rPr>
              <w:t>5</w:t>
            </w:r>
          </w:p>
        </w:tc>
        <w:tc>
          <w:tcPr>
            <w:tcW w:w="2902" w:type="dxa"/>
          </w:tcPr>
          <w:p>
            <w:pPr>
              <w:pStyle w:val="TableParagraph"/>
              <w:spacing w:line="250" w:lineRule="exact" w:before="89"/>
              <w:ind w:left="133"/>
              <w:rPr>
                <w:sz w:val="21"/>
              </w:rPr>
            </w:pPr>
            <w:r>
              <w:rPr>
                <w:sz w:val="21"/>
              </w:rPr>
              <w:t>企业短期融资券</w:t>
            </w:r>
          </w:p>
        </w:tc>
        <w:tc>
          <w:tcPr>
            <w:tcW w:w="3684" w:type="dxa"/>
          </w:tcPr>
          <w:p>
            <w:pPr>
              <w:pStyle w:val="TableParagraph"/>
              <w:spacing w:line="250" w:lineRule="exact" w:before="89"/>
              <w:ind w:right="14"/>
              <w:jc w:val="right"/>
              <w:rPr>
                <w:sz w:val="21"/>
              </w:rPr>
            </w:pPr>
            <w:r>
              <w:rPr>
                <w:sz w:val="21"/>
              </w:rPr>
              <w:t>309,924,298.14</w:t>
            </w:r>
          </w:p>
        </w:tc>
        <w:tc>
          <w:tcPr>
            <w:tcW w:w="1351" w:type="dxa"/>
          </w:tcPr>
          <w:p>
            <w:pPr>
              <w:pStyle w:val="TableParagraph"/>
              <w:spacing w:line="250" w:lineRule="exact" w:before="89"/>
              <w:ind w:right="13"/>
              <w:jc w:val="right"/>
              <w:rPr>
                <w:sz w:val="21"/>
              </w:rPr>
            </w:pPr>
            <w:r>
              <w:rPr>
                <w:sz w:val="21"/>
              </w:rPr>
              <w:t>9.83</w:t>
            </w:r>
          </w:p>
        </w:tc>
      </w:tr>
      <w:tr>
        <w:trPr>
          <w:trHeight w:val="359" w:hRule="atLeast"/>
        </w:trPr>
        <w:tc>
          <w:tcPr>
            <w:tcW w:w="437" w:type="dxa"/>
          </w:tcPr>
          <w:p>
            <w:pPr>
              <w:pStyle w:val="TableParagraph"/>
              <w:spacing w:line="250" w:lineRule="exact" w:before="90"/>
              <w:ind w:left="9"/>
              <w:jc w:val="center"/>
              <w:rPr>
                <w:sz w:val="21"/>
              </w:rPr>
            </w:pPr>
            <w:r>
              <w:rPr>
                <w:w w:val="100"/>
                <w:sz w:val="21"/>
              </w:rPr>
              <w:t>6</w:t>
            </w:r>
          </w:p>
        </w:tc>
        <w:tc>
          <w:tcPr>
            <w:tcW w:w="2902" w:type="dxa"/>
          </w:tcPr>
          <w:p>
            <w:pPr>
              <w:pStyle w:val="TableParagraph"/>
              <w:spacing w:line="250" w:lineRule="exact" w:before="90"/>
              <w:ind w:left="133"/>
              <w:rPr>
                <w:sz w:val="21"/>
              </w:rPr>
            </w:pPr>
            <w:r>
              <w:rPr>
                <w:sz w:val="21"/>
              </w:rPr>
              <w:t>中期票据</w:t>
            </w:r>
          </w:p>
        </w:tc>
        <w:tc>
          <w:tcPr>
            <w:tcW w:w="3684" w:type="dxa"/>
          </w:tcPr>
          <w:p>
            <w:pPr>
              <w:pStyle w:val="TableParagraph"/>
              <w:spacing w:line="250" w:lineRule="exact" w:before="90"/>
              <w:ind w:right="16"/>
              <w:jc w:val="right"/>
              <w:rPr>
                <w:sz w:val="21"/>
              </w:rPr>
            </w:pPr>
            <w:r>
              <w:rPr>
                <w:w w:val="100"/>
                <w:sz w:val="21"/>
              </w:rPr>
              <w:t>-</w:t>
            </w:r>
          </w:p>
        </w:tc>
        <w:tc>
          <w:tcPr>
            <w:tcW w:w="1351" w:type="dxa"/>
          </w:tcPr>
          <w:p>
            <w:pPr>
              <w:pStyle w:val="TableParagraph"/>
              <w:spacing w:line="250" w:lineRule="exact" w:before="90"/>
              <w:ind w:right="15"/>
              <w:jc w:val="right"/>
              <w:rPr>
                <w:sz w:val="21"/>
              </w:rPr>
            </w:pPr>
            <w:r>
              <w:rPr>
                <w:w w:val="100"/>
                <w:sz w:val="21"/>
              </w:rPr>
              <w:t>-</w:t>
            </w:r>
          </w:p>
        </w:tc>
      </w:tr>
      <w:tr>
        <w:trPr>
          <w:trHeight w:val="361" w:hRule="atLeast"/>
        </w:trPr>
        <w:tc>
          <w:tcPr>
            <w:tcW w:w="437" w:type="dxa"/>
          </w:tcPr>
          <w:p>
            <w:pPr>
              <w:pStyle w:val="TableParagraph"/>
              <w:spacing w:line="250" w:lineRule="exact" w:before="92"/>
              <w:ind w:left="9"/>
              <w:jc w:val="center"/>
              <w:rPr>
                <w:sz w:val="21"/>
              </w:rPr>
            </w:pPr>
            <w:r>
              <w:rPr>
                <w:w w:val="100"/>
                <w:sz w:val="21"/>
              </w:rPr>
              <w:t>7</w:t>
            </w:r>
          </w:p>
        </w:tc>
        <w:tc>
          <w:tcPr>
            <w:tcW w:w="2902" w:type="dxa"/>
          </w:tcPr>
          <w:p>
            <w:pPr>
              <w:pStyle w:val="TableParagraph"/>
              <w:spacing w:line="250" w:lineRule="exact" w:before="92"/>
              <w:ind w:left="133"/>
              <w:rPr>
                <w:sz w:val="21"/>
              </w:rPr>
            </w:pPr>
            <w:r>
              <w:rPr>
                <w:sz w:val="21"/>
              </w:rPr>
              <w:t>同业存单</w:t>
            </w:r>
          </w:p>
        </w:tc>
        <w:tc>
          <w:tcPr>
            <w:tcW w:w="3684" w:type="dxa"/>
          </w:tcPr>
          <w:p>
            <w:pPr>
              <w:pStyle w:val="TableParagraph"/>
              <w:spacing w:line="250" w:lineRule="exact" w:before="92"/>
              <w:ind w:right="14"/>
              <w:jc w:val="right"/>
              <w:rPr>
                <w:sz w:val="21"/>
              </w:rPr>
            </w:pPr>
            <w:r>
              <w:rPr>
                <w:sz w:val="21"/>
              </w:rPr>
              <w:t>119,571,111.73</w:t>
            </w:r>
          </w:p>
        </w:tc>
        <w:tc>
          <w:tcPr>
            <w:tcW w:w="1351" w:type="dxa"/>
          </w:tcPr>
          <w:p>
            <w:pPr>
              <w:pStyle w:val="TableParagraph"/>
              <w:spacing w:line="250" w:lineRule="exact" w:before="92"/>
              <w:ind w:right="13"/>
              <w:jc w:val="right"/>
              <w:rPr>
                <w:sz w:val="21"/>
              </w:rPr>
            </w:pPr>
            <w:r>
              <w:rPr>
                <w:sz w:val="21"/>
              </w:rPr>
              <w:t>3.79</w:t>
            </w:r>
          </w:p>
        </w:tc>
      </w:tr>
      <w:tr>
        <w:trPr>
          <w:trHeight w:val="359" w:hRule="atLeast"/>
        </w:trPr>
        <w:tc>
          <w:tcPr>
            <w:tcW w:w="437" w:type="dxa"/>
          </w:tcPr>
          <w:p>
            <w:pPr>
              <w:pStyle w:val="TableParagraph"/>
              <w:spacing w:line="250" w:lineRule="exact" w:before="89"/>
              <w:ind w:left="9"/>
              <w:jc w:val="center"/>
              <w:rPr>
                <w:sz w:val="21"/>
              </w:rPr>
            </w:pPr>
            <w:r>
              <w:rPr>
                <w:w w:val="100"/>
                <w:sz w:val="21"/>
              </w:rPr>
              <w:t>8</w:t>
            </w:r>
          </w:p>
        </w:tc>
        <w:tc>
          <w:tcPr>
            <w:tcW w:w="2902" w:type="dxa"/>
          </w:tcPr>
          <w:p>
            <w:pPr>
              <w:pStyle w:val="TableParagraph"/>
              <w:spacing w:line="250" w:lineRule="exact" w:before="89"/>
              <w:ind w:left="133"/>
              <w:rPr>
                <w:sz w:val="21"/>
              </w:rPr>
            </w:pPr>
            <w:r>
              <w:rPr>
                <w:sz w:val="21"/>
              </w:rPr>
              <w:t>其他</w:t>
            </w:r>
          </w:p>
        </w:tc>
        <w:tc>
          <w:tcPr>
            <w:tcW w:w="3684" w:type="dxa"/>
          </w:tcPr>
          <w:p>
            <w:pPr>
              <w:pStyle w:val="TableParagraph"/>
              <w:spacing w:line="250" w:lineRule="exact" w:before="89"/>
              <w:ind w:right="16"/>
              <w:jc w:val="right"/>
              <w:rPr>
                <w:sz w:val="21"/>
              </w:rPr>
            </w:pPr>
            <w:r>
              <w:rPr>
                <w:w w:val="100"/>
                <w:sz w:val="21"/>
              </w:rPr>
              <w:t>-</w:t>
            </w:r>
          </w:p>
        </w:tc>
        <w:tc>
          <w:tcPr>
            <w:tcW w:w="1351" w:type="dxa"/>
          </w:tcPr>
          <w:p>
            <w:pPr>
              <w:pStyle w:val="TableParagraph"/>
              <w:spacing w:line="250" w:lineRule="exact" w:before="89"/>
              <w:ind w:right="15"/>
              <w:jc w:val="right"/>
              <w:rPr>
                <w:sz w:val="21"/>
              </w:rPr>
            </w:pPr>
            <w:r>
              <w:rPr>
                <w:w w:val="100"/>
                <w:sz w:val="21"/>
              </w:rPr>
              <w:t>-</w:t>
            </w:r>
          </w:p>
        </w:tc>
      </w:tr>
      <w:tr>
        <w:trPr>
          <w:trHeight w:val="359" w:hRule="atLeast"/>
        </w:trPr>
        <w:tc>
          <w:tcPr>
            <w:tcW w:w="437" w:type="dxa"/>
          </w:tcPr>
          <w:p>
            <w:pPr>
              <w:pStyle w:val="TableParagraph"/>
              <w:spacing w:line="250" w:lineRule="exact" w:before="90"/>
              <w:ind w:left="9"/>
              <w:jc w:val="center"/>
              <w:rPr>
                <w:sz w:val="21"/>
              </w:rPr>
            </w:pPr>
            <w:r>
              <w:rPr>
                <w:w w:val="100"/>
                <w:sz w:val="21"/>
              </w:rPr>
              <w:t>9</w:t>
            </w:r>
          </w:p>
        </w:tc>
        <w:tc>
          <w:tcPr>
            <w:tcW w:w="2902" w:type="dxa"/>
          </w:tcPr>
          <w:p>
            <w:pPr>
              <w:pStyle w:val="TableParagraph"/>
              <w:spacing w:line="250" w:lineRule="exact" w:before="90"/>
              <w:ind w:left="133"/>
              <w:rPr>
                <w:sz w:val="21"/>
              </w:rPr>
            </w:pPr>
            <w:r>
              <w:rPr>
                <w:sz w:val="21"/>
              </w:rPr>
              <w:t>合计</w:t>
            </w:r>
          </w:p>
        </w:tc>
        <w:tc>
          <w:tcPr>
            <w:tcW w:w="3684" w:type="dxa"/>
          </w:tcPr>
          <w:p>
            <w:pPr>
              <w:pStyle w:val="TableParagraph"/>
              <w:spacing w:line="250" w:lineRule="exact" w:before="90"/>
              <w:ind w:right="14"/>
              <w:jc w:val="right"/>
              <w:rPr>
                <w:sz w:val="21"/>
              </w:rPr>
            </w:pPr>
            <w:r>
              <w:rPr>
                <w:sz w:val="21"/>
              </w:rPr>
              <w:t>609,441,428.71</w:t>
            </w:r>
          </w:p>
        </w:tc>
        <w:tc>
          <w:tcPr>
            <w:tcW w:w="1351" w:type="dxa"/>
          </w:tcPr>
          <w:p>
            <w:pPr>
              <w:pStyle w:val="TableParagraph"/>
              <w:spacing w:line="250" w:lineRule="exact" w:before="90"/>
              <w:ind w:right="13"/>
              <w:jc w:val="right"/>
              <w:rPr>
                <w:sz w:val="21"/>
              </w:rPr>
            </w:pPr>
            <w:r>
              <w:rPr>
                <w:sz w:val="21"/>
              </w:rPr>
              <w:t>19.34</w:t>
            </w:r>
          </w:p>
        </w:tc>
      </w:tr>
      <w:tr>
        <w:trPr>
          <w:trHeight w:val="719" w:hRule="atLeast"/>
        </w:trPr>
        <w:tc>
          <w:tcPr>
            <w:tcW w:w="437" w:type="dxa"/>
          </w:tcPr>
          <w:p>
            <w:pPr>
              <w:pStyle w:val="TableParagraph"/>
              <w:rPr>
                <w:b/>
                <w:sz w:val="21"/>
              </w:rPr>
            </w:pPr>
          </w:p>
          <w:p>
            <w:pPr>
              <w:pStyle w:val="TableParagraph"/>
              <w:ind w:left="93" w:right="84"/>
              <w:jc w:val="center"/>
              <w:rPr>
                <w:sz w:val="21"/>
              </w:rPr>
            </w:pPr>
            <w:r>
              <w:rPr>
                <w:sz w:val="21"/>
              </w:rPr>
              <w:t>10</w:t>
            </w:r>
          </w:p>
        </w:tc>
        <w:tc>
          <w:tcPr>
            <w:tcW w:w="2902" w:type="dxa"/>
          </w:tcPr>
          <w:p>
            <w:pPr>
              <w:pStyle w:val="TableParagraph"/>
              <w:spacing w:line="360" w:lineRule="exact" w:before="11"/>
              <w:ind w:left="133" w:right="14"/>
              <w:rPr>
                <w:sz w:val="21"/>
              </w:rPr>
            </w:pPr>
            <w:r>
              <w:rPr>
                <w:spacing w:val="-8"/>
                <w:sz w:val="21"/>
              </w:rPr>
              <w:t>剩余存续期超过 </w:t>
            </w:r>
            <w:r>
              <w:rPr>
                <w:sz w:val="21"/>
              </w:rPr>
              <w:t>397</w:t>
            </w:r>
            <w:r>
              <w:rPr>
                <w:spacing w:val="-13"/>
                <w:sz w:val="21"/>
              </w:rPr>
              <w:t> 天的浮动</w:t>
            </w:r>
            <w:r>
              <w:rPr>
                <w:spacing w:val="-1"/>
                <w:sz w:val="21"/>
              </w:rPr>
              <w:t>利率债券</w:t>
            </w:r>
          </w:p>
        </w:tc>
        <w:tc>
          <w:tcPr>
            <w:tcW w:w="3684" w:type="dxa"/>
          </w:tcPr>
          <w:p>
            <w:pPr>
              <w:pStyle w:val="TableParagraph"/>
              <w:rPr>
                <w:b/>
                <w:sz w:val="21"/>
              </w:rPr>
            </w:pPr>
          </w:p>
          <w:p>
            <w:pPr>
              <w:pStyle w:val="TableParagraph"/>
              <w:ind w:right="16"/>
              <w:jc w:val="right"/>
              <w:rPr>
                <w:sz w:val="21"/>
              </w:rPr>
            </w:pPr>
            <w:r>
              <w:rPr>
                <w:w w:val="100"/>
                <w:sz w:val="21"/>
              </w:rPr>
              <w:t>-</w:t>
            </w:r>
          </w:p>
        </w:tc>
        <w:tc>
          <w:tcPr>
            <w:tcW w:w="1351" w:type="dxa"/>
          </w:tcPr>
          <w:p>
            <w:pPr>
              <w:pStyle w:val="TableParagraph"/>
              <w:rPr>
                <w:b/>
                <w:sz w:val="21"/>
              </w:rPr>
            </w:pPr>
          </w:p>
          <w:p>
            <w:pPr>
              <w:pStyle w:val="TableParagraph"/>
              <w:ind w:right="15"/>
              <w:jc w:val="right"/>
              <w:rPr>
                <w:sz w:val="21"/>
              </w:rPr>
            </w:pPr>
            <w:r>
              <w:rPr>
                <w:w w:val="100"/>
                <w:sz w:val="21"/>
              </w:rPr>
              <w:t>-</w:t>
            </w:r>
          </w:p>
        </w:tc>
      </w:tr>
    </w:tbl>
    <w:p>
      <w:pPr>
        <w:pStyle w:val="ListParagraph"/>
        <w:numPr>
          <w:ilvl w:val="0"/>
          <w:numId w:val="27"/>
        </w:numPr>
        <w:tabs>
          <w:tab w:pos="968" w:val="left" w:leader="none"/>
        </w:tabs>
        <w:spacing w:line="240" w:lineRule="auto" w:before="157" w:after="0"/>
        <w:ind w:left="967" w:right="0" w:hanging="310"/>
        <w:jc w:val="left"/>
        <w:rPr>
          <w:b/>
          <w:sz w:val="24"/>
        </w:rPr>
      </w:pPr>
      <w:r>
        <w:rPr>
          <w:b/>
          <w:sz w:val="24"/>
        </w:rPr>
        <w:t>报告期末按摊余成本占基金资产净值比例大小排序的前十名债券投资明细</w:t>
      </w:r>
    </w:p>
    <w:p>
      <w:pPr>
        <w:pStyle w:val="BodyText"/>
        <w:rPr>
          <w:b/>
          <w:sz w:val="5"/>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332"/>
        <w:gridCol w:w="1863"/>
        <w:gridCol w:w="1594"/>
        <w:gridCol w:w="1640"/>
        <w:gridCol w:w="1234"/>
      </w:tblGrid>
      <w:tr>
        <w:trPr>
          <w:trHeight w:val="376" w:hRule="atLeast"/>
        </w:trPr>
        <w:tc>
          <w:tcPr>
            <w:tcW w:w="672" w:type="dxa"/>
            <w:tcBorders>
              <w:bottom w:val="single" w:sz="6" w:space="0" w:color="000000"/>
              <w:right w:val="single" w:sz="6" w:space="0" w:color="000000"/>
            </w:tcBorders>
            <w:shd w:val="clear" w:color="auto" w:fill="D9D9D9"/>
          </w:tcPr>
          <w:p>
            <w:pPr>
              <w:pStyle w:val="TableParagraph"/>
              <w:spacing w:line="250" w:lineRule="exact" w:before="106"/>
              <w:ind w:left="122"/>
              <w:rPr>
                <w:sz w:val="21"/>
              </w:rPr>
            </w:pPr>
            <w:r>
              <w:rPr>
                <w:sz w:val="21"/>
              </w:rPr>
              <w:t>序号</w:t>
            </w:r>
          </w:p>
        </w:tc>
        <w:tc>
          <w:tcPr>
            <w:tcW w:w="1332" w:type="dxa"/>
            <w:tcBorders>
              <w:left w:val="single" w:sz="6" w:space="0" w:color="000000"/>
              <w:bottom w:val="single" w:sz="6" w:space="0" w:color="000000"/>
              <w:right w:val="single" w:sz="6" w:space="0" w:color="000000"/>
            </w:tcBorders>
            <w:shd w:val="clear" w:color="auto" w:fill="D9D9D9"/>
          </w:tcPr>
          <w:p>
            <w:pPr>
              <w:pStyle w:val="TableParagraph"/>
              <w:spacing w:line="250" w:lineRule="exact" w:before="106"/>
              <w:ind w:left="242"/>
              <w:rPr>
                <w:sz w:val="21"/>
              </w:rPr>
            </w:pPr>
            <w:r>
              <w:rPr>
                <w:sz w:val="21"/>
              </w:rPr>
              <w:t>债券代码</w:t>
            </w:r>
          </w:p>
        </w:tc>
        <w:tc>
          <w:tcPr>
            <w:tcW w:w="1863" w:type="dxa"/>
            <w:tcBorders>
              <w:left w:val="single" w:sz="6" w:space="0" w:color="000000"/>
              <w:bottom w:val="single" w:sz="6" w:space="0" w:color="000000"/>
              <w:right w:val="single" w:sz="6" w:space="0" w:color="000000"/>
            </w:tcBorders>
            <w:shd w:val="clear" w:color="auto" w:fill="D9D9D9"/>
          </w:tcPr>
          <w:p>
            <w:pPr>
              <w:pStyle w:val="TableParagraph"/>
              <w:spacing w:line="250" w:lineRule="exact" w:before="106"/>
              <w:ind w:left="506"/>
              <w:rPr>
                <w:sz w:val="21"/>
              </w:rPr>
            </w:pPr>
            <w:r>
              <w:rPr>
                <w:sz w:val="21"/>
              </w:rPr>
              <w:t>债券名称</w:t>
            </w:r>
          </w:p>
        </w:tc>
        <w:tc>
          <w:tcPr>
            <w:tcW w:w="1594" w:type="dxa"/>
            <w:tcBorders>
              <w:left w:val="single" w:sz="6" w:space="0" w:color="000000"/>
              <w:bottom w:val="single" w:sz="6" w:space="0" w:color="000000"/>
              <w:right w:val="single" w:sz="6" w:space="0" w:color="000000"/>
            </w:tcBorders>
            <w:shd w:val="clear" w:color="auto" w:fill="D9D9D9"/>
          </w:tcPr>
          <w:p>
            <w:pPr>
              <w:pStyle w:val="TableParagraph"/>
              <w:spacing w:line="250" w:lineRule="exact" w:before="106"/>
              <w:ind w:left="57"/>
              <w:rPr>
                <w:sz w:val="21"/>
              </w:rPr>
            </w:pPr>
            <w:r>
              <w:rPr>
                <w:sz w:val="21"/>
              </w:rPr>
              <w:t>债券数量（张）</w:t>
            </w:r>
          </w:p>
        </w:tc>
        <w:tc>
          <w:tcPr>
            <w:tcW w:w="1640" w:type="dxa"/>
            <w:tcBorders>
              <w:left w:val="single" w:sz="6" w:space="0" w:color="000000"/>
              <w:bottom w:val="single" w:sz="6" w:space="0" w:color="000000"/>
              <w:right w:val="single" w:sz="6" w:space="0" w:color="000000"/>
            </w:tcBorders>
            <w:shd w:val="clear" w:color="auto" w:fill="D9D9D9"/>
          </w:tcPr>
          <w:p>
            <w:pPr>
              <w:pStyle w:val="TableParagraph"/>
              <w:spacing w:line="250" w:lineRule="exact" w:before="106"/>
              <w:ind w:left="78"/>
              <w:rPr>
                <w:sz w:val="21"/>
              </w:rPr>
            </w:pPr>
            <w:r>
              <w:rPr>
                <w:sz w:val="21"/>
              </w:rPr>
              <w:t>摊余成本（元）</w:t>
            </w:r>
          </w:p>
        </w:tc>
        <w:tc>
          <w:tcPr>
            <w:tcW w:w="1234" w:type="dxa"/>
            <w:tcBorders>
              <w:left w:val="single" w:sz="6" w:space="0" w:color="000000"/>
              <w:bottom w:val="single" w:sz="6" w:space="0" w:color="000000"/>
            </w:tcBorders>
            <w:shd w:val="clear" w:color="auto" w:fill="D9D9D9"/>
          </w:tcPr>
          <w:p>
            <w:pPr>
              <w:pStyle w:val="TableParagraph"/>
              <w:spacing w:line="250" w:lineRule="exact" w:before="106"/>
              <w:ind w:left="85"/>
              <w:rPr>
                <w:sz w:val="21"/>
              </w:rPr>
            </w:pPr>
            <w:r>
              <w:rPr>
                <w:sz w:val="21"/>
              </w:rPr>
              <w:t>占基金资产</w:t>
            </w:r>
          </w:p>
        </w:tc>
      </w:tr>
    </w:tbl>
    <w:p>
      <w:pPr>
        <w:spacing w:after="0" w:line="250" w:lineRule="exact"/>
        <w:rPr>
          <w:sz w:val="21"/>
        </w:rPr>
        <w:sectPr>
          <w:pgSz w:w="11910" w:h="16840"/>
          <w:pgMar w:header="852" w:footer="992" w:top="1220" w:bottom="1180" w:left="1140" w:right="480"/>
        </w:sectPr>
      </w:pPr>
    </w:p>
    <w:p>
      <w:pPr>
        <w:pStyle w:val="BodyText"/>
        <w:spacing w:before="11"/>
        <w:rPr>
          <w:b/>
          <w:sz w:val="16"/>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332"/>
        <w:gridCol w:w="1863"/>
        <w:gridCol w:w="1594"/>
        <w:gridCol w:w="1640"/>
        <w:gridCol w:w="1234"/>
      </w:tblGrid>
      <w:tr>
        <w:trPr>
          <w:trHeight w:val="734" w:hRule="atLeast"/>
        </w:trPr>
        <w:tc>
          <w:tcPr>
            <w:tcW w:w="672" w:type="dxa"/>
            <w:tcBorders>
              <w:bottom w:val="single" w:sz="6" w:space="0" w:color="000000"/>
              <w:right w:val="single" w:sz="6" w:space="0" w:color="000000"/>
            </w:tcBorders>
            <w:shd w:val="clear" w:color="auto" w:fill="D9D9D9"/>
          </w:tcPr>
          <w:p>
            <w:pPr>
              <w:pStyle w:val="TableParagraph"/>
              <w:rPr>
                <w:rFonts w:ascii="Times New Roman"/>
                <w:sz w:val="20"/>
              </w:rPr>
            </w:pPr>
          </w:p>
        </w:tc>
        <w:tc>
          <w:tcPr>
            <w:tcW w:w="1332" w:type="dxa"/>
            <w:tcBorders>
              <w:left w:val="single" w:sz="6" w:space="0" w:color="000000"/>
              <w:bottom w:val="single" w:sz="6" w:space="0" w:color="000000"/>
              <w:right w:val="single" w:sz="6" w:space="0" w:color="000000"/>
            </w:tcBorders>
            <w:shd w:val="clear" w:color="auto" w:fill="D9D9D9"/>
          </w:tcPr>
          <w:p>
            <w:pPr>
              <w:pStyle w:val="TableParagraph"/>
              <w:rPr>
                <w:rFonts w:ascii="Times New Roman"/>
                <w:sz w:val="20"/>
              </w:rPr>
            </w:pPr>
          </w:p>
        </w:tc>
        <w:tc>
          <w:tcPr>
            <w:tcW w:w="1863" w:type="dxa"/>
            <w:tcBorders>
              <w:left w:val="single" w:sz="6" w:space="0" w:color="000000"/>
              <w:bottom w:val="single" w:sz="6" w:space="0" w:color="000000"/>
              <w:right w:val="single" w:sz="6" w:space="0" w:color="000000"/>
            </w:tcBorders>
            <w:shd w:val="clear" w:color="auto" w:fill="D9D9D9"/>
          </w:tcPr>
          <w:p>
            <w:pPr>
              <w:pStyle w:val="TableParagraph"/>
              <w:rPr>
                <w:rFonts w:ascii="Times New Roman"/>
                <w:sz w:val="20"/>
              </w:rPr>
            </w:pPr>
          </w:p>
        </w:tc>
        <w:tc>
          <w:tcPr>
            <w:tcW w:w="1594" w:type="dxa"/>
            <w:tcBorders>
              <w:left w:val="single" w:sz="6" w:space="0" w:color="000000"/>
              <w:bottom w:val="single" w:sz="6" w:space="0" w:color="000000"/>
              <w:right w:val="single" w:sz="6" w:space="0" w:color="000000"/>
            </w:tcBorders>
            <w:shd w:val="clear" w:color="auto" w:fill="D9D9D9"/>
          </w:tcPr>
          <w:p>
            <w:pPr>
              <w:pStyle w:val="TableParagraph"/>
              <w:rPr>
                <w:rFonts w:ascii="Times New Roman"/>
                <w:sz w:val="20"/>
              </w:rPr>
            </w:pPr>
          </w:p>
        </w:tc>
        <w:tc>
          <w:tcPr>
            <w:tcW w:w="1640" w:type="dxa"/>
            <w:tcBorders>
              <w:left w:val="single" w:sz="6" w:space="0" w:color="000000"/>
              <w:bottom w:val="single" w:sz="6" w:space="0" w:color="000000"/>
              <w:right w:val="single" w:sz="6" w:space="0" w:color="000000"/>
            </w:tcBorders>
            <w:shd w:val="clear" w:color="auto" w:fill="D9D9D9"/>
          </w:tcPr>
          <w:p>
            <w:pPr>
              <w:pStyle w:val="TableParagraph"/>
              <w:rPr>
                <w:rFonts w:ascii="Times New Roman"/>
                <w:sz w:val="20"/>
              </w:rPr>
            </w:pPr>
          </w:p>
        </w:tc>
        <w:tc>
          <w:tcPr>
            <w:tcW w:w="1234" w:type="dxa"/>
            <w:tcBorders>
              <w:left w:val="single" w:sz="6" w:space="0" w:color="000000"/>
              <w:bottom w:val="single" w:sz="6" w:space="0" w:color="000000"/>
            </w:tcBorders>
            <w:shd w:val="clear" w:color="auto" w:fill="D9D9D9"/>
          </w:tcPr>
          <w:p>
            <w:pPr>
              <w:pStyle w:val="TableParagraph"/>
              <w:spacing w:before="104"/>
              <w:ind w:left="191"/>
              <w:rPr>
                <w:sz w:val="21"/>
              </w:rPr>
            </w:pPr>
            <w:r>
              <w:rPr>
                <w:sz w:val="21"/>
              </w:rPr>
              <w:t>净值比例</w:t>
            </w:r>
          </w:p>
          <w:p>
            <w:pPr>
              <w:pStyle w:val="TableParagraph"/>
              <w:spacing w:line="250" w:lineRule="exact" w:before="91"/>
              <w:ind w:left="297"/>
              <w:rPr>
                <w:sz w:val="21"/>
              </w:rPr>
            </w:pPr>
            <w:r>
              <w:rPr>
                <w:sz w:val="21"/>
              </w:rPr>
              <w:t>（％）</w:t>
            </w:r>
          </w:p>
        </w:tc>
      </w:tr>
      <w:tr>
        <w:trPr>
          <w:trHeight w:val="376" w:hRule="atLeast"/>
        </w:trPr>
        <w:tc>
          <w:tcPr>
            <w:tcW w:w="672" w:type="dxa"/>
            <w:tcBorders>
              <w:top w:val="single" w:sz="6" w:space="0" w:color="000000"/>
              <w:bottom w:val="single" w:sz="6" w:space="0" w:color="000000"/>
              <w:right w:val="single" w:sz="6" w:space="0" w:color="000000"/>
            </w:tcBorders>
          </w:tcPr>
          <w:p>
            <w:pPr>
              <w:pStyle w:val="TableParagraph"/>
              <w:spacing w:line="250" w:lineRule="exact" w:before="106"/>
              <w:ind w:left="280"/>
              <w:rPr>
                <w:sz w:val="21"/>
              </w:rPr>
            </w:pPr>
            <w:r>
              <w:rPr>
                <w:w w:val="100"/>
                <w:sz w:val="21"/>
              </w:rPr>
              <w:t>1</w:t>
            </w:r>
          </w:p>
        </w:tc>
        <w:tc>
          <w:tcPr>
            <w:tcW w:w="1332"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left="170" w:right="159"/>
              <w:jc w:val="center"/>
              <w:rPr>
                <w:sz w:val="21"/>
              </w:rPr>
            </w:pPr>
            <w:r>
              <w:rPr>
                <w:sz w:val="21"/>
              </w:rPr>
              <w:t>190302</w:t>
            </w:r>
          </w:p>
        </w:tc>
        <w:tc>
          <w:tcPr>
            <w:tcW w:w="1863"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left="15" w:right="8"/>
              <w:jc w:val="center"/>
              <w:rPr>
                <w:sz w:val="21"/>
              </w:rPr>
            </w:pPr>
            <w:r>
              <w:rPr>
                <w:sz w:val="21"/>
              </w:rPr>
              <w:t>19 进出 02</w:t>
            </w:r>
          </w:p>
        </w:tc>
        <w:tc>
          <w:tcPr>
            <w:tcW w:w="1594"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jc w:val="right"/>
              <w:rPr>
                <w:sz w:val="21"/>
              </w:rPr>
            </w:pPr>
            <w:r>
              <w:rPr>
                <w:sz w:val="21"/>
              </w:rPr>
              <w:t>1,000,000</w:t>
            </w:r>
          </w:p>
        </w:tc>
        <w:tc>
          <w:tcPr>
            <w:tcW w:w="1640"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jc w:val="right"/>
              <w:rPr>
                <w:sz w:val="21"/>
              </w:rPr>
            </w:pPr>
            <w:r>
              <w:rPr>
                <w:sz w:val="21"/>
              </w:rPr>
              <w:t>99,988,631.80</w:t>
            </w:r>
          </w:p>
        </w:tc>
        <w:tc>
          <w:tcPr>
            <w:tcW w:w="1234" w:type="dxa"/>
            <w:tcBorders>
              <w:top w:val="single" w:sz="6" w:space="0" w:color="000000"/>
              <w:left w:val="single" w:sz="6" w:space="0" w:color="000000"/>
              <w:bottom w:val="single" w:sz="6" w:space="0" w:color="000000"/>
            </w:tcBorders>
          </w:tcPr>
          <w:p>
            <w:pPr>
              <w:pStyle w:val="TableParagraph"/>
              <w:spacing w:line="250" w:lineRule="exact" w:before="106"/>
              <w:ind w:right="3"/>
              <w:jc w:val="right"/>
              <w:rPr>
                <w:sz w:val="21"/>
              </w:rPr>
            </w:pPr>
            <w:r>
              <w:rPr>
                <w:sz w:val="21"/>
              </w:rPr>
              <w:t>3.17</w:t>
            </w:r>
          </w:p>
        </w:tc>
      </w:tr>
      <w:tr>
        <w:trPr>
          <w:trHeight w:val="373" w:hRule="atLeast"/>
        </w:trPr>
        <w:tc>
          <w:tcPr>
            <w:tcW w:w="672" w:type="dxa"/>
            <w:tcBorders>
              <w:top w:val="single" w:sz="6" w:space="0" w:color="000000"/>
              <w:bottom w:val="single" w:sz="6" w:space="0" w:color="000000"/>
              <w:right w:val="single" w:sz="6" w:space="0" w:color="000000"/>
            </w:tcBorders>
          </w:tcPr>
          <w:p>
            <w:pPr>
              <w:pStyle w:val="TableParagraph"/>
              <w:spacing w:line="250" w:lineRule="exact" w:before="104"/>
              <w:ind w:left="280"/>
              <w:rPr>
                <w:sz w:val="21"/>
              </w:rPr>
            </w:pPr>
            <w:r>
              <w:rPr>
                <w:w w:val="100"/>
                <w:sz w:val="21"/>
              </w:rPr>
              <w:t>2</w:t>
            </w:r>
          </w:p>
        </w:tc>
        <w:tc>
          <w:tcPr>
            <w:tcW w:w="1332"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left="170" w:right="159"/>
              <w:jc w:val="center"/>
              <w:rPr>
                <w:sz w:val="21"/>
              </w:rPr>
            </w:pPr>
            <w:r>
              <w:rPr>
                <w:sz w:val="21"/>
              </w:rPr>
              <w:t>190402</w:t>
            </w:r>
          </w:p>
        </w:tc>
        <w:tc>
          <w:tcPr>
            <w:tcW w:w="1863"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left="15" w:right="8"/>
              <w:jc w:val="center"/>
              <w:rPr>
                <w:sz w:val="21"/>
              </w:rPr>
            </w:pPr>
            <w:r>
              <w:rPr>
                <w:sz w:val="21"/>
              </w:rPr>
              <w:t>19 农发 02</w:t>
            </w:r>
          </w:p>
        </w:tc>
        <w:tc>
          <w:tcPr>
            <w:tcW w:w="1594"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right="-15"/>
              <w:jc w:val="right"/>
              <w:rPr>
                <w:sz w:val="21"/>
              </w:rPr>
            </w:pPr>
            <w:r>
              <w:rPr>
                <w:sz w:val="21"/>
              </w:rPr>
              <w:t>600,000</w:t>
            </w:r>
          </w:p>
        </w:tc>
        <w:tc>
          <w:tcPr>
            <w:tcW w:w="1640"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jc w:val="right"/>
              <w:rPr>
                <w:sz w:val="21"/>
              </w:rPr>
            </w:pPr>
            <w:r>
              <w:rPr>
                <w:sz w:val="21"/>
              </w:rPr>
              <w:t>59,949,670.19</w:t>
            </w:r>
          </w:p>
        </w:tc>
        <w:tc>
          <w:tcPr>
            <w:tcW w:w="1234" w:type="dxa"/>
            <w:tcBorders>
              <w:top w:val="single" w:sz="6" w:space="0" w:color="000000"/>
              <w:left w:val="single" w:sz="6" w:space="0" w:color="000000"/>
              <w:bottom w:val="single" w:sz="6" w:space="0" w:color="000000"/>
            </w:tcBorders>
          </w:tcPr>
          <w:p>
            <w:pPr>
              <w:pStyle w:val="TableParagraph"/>
              <w:spacing w:line="250" w:lineRule="exact" w:before="104"/>
              <w:ind w:right="3"/>
              <w:jc w:val="right"/>
              <w:rPr>
                <w:sz w:val="21"/>
              </w:rPr>
            </w:pPr>
            <w:r>
              <w:rPr>
                <w:sz w:val="21"/>
              </w:rPr>
              <w:t>1.90</w:t>
            </w:r>
          </w:p>
        </w:tc>
      </w:tr>
      <w:tr>
        <w:trPr>
          <w:trHeight w:val="376" w:hRule="atLeast"/>
        </w:trPr>
        <w:tc>
          <w:tcPr>
            <w:tcW w:w="672" w:type="dxa"/>
            <w:tcBorders>
              <w:top w:val="single" w:sz="6" w:space="0" w:color="000000"/>
              <w:bottom w:val="single" w:sz="6" w:space="0" w:color="000000"/>
              <w:right w:val="single" w:sz="6" w:space="0" w:color="000000"/>
            </w:tcBorders>
          </w:tcPr>
          <w:p>
            <w:pPr>
              <w:pStyle w:val="TableParagraph"/>
              <w:spacing w:line="250" w:lineRule="exact" w:before="106"/>
              <w:ind w:left="280"/>
              <w:rPr>
                <w:sz w:val="21"/>
              </w:rPr>
            </w:pPr>
            <w:r>
              <w:rPr>
                <w:w w:val="100"/>
                <w:sz w:val="21"/>
              </w:rPr>
              <w:t>3</w:t>
            </w:r>
          </w:p>
        </w:tc>
        <w:tc>
          <w:tcPr>
            <w:tcW w:w="1332"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left="170" w:right="161"/>
              <w:jc w:val="center"/>
              <w:rPr>
                <w:sz w:val="21"/>
              </w:rPr>
            </w:pPr>
            <w:r>
              <w:rPr>
                <w:sz w:val="21"/>
              </w:rPr>
              <w:t>071900103</w:t>
            </w:r>
          </w:p>
        </w:tc>
        <w:tc>
          <w:tcPr>
            <w:tcW w:w="1863"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left="15" w:right="8"/>
              <w:jc w:val="center"/>
              <w:rPr>
                <w:sz w:val="21"/>
              </w:rPr>
            </w:pPr>
            <w:r>
              <w:rPr>
                <w:sz w:val="21"/>
              </w:rPr>
              <w:t>19 国信证券 CP008</w:t>
            </w:r>
          </w:p>
        </w:tc>
        <w:tc>
          <w:tcPr>
            <w:tcW w:w="1594"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right="-15"/>
              <w:jc w:val="right"/>
              <w:rPr>
                <w:sz w:val="21"/>
              </w:rPr>
            </w:pPr>
            <w:r>
              <w:rPr>
                <w:sz w:val="21"/>
              </w:rPr>
              <w:t>500,000</w:t>
            </w:r>
          </w:p>
        </w:tc>
        <w:tc>
          <w:tcPr>
            <w:tcW w:w="1640"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jc w:val="right"/>
              <w:rPr>
                <w:sz w:val="21"/>
              </w:rPr>
            </w:pPr>
            <w:r>
              <w:rPr>
                <w:sz w:val="21"/>
              </w:rPr>
              <w:t>50,001,145.51</w:t>
            </w:r>
          </w:p>
        </w:tc>
        <w:tc>
          <w:tcPr>
            <w:tcW w:w="1234" w:type="dxa"/>
            <w:tcBorders>
              <w:top w:val="single" w:sz="6" w:space="0" w:color="000000"/>
              <w:left w:val="single" w:sz="6" w:space="0" w:color="000000"/>
              <w:bottom w:val="single" w:sz="6" w:space="0" w:color="000000"/>
            </w:tcBorders>
          </w:tcPr>
          <w:p>
            <w:pPr>
              <w:pStyle w:val="TableParagraph"/>
              <w:spacing w:line="250" w:lineRule="exact" w:before="106"/>
              <w:ind w:right="3"/>
              <w:jc w:val="right"/>
              <w:rPr>
                <w:sz w:val="21"/>
              </w:rPr>
            </w:pPr>
            <w:r>
              <w:rPr>
                <w:sz w:val="21"/>
              </w:rPr>
              <w:t>1.59</w:t>
            </w:r>
          </w:p>
        </w:tc>
      </w:tr>
      <w:tr>
        <w:trPr>
          <w:trHeight w:val="373" w:hRule="atLeast"/>
        </w:trPr>
        <w:tc>
          <w:tcPr>
            <w:tcW w:w="672" w:type="dxa"/>
            <w:tcBorders>
              <w:top w:val="single" w:sz="6" w:space="0" w:color="000000"/>
              <w:bottom w:val="single" w:sz="6" w:space="0" w:color="000000"/>
              <w:right w:val="single" w:sz="6" w:space="0" w:color="000000"/>
            </w:tcBorders>
          </w:tcPr>
          <w:p>
            <w:pPr>
              <w:pStyle w:val="TableParagraph"/>
              <w:spacing w:line="250" w:lineRule="exact" w:before="104"/>
              <w:ind w:left="280"/>
              <w:rPr>
                <w:sz w:val="21"/>
              </w:rPr>
            </w:pPr>
            <w:r>
              <w:rPr>
                <w:w w:val="100"/>
                <w:sz w:val="21"/>
              </w:rPr>
              <w:t>4</w:t>
            </w:r>
          </w:p>
        </w:tc>
        <w:tc>
          <w:tcPr>
            <w:tcW w:w="1332"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left="170" w:right="161"/>
              <w:jc w:val="center"/>
              <w:rPr>
                <w:sz w:val="21"/>
              </w:rPr>
            </w:pPr>
            <w:r>
              <w:rPr>
                <w:sz w:val="21"/>
              </w:rPr>
              <w:t>011901980</w:t>
            </w:r>
          </w:p>
        </w:tc>
        <w:tc>
          <w:tcPr>
            <w:tcW w:w="1863"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left="15" w:right="8"/>
              <w:jc w:val="center"/>
              <w:rPr>
                <w:sz w:val="21"/>
              </w:rPr>
            </w:pPr>
            <w:r>
              <w:rPr>
                <w:sz w:val="21"/>
              </w:rPr>
              <w:t>19</w:t>
            </w:r>
            <w:r>
              <w:rPr>
                <w:spacing w:val="-19"/>
                <w:sz w:val="21"/>
              </w:rPr>
              <w:t> 光大集团 </w:t>
            </w:r>
            <w:r>
              <w:rPr>
                <w:sz w:val="21"/>
              </w:rPr>
              <w:t>SCP009</w:t>
            </w:r>
          </w:p>
        </w:tc>
        <w:tc>
          <w:tcPr>
            <w:tcW w:w="1594"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right="-15"/>
              <w:jc w:val="right"/>
              <w:rPr>
                <w:sz w:val="21"/>
              </w:rPr>
            </w:pPr>
            <w:r>
              <w:rPr>
                <w:sz w:val="21"/>
              </w:rPr>
              <w:t>500,000</w:t>
            </w:r>
          </w:p>
        </w:tc>
        <w:tc>
          <w:tcPr>
            <w:tcW w:w="1640"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jc w:val="right"/>
              <w:rPr>
                <w:sz w:val="21"/>
              </w:rPr>
            </w:pPr>
            <w:r>
              <w:rPr>
                <w:sz w:val="21"/>
              </w:rPr>
              <w:t>49,982,023.71</w:t>
            </w:r>
          </w:p>
        </w:tc>
        <w:tc>
          <w:tcPr>
            <w:tcW w:w="1234" w:type="dxa"/>
            <w:tcBorders>
              <w:top w:val="single" w:sz="6" w:space="0" w:color="000000"/>
              <w:left w:val="single" w:sz="6" w:space="0" w:color="000000"/>
              <w:bottom w:val="single" w:sz="6" w:space="0" w:color="000000"/>
            </w:tcBorders>
          </w:tcPr>
          <w:p>
            <w:pPr>
              <w:pStyle w:val="TableParagraph"/>
              <w:spacing w:line="250" w:lineRule="exact" w:before="104"/>
              <w:ind w:right="3"/>
              <w:jc w:val="right"/>
              <w:rPr>
                <w:sz w:val="21"/>
              </w:rPr>
            </w:pPr>
            <w:r>
              <w:rPr>
                <w:sz w:val="21"/>
              </w:rPr>
              <w:t>1.59</w:t>
            </w:r>
          </w:p>
        </w:tc>
      </w:tr>
      <w:tr>
        <w:trPr>
          <w:trHeight w:val="376" w:hRule="atLeast"/>
        </w:trPr>
        <w:tc>
          <w:tcPr>
            <w:tcW w:w="672" w:type="dxa"/>
            <w:tcBorders>
              <w:top w:val="single" w:sz="6" w:space="0" w:color="000000"/>
              <w:bottom w:val="single" w:sz="6" w:space="0" w:color="000000"/>
              <w:right w:val="single" w:sz="6" w:space="0" w:color="000000"/>
            </w:tcBorders>
          </w:tcPr>
          <w:p>
            <w:pPr>
              <w:pStyle w:val="TableParagraph"/>
              <w:spacing w:line="250" w:lineRule="exact" w:before="106"/>
              <w:ind w:left="280"/>
              <w:rPr>
                <w:sz w:val="21"/>
              </w:rPr>
            </w:pPr>
            <w:r>
              <w:rPr>
                <w:w w:val="100"/>
                <w:sz w:val="21"/>
              </w:rPr>
              <w:t>5</w:t>
            </w:r>
          </w:p>
        </w:tc>
        <w:tc>
          <w:tcPr>
            <w:tcW w:w="1332"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left="170" w:right="161"/>
              <w:jc w:val="center"/>
              <w:rPr>
                <w:sz w:val="21"/>
              </w:rPr>
            </w:pPr>
            <w:r>
              <w:rPr>
                <w:sz w:val="21"/>
              </w:rPr>
              <w:t>011901976</w:t>
            </w:r>
          </w:p>
        </w:tc>
        <w:tc>
          <w:tcPr>
            <w:tcW w:w="1863"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left="15" w:right="8"/>
              <w:jc w:val="center"/>
              <w:rPr>
                <w:sz w:val="21"/>
              </w:rPr>
            </w:pPr>
            <w:r>
              <w:rPr>
                <w:sz w:val="21"/>
              </w:rPr>
              <w:t>19 浙能源 SCP008</w:t>
            </w:r>
          </w:p>
        </w:tc>
        <w:tc>
          <w:tcPr>
            <w:tcW w:w="1594"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right="-15"/>
              <w:jc w:val="right"/>
              <w:rPr>
                <w:sz w:val="21"/>
              </w:rPr>
            </w:pPr>
            <w:r>
              <w:rPr>
                <w:sz w:val="21"/>
              </w:rPr>
              <w:t>500,000</w:t>
            </w:r>
          </w:p>
        </w:tc>
        <w:tc>
          <w:tcPr>
            <w:tcW w:w="1640"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jc w:val="right"/>
              <w:rPr>
                <w:sz w:val="21"/>
              </w:rPr>
            </w:pPr>
            <w:r>
              <w:rPr>
                <w:sz w:val="21"/>
              </w:rPr>
              <w:t>49,976,109.61</w:t>
            </w:r>
          </w:p>
        </w:tc>
        <w:tc>
          <w:tcPr>
            <w:tcW w:w="1234" w:type="dxa"/>
            <w:tcBorders>
              <w:top w:val="single" w:sz="6" w:space="0" w:color="000000"/>
              <w:left w:val="single" w:sz="6" w:space="0" w:color="000000"/>
              <w:bottom w:val="single" w:sz="6" w:space="0" w:color="000000"/>
            </w:tcBorders>
          </w:tcPr>
          <w:p>
            <w:pPr>
              <w:pStyle w:val="TableParagraph"/>
              <w:spacing w:line="250" w:lineRule="exact" w:before="106"/>
              <w:ind w:right="3"/>
              <w:jc w:val="right"/>
              <w:rPr>
                <w:sz w:val="21"/>
              </w:rPr>
            </w:pPr>
            <w:r>
              <w:rPr>
                <w:sz w:val="21"/>
              </w:rPr>
              <w:t>1.59</w:t>
            </w:r>
          </w:p>
        </w:tc>
      </w:tr>
      <w:tr>
        <w:trPr>
          <w:trHeight w:val="373" w:hRule="atLeast"/>
        </w:trPr>
        <w:tc>
          <w:tcPr>
            <w:tcW w:w="672" w:type="dxa"/>
            <w:tcBorders>
              <w:top w:val="single" w:sz="6" w:space="0" w:color="000000"/>
              <w:bottom w:val="single" w:sz="6" w:space="0" w:color="000000"/>
              <w:right w:val="single" w:sz="6" w:space="0" w:color="000000"/>
            </w:tcBorders>
          </w:tcPr>
          <w:p>
            <w:pPr>
              <w:pStyle w:val="TableParagraph"/>
              <w:spacing w:line="250" w:lineRule="exact" w:before="104"/>
              <w:ind w:left="280"/>
              <w:rPr>
                <w:sz w:val="21"/>
              </w:rPr>
            </w:pPr>
            <w:r>
              <w:rPr>
                <w:w w:val="100"/>
                <w:sz w:val="21"/>
              </w:rPr>
              <w:t>6</w:t>
            </w:r>
          </w:p>
        </w:tc>
        <w:tc>
          <w:tcPr>
            <w:tcW w:w="1332"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left="170" w:right="161"/>
              <w:jc w:val="center"/>
              <w:rPr>
                <w:sz w:val="21"/>
              </w:rPr>
            </w:pPr>
            <w:r>
              <w:rPr>
                <w:sz w:val="21"/>
              </w:rPr>
              <w:t>011902119</w:t>
            </w:r>
          </w:p>
        </w:tc>
        <w:tc>
          <w:tcPr>
            <w:tcW w:w="1863"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left="15" w:right="8"/>
              <w:jc w:val="center"/>
              <w:rPr>
                <w:sz w:val="21"/>
              </w:rPr>
            </w:pPr>
            <w:r>
              <w:rPr>
                <w:sz w:val="21"/>
              </w:rPr>
              <w:t>19 苏交通 SCP022</w:t>
            </w:r>
          </w:p>
        </w:tc>
        <w:tc>
          <w:tcPr>
            <w:tcW w:w="1594"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right="-15"/>
              <w:jc w:val="right"/>
              <w:rPr>
                <w:sz w:val="21"/>
              </w:rPr>
            </w:pPr>
            <w:r>
              <w:rPr>
                <w:sz w:val="21"/>
              </w:rPr>
              <w:t>500,000</w:t>
            </w:r>
          </w:p>
        </w:tc>
        <w:tc>
          <w:tcPr>
            <w:tcW w:w="1640"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jc w:val="right"/>
              <w:rPr>
                <w:sz w:val="21"/>
              </w:rPr>
            </w:pPr>
            <w:r>
              <w:rPr>
                <w:sz w:val="21"/>
              </w:rPr>
              <w:t>49,942,961.60</w:t>
            </w:r>
          </w:p>
        </w:tc>
        <w:tc>
          <w:tcPr>
            <w:tcW w:w="1234" w:type="dxa"/>
            <w:tcBorders>
              <w:top w:val="single" w:sz="6" w:space="0" w:color="000000"/>
              <w:left w:val="single" w:sz="6" w:space="0" w:color="000000"/>
              <w:bottom w:val="single" w:sz="6" w:space="0" w:color="000000"/>
            </w:tcBorders>
          </w:tcPr>
          <w:p>
            <w:pPr>
              <w:pStyle w:val="TableParagraph"/>
              <w:spacing w:line="250" w:lineRule="exact" w:before="104"/>
              <w:ind w:right="3"/>
              <w:jc w:val="right"/>
              <w:rPr>
                <w:sz w:val="21"/>
              </w:rPr>
            </w:pPr>
            <w:r>
              <w:rPr>
                <w:sz w:val="21"/>
              </w:rPr>
              <w:t>1.58</w:t>
            </w:r>
          </w:p>
        </w:tc>
      </w:tr>
      <w:tr>
        <w:trPr>
          <w:trHeight w:val="376" w:hRule="atLeast"/>
        </w:trPr>
        <w:tc>
          <w:tcPr>
            <w:tcW w:w="672" w:type="dxa"/>
            <w:tcBorders>
              <w:top w:val="single" w:sz="6" w:space="0" w:color="000000"/>
              <w:bottom w:val="single" w:sz="6" w:space="0" w:color="000000"/>
              <w:right w:val="single" w:sz="6" w:space="0" w:color="000000"/>
            </w:tcBorders>
          </w:tcPr>
          <w:p>
            <w:pPr>
              <w:pStyle w:val="TableParagraph"/>
              <w:spacing w:line="250" w:lineRule="exact" w:before="106"/>
              <w:ind w:left="280"/>
              <w:rPr>
                <w:sz w:val="21"/>
              </w:rPr>
            </w:pPr>
            <w:r>
              <w:rPr>
                <w:w w:val="100"/>
                <w:sz w:val="21"/>
              </w:rPr>
              <w:t>7</w:t>
            </w:r>
          </w:p>
        </w:tc>
        <w:tc>
          <w:tcPr>
            <w:tcW w:w="1332"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left="170" w:right="161"/>
              <w:jc w:val="center"/>
              <w:rPr>
                <w:sz w:val="21"/>
              </w:rPr>
            </w:pPr>
            <w:r>
              <w:rPr>
                <w:sz w:val="21"/>
              </w:rPr>
              <w:t>011901951</w:t>
            </w:r>
          </w:p>
        </w:tc>
        <w:tc>
          <w:tcPr>
            <w:tcW w:w="1863"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left="15" w:right="5"/>
              <w:jc w:val="center"/>
              <w:rPr>
                <w:sz w:val="21"/>
              </w:rPr>
            </w:pPr>
            <w:r>
              <w:rPr>
                <w:sz w:val="21"/>
              </w:rPr>
              <w:t>19 邮政 SCP002</w:t>
            </w:r>
          </w:p>
        </w:tc>
        <w:tc>
          <w:tcPr>
            <w:tcW w:w="1594"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right="-15"/>
              <w:jc w:val="right"/>
              <w:rPr>
                <w:sz w:val="21"/>
              </w:rPr>
            </w:pPr>
            <w:r>
              <w:rPr>
                <w:sz w:val="21"/>
              </w:rPr>
              <w:t>400,000</w:t>
            </w:r>
          </w:p>
        </w:tc>
        <w:tc>
          <w:tcPr>
            <w:tcW w:w="1640"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jc w:val="right"/>
              <w:rPr>
                <w:sz w:val="21"/>
              </w:rPr>
            </w:pPr>
            <w:r>
              <w:rPr>
                <w:sz w:val="21"/>
              </w:rPr>
              <w:t>39,976,147.48</w:t>
            </w:r>
          </w:p>
        </w:tc>
        <w:tc>
          <w:tcPr>
            <w:tcW w:w="1234" w:type="dxa"/>
            <w:tcBorders>
              <w:top w:val="single" w:sz="6" w:space="0" w:color="000000"/>
              <w:left w:val="single" w:sz="6" w:space="0" w:color="000000"/>
              <w:bottom w:val="single" w:sz="6" w:space="0" w:color="000000"/>
            </w:tcBorders>
          </w:tcPr>
          <w:p>
            <w:pPr>
              <w:pStyle w:val="TableParagraph"/>
              <w:spacing w:line="250" w:lineRule="exact" w:before="106"/>
              <w:ind w:right="3"/>
              <w:jc w:val="right"/>
              <w:rPr>
                <w:sz w:val="21"/>
              </w:rPr>
            </w:pPr>
            <w:r>
              <w:rPr>
                <w:sz w:val="21"/>
              </w:rPr>
              <w:t>1.27</w:t>
            </w:r>
          </w:p>
        </w:tc>
      </w:tr>
      <w:tr>
        <w:trPr>
          <w:trHeight w:val="373" w:hRule="atLeast"/>
        </w:trPr>
        <w:tc>
          <w:tcPr>
            <w:tcW w:w="672" w:type="dxa"/>
            <w:tcBorders>
              <w:top w:val="single" w:sz="6" w:space="0" w:color="000000"/>
              <w:bottom w:val="single" w:sz="6" w:space="0" w:color="000000"/>
              <w:right w:val="single" w:sz="6" w:space="0" w:color="000000"/>
            </w:tcBorders>
          </w:tcPr>
          <w:p>
            <w:pPr>
              <w:pStyle w:val="TableParagraph"/>
              <w:spacing w:line="250" w:lineRule="exact" w:before="104"/>
              <w:ind w:left="280"/>
              <w:rPr>
                <w:sz w:val="21"/>
              </w:rPr>
            </w:pPr>
            <w:r>
              <w:rPr>
                <w:w w:val="100"/>
                <w:sz w:val="21"/>
              </w:rPr>
              <w:t>8</w:t>
            </w:r>
          </w:p>
        </w:tc>
        <w:tc>
          <w:tcPr>
            <w:tcW w:w="1332"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left="170" w:right="161"/>
              <w:jc w:val="center"/>
              <w:rPr>
                <w:sz w:val="21"/>
              </w:rPr>
            </w:pPr>
            <w:r>
              <w:rPr>
                <w:sz w:val="21"/>
              </w:rPr>
              <w:t>111918313</w:t>
            </w:r>
          </w:p>
        </w:tc>
        <w:tc>
          <w:tcPr>
            <w:tcW w:w="1863"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left="15" w:right="8"/>
              <w:jc w:val="center"/>
              <w:rPr>
                <w:sz w:val="21"/>
              </w:rPr>
            </w:pPr>
            <w:r>
              <w:rPr>
                <w:sz w:val="21"/>
              </w:rPr>
              <w:t>19 华夏银行 CD313</w:t>
            </w:r>
          </w:p>
        </w:tc>
        <w:tc>
          <w:tcPr>
            <w:tcW w:w="1594"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ind w:right="-15"/>
              <w:jc w:val="right"/>
              <w:rPr>
                <w:sz w:val="21"/>
              </w:rPr>
            </w:pPr>
            <w:r>
              <w:rPr>
                <w:sz w:val="21"/>
              </w:rPr>
              <w:t>400,000</w:t>
            </w:r>
          </w:p>
        </w:tc>
        <w:tc>
          <w:tcPr>
            <w:tcW w:w="1640"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4"/>
              <w:jc w:val="right"/>
              <w:rPr>
                <w:sz w:val="21"/>
              </w:rPr>
            </w:pPr>
            <w:r>
              <w:rPr>
                <w:sz w:val="21"/>
              </w:rPr>
              <w:t>39,829,746.94</w:t>
            </w:r>
          </w:p>
        </w:tc>
        <w:tc>
          <w:tcPr>
            <w:tcW w:w="1234" w:type="dxa"/>
            <w:tcBorders>
              <w:top w:val="single" w:sz="6" w:space="0" w:color="000000"/>
              <w:left w:val="single" w:sz="6" w:space="0" w:color="000000"/>
              <w:bottom w:val="single" w:sz="6" w:space="0" w:color="000000"/>
            </w:tcBorders>
          </w:tcPr>
          <w:p>
            <w:pPr>
              <w:pStyle w:val="TableParagraph"/>
              <w:spacing w:line="250" w:lineRule="exact" w:before="104"/>
              <w:ind w:right="3"/>
              <w:jc w:val="right"/>
              <w:rPr>
                <w:sz w:val="21"/>
              </w:rPr>
            </w:pPr>
            <w:r>
              <w:rPr>
                <w:sz w:val="21"/>
              </w:rPr>
              <w:t>1.26</w:t>
            </w:r>
          </w:p>
        </w:tc>
      </w:tr>
      <w:tr>
        <w:trPr>
          <w:trHeight w:val="376" w:hRule="atLeast"/>
        </w:trPr>
        <w:tc>
          <w:tcPr>
            <w:tcW w:w="672" w:type="dxa"/>
            <w:tcBorders>
              <w:top w:val="single" w:sz="6" w:space="0" w:color="000000"/>
              <w:bottom w:val="single" w:sz="6" w:space="0" w:color="000000"/>
              <w:right w:val="single" w:sz="6" w:space="0" w:color="000000"/>
            </w:tcBorders>
          </w:tcPr>
          <w:p>
            <w:pPr>
              <w:pStyle w:val="TableParagraph"/>
              <w:spacing w:line="250" w:lineRule="exact" w:before="106"/>
              <w:ind w:left="280"/>
              <w:rPr>
                <w:sz w:val="21"/>
              </w:rPr>
            </w:pPr>
            <w:r>
              <w:rPr>
                <w:w w:val="100"/>
                <w:sz w:val="21"/>
              </w:rPr>
              <w:t>9</w:t>
            </w:r>
          </w:p>
        </w:tc>
        <w:tc>
          <w:tcPr>
            <w:tcW w:w="1332"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left="170" w:right="161"/>
              <w:jc w:val="center"/>
              <w:rPr>
                <w:sz w:val="21"/>
              </w:rPr>
            </w:pPr>
            <w:r>
              <w:rPr>
                <w:sz w:val="21"/>
              </w:rPr>
              <w:t>071900062</w:t>
            </w:r>
          </w:p>
        </w:tc>
        <w:tc>
          <w:tcPr>
            <w:tcW w:w="1863"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left="15" w:right="8"/>
              <w:jc w:val="center"/>
              <w:rPr>
                <w:sz w:val="21"/>
              </w:rPr>
            </w:pPr>
            <w:r>
              <w:rPr>
                <w:sz w:val="21"/>
              </w:rPr>
              <w:t>19 华泰证券 CP002</w:t>
            </w:r>
          </w:p>
        </w:tc>
        <w:tc>
          <w:tcPr>
            <w:tcW w:w="1594"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ind w:right="-15"/>
              <w:jc w:val="right"/>
              <w:rPr>
                <w:sz w:val="21"/>
              </w:rPr>
            </w:pPr>
            <w:r>
              <w:rPr>
                <w:sz w:val="21"/>
              </w:rPr>
              <w:t>200,000</w:t>
            </w:r>
          </w:p>
        </w:tc>
        <w:tc>
          <w:tcPr>
            <w:tcW w:w="1640" w:type="dxa"/>
            <w:tcBorders>
              <w:top w:val="single" w:sz="6" w:space="0" w:color="000000"/>
              <w:left w:val="single" w:sz="6" w:space="0" w:color="000000"/>
              <w:bottom w:val="single" w:sz="6" w:space="0" w:color="000000"/>
              <w:right w:val="single" w:sz="6" w:space="0" w:color="000000"/>
            </w:tcBorders>
          </w:tcPr>
          <w:p>
            <w:pPr>
              <w:pStyle w:val="TableParagraph"/>
              <w:spacing w:line="250" w:lineRule="exact" w:before="106"/>
              <w:jc w:val="right"/>
              <w:rPr>
                <w:sz w:val="21"/>
              </w:rPr>
            </w:pPr>
            <w:r>
              <w:rPr>
                <w:sz w:val="21"/>
              </w:rPr>
              <w:t>20,008,605.85</w:t>
            </w:r>
          </w:p>
        </w:tc>
        <w:tc>
          <w:tcPr>
            <w:tcW w:w="1234" w:type="dxa"/>
            <w:tcBorders>
              <w:top w:val="single" w:sz="6" w:space="0" w:color="000000"/>
              <w:left w:val="single" w:sz="6" w:space="0" w:color="000000"/>
              <w:bottom w:val="single" w:sz="6" w:space="0" w:color="000000"/>
            </w:tcBorders>
          </w:tcPr>
          <w:p>
            <w:pPr>
              <w:pStyle w:val="TableParagraph"/>
              <w:spacing w:line="250" w:lineRule="exact" w:before="106"/>
              <w:ind w:right="3"/>
              <w:jc w:val="right"/>
              <w:rPr>
                <w:sz w:val="21"/>
              </w:rPr>
            </w:pPr>
            <w:r>
              <w:rPr>
                <w:sz w:val="21"/>
              </w:rPr>
              <w:t>0.63</w:t>
            </w:r>
          </w:p>
        </w:tc>
      </w:tr>
      <w:tr>
        <w:trPr>
          <w:trHeight w:val="736" w:hRule="atLeast"/>
        </w:trPr>
        <w:tc>
          <w:tcPr>
            <w:tcW w:w="672" w:type="dxa"/>
            <w:tcBorders>
              <w:top w:val="single" w:sz="6" w:space="0" w:color="000000"/>
              <w:right w:val="single" w:sz="6" w:space="0" w:color="000000"/>
            </w:tcBorders>
          </w:tcPr>
          <w:p>
            <w:pPr>
              <w:pStyle w:val="TableParagraph"/>
              <w:spacing w:before="2"/>
              <w:rPr>
                <w:b/>
                <w:sz w:val="22"/>
              </w:rPr>
            </w:pPr>
          </w:p>
          <w:p>
            <w:pPr>
              <w:pStyle w:val="TableParagraph"/>
              <w:ind w:left="227"/>
              <w:rPr>
                <w:sz w:val="21"/>
              </w:rPr>
            </w:pPr>
            <w:r>
              <w:rPr>
                <w:sz w:val="21"/>
              </w:rPr>
              <w:t>10</w:t>
            </w:r>
          </w:p>
        </w:tc>
        <w:tc>
          <w:tcPr>
            <w:tcW w:w="1332" w:type="dxa"/>
            <w:tcBorders>
              <w:top w:val="single" w:sz="6" w:space="0" w:color="000000"/>
              <w:left w:val="single" w:sz="6" w:space="0" w:color="000000"/>
              <w:right w:val="single" w:sz="6" w:space="0" w:color="000000"/>
            </w:tcBorders>
          </w:tcPr>
          <w:p>
            <w:pPr>
              <w:pStyle w:val="TableParagraph"/>
              <w:spacing w:before="2"/>
              <w:rPr>
                <w:b/>
                <w:sz w:val="22"/>
              </w:rPr>
            </w:pPr>
          </w:p>
          <w:p>
            <w:pPr>
              <w:pStyle w:val="TableParagraph"/>
              <w:ind w:left="170" w:right="161"/>
              <w:jc w:val="center"/>
              <w:rPr>
                <w:sz w:val="21"/>
              </w:rPr>
            </w:pPr>
            <w:r>
              <w:rPr>
                <w:sz w:val="21"/>
              </w:rPr>
              <w:t>071900102</w:t>
            </w:r>
          </w:p>
        </w:tc>
        <w:tc>
          <w:tcPr>
            <w:tcW w:w="1863" w:type="dxa"/>
            <w:tcBorders>
              <w:top w:val="single" w:sz="6" w:space="0" w:color="000000"/>
              <w:left w:val="single" w:sz="6" w:space="0" w:color="000000"/>
              <w:right w:val="single" w:sz="6" w:space="0" w:color="000000"/>
            </w:tcBorders>
          </w:tcPr>
          <w:p>
            <w:pPr>
              <w:pStyle w:val="TableParagraph"/>
              <w:spacing w:line="360" w:lineRule="atLeast" w:before="13"/>
              <w:ind w:left="559" w:right="300" w:hanging="183"/>
              <w:rPr>
                <w:sz w:val="21"/>
              </w:rPr>
            </w:pPr>
            <w:r>
              <w:rPr>
                <w:sz w:val="21"/>
              </w:rPr>
              <w:t>19 申万宏源CP005BC</w:t>
            </w:r>
          </w:p>
        </w:tc>
        <w:tc>
          <w:tcPr>
            <w:tcW w:w="1594" w:type="dxa"/>
            <w:tcBorders>
              <w:top w:val="single" w:sz="6" w:space="0" w:color="000000"/>
              <w:left w:val="single" w:sz="6" w:space="0" w:color="000000"/>
              <w:right w:val="single" w:sz="6" w:space="0" w:color="000000"/>
            </w:tcBorders>
          </w:tcPr>
          <w:p>
            <w:pPr>
              <w:pStyle w:val="TableParagraph"/>
              <w:spacing w:before="2"/>
              <w:rPr>
                <w:b/>
                <w:sz w:val="22"/>
              </w:rPr>
            </w:pPr>
          </w:p>
          <w:p>
            <w:pPr>
              <w:pStyle w:val="TableParagraph"/>
              <w:ind w:right="-15"/>
              <w:jc w:val="right"/>
              <w:rPr>
                <w:sz w:val="21"/>
              </w:rPr>
            </w:pPr>
            <w:r>
              <w:rPr>
                <w:sz w:val="21"/>
              </w:rPr>
              <w:t>200,000</w:t>
            </w:r>
          </w:p>
        </w:tc>
        <w:tc>
          <w:tcPr>
            <w:tcW w:w="1640" w:type="dxa"/>
            <w:tcBorders>
              <w:top w:val="single" w:sz="6" w:space="0" w:color="000000"/>
              <w:left w:val="single" w:sz="6" w:space="0" w:color="000000"/>
              <w:right w:val="single" w:sz="6" w:space="0" w:color="000000"/>
            </w:tcBorders>
          </w:tcPr>
          <w:p>
            <w:pPr>
              <w:pStyle w:val="TableParagraph"/>
              <w:spacing w:before="2"/>
              <w:rPr>
                <w:b/>
                <w:sz w:val="22"/>
              </w:rPr>
            </w:pPr>
          </w:p>
          <w:p>
            <w:pPr>
              <w:pStyle w:val="TableParagraph"/>
              <w:jc w:val="right"/>
              <w:rPr>
                <w:sz w:val="21"/>
              </w:rPr>
            </w:pPr>
            <w:r>
              <w:rPr>
                <w:sz w:val="21"/>
              </w:rPr>
              <w:t>20,001,160.95</w:t>
            </w:r>
          </w:p>
        </w:tc>
        <w:tc>
          <w:tcPr>
            <w:tcW w:w="1234" w:type="dxa"/>
            <w:tcBorders>
              <w:top w:val="single" w:sz="6" w:space="0" w:color="000000"/>
              <w:left w:val="single" w:sz="6" w:space="0" w:color="000000"/>
            </w:tcBorders>
          </w:tcPr>
          <w:p>
            <w:pPr>
              <w:pStyle w:val="TableParagraph"/>
              <w:spacing w:before="2"/>
              <w:rPr>
                <w:b/>
                <w:sz w:val="22"/>
              </w:rPr>
            </w:pPr>
          </w:p>
          <w:p>
            <w:pPr>
              <w:pStyle w:val="TableParagraph"/>
              <w:ind w:right="3"/>
              <w:jc w:val="right"/>
              <w:rPr>
                <w:sz w:val="21"/>
              </w:rPr>
            </w:pPr>
            <w:r>
              <w:rPr>
                <w:sz w:val="21"/>
              </w:rPr>
              <w:t>0.63</w:t>
            </w:r>
          </w:p>
        </w:tc>
      </w:tr>
    </w:tbl>
    <w:p>
      <w:pPr>
        <w:pStyle w:val="BodyText"/>
        <w:rPr>
          <w:b/>
          <w:sz w:val="7"/>
        </w:rPr>
      </w:pPr>
    </w:p>
    <w:p>
      <w:pPr>
        <w:pStyle w:val="ListParagraph"/>
        <w:numPr>
          <w:ilvl w:val="0"/>
          <w:numId w:val="27"/>
        </w:numPr>
        <w:tabs>
          <w:tab w:pos="968" w:val="left" w:leader="none"/>
        </w:tabs>
        <w:spacing w:line="240" w:lineRule="auto" w:before="66" w:after="0"/>
        <w:ind w:left="967" w:right="0" w:hanging="310"/>
        <w:jc w:val="left"/>
        <w:rPr>
          <w:b/>
          <w:sz w:val="24"/>
        </w:rPr>
      </w:pPr>
      <w:r>
        <w:rPr>
          <w:b/>
          <w:sz w:val="24"/>
        </w:rPr>
        <w:t>“影子定价”与“摊余成本法”确定的基金资产净值的偏离</w:t>
      </w:r>
    </w:p>
    <w:p>
      <w:pPr>
        <w:pStyle w:val="BodyText"/>
        <w:rPr>
          <w:b/>
          <w:sz w:val="5"/>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3"/>
        <w:gridCol w:w="2619"/>
      </w:tblGrid>
      <w:tr>
        <w:trPr>
          <w:trHeight w:val="359" w:hRule="atLeast"/>
        </w:trPr>
        <w:tc>
          <w:tcPr>
            <w:tcW w:w="5703" w:type="dxa"/>
            <w:shd w:val="clear" w:color="auto" w:fill="D9D9D9"/>
          </w:tcPr>
          <w:p>
            <w:pPr>
              <w:pStyle w:val="TableParagraph"/>
              <w:spacing w:line="250" w:lineRule="exact" w:before="89"/>
              <w:ind w:left="2621" w:right="2611"/>
              <w:jc w:val="center"/>
              <w:rPr>
                <w:sz w:val="21"/>
              </w:rPr>
            </w:pPr>
            <w:r>
              <w:rPr>
                <w:sz w:val="21"/>
              </w:rPr>
              <w:t>项目</w:t>
            </w:r>
          </w:p>
        </w:tc>
        <w:tc>
          <w:tcPr>
            <w:tcW w:w="2619" w:type="dxa"/>
            <w:shd w:val="clear" w:color="auto" w:fill="D9D9D9"/>
          </w:tcPr>
          <w:p>
            <w:pPr>
              <w:pStyle w:val="TableParagraph"/>
              <w:spacing w:line="250" w:lineRule="exact" w:before="89"/>
              <w:ind w:left="864" w:right="864"/>
              <w:jc w:val="center"/>
              <w:rPr>
                <w:sz w:val="21"/>
              </w:rPr>
            </w:pPr>
            <w:r>
              <w:rPr>
                <w:sz w:val="21"/>
              </w:rPr>
              <w:t>偏离情况</w:t>
            </w:r>
          </w:p>
        </w:tc>
      </w:tr>
      <w:tr>
        <w:trPr>
          <w:trHeight w:val="359" w:hRule="atLeast"/>
        </w:trPr>
        <w:tc>
          <w:tcPr>
            <w:tcW w:w="5703" w:type="dxa"/>
          </w:tcPr>
          <w:p>
            <w:pPr>
              <w:pStyle w:val="TableParagraph"/>
              <w:spacing w:line="250" w:lineRule="exact" w:before="90"/>
              <w:ind w:left="4"/>
              <w:rPr>
                <w:sz w:val="21"/>
              </w:rPr>
            </w:pPr>
            <w:r>
              <w:rPr>
                <w:sz w:val="21"/>
              </w:rPr>
              <w:t>报告期内偏离度的绝对值在 0.25（含）-0.5%间的次数</w:t>
            </w:r>
          </w:p>
        </w:tc>
        <w:tc>
          <w:tcPr>
            <w:tcW w:w="2619" w:type="dxa"/>
          </w:tcPr>
          <w:p>
            <w:pPr>
              <w:pStyle w:val="TableParagraph"/>
              <w:spacing w:line="250" w:lineRule="exact" w:before="90"/>
              <w:ind w:right="-15"/>
              <w:jc w:val="right"/>
              <w:rPr>
                <w:sz w:val="21"/>
              </w:rPr>
            </w:pPr>
            <w:r>
              <w:rPr>
                <w:w w:val="100"/>
                <w:sz w:val="21"/>
              </w:rPr>
              <w:t>0</w:t>
            </w:r>
          </w:p>
        </w:tc>
      </w:tr>
      <w:tr>
        <w:trPr>
          <w:trHeight w:val="359" w:hRule="atLeast"/>
        </w:trPr>
        <w:tc>
          <w:tcPr>
            <w:tcW w:w="5703" w:type="dxa"/>
          </w:tcPr>
          <w:p>
            <w:pPr>
              <w:pStyle w:val="TableParagraph"/>
              <w:spacing w:line="250" w:lineRule="exact" w:before="89"/>
              <w:ind w:left="4"/>
              <w:rPr>
                <w:sz w:val="21"/>
              </w:rPr>
            </w:pPr>
            <w:r>
              <w:rPr>
                <w:sz w:val="21"/>
              </w:rPr>
              <w:t>报告期内偏离度的最高值</w:t>
            </w:r>
          </w:p>
        </w:tc>
        <w:tc>
          <w:tcPr>
            <w:tcW w:w="2619" w:type="dxa"/>
          </w:tcPr>
          <w:p>
            <w:pPr>
              <w:pStyle w:val="TableParagraph"/>
              <w:spacing w:line="250" w:lineRule="exact" w:before="89"/>
              <w:ind w:right="-15"/>
              <w:jc w:val="right"/>
              <w:rPr>
                <w:rFonts w:ascii="Times New Roman"/>
                <w:sz w:val="21"/>
              </w:rPr>
            </w:pPr>
            <w:r>
              <w:rPr>
                <w:sz w:val="21"/>
              </w:rPr>
              <w:t>0.1290</w:t>
            </w:r>
            <w:r>
              <w:rPr>
                <w:rFonts w:ascii="Times New Roman"/>
                <w:sz w:val="21"/>
              </w:rPr>
              <w:t>%</w:t>
            </w:r>
          </w:p>
        </w:tc>
      </w:tr>
      <w:tr>
        <w:trPr>
          <w:trHeight w:val="360" w:hRule="atLeast"/>
        </w:trPr>
        <w:tc>
          <w:tcPr>
            <w:tcW w:w="5703" w:type="dxa"/>
          </w:tcPr>
          <w:p>
            <w:pPr>
              <w:pStyle w:val="TableParagraph"/>
              <w:spacing w:line="250" w:lineRule="exact" w:before="90"/>
              <w:ind w:left="4"/>
              <w:rPr>
                <w:sz w:val="21"/>
              </w:rPr>
            </w:pPr>
            <w:r>
              <w:rPr>
                <w:sz w:val="21"/>
              </w:rPr>
              <w:t>报告期内偏离度的最低值</w:t>
            </w:r>
          </w:p>
        </w:tc>
        <w:tc>
          <w:tcPr>
            <w:tcW w:w="2619" w:type="dxa"/>
          </w:tcPr>
          <w:p>
            <w:pPr>
              <w:pStyle w:val="TableParagraph"/>
              <w:spacing w:line="250" w:lineRule="exact" w:before="90"/>
              <w:ind w:right="-15"/>
              <w:jc w:val="right"/>
              <w:rPr>
                <w:rFonts w:ascii="Times New Roman"/>
                <w:sz w:val="21"/>
              </w:rPr>
            </w:pPr>
            <w:r>
              <w:rPr>
                <w:sz w:val="21"/>
              </w:rPr>
              <w:t>0.0007</w:t>
            </w:r>
            <w:r>
              <w:rPr>
                <w:rFonts w:ascii="Times New Roman"/>
                <w:sz w:val="21"/>
              </w:rPr>
              <w:t>%</w:t>
            </w:r>
          </w:p>
        </w:tc>
      </w:tr>
      <w:tr>
        <w:trPr>
          <w:trHeight w:val="361" w:hRule="atLeast"/>
        </w:trPr>
        <w:tc>
          <w:tcPr>
            <w:tcW w:w="5703" w:type="dxa"/>
          </w:tcPr>
          <w:p>
            <w:pPr>
              <w:pStyle w:val="TableParagraph"/>
              <w:spacing w:line="252" w:lineRule="exact" w:before="89"/>
              <w:ind w:left="4"/>
              <w:rPr>
                <w:sz w:val="21"/>
              </w:rPr>
            </w:pPr>
            <w:r>
              <w:rPr>
                <w:sz w:val="21"/>
              </w:rPr>
              <w:t>报告期内每个工作日偏离度的绝对值的简单平均值</w:t>
            </w:r>
          </w:p>
        </w:tc>
        <w:tc>
          <w:tcPr>
            <w:tcW w:w="2619" w:type="dxa"/>
          </w:tcPr>
          <w:p>
            <w:pPr>
              <w:pStyle w:val="TableParagraph"/>
              <w:spacing w:line="252" w:lineRule="exact" w:before="89"/>
              <w:ind w:right="-15"/>
              <w:jc w:val="right"/>
              <w:rPr>
                <w:rFonts w:ascii="Times New Roman"/>
                <w:sz w:val="21"/>
              </w:rPr>
            </w:pPr>
            <w:r>
              <w:rPr>
                <w:sz w:val="21"/>
              </w:rPr>
              <w:t>0.0588</w:t>
            </w:r>
            <w:r>
              <w:rPr>
                <w:rFonts w:ascii="Times New Roman"/>
                <w:sz w:val="21"/>
              </w:rPr>
              <w:t>%</w:t>
            </w:r>
          </w:p>
        </w:tc>
      </w:tr>
    </w:tbl>
    <w:p>
      <w:pPr>
        <w:spacing w:before="51"/>
        <w:ind w:left="658" w:right="0" w:firstLine="0"/>
        <w:jc w:val="left"/>
        <w:rPr>
          <w:b/>
          <w:sz w:val="24"/>
        </w:rPr>
      </w:pPr>
      <w:r>
        <w:rPr>
          <w:b/>
          <w:sz w:val="24"/>
        </w:rPr>
        <w:t>报告期内负偏离度的绝对值达到 0.25%情况说明</w:t>
      </w:r>
    </w:p>
    <w:p>
      <w:pPr>
        <w:pStyle w:val="BodyText"/>
        <w:spacing w:before="3"/>
        <w:ind w:left="658"/>
      </w:pPr>
      <w:r>
        <w:rPr/>
        <w:t>本报告期内，本货币基金未发生负偏离度的绝对值达到 0.25%的情况。</w:t>
      </w:r>
    </w:p>
    <w:p>
      <w:pPr>
        <w:pStyle w:val="BodyText"/>
        <w:spacing w:before="9"/>
        <w:rPr>
          <w:sz w:val="14"/>
        </w:rPr>
      </w:pPr>
    </w:p>
    <w:p>
      <w:pPr>
        <w:spacing w:before="0"/>
        <w:ind w:left="658" w:right="0" w:firstLine="0"/>
        <w:jc w:val="left"/>
        <w:rPr>
          <w:b/>
          <w:sz w:val="24"/>
        </w:rPr>
      </w:pPr>
      <w:r>
        <w:rPr>
          <w:b/>
          <w:sz w:val="24"/>
        </w:rPr>
        <w:t>报告期内正偏离度的绝对值达到 0.5%情况说明</w:t>
      </w:r>
    </w:p>
    <w:p>
      <w:pPr>
        <w:pStyle w:val="BodyText"/>
        <w:spacing w:before="3"/>
        <w:ind w:left="658"/>
      </w:pPr>
      <w:r>
        <w:rPr/>
        <w:t>本报告期内，本货币基金未发生正偏离度的绝对值达到 0.50%的情况。</w:t>
      </w:r>
    </w:p>
    <w:p>
      <w:pPr>
        <w:pStyle w:val="BodyText"/>
        <w:spacing w:before="12"/>
        <w:rPr>
          <w:sz w:val="22"/>
        </w:rPr>
      </w:pPr>
    </w:p>
    <w:p>
      <w:pPr>
        <w:pStyle w:val="ListParagraph"/>
        <w:numPr>
          <w:ilvl w:val="0"/>
          <w:numId w:val="27"/>
        </w:numPr>
        <w:tabs>
          <w:tab w:pos="968" w:val="left" w:leader="none"/>
        </w:tabs>
        <w:spacing w:line="242" w:lineRule="auto" w:before="0" w:after="0"/>
        <w:ind w:left="1111" w:right="1368" w:hanging="454"/>
        <w:jc w:val="left"/>
        <w:rPr>
          <w:b/>
          <w:sz w:val="24"/>
        </w:rPr>
      </w:pPr>
      <w:r>
        <w:rPr>
          <w:b/>
          <w:spacing w:val="-1"/>
          <w:sz w:val="24"/>
        </w:rPr>
        <w:t>报告期末按公允价值占基金资产净值比例大小排序的前十名资产支持证券投</w:t>
      </w:r>
      <w:r>
        <w:rPr>
          <w:b/>
          <w:sz w:val="24"/>
        </w:rPr>
        <w:t>资明细</w:t>
      </w:r>
    </w:p>
    <w:p>
      <w:pPr>
        <w:pStyle w:val="BodyText"/>
        <w:spacing w:before="163"/>
        <w:ind w:left="658"/>
      </w:pPr>
      <w:r>
        <w:rPr/>
        <w:t>本基金本报告期末未持有资产支持证券。</w:t>
      </w:r>
    </w:p>
    <w:p>
      <w:pPr>
        <w:pStyle w:val="BodyText"/>
        <w:spacing w:before="12"/>
        <w:rPr>
          <w:sz w:val="19"/>
        </w:rPr>
      </w:pPr>
    </w:p>
    <w:p>
      <w:pPr>
        <w:pStyle w:val="ListParagraph"/>
        <w:numPr>
          <w:ilvl w:val="0"/>
          <w:numId w:val="27"/>
        </w:numPr>
        <w:tabs>
          <w:tab w:pos="968" w:val="left" w:leader="none"/>
        </w:tabs>
        <w:spacing w:line="240" w:lineRule="auto" w:before="0" w:after="0"/>
        <w:ind w:left="967" w:right="0" w:hanging="310"/>
        <w:jc w:val="left"/>
        <w:rPr>
          <w:b/>
          <w:sz w:val="24"/>
        </w:rPr>
      </w:pPr>
      <w:r>
        <w:rPr>
          <w:b/>
          <w:sz w:val="24"/>
        </w:rPr>
        <w:t>投资组合报告附注</w:t>
      </w:r>
    </w:p>
    <w:p>
      <w:pPr>
        <w:pStyle w:val="ListParagraph"/>
        <w:numPr>
          <w:ilvl w:val="1"/>
          <w:numId w:val="27"/>
        </w:numPr>
        <w:tabs>
          <w:tab w:pos="998" w:val="left" w:leader="none"/>
        </w:tabs>
        <w:spacing w:line="240" w:lineRule="auto" w:before="175" w:after="0"/>
        <w:ind w:left="997" w:right="0" w:hanging="340"/>
        <w:jc w:val="left"/>
        <w:rPr>
          <w:rFonts w:ascii="Cambria"/>
          <w:sz w:val="24"/>
        </w:rPr>
      </w:pPr>
    </w:p>
    <w:p>
      <w:pPr>
        <w:pStyle w:val="BodyText"/>
        <w:spacing w:before="10"/>
        <w:rPr>
          <w:rFonts w:ascii="Cambria"/>
          <w:b/>
          <w:sz w:val="8"/>
        </w:rPr>
      </w:pPr>
    </w:p>
    <w:p>
      <w:pPr>
        <w:pStyle w:val="BodyText"/>
        <w:spacing w:line="417" w:lineRule="auto" w:before="72"/>
        <w:ind w:left="658" w:right="1308" w:firstLine="419"/>
        <w:jc w:val="both"/>
      </w:pPr>
      <w:r>
        <w:rPr>
          <w:spacing w:val="-9"/>
        </w:rPr>
        <w:t>本基金采用摊余成本法计价，即计价对象以买入成本列示，按票面利率或商定利率并考虑其买入时的溢价和折价，在其剩余存续期内摊销，每日计提收益。本基金采用固定份额净</w:t>
      </w:r>
      <w:r>
        <w:rPr>
          <w:spacing w:val="-10"/>
        </w:rPr>
        <w:t>值，基金账面份额净值为 </w:t>
      </w:r>
      <w:r>
        <w:rPr/>
        <w:t>1.0000</w:t>
      </w:r>
      <w:r>
        <w:rPr>
          <w:spacing w:val="-3"/>
        </w:rPr>
        <w:t> 元。</w:t>
      </w:r>
    </w:p>
    <w:p>
      <w:pPr>
        <w:pStyle w:val="ListParagraph"/>
        <w:numPr>
          <w:ilvl w:val="1"/>
          <w:numId w:val="27"/>
        </w:numPr>
        <w:tabs>
          <w:tab w:pos="998" w:val="left" w:leader="none"/>
        </w:tabs>
        <w:spacing w:line="240" w:lineRule="auto" w:before="70" w:after="0"/>
        <w:ind w:left="997" w:right="0" w:hanging="340"/>
        <w:jc w:val="left"/>
        <w:rPr>
          <w:rFonts w:ascii="Cambria"/>
          <w:sz w:val="24"/>
        </w:rPr>
      </w:pPr>
    </w:p>
    <w:p>
      <w:pPr>
        <w:pStyle w:val="BodyText"/>
        <w:spacing w:before="176"/>
        <w:ind w:left="1078"/>
      </w:pPr>
      <w:r>
        <w:rPr/>
        <w:t>本报告期内未出现基金投资的前十名证券的发行主体被监管部门立案调查或者在报告</w:t>
      </w:r>
    </w:p>
    <w:p>
      <w:pPr>
        <w:spacing w:after="0"/>
        <w:sectPr>
          <w:pgSz w:w="11910" w:h="16840"/>
          <w:pgMar w:header="852" w:footer="992" w:top="1220" w:bottom="1180" w:left="1140" w:right="480"/>
        </w:sectPr>
      </w:pPr>
    </w:p>
    <w:p>
      <w:pPr>
        <w:pStyle w:val="BodyText"/>
        <w:spacing w:before="1"/>
        <w:rPr>
          <w:sz w:val="19"/>
        </w:rPr>
      </w:pPr>
    </w:p>
    <w:p>
      <w:pPr>
        <w:pStyle w:val="BodyText"/>
        <w:spacing w:before="71"/>
        <w:ind w:left="658"/>
      </w:pPr>
      <w:r>
        <w:rPr/>
        <w:t>编制日前一年内受到公开谴责、处罚的情况。</w:t>
      </w:r>
    </w:p>
    <w:p>
      <w:pPr>
        <w:pStyle w:val="BodyText"/>
        <w:spacing w:before="12"/>
        <w:rPr>
          <w:sz w:val="19"/>
        </w:rPr>
      </w:pPr>
    </w:p>
    <w:p>
      <w:pPr>
        <w:pStyle w:val="ListParagraph"/>
        <w:numPr>
          <w:ilvl w:val="1"/>
          <w:numId w:val="27"/>
        </w:numPr>
        <w:tabs>
          <w:tab w:pos="1064" w:val="left" w:leader="none"/>
        </w:tabs>
        <w:spacing w:line="240" w:lineRule="auto" w:before="0" w:after="0"/>
        <w:ind w:left="1063" w:right="0" w:hanging="406"/>
        <w:jc w:val="left"/>
        <w:rPr>
          <w:b/>
          <w:sz w:val="24"/>
        </w:rPr>
      </w:pPr>
      <w:r>
        <w:rPr>
          <w:b/>
          <w:sz w:val="24"/>
        </w:rPr>
        <w:t>其他资产构成</w:t>
      </w:r>
    </w:p>
    <w:p>
      <w:pPr>
        <w:pStyle w:val="BodyText"/>
        <w:rPr>
          <w:b/>
          <w:sz w:val="5"/>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4"/>
        <w:gridCol w:w="3003"/>
        <w:gridCol w:w="4237"/>
      </w:tblGrid>
      <w:tr>
        <w:trPr>
          <w:trHeight w:val="374" w:hRule="atLeast"/>
        </w:trPr>
        <w:tc>
          <w:tcPr>
            <w:tcW w:w="1094" w:type="dxa"/>
            <w:shd w:val="clear" w:color="auto" w:fill="D9D9D9"/>
          </w:tcPr>
          <w:p>
            <w:pPr>
              <w:pStyle w:val="TableParagraph"/>
              <w:spacing w:line="250" w:lineRule="exact" w:before="104"/>
              <w:ind w:left="316" w:right="307"/>
              <w:jc w:val="center"/>
              <w:rPr>
                <w:sz w:val="21"/>
              </w:rPr>
            </w:pPr>
            <w:r>
              <w:rPr>
                <w:sz w:val="21"/>
              </w:rPr>
              <w:t>序号</w:t>
            </w:r>
          </w:p>
        </w:tc>
        <w:tc>
          <w:tcPr>
            <w:tcW w:w="3003" w:type="dxa"/>
            <w:shd w:val="clear" w:color="auto" w:fill="D9D9D9"/>
          </w:tcPr>
          <w:p>
            <w:pPr>
              <w:pStyle w:val="TableParagraph"/>
              <w:spacing w:line="250" w:lineRule="exact" w:before="104"/>
              <w:ind w:left="1270" w:right="1262"/>
              <w:jc w:val="center"/>
              <w:rPr>
                <w:sz w:val="21"/>
              </w:rPr>
            </w:pPr>
            <w:r>
              <w:rPr>
                <w:sz w:val="21"/>
              </w:rPr>
              <w:t>名称</w:t>
            </w:r>
          </w:p>
        </w:tc>
        <w:tc>
          <w:tcPr>
            <w:tcW w:w="4237" w:type="dxa"/>
            <w:shd w:val="clear" w:color="auto" w:fill="D9D9D9"/>
          </w:tcPr>
          <w:p>
            <w:pPr>
              <w:pStyle w:val="TableParagraph"/>
              <w:spacing w:line="250" w:lineRule="exact" w:before="104"/>
              <w:ind w:left="1573" w:right="1563"/>
              <w:jc w:val="center"/>
              <w:rPr>
                <w:sz w:val="21"/>
              </w:rPr>
            </w:pPr>
            <w:r>
              <w:rPr>
                <w:sz w:val="21"/>
              </w:rPr>
              <w:t>金额（元）</w:t>
            </w:r>
          </w:p>
        </w:tc>
      </w:tr>
      <w:tr>
        <w:trPr>
          <w:trHeight w:val="366" w:hRule="atLeast"/>
        </w:trPr>
        <w:tc>
          <w:tcPr>
            <w:tcW w:w="1094" w:type="dxa"/>
          </w:tcPr>
          <w:p>
            <w:pPr>
              <w:pStyle w:val="TableParagraph"/>
              <w:spacing w:line="250" w:lineRule="exact" w:before="97"/>
              <w:ind w:left="9"/>
              <w:jc w:val="center"/>
              <w:rPr>
                <w:sz w:val="21"/>
              </w:rPr>
            </w:pPr>
            <w:r>
              <w:rPr>
                <w:w w:val="100"/>
                <w:sz w:val="21"/>
              </w:rPr>
              <w:t>1</w:t>
            </w:r>
          </w:p>
        </w:tc>
        <w:tc>
          <w:tcPr>
            <w:tcW w:w="3003" w:type="dxa"/>
          </w:tcPr>
          <w:p>
            <w:pPr>
              <w:pStyle w:val="TableParagraph"/>
              <w:spacing w:line="250" w:lineRule="exact" w:before="97"/>
              <w:ind w:left="110"/>
              <w:rPr>
                <w:sz w:val="21"/>
              </w:rPr>
            </w:pPr>
            <w:r>
              <w:rPr>
                <w:sz w:val="21"/>
              </w:rPr>
              <w:t>存出保证金</w:t>
            </w:r>
          </w:p>
        </w:tc>
        <w:tc>
          <w:tcPr>
            <w:tcW w:w="4237" w:type="dxa"/>
          </w:tcPr>
          <w:p>
            <w:pPr>
              <w:pStyle w:val="TableParagraph"/>
              <w:spacing w:line="250" w:lineRule="exact" w:before="97"/>
              <w:ind w:right="2"/>
              <w:jc w:val="right"/>
              <w:rPr>
                <w:sz w:val="21"/>
              </w:rPr>
            </w:pPr>
            <w:r>
              <w:rPr>
                <w:w w:val="100"/>
                <w:sz w:val="21"/>
              </w:rPr>
              <w:t>-</w:t>
            </w:r>
          </w:p>
        </w:tc>
      </w:tr>
      <w:tr>
        <w:trPr>
          <w:trHeight w:val="364" w:hRule="atLeast"/>
        </w:trPr>
        <w:tc>
          <w:tcPr>
            <w:tcW w:w="1094" w:type="dxa"/>
          </w:tcPr>
          <w:p>
            <w:pPr>
              <w:pStyle w:val="TableParagraph"/>
              <w:spacing w:line="250" w:lineRule="exact" w:before="94"/>
              <w:ind w:left="9"/>
              <w:jc w:val="center"/>
              <w:rPr>
                <w:sz w:val="21"/>
              </w:rPr>
            </w:pPr>
            <w:r>
              <w:rPr>
                <w:w w:val="100"/>
                <w:sz w:val="21"/>
              </w:rPr>
              <w:t>2</w:t>
            </w:r>
          </w:p>
        </w:tc>
        <w:tc>
          <w:tcPr>
            <w:tcW w:w="3003" w:type="dxa"/>
          </w:tcPr>
          <w:p>
            <w:pPr>
              <w:pStyle w:val="TableParagraph"/>
              <w:spacing w:line="250" w:lineRule="exact" w:before="94"/>
              <w:ind w:left="110"/>
              <w:rPr>
                <w:sz w:val="21"/>
              </w:rPr>
            </w:pPr>
            <w:r>
              <w:rPr>
                <w:sz w:val="21"/>
              </w:rPr>
              <w:t>应收证券清算款</w:t>
            </w:r>
          </w:p>
        </w:tc>
        <w:tc>
          <w:tcPr>
            <w:tcW w:w="4237" w:type="dxa"/>
          </w:tcPr>
          <w:p>
            <w:pPr>
              <w:pStyle w:val="TableParagraph"/>
              <w:spacing w:line="250" w:lineRule="exact" w:before="94"/>
              <w:ind w:right="2"/>
              <w:jc w:val="right"/>
              <w:rPr>
                <w:sz w:val="21"/>
              </w:rPr>
            </w:pPr>
            <w:r>
              <w:rPr>
                <w:w w:val="100"/>
                <w:sz w:val="21"/>
              </w:rPr>
              <w:t>-</w:t>
            </w:r>
          </w:p>
        </w:tc>
      </w:tr>
      <w:tr>
        <w:trPr>
          <w:trHeight w:val="364" w:hRule="atLeast"/>
        </w:trPr>
        <w:tc>
          <w:tcPr>
            <w:tcW w:w="1094" w:type="dxa"/>
          </w:tcPr>
          <w:p>
            <w:pPr>
              <w:pStyle w:val="TableParagraph"/>
              <w:spacing w:line="250" w:lineRule="exact" w:before="94"/>
              <w:ind w:left="9"/>
              <w:jc w:val="center"/>
              <w:rPr>
                <w:sz w:val="21"/>
              </w:rPr>
            </w:pPr>
            <w:r>
              <w:rPr>
                <w:w w:val="100"/>
                <w:sz w:val="21"/>
              </w:rPr>
              <w:t>3</w:t>
            </w:r>
          </w:p>
        </w:tc>
        <w:tc>
          <w:tcPr>
            <w:tcW w:w="3003" w:type="dxa"/>
          </w:tcPr>
          <w:p>
            <w:pPr>
              <w:pStyle w:val="TableParagraph"/>
              <w:spacing w:line="250" w:lineRule="exact" w:before="94"/>
              <w:ind w:left="110"/>
              <w:rPr>
                <w:sz w:val="21"/>
              </w:rPr>
            </w:pPr>
            <w:r>
              <w:rPr>
                <w:sz w:val="21"/>
              </w:rPr>
              <w:t>应收利息</w:t>
            </w:r>
          </w:p>
        </w:tc>
        <w:tc>
          <w:tcPr>
            <w:tcW w:w="4237" w:type="dxa"/>
          </w:tcPr>
          <w:p>
            <w:pPr>
              <w:pStyle w:val="TableParagraph"/>
              <w:spacing w:line="250" w:lineRule="exact" w:before="94"/>
              <w:jc w:val="right"/>
              <w:rPr>
                <w:sz w:val="21"/>
              </w:rPr>
            </w:pPr>
            <w:r>
              <w:rPr>
                <w:sz w:val="21"/>
              </w:rPr>
              <w:t>7,226,264.40</w:t>
            </w:r>
          </w:p>
        </w:tc>
      </w:tr>
      <w:tr>
        <w:trPr>
          <w:trHeight w:val="364" w:hRule="atLeast"/>
        </w:trPr>
        <w:tc>
          <w:tcPr>
            <w:tcW w:w="1094" w:type="dxa"/>
          </w:tcPr>
          <w:p>
            <w:pPr>
              <w:pStyle w:val="TableParagraph"/>
              <w:spacing w:line="250" w:lineRule="exact" w:before="94"/>
              <w:ind w:left="9"/>
              <w:jc w:val="center"/>
              <w:rPr>
                <w:sz w:val="21"/>
              </w:rPr>
            </w:pPr>
            <w:r>
              <w:rPr>
                <w:w w:val="100"/>
                <w:sz w:val="21"/>
              </w:rPr>
              <w:t>4</w:t>
            </w:r>
          </w:p>
        </w:tc>
        <w:tc>
          <w:tcPr>
            <w:tcW w:w="3003" w:type="dxa"/>
          </w:tcPr>
          <w:p>
            <w:pPr>
              <w:pStyle w:val="TableParagraph"/>
              <w:spacing w:line="250" w:lineRule="exact" w:before="94"/>
              <w:ind w:left="110"/>
              <w:rPr>
                <w:sz w:val="21"/>
              </w:rPr>
            </w:pPr>
            <w:r>
              <w:rPr>
                <w:sz w:val="21"/>
              </w:rPr>
              <w:t>应收申购款</w:t>
            </w:r>
          </w:p>
        </w:tc>
        <w:tc>
          <w:tcPr>
            <w:tcW w:w="4237" w:type="dxa"/>
          </w:tcPr>
          <w:p>
            <w:pPr>
              <w:pStyle w:val="TableParagraph"/>
              <w:spacing w:line="250" w:lineRule="exact" w:before="94"/>
              <w:jc w:val="right"/>
              <w:rPr>
                <w:sz w:val="21"/>
              </w:rPr>
            </w:pPr>
            <w:r>
              <w:rPr>
                <w:sz w:val="21"/>
              </w:rPr>
              <w:t>15,133,117.71</w:t>
            </w:r>
          </w:p>
        </w:tc>
      </w:tr>
      <w:tr>
        <w:trPr>
          <w:trHeight w:val="366" w:hRule="atLeast"/>
        </w:trPr>
        <w:tc>
          <w:tcPr>
            <w:tcW w:w="1094" w:type="dxa"/>
          </w:tcPr>
          <w:p>
            <w:pPr>
              <w:pStyle w:val="TableParagraph"/>
              <w:spacing w:line="250" w:lineRule="exact" w:before="97"/>
              <w:ind w:left="9"/>
              <w:jc w:val="center"/>
              <w:rPr>
                <w:sz w:val="21"/>
              </w:rPr>
            </w:pPr>
            <w:r>
              <w:rPr>
                <w:w w:val="100"/>
                <w:sz w:val="21"/>
              </w:rPr>
              <w:t>5</w:t>
            </w:r>
          </w:p>
        </w:tc>
        <w:tc>
          <w:tcPr>
            <w:tcW w:w="3003" w:type="dxa"/>
          </w:tcPr>
          <w:p>
            <w:pPr>
              <w:pStyle w:val="TableParagraph"/>
              <w:spacing w:line="250" w:lineRule="exact" w:before="97"/>
              <w:ind w:left="110"/>
              <w:rPr>
                <w:sz w:val="21"/>
              </w:rPr>
            </w:pPr>
            <w:r>
              <w:rPr>
                <w:sz w:val="21"/>
              </w:rPr>
              <w:t>其他应收款</w:t>
            </w:r>
          </w:p>
        </w:tc>
        <w:tc>
          <w:tcPr>
            <w:tcW w:w="4237" w:type="dxa"/>
          </w:tcPr>
          <w:p>
            <w:pPr>
              <w:pStyle w:val="TableParagraph"/>
              <w:spacing w:line="250" w:lineRule="exact" w:before="97"/>
              <w:ind w:right="2"/>
              <w:jc w:val="right"/>
              <w:rPr>
                <w:sz w:val="21"/>
              </w:rPr>
            </w:pPr>
            <w:r>
              <w:rPr>
                <w:w w:val="100"/>
                <w:sz w:val="21"/>
              </w:rPr>
              <w:t>-</w:t>
            </w:r>
          </w:p>
        </w:tc>
      </w:tr>
      <w:tr>
        <w:trPr>
          <w:trHeight w:val="365" w:hRule="atLeast"/>
        </w:trPr>
        <w:tc>
          <w:tcPr>
            <w:tcW w:w="1094" w:type="dxa"/>
          </w:tcPr>
          <w:p>
            <w:pPr>
              <w:pStyle w:val="TableParagraph"/>
              <w:spacing w:line="250" w:lineRule="exact" w:before="95"/>
              <w:ind w:left="9"/>
              <w:jc w:val="center"/>
              <w:rPr>
                <w:sz w:val="21"/>
              </w:rPr>
            </w:pPr>
            <w:r>
              <w:rPr>
                <w:w w:val="100"/>
                <w:sz w:val="21"/>
              </w:rPr>
              <w:t>6</w:t>
            </w:r>
          </w:p>
        </w:tc>
        <w:tc>
          <w:tcPr>
            <w:tcW w:w="3003" w:type="dxa"/>
          </w:tcPr>
          <w:p>
            <w:pPr>
              <w:pStyle w:val="TableParagraph"/>
              <w:spacing w:line="250" w:lineRule="exact" w:before="95"/>
              <w:ind w:left="110"/>
              <w:rPr>
                <w:sz w:val="21"/>
              </w:rPr>
            </w:pPr>
            <w:r>
              <w:rPr>
                <w:sz w:val="21"/>
              </w:rPr>
              <w:t>待摊费用</w:t>
            </w:r>
          </w:p>
        </w:tc>
        <w:tc>
          <w:tcPr>
            <w:tcW w:w="4237" w:type="dxa"/>
          </w:tcPr>
          <w:p>
            <w:pPr>
              <w:pStyle w:val="TableParagraph"/>
              <w:spacing w:line="250" w:lineRule="exact" w:before="95"/>
              <w:ind w:right="2"/>
              <w:jc w:val="right"/>
              <w:rPr>
                <w:sz w:val="21"/>
              </w:rPr>
            </w:pPr>
            <w:r>
              <w:rPr>
                <w:w w:val="100"/>
                <w:sz w:val="21"/>
              </w:rPr>
              <w:t>-</w:t>
            </w:r>
          </w:p>
        </w:tc>
      </w:tr>
      <w:tr>
        <w:trPr>
          <w:trHeight w:val="364" w:hRule="atLeast"/>
        </w:trPr>
        <w:tc>
          <w:tcPr>
            <w:tcW w:w="1094" w:type="dxa"/>
          </w:tcPr>
          <w:p>
            <w:pPr>
              <w:pStyle w:val="TableParagraph"/>
              <w:spacing w:line="250" w:lineRule="exact" w:before="94"/>
              <w:ind w:left="9"/>
              <w:jc w:val="center"/>
              <w:rPr>
                <w:sz w:val="21"/>
              </w:rPr>
            </w:pPr>
            <w:r>
              <w:rPr>
                <w:w w:val="100"/>
                <w:sz w:val="21"/>
              </w:rPr>
              <w:t>7</w:t>
            </w:r>
          </w:p>
        </w:tc>
        <w:tc>
          <w:tcPr>
            <w:tcW w:w="3003" w:type="dxa"/>
          </w:tcPr>
          <w:p>
            <w:pPr>
              <w:pStyle w:val="TableParagraph"/>
              <w:spacing w:line="250" w:lineRule="exact" w:before="94"/>
              <w:ind w:left="110"/>
              <w:rPr>
                <w:sz w:val="21"/>
              </w:rPr>
            </w:pPr>
            <w:r>
              <w:rPr>
                <w:sz w:val="21"/>
              </w:rPr>
              <w:t>其他</w:t>
            </w:r>
          </w:p>
        </w:tc>
        <w:tc>
          <w:tcPr>
            <w:tcW w:w="4237" w:type="dxa"/>
          </w:tcPr>
          <w:p>
            <w:pPr>
              <w:pStyle w:val="TableParagraph"/>
              <w:spacing w:line="250" w:lineRule="exact" w:before="94"/>
              <w:ind w:right="2"/>
              <w:jc w:val="right"/>
              <w:rPr>
                <w:sz w:val="21"/>
              </w:rPr>
            </w:pPr>
            <w:r>
              <w:rPr>
                <w:w w:val="100"/>
                <w:sz w:val="21"/>
              </w:rPr>
              <w:t>-</w:t>
            </w:r>
          </w:p>
        </w:tc>
      </w:tr>
      <w:tr>
        <w:trPr>
          <w:trHeight w:val="376" w:hRule="atLeast"/>
        </w:trPr>
        <w:tc>
          <w:tcPr>
            <w:tcW w:w="1094" w:type="dxa"/>
          </w:tcPr>
          <w:p>
            <w:pPr>
              <w:pStyle w:val="TableParagraph"/>
              <w:spacing w:line="250" w:lineRule="exact" w:before="106"/>
              <w:ind w:left="9"/>
              <w:jc w:val="center"/>
              <w:rPr>
                <w:sz w:val="21"/>
              </w:rPr>
            </w:pPr>
            <w:r>
              <w:rPr>
                <w:w w:val="100"/>
                <w:sz w:val="21"/>
              </w:rPr>
              <w:t>8</w:t>
            </w:r>
          </w:p>
        </w:tc>
        <w:tc>
          <w:tcPr>
            <w:tcW w:w="3003" w:type="dxa"/>
          </w:tcPr>
          <w:p>
            <w:pPr>
              <w:pStyle w:val="TableParagraph"/>
              <w:spacing w:line="250" w:lineRule="exact" w:before="106"/>
              <w:ind w:left="110"/>
              <w:rPr>
                <w:sz w:val="21"/>
              </w:rPr>
            </w:pPr>
            <w:r>
              <w:rPr>
                <w:sz w:val="21"/>
              </w:rPr>
              <w:t>合计</w:t>
            </w:r>
          </w:p>
        </w:tc>
        <w:tc>
          <w:tcPr>
            <w:tcW w:w="4237" w:type="dxa"/>
          </w:tcPr>
          <w:p>
            <w:pPr>
              <w:pStyle w:val="TableParagraph"/>
              <w:spacing w:line="250" w:lineRule="exact" w:before="106"/>
              <w:jc w:val="right"/>
              <w:rPr>
                <w:sz w:val="21"/>
              </w:rPr>
            </w:pPr>
            <w:r>
              <w:rPr>
                <w:sz w:val="21"/>
              </w:rPr>
              <w:t>22,359,382.11</w:t>
            </w:r>
          </w:p>
        </w:tc>
      </w:tr>
    </w:tbl>
    <w:p>
      <w:pPr>
        <w:pStyle w:val="ListParagraph"/>
        <w:numPr>
          <w:ilvl w:val="1"/>
          <w:numId w:val="27"/>
        </w:numPr>
        <w:tabs>
          <w:tab w:pos="1064" w:val="left" w:leader="none"/>
        </w:tabs>
        <w:spacing w:line="240" w:lineRule="auto" w:before="157" w:after="0"/>
        <w:ind w:left="1063" w:right="0" w:hanging="406"/>
        <w:jc w:val="left"/>
        <w:rPr>
          <w:b/>
          <w:sz w:val="24"/>
        </w:rPr>
      </w:pPr>
      <w:r>
        <w:rPr>
          <w:b/>
          <w:sz w:val="24"/>
        </w:rPr>
        <w:t>投资组合报告附注的其他文字描述部分</w:t>
      </w:r>
    </w:p>
    <w:p>
      <w:pPr>
        <w:pStyle w:val="BodyText"/>
        <w:spacing w:before="164"/>
        <w:ind w:left="1082"/>
      </w:pPr>
      <w:r>
        <w:rPr/>
        <w:t>无。</w:t>
      </w:r>
    </w:p>
    <w:p>
      <w:pPr>
        <w:pStyle w:val="BodyText"/>
        <w:spacing w:before="6"/>
        <w:rPr>
          <w:sz w:val="15"/>
        </w:rPr>
      </w:pPr>
    </w:p>
    <w:p>
      <w:pPr>
        <w:spacing w:before="0"/>
        <w:ind w:left="658" w:right="0" w:firstLine="0"/>
        <w:jc w:val="left"/>
        <w:rPr>
          <w:b/>
          <w:sz w:val="21"/>
        </w:rPr>
      </w:pPr>
      <w:r>
        <w:rPr>
          <w:b/>
          <w:sz w:val="21"/>
        </w:rPr>
        <w:t>动力平衡基金投资组合报告</w:t>
      </w:r>
    </w:p>
    <w:p>
      <w:pPr>
        <w:pStyle w:val="BodyText"/>
        <w:spacing w:before="2"/>
        <w:rPr>
          <w:b/>
          <w:sz w:val="26"/>
        </w:rPr>
      </w:pPr>
    </w:p>
    <w:p>
      <w:pPr>
        <w:pStyle w:val="ListParagraph"/>
        <w:numPr>
          <w:ilvl w:val="0"/>
          <w:numId w:val="28"/>
        </w:numPr>
        <w:tabs>
          <w:tab w:pos="922" w:val="left" w:leader="none"/>
        </w:tabs>
        <w:spacing w:line="240" w:lineRule="auto" w:before="0" w:after="0"/>
        <w:ind w:left="922" w:right="0" w:hanging="264"/>
        <w:jc w:val="left"/>
        <w:rPr>
          <w:b/>
          <w:sz w:val="24"/>
        </w:rPr>
      </w:pPr>
      <w:r>
        <w:rPr>
          <w:b/>
          <w:sz w:val="24"/>
        </w:rPr>
        <w:t>报告期末基金资产组合情况</w:t>
      </w:r>
    </w:p>
    <w:p>
      <w:pPr>
        <w:pStyle w:val="BodyText"/>
        <w:rPr>
          <w:b/>
          <w:sz w:val="11"/>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3296"/>
        <w:gridCol w:w="2228"/>
        <w:gridCol w:w="2219"/>
      </w:tblGrid>
      <w:tr>
        <w:trPr>
          <w:trHeight w:val="360" w:hRule="atLeast"/>
        </w:trPr>
        <w:tc>
          <w:tcPr>
            <w:tcW w:w="581" w:type="dxa"/>
            <w:shd w:val="clear" w:color="auto" w:fill="D9D9D9"/>
          </w:tcPr>
          <w:p>
            <w:pPr>
              <w:pStyle w:val="TableParagraph"/>
              <w:spacing w:line="250" w:lineRule="exact" w:before="90"/>
              <w:ind w:left="60" w:right="51"/>
              <w:jc w:val="center"/>
              <w:rPr>
                <w:sz w:val="21"/>
              </w:rPr>
            </w:pPr>
            <w:r>
              <w:rPr>
                <w:sz w:val="21"/>
              </w:rPr>
              <w:t>序号</w:t>
            </w:r>
          </w:p>
        </w:tc>
        <w:tc>
          <w:tcPr>
            <w:tcW w:w="3296" w:type="dxa"/>
            <w:shd w:val="clear" w:color="auto" w:fill="D9D9D9"/>
          </w:tcPr>
          <w:p>
            <w:pPr>
              <w:pStyle w:val="TableParagraph"/>
              <w:spacing w:line="250" w:lineRule="exact" w:before="90"/>
              <w:ind w:left="1413" w:right="1413"/>
              <w:jc w:val="center"/>
              <w:rPr>
                <w:sz w:val="21"/>
              </w:rPr>
            </w:pPr>
            <w:r>
              <w:rPr>
                <w:sz w:val="21"/>
              </w:rPr>
              <w:t>项目</w:t>
            </w:r>
          </w:p>
        </w:tc>
        <w:tc>
          <w:tcPr>
            <w:tcW w:w="2228" w:type="dxa"/>
            <w:shd w:val="clear" w:color="auto" w:fill="D9D9D9"/>
          </w:tcPr>
          <w:p>
            <w:pPr>
              <w:pStyle w:val="TableParagraph"/>
              <w:spacing w:line="250" w:lineRule="exact" w:before="90"/>
              <w:ind w:left="582"/>
              <w:rPr>
                <w:sz w:val="21"/>
              </w:rPr>
            </w:pPr>
            <w:r>
              <w:rPr>
                <w:sz w:val="21"/>
              </w:rPr>
              <w:t>金额（元）</w:t>
            </w:r>
          </w:p>
        </w:tc>
        <w:tc>
          <w:tcPr>
            <w:tcW w:w="2219" w:type="dxa"/>
            <w:shd w:val="clear" w:color="auto" w:fill="D9D9D9"/>
          </w:tcPr>
          <w:p>
            <w:pPr>
              <w:pStyle w:val="TableParagraph"/>
              <w:spacing w:line="250" w:lineRule="exact" w:before="90"/>
              <w:ind w:left="-2"/>
              <w:rPr>
                <w:sz w:val="21"/>
              </w:rPr>
            </w:pPr>
            <w:r>
              <w:rPr>
                <w:sz w:val="21"/>
              </w:rPr>
              <w:t>占基金总资产的比例（%</w:t>
            </w:r>
          </w:p>
        </w:tc>
      </w:tr>
      <w:tr>
        <w:trPr>
          <w:trHeight w:val="359" w:hRule="atLeast"/>
        </w:trPr>
        <w:tc>
          <w:tcPr>
            <w:tcW w:w="581" w:type="dxa"/>
          </w:tcPr>
          <w:p>
            <w:pPr>
              <w:pStyle w:val="TableParagraph"/>
              <w:spacing w:line="250" w:lineRule="exact" w:before="89"/>
              <w:ind w:left="9"/>
              <w:jc w:val="center"/>
              <w:rPr>
                <w:sz w:val="21"/>
              </w:rPr>
            </w:pPr>
            <w:r>
              <w:rPr>
                <w:w w:val="100"/>
                <w:sz w:val="21"/>
              </w:rPr>
              <w:t>1</w:t>
            </w:r>
          </w:p>
        </w:tc>
        <w:tc>
          <w:tcPr>
            <w:tcW w:w="3296" w:type="dxa"/>
          </w:tcPr>
          <w:p>
            <w:pPr>
              <w:pStyle w:val="TableParagraph"/>
              <w:spacing w:line="250" w:lineRule="exact" w:before="89"/>
              <w:ind w:left="105"/>
              <w:rPr>
                <w:sz w:val="21"/>
              </w:rPr>
            </w:pPr>
            <w:r>
              <w:rPr>
                <w:sz w:val="21"/>
              </w:rPr>
              <w:t>权益投资</w:t>
            </w:r>
          </w:p>
        </w:tc>
        <w:tc>
          <w:tcPr>
            <w:tcW w:w="2228" w:type="dxa"/>
          </w:tcPr>
          <w:p>
            <w:pPr>
              <w:pStyle w:val="TableParagraph"/>
              <w:spacing w:line="250" w:lineRule="exact" w:before="89"/>
              <w:ind w:right="-15"/>
              <w:jc w:val="right"/>
              <w:rPr>
                <w:sz w:val="21"/>
              </w:rPr>
            </w:pPr>
            <w:r>
              <w:rPr>
                <w:sz w:val="21"/>
              </w:rPr>
              <w:t>1,321,805,195.34</w:t>
            </w:r>
          </w:p>
        </w:tc>
        <w:tc>
          <w:tcPr>
            <w:tcW w:w="2219" w:type="dxa"/>
          </w:tcPr>
          <w:p>
            <w:pPr>
              <w:pStyle w:val="TableParagraph"/>
              <w:spacing w:line="250" w:lineRule="exact" w:before="89"/>
              <w:ind w:right="-15"/>
              <w:jc w:val="right"/>
              <w:rPr>
                <w:sz w:val="21"/>
              </w:rPr>
            </w:pPr>
            <w:r>
              <w:rPr>
                <w:sz w:val="21"/>
              </w:rPr>
              <w:t>69.27</w:t>
            </w:r>
          </w:p>
        </w:tc>
      </w:tr>
      <w:tr>
        <w:trPr>
          <w:trHeight w:val="359" w:hRule="atLeast"/>
        </w:trPr>
        <w:tc>
          <w:tcPr>
            <w:tcW w:w="581" w:type="dxa"/>
          </w:tcPr>
          <w:p>
            <w:pPr>
              <w:pStyle w:val="TableParagraph"/>
              <w:rPr>
                <w:rFonts w:ascii="Times New Roman"/>
                <w:sz w:val="20"/>
              </w:rPr>
            </w:pPr>
          </w:p>
        </w:tc>
        <w:tc>
          <w:tcPr>
            <w:tcW w:w="3296" w:type="dxa"/>
          </w:tcPr>
          <w:p>
            <w:pPr>
              <w:pStyle w:val="TableParagraph"/>
              <w:spacing w:line="250" w:lineRule="exact" w:before="90"/>
              <w:ind w:left="105"/>
              <w:rPr>
                <w:sz w:val="21"/>
              </w:rPr>
            </w:pPr>
            <w:r>
              <w:rPr>
                <w:sz w:val="21"/>
              </w:rPr>
              <w:t>其中：股票</w:t>
            </w:r>
          </w:p>
        </w:tc>
        <w:tc>
          <w:tcPr>
            <w:tcW w:w="2228" w:type="dxa"/>
          </w:tcPr>
          <w:p>
            <w:pPr>
              <w:pStyle w:val="TableParagraph"/>
              <w:spacing w:line="250" w:lineRule="exact" w:before="90"/>
              <w:ind w:right="-15"/>
              <w:jc w:val="right"/>
              <w:rPr>
                <w:sz w:val="21"/>
              </w:rPr>
            </w:pPr>
            <w:r>
              <w:rPr>
                <w:sz w:val="21"/>
              </w:rPr>
              <w:t>1,321,805,195.34</w:t>
            </w:r>
          </w:p>
        </w:tc>
        <w:tc>
          <w:tcPr>
            <w:tcW w:w="2219" w:type="dxa"/>
          </w:tcPr>
          <w:p>
            <w:pPr>
              <w:pStyle w:val="TableParagraph"/>
              <w:spacing w:line="250" w:lineRule="exact" w:before="90"/>
              <w:ind w:right="-15"/>
              <w:jc w:val="right"/>
              <w:rPr>
                <w:sz w:val="21"/>
              </w:rPr>
            </w:pPr>
            <w:r>
              <w:rPr>
                <w:sz w:val="21"/>
              </w:rPr>
              <w:t>69.27</w:t>
            </w:r>
          </w:p>
        </w:tc>
      </w:tr>
      <w:tr>
        <w:trPr>
          <w:trHeight w:val="359" w:hRule="atLeast"/>
        </w:trPr>
        <w:tc>
          <w:tcPr>
            <w:tcW w:w="581" w:type="dxa"/>
          </w:tcPr>
          <w:p>
            <w:pPr>
              <w:pStyle w:val="TableParagraph"/>
              <w:spacing w:line="250" w:lineRule="exact" w:before="89"/>
              <w:ind w:left="9"/>
              <w:jc w:val="center"/>
              <w:rPr>
                <w:sz w:val="21"/>
              </w:rPr>
            </w:pPr>
            <w:r>
              <w:rPr>
                <w:w w:val="100"/>
                <w:sz w:val="21"/>
              </w:rPr>
              <w:t>2</w:t>
            </w:r>
          </w:p>
        </w:tc>
        <w:tc>
          <w:tcPr>
            <w:tcW w:w="3296" w:type="dxa"/>
          </w:tcPr>
          <w:p>
            <w:pPr>
              <w:pStyle w:val="TableParagraph"/>
              <w:spacing w:line="250" w:lineRule="exact" w:before="89"/>
              <w:ind w:left="105"/>
              <w:rPr>
                <w:sz w:val="21"/>
              </w:rPr>
            </w:pPr>
            <w:r>
              <w:rPr>
                <w:sz w:val="21"/>
              </w:rPr>
              <w:t>基金投资</w:t>
            </w:r>
          </w:p>
        </w:tc>
        <w:tc>
          <w:tcPr>
            <w:tcW w:w="2228" w:type="dxa"/>
          </w:tcPr>
          <w:p>
            <w:pPr>
              <w:pStyle w:val="TableParagraph"/>
              <w:spacing w:line="250" w:lineRule="exact" w:before="89"/>
              <w:jc w:val="right"/>
              <w:rPr>
                <w:sz w:val="21"/>
              </w:rPr>
            </w:pPr>
            <w:r>
              <w:rPr>
                <w:w w:val="100"/>
                <w:sz w:val="21"/>
              </w:rPr>
              <w:t>-</w:t>
            </w:r>
          </w:p>
        </w:tc>
        <w:tc>
          <w:tcPr>
            <w:tcW w:w="2219" w:type="dxa"/>
          </w:tcPr>
          <w:p>
            <w:pPr>
              <w:pStyle w:val="TableParagraph"/>
              <w:spacing w:line="250" w:lineRule="exact" w:before="89"/>
              <w:ind w:right="1"/>
              <w:jc w:val="right"/>
              <w:rPr>
                <w:sz w:val="21"/>
              </w:rPr>
            </w:pPr>
            <w:r>
              <w:rPr>
                <w:w w:val="100"/>
                <w:sz w:val="21"/>
              </w:rPr>
              <w:t>-</w:t>
            </w:r>
          </w:p>
        </w:tc>
      </w:tr>
      <w:tr>
        <w:trPr>
          <w:trHeight w:val="361" w:hRule="atLeast"/>
        </w:trPr>
        <w:tc>
          <w:tcPr>
            <w:tcW w:w="581" w:type="dxa"/>
          </w:tcPr>
          <w:p>
            <w:pPr>
              <w:pStyle w:val="TableParagraph"/>
              <w:spacing w:line="250" w:lineRule="exact" w:before="92"/>
              <w:ind w:left="9"/>
              <w:jc w:val="center"/>
              <w:rPr>
                <w:sz w:val="21"/>
              </w:rPr>
            </w:pPr>
            <w:r>
              <w:rPr>
                <w:w w:val="100"/>
                <w:sz w:val="21"/>
              </w:rPr>
              <w:t>3</w:t>
            </w:r>
          </w:p>
        </w:tc>
        <w:tc>
          <w:tcPr>
            <w:tcW w:w="3296" w:type="dxa"/>
          </w:tcPr>
          <w:p>
            <w:pPr>
              <w:pStyle w:val="TableParagraph"/>
              <w:spacing w:line="250" w:lineRule="exact" w:before="92"/>
              <w:ind w:left="105"/>
              <w:rPr>
                <w:sz w:val="21"/>
              </w:rPr>
            </w:pPr>
            <w:r>
              <w:rPr>
                <w:sz w:val="21"/>
              </w:rPr>
              <w:t>固定收益投资</w:t>
            </w:r>
          </w:p>
        </w:tc>
        <w:tc>
          <w:tcPr>
            <w:tcW w:w="2228" w:type="dxa"/>
          </w:tcPr>
          <w:p>
            <w:pPr>
              <w:pStyle w:val="TableParagraph"/>
              <w:spacing w:line="250" w:lineRule="exact" w:before="92"/>
              <w:ind w:right="-15"/>
              <w:jc w:val="right"/>
              <w:rPr>
                <w:sz w:val="21"/>
              </w:rPr>
            </w:pPr>
            <w:r>
              <w:rPr>
                <w:sz w:val="21"/>
              </w:rPr>
              <w:t>404,811,545.05</w:t>
            </w:r>
          </w:p>
        </w:tc>
        <w:tc>
          <w:tcPr>
            <w:tcW w:w="2219" w:type="dxa"/>
          </w:tcPr>
          <w:p>
            <w:pPr>
              <w:pStyle w:val="TableParagraph"/>
              <w:spacing w:line="250" w:lineRule="exact" w:before="92"/>
              <w:ind w:right="-15"/>
              <w:jc w:val="right"/>
              <w:rPr>
                <w:sz w:val="21"/>
              </w:rPr>
            </w:pPr>
            <w:r>
              <w:rPr>
                <w:sz w:val="21"/>
              </w:rPr>
              <w:t>21.22</w:t>
            </w:r>
          </w:p>
        </w:tc>
      </w:tr>
      <w:tr>
        <w:trPr>
          <w:trHeight w:val="359" w:hRule="atLeast"/>
        </w:trPr>
        <w:tc>
          <w:tcPr>
            <w:tcW w:w="581" w:type="dxa"/>
          </w:tcPr>
          <w:p>
            <w:pPr>
              <w:pStyle w:val="TableParagraph"/>
              <w:rPr>
                <w:rFonts w:ascii="Times New Roman"/>
                <w:sz w:val="20"/>
              </w:rPr>
            </w:pPr>
          </w:p>
        </w:tc>
        <w:tc>
          <w:tcPr>
            <w:tcW w:w="3296" w:type="dxa"/>
          </w:tcPr>
          <w:p>
            <w:pPr>
              <w:pStyle w:val="TableParagraph"/>
              <w:spacing w:line="250" w:lineRule="exact" w:before="90"/>
              <w:ind w:left="105"/>
              <w:rPr>
                <w:sz w:val="21"/>
              </w:rPr>
            </w:pPr>
            <w:r>
              <w:rPr>
                <w:sz w:val="21"/>
              </w:rPr>
              <w:t>其中：债券</w:t>
            </w:r>
          </w:p>
        </w:tc>
        <w:tc>
          <w:tcPr>
            <w:tcW w:w="2228" w:type="dxa"/>
          </w:tcPr>
          <w:p>
            <w:pPr>
              <w:pStyle w:val="TableParagraph"/>
              <w:spacing w:line="250" w:lineRule="exact" w:before="90"/>
              <w:ind w:right="-15"/>
              <w:jc w:val="right"/>
              <w:rPr>
                <w:sz w:val="21"/>
              </w:rPr>
            </w:pPr>
            <w:r>
              <w:rPr>
                <w:sz w:val="21"/>
              </w:rPr>
              <w:t>404,811,545.05</w:t>
            </w:r>
          </w:p>
        </w:tc>
        <w:tc>
          <w:tcPr>
            <w:tcW w:w="2219" w:type="dxa"/>
          </w:tcPr>
          <w:p>
            <w:pPr>
              <w:pStyle w:val="TableParagraph"/>
              <w:spacing w:line="250" w:lineRule="exact" w:before="90"/>
              <w:ind w:right="-15"/>
              <w:jc w:val="right"/>
              <w:rPr>
                <w:sz w:val="21"/>
              </w:rPr>
            </w:pPr>
            <w:r>
              <w:rPr>
                <w:sz w:val="21"/>
              </w:rPr>
              <w:t>21.22</w:t>
            </w:r>
          </w:p>
        </w:tc>
      </w:tr>
      <w:tr>
        <w:trPr>
          <w:trHeight w:val="359" w:hRule="atLeast"/>
        </w:trPr>
        <w:tc>
          <w:tcPr>
            <w:tcW w:w="581" w:type="dxa"/>
          </w:tcPr>
          <w:p>
            <w:pPr>
              <w:pStyle w:val="TableParagraph"/>
              <w:rPr>
                <w:rFonts w:ascii="Times New Roman"/>
                <w:sz w:val="20"/>
              </w:rPr>
            </w:pPr>
          </w:p>
        </w:tc>
        <w:tc>
          <w:tcPr>
            <w:tcW w:w="3296" w:type="dxa"/>
          </w:tcPr>
          <w:p>
            <w:pPr>
              <w:pStyle w:val="TableParagraph"/>
              <w:spacing w:line="250" w:lineRule="exact" w:before="89"/>
              <w:ind w:left="736"/>
              <w:rPr>
                <w:sz w:val="21"/>
              </w:rPr>
            </w:pPr>
            <w:r>
              <w:rPr>
                <w:sz w:val="21"/>
              </w:rPr>
              <w:t>资产支持证券</w:t>
            </w:r>
          </w:p>
        </w:tc>
        <w:tc>
          <w:tcPr>
            <w:tcW w:w="2228" w:type="dxa"/>
          </w:tcPr>
          <w:p>
            <w:pPr>
              <w:pStyle w:val="TableParagraph"/>
              <w:spacing w:line="250" w:lineRule="exact" w:before="89"/>
              <w:jc w:val="right"/>
              <w:rPr>
                <w:sz w:val="21"/>
              </w:rPr>
            </w:pPr>
            <w:r>
              <w:rPr>
                <w:w w:val="100"/>
                <w:sz w:val="21"/>
              </w:rPr>
              <w:t>-</w:t>
            </w:r>
          </w:p>
        </w:tc>
        <w:tc>
          <w:tcPr>
            <w:tcW w:w="2219" w:type="dxa"/>
          </w:tcPr>
          <w:p>
            <w:pPr>
              <w:pStyle w:val="TableParagraph"/>
              <w:spacing w:line="250" w:lineRule="exact" w:before="89"/>
              <w:ind w:right="1"/>
              <w:jc w:val="right"/>
              <w:rPr>
                <w:sz w:val="21"/>
              </w:rPr>
            </w:pPr>
            <w:r>
              <w:rPr>
                <w:w w:val="100"/>
                <w:sz w:val="21"/>
              </w:rPr>
              <w:t>-</w:t>
            </w:r>
          </w:p>
        </w:tc>
      </w:tr>
      <w:tr>
        <w:trPr>
          <w:trHeight w:val="359" w:hRule="atLeast"/>
        </w:trPr>
        <w:tc>
          <w:tcPr>
            <w:tcW w:w="581" w:type="dxa"/>
          </w:tcPr>
          <w:p>
            <w:pPr>
              <w:pStyle w:val="TableParagraph"/>
              <w:spacing w:line="250" w:lineRule="exact" w:before="90"/>
              <w:ind w:left="9"/>
              <w:jc w:val="center"/>
              <w:rPr>
                <w:sz w:val="21"/>
              </w:rPr>
            </w:pPr>
            <w:r>
              <w:rPr>
                <w:w w:val="100"/>
                <w:sz w:val="21"/>
              </w:rPr>
              <w:t>4</w:t>
            </w:r>
          </w:p>
        </w:tc>
        <w:tc>
          <w:tcPr>
            <w:tcW w:w="3296" w:type="dxa"/>
          </w:tcPr>
          <w:p>
            <w:pPr>
              <w:pStyle w:val="TableParagraph"/>
              <w:spacing w:line="250" w:lineRule="exact" w:before="90"/>
              <w:ind w:left="105"/>
              <w:rPr>
                <w:sz w:val="21"/>
              </w:rPr>
            </w:pPr>
            <w:r>
              <w:rPr>
                <w:sz w:val="21"/>
              </w:rPr>
              <w:t>贵金属投资</w:t>
            </w:r>
          </w:p>
        </w:tc>
        <w:tc>
          <w:tcPr>
            <w:tcW w:w="2228" w:type="dxa"/>
          </w:tcPr>
          <w:p>
            <w:pPr>
              <w:pStyle w:val="TableParagraph"/>
              <w:spacing w:line="250" w:lineRule="exact" w:before="90"/>
              <w:jc w:val="right"/>
              <w:rPr>
                <w:sz w:val="21"/>
              </w:rPr>
            </w:pPr>
            <w:r>
              <w:rPr>
                <w:w w:val="100"/>
                <w:sz w:val="21"/>
              </w:rPr>
              <w:t>-</w:t>
            </w:r>
          </w:p>
        </w:tc>
        <w:tc>
          <w:tcPr>
            <w:tcW w:w="2219" w:type="dxa"/>
          </w:tcPr>
          <w:p>
            <w:pPr>
              <w:pStyle w:val="TableParagraph"/>
              <w:spacing w:line="250" w:lineRule="exact" w:before="90"/>
              <w:ind w:right="1"/>
              <w:jc w:val="right"/>
              <w:rPr>
                <w:sz w:val="21"/>
              </w:rPr>
            </w:pPr>
            <w:r>
              <w:rPr>
                <w:w w:val="100"/>
                <w:sz w:val="21"/>
              </w:rPr>
              <w:t>-</w:t>
            </w:r>
          </w:p>
        </w:tc>
      </w:tr>
      <w:tr>
        <w:trPr>
          <w:trHeight w:val="359" w:hRule="atLeast"/>
        </w:trPr>
        <w:tc>
          <w:tcPr>
            <w:tcW w:w="581" w:type="dxa"/>
          </w:tcPr>
          <w:p>
            <w:pPr>
              <w:pStyle w:val="TableParagraph"/>
              <w:spacing w:line="250" w:lineRule="exact" w:before="89"/>
              <w:ind w:left="9"/>
              <w:jc w:val="center"/>
              <w:rPr>
                <w:sz w:val="21"/>
              </w:rPr>
            </w:pPr>
            <w:r>
              <w:rPr>
                <w:w w:val="100"/>
                <w:sz w:val="21"/>
              </w:rPr>
              <w:t>5</w:t>
            </w:r>
          </w:p>
        </w:tc>
        <w:tc>
          <w:tcPr>
            <w:tcW w:w="3296" w:type="dxa"/>
          </w:tcPr>
          <w:p>
            <w:pPr>
              <w:pStyle w:val="TableParagraph"/>
              <w:spacing w:line="250" w:lineRule="exact" w:before="89"/>
              <w:ind w:left="105"/>
              <w:rPr>
                <w:sz w:val="21"/>
              </w:rPr>
            </w:pPr>
            <w:r>
              <w:rPr>
                <w:sz w:val="21"/>
              </w:rPr>
              <w:t>金融衍生品投资</w:t>
            </w:r>
          </w:p>
        </w:tc>
        <w:tc>
          <w:tcPr>
            <w:tcW w:w="2228" w:type="dxa"/>
          </w:tcPr>
          <w:p>
            <w:pPr>
              <w:pStyle w:val="TableParagraph"/>
              <w:spacing w:line="250" w:lineRule="exact" w:before="89"/>
              <w:jc w:val="right"/>
              <w:rPr>
                <w:sz w:val="21"/>
              </w:rPr>
            </w:pPr>
            <w:r>
              <w:rPr>
                <w:w w:val="100"/>
                <w:sz w:val="21"/>
              </w:rPr>
              <w:t>-</w:t>
            </w:r>
          </w:p>
        </w:tc>
        <w:tc>
          <w:tcPr>
            <w:tcW w:w="2219" w:type="dxa"/>
          </w:tcPr>
          <w:p>
            <w:pPr>
              <w:pStyle w:val="TableParagraph"/>
              <w:spacing w:line="250" w:lineRule="exact" w:before="89"/>
              <w:ind w:right="1"/>
              <w:jc w:val="right"/>
              <w:rPr>
                <w:sz w:val="21"/>
              </w:rPr>
            </w:pPr>
            <w:r>
              <w:rPr>
                <w:w w:val="100"/>
                <w:sz w:val="21"/>
              </w:rPr>
              <w:t>-</w:t>
            </w:r>
          </w:p>
        </w:tc>
      </w:tr>
      <w:tr>
        <w:trPr>
          <w:trHeight w:val="360" w:hRule="atLeast"/>
        </w:trPr>
        <w:tc>
          <w:tcPr>
            <w:tcW w:w="581" w:type="dxa"/>
          </w:tcPr>
          <w:p>
            <w:pPr>
              <w:pStyle w:val="TableParagraph"/>
              <w:spacing w:line="250" w:lineRule="exact" w:before="90"/>
              <w:ind w:left="9"/>
              <w:jc w:val="center"/>
              <w:rPr>
                <w:sz w:val="21"/>
              </w:rPr>
            </w:pPr>
            <w:r>
              <w:rPr>
                <w:w w:val="100"/>
                <w:sz w:val="21"/>
              </w:rPr>
              <w:t>6</w:t>
            </w:r>
          </w:p>
        </w:tc>
        <w:tc>
          <w:tcPr>
            <w:tcW w:w="3296" w:type="dxa"/>
          </w:tcPr>
          <w:p>
            <w:pPr>
              <w:pStyle w:val="TableParagraph"/>
              <w:spacing w:line="250" w:lineRule="exact" w:before="90"/>
              <w:ind w:left="105"/>
              <w:rPr>
                <w:sz w:val="21"/>
              </w:rPr>
            </w:pPr>
            <w:r>
              <w:rPr>
                <w:sz w:val="21"/>
              </w:rPr>
              <w:t>买入返售金融资产</w:t>
            </w:r>
          </w:p>
        </w:tc>
        <w:tc>
          <w:tcPr>
            <w:tcW w:w="2228" w:type="dxa"/>
          </w:tcPr>
          <w:p>
            <w:pPr>
              <w:pStyle w:val="TableParagraph"/>
              <w:spacing w:line="250" w:lineRule="exact" w:before="90"/>
              <w:jc w:val="right"/>
              <w:rPr>
                <w:sz w:val="21"/>
              </w:rPr>
            </w:pPr>
            <w:r>
              <w:rPr>
                <w:w w:val="100"/>
                <w:sz w:val="21"/>
              </w:rPr>
              <w:t>-</w:t>
            </w:r>
          </w:p>
        </w:tc>
        <w:tc>
          <w:tcPr>
            <w:tcW w:w="2219" w:type="dxa"/>
          </w:tcPr>
          <w:p>
            <w:pPr>
              <w:pStyle w:val="TableParagraph"/>
              <w:spacing w:line="250" w:lineRule="exact" w:before="90"/>
              <w:ind w:right="1"/>
              <w:jc w:val="right"/>
              <w:rPr>
                <w:sz w:val="21"/>
              </w:rPr>
            </w:pPr>
            <w:r>
              <w:rPr>
                <w:w w:val="100"/>
                <w:sz w:val="21"/>
              </w:rPr>
              <w:t>-</w:t>
            </w:r>
          </w:p>
        </w:tc>
      </w:tr>
      <w:tr>
        <w:trPr>
          <w:trHeight w:val="721" w:hRule="atLeast"/>
        </w:trPr>
        <w:tc>
          <w:tcPr>
            <w:tcW w:w="581" w:type="dxa"/>
          </w:tcPr>
          <w:p>
            <w:pPr>
              <w:pStyle w:val="TableParagraph"/>
              <w:rPr>
                <w:rFonts w:ascii="Times New Roman"/>
                <w:sz w:val="20"/>
              </w:rPr>
            </w:pPr>
          </w:p>
        </w:tc>
        <w:tc>
          <w:tcPr>
            <w:tcW w:w="3296" w:type="dxa"/>
          </w:tcPr>
          <w:p>
            <w:pPr>
              <w:pStyle w:val="TableParagraph"/>
              <w:spacing w:line="360" w:lineRule="atLeast" w:before="1"/>
              <w:ind w:left="105"/>
              <w:rPr>
                <w:sz w:val="21"/>
              </w:rPr>
            </w:pPr>
            <w:r>
              <w:rPr>
                <w:sz w:val="21"/>
              </w:rPr>
              <w:t>其中：买断式回购的买入返售金融资产</w:t>
            </w:r>
          </w:p>
        </w:tc>
        <w:tc>
          <w:tcPr>
            <w:tcW w:w="2228" w:type="dxa"/>
          </w:tcPr>
          <w:p>
            <w:pPr>
              <w:pStyle w:val="TableParagraph"/>
              <w:spacing w:before="3"/>
              <w:rPr>
                <w:b/>
                <w:sz w:val="21"/>
              </w:rPr>
            </w:pPr>
          </w:p>
          <w:p>
            <w:pPr>
              <w:pStyle w:val="TableParagraph"/>
              <w:jc w:val="right"/>
              <w:rPr>
                <w:sz w:val="21"/>
              </w:rPr>
            </w:pPr>
            <w:r>
              <w:rPr>
                <w:w w:val="100"/>
                <w:sz w:val="21"/>
              </w:rPr>
              <w:t>-</w:t>
            </w:r>
          </w:p>
        </w:tc>
        <w:tc>
          <w:tcPr>
            <w:tcW w:w="2219" w:type="dxa"/>
          </w:tcPr>
          <w:p>
            <w:pPr>
              <w:pStyle w:val="TableParagraph"/>
              <w:spacing w:before="3"/>
              <w:rPr>
                <w:b/>
                <w:sz w:val="21"/>
              </w:rPr>
            </w:pPr>
          </w:p>
          <w:p>
            <w:pPr>
              <w:pStyle w:val="TableParagraph"/>
              <w:ind w:right="1"/>
              <w:jc w:val="right"/>
              <w:rPr>
                <w:sz w:val="21"/>
              </w:rPr>
            </w:pPr>
            <w:r>
              <w:rPr>
                <w:w w:val="100"/>
                <w:sz w:val="21"/>
              </w:rPr>
              <w:t>-</w:t>
            </w:r>
          </w:p>
        </w:tc>
      </w:tr>
      <w:tr>
        <w:trPr>
          <w:trHeight w:val="359" w:hRule="atLeast"/>
        </w:trPr>
        <w:tc>
          <w:tcPr>
            <w:tcW w:w="581" w:type="dxa"/>
          </w:tcPr>
          <w:p>
            <w:pPr>
              <w:pStyle w:val="TableParagraph"/>
              <w:spacing w:line="250" w:lineRule="exact" w:before="89"/>
              <w:ind w:left="9"/>
              <w:jc w:val="center"/>
              <w:rPr>
                <w:sz w:val="21"/>
              </w:rPr>
            </w:pPr>
            <w:r>
              <w:rPr>
                <w:w w:val="100"/>
                <w:sz w:val="21"/>
              </w:rPr>
              <w:t>7</w:t>
            </w:r>
          </w:p>
        </w:tc>
        <w:tc>
          <w:tcPr>
            <w:tcW w:w="3296" w:type="dxa"/>
          </w:tcPr>
          <w:p>
            <w:pPr>
              <w:pStyle w:val="TableParagraph"/>
              <w:spacing w:line="250" w:lineRule="exact" w:before="89"/>
              <w:ind w:left="105"/>
              <w:rPr>
                <w:sz w:val="21"/>
              </w:rPr>
            </w:pPr>
            <w:r>
              <w:rPr>
                <w:sz w:val="21"/>
              </w:rPr>
              <w:t>银行存款和结算备付金合计</w:t>
            </w:r>
          </w:p>
        </w:tc>
        <w:tc>
          <w:tcPr>
            <w:tcW w:w="2228" w:type="dxa"/>
          </w:tcPr>
          <w:p>
            <w:pPr>
              <w:pStyle w:val="TableParagraph"/>
              <w:spacing w:line="250" w:lineRule="exact" w:before="89"/>
              <w:ind w:right="-15"/>
              <w:jc w:val="right"/>
              <w:rPr>
                <w:sz w:val="21"/>
              </w:rPr>
            </w:pPr>
            <w:r>
              <w:rPr>
                <w:sz w:val="21"/>
              </w:rPr>
              <w:t>171,377,766.54</w:t>
            </w:r>
          </w:p>
        </w:tc>
        <w:tc>
          <w:tcPr>
            <w:tcW w:w="2219" w:type="dxa"/>
          </w:tcPr>
          <w:p>
            <w:pPr>
              <w:pStyle w:val="TableParagraph"/>
              <w:spacing w:line="250" w:lineRule="exact" w:before="89"/>
              <w:ind w:right="-15"/>
              <w:jc w:val="right"/>
              <w:rPr>
                <w:sz w:val="21"/>
              </w:rPr>
            </w:pPr>
            <w:r>
              <w:rPr>
                <w:sz w:val="21"/>
              </w:rPr>
              <w:t>8.98</w:t>
            </w:r>
          </w:p>
        </w:tc>
      </w:tr>
      <w:tr>
        <w:trPr>
          <w:trHeight w:val="359" w:hRule="atLeast"/>
        </w:trPr>
        <w:tc>
          <w:tcPr>
            <w:tcW w:w="581" w:type="dxa"/>
          </w:tcPr>
          <w:p>
            <w:pPr>
              <w:pStyle w:val="TableParagraph"/>
              <w:spacing w:line="250" w:lineRule="exact" w:before="90"/>
              <w:ind w:left="9"/>
              <w:jc w:val="center"/>
              <w:rPr>
                <w:sz w:val="21"/>
              </w:rPr>
            </w:pPr>
            <w:r>
              <w:rPr>
                <w:w w:val="100"/>
                <w:sz w:val="21"/>
              </w:rPr>
              <w:t>8</w:t>
            </w:r>
          </w:p>
        </w:tc>
        <w:tc>
          <w:tcPr>
            <w:tcW w:w="3296" w:type="dxa"/>
          </w:tcPr>
          <w:p>
            <w:pPr>
              <w:pStyle w:val="TableParagraph"/>
              <w:spacing w:line="250" w:lineRule="exact" w:before="90"/>
              <w:ind w:left="105"/>
              <w:rPr>
                <w:sz w:val="21"/>
              </w:rPr>
            </w:pPr>
            <w:r>
              <w:rPr>
                <w:sz w:val="21"/>
              </w:rPr>
              <w:t>其他资产</w:t>
            </w:r>
          </w:p>
        </w:tc>
        <w:tc>
          <w:tcPr>
            <w:tcW w:w="2228" w:type="dxa"/>
          </w:tcPr>
          <w:p>
            <w:pPr>
              <w:pStyle w:val="TableParagraph"/>
              <w:spacing w:line="250" w:lineRule="exact" w:before="90"/>
              <w:ind w:right="-15"/>
              <w:jc w:val="right"/>
              <w:rPr>
                <w:sz w:val="21"/>
              </w:rPr>
            </w:pPr>
            <w:r>
              <w:rPr>
                <w:sz w:val="21"/>
              </w:rPr>
              <w:t>10,101,389.94</w:t>
            </w:r>
          </w:p>
        </w:tc>
        <w:tc>
          <w:tcPr>
            <w:tcW w:w="2219" w:type="dxa"/>
          </w:tcPr>
          <w:p>
            <w:pPr>
              <w:pStyle w:val="TableParagraph"/>
              <w:spacing w:line="250" w:lineRule="exact" w:before="90"/>
              <w:ind w:right="-15"/>
              <w:jc w:val="right"/>
              <w:rPr>
                <w:sz w:val="21"/>
              </w:rPr>
            </w:pPr>
            <w:r>
              <w:rPr>
                <w:sz w:val="21"/>
              </w:rPr>
              <w:t>0.53</w:t>
            </w:r>
          </w:p>
        </w:tc>
      </w:tr>
      <w:tr>
        <w:trPr>
          <w:trHeight w:val="359" w:hRule="atLeast"/>
        </w:trPr>
        <w:tc>
          <w:tcPr>
            <w:tcW w:w="581" w:type="dxa"/>
          </w:tcPr>
          <w:p>
            <w:pPr>
              <w:pStyle w:val="TableParagraph"/>
              <w:spacing w:line="250" w:lineRule="exact" w:before="89"/>
              <w:ind w:left="9"/>
              <w:jc w:val="center"/>
              <w:rPr>
                <w:sz w:val="21"/>
              </w:rPr>
            </w:pPr>
            <w:r>
              <w:rPr>
                <w:w w:val="100"/>
                <w:sz w:val="21"/>
              </w:rPr>
              <w:t>9</w:t>
            </w:r>
          </w:p>
        </w:tc>
        <w:tc>
          <w:tcPr>
            <w:tcW w:w="3296" w:type="dxa"/>
          </w:tcPr>
          <w:p>
            <w:pPr>
              <w:pStyle w:val="TableParagraph"/>
              <w:spacing w:line="250" w:lineRule="exact" w:before="89"/>
              <w:ind w:left="105"/>
              <w:rPr>
                <w:sz w:val="21"/>
              </w:rPr>
            </w:pPr>
            <w:r>
              <w:rPr>
                <w:sz w:val="21"/>
              </w:rPr>
              <w:t>合计</w:t>
            </w:r>
          </w:p>
        </w:tc>
        <w:tc>
          <w:tcPr>
            <w:tcW w:w="2228" w:type="dxa"/>
          </w:tcPr>
          <w:p>
            <w:pPr>
              <w:pStyle w:val="TableParagraph"/>
              <w:spacing w:line="250" w:lineRule="exact" w:before="89"/>
              <w:ind w:right="-15"/>
              <w:jc w:val="right"/>
              <w:rPr>
                <w:sz w:val="21"/>
              </w:rPr>
            </w:pPr>
            <w:r>
              <w:rPr>
                <w:sz w:val="21"/>
              </w:rPr>
              <w:t>1,908,095,896.87</w:t>
            </w:r>
          </w:p>
        </w:tc>
        <w:tc>
          <w:tcPr>
            <w:tcW w:w="2219" w:type="dxa"/>
          </w:tcPr>
          <w:p>
            <w:pPr>
              <w:pStyle w:val="TableParagraph"/>
              <w:spacing w:line="250" w:lineRule="exact" w:before="89"/>
              <w:ind w:right="-15"/>
              <w:jc w:val="right"/>
              <w:rPr>
                <w:sz w:val="21"/>
              </w:rPr>
            </w:pPr>
            <w:r>
              <w:rPr>
                <w:sz w:val="21"/>
              </w:rPr>
              <w:t>100.00</w:t>
            </w:r>
          </w:p>
        </w:tc>
      </w:tr>
    </w:tbl>
    <w:p>
      <w:pPr>
        <w:pStyle w:val="ListParagraph"/>
        <w:numPr>
          <w:ilvl w:val="0"/>
          <w:numId w:val="28"/>
        </w:numPr>
        <w:tabs>
          <w:tab w:pos="922" w:val="left" w:leader="none"/>
        </w:tabs>
        <w:spacing w:line="240" w:lineRule="auto" w:before="235" w:after="0"/>
        <w:ind w:left="922" w:right="0" w:hanging="264"/>
        <w:jc w:val="left"/>
        <w:rPr>
          <w:b/>
          <w:sz w:val="24"/>
        </w:rPr>
      </w:pPr>
      <w:r>
        <w:rPr>
          <w:b/>
          <w:sz w:val="24"/>
        </w:rPr>
        <w:t>报告期末按行业分类的股票投资组合</w:t>
      </w:r>
    </w:p>
    <w:p>
      <w:pPr>
        <w:pStyle w:val="BodyText"/>
        <w:spacing w:before="9"/>
        <w:rPr>
          <w:b/>
          <w:sz w:val="24"/>
        </w:rPr>
      </w:pPr>
    </w:p>
    <w:p>
      <w:pPr>
        <w:pStyle w:val="ListParagraph"/>
        <w:numPr>
          <w:ilvl w:val="1"/>
          <w:numId w:val="28"/>
        </w:numPr>
        <w:tabs>
          <w:tab w:pos="1064" w:val="left" w:leader="none"/>
        </w:tabs>
        <w:spacing w:line="240" w:lineRule="auto" w:before="0" w:after="0"/>
        <w:ind w:left="1063" w:right="0" w:hanging="406"/>
        <w:jc w:val="left"/>
        <w:rPr>
          <w:rFonts w:ascii="Cambria" w:eastAsia="Cambria"/>
          <w:b/>
          <w:sz w:val="24"/>
        </w:rPr>
      </w:pPr>
      <w:r>
        <w:rPr>
          <w:b/>
          <w:sz w:val="24"/>
        </w:rPr>
        <w:t>报告期末按行业分类的境内股票投资组合</w:t>
      </w:r>
    </w:p>
    <w:p>
      <w:pPr>
        <w:pStyle w:val="BodyText"/>
        <w:spacing w:after="1"/>
        <w:rPr>
          <w:b/>
          <w:sz w:val="11"/>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2895"/>
        <w:gridCol w:w="3005"/>
        <w:gridCol w:w="1721"/>
      </w:tblGrid>
      <w:tr>
        <w:trPr>
          <w:trHeight w:val="405" w:hRule="atLeast"/>
        </w:trPr>
        <w:tc>
          <w:tcPr>
            <w:tcW w:w="713" w:type="dxa"/>
            <w:shd w:val="clear" w:color="auto" w:fill="D9D9D9"/>
          </w:tcPr>
          <w:p>
            <w:pPr>
              <w:pStyle w:val="TableParagraph"/>
              <w:spacing w:line="264" w:lineRule="exact" w:before="121"/>
              <w:ind w:left="143"/>
              <w:rPr>
                <w:sz w:val="21"/>
              </w:rPr>
            </w:pPr>
            <w:r>
              <w:rPr>
                <w:sz w:val="21"/>
              </w:rPr>
              <w:t>代码</w:t>
            </w:r>
          </w:p>
        </w:tc>
        <w:tc>
          <w:tcPr>
            <w:tcW w:w="2895" w:type="dxa"/>
            <w:shd w:val="clear" w:color="auto" w:fill="D9D9D9"/>
          </w:tcPr>
          <w:p>
            <w:pPr>
              <w:pStyle w:val="TableParagraph"/>
              <w:spacing w:line="264" w:lineRule="exact" w:before="121"/>
              <w:ind w:left="1005" w:right="999"/>
              <w:jc w:val="center"/>
              <w:rPr>
                <w:sz w:val="21"/>
              </w:rPr>
            </w:pPr>
            <w:r>
              <w:rPr>
                <w:sz w:val="21"/>
              </w:rPr>
              <w:t>行业类别</w:t>
            </w:r>
          </w:p>
        </w:tc>
        <w:tc>
          <w:tcPr>
            <w:tcW w:w="3005" w:type="dxa"/>
            <w:shd w:val="clear" w:color="auto" w:fill="D9D9D9"/>
          </w:tcPr>
          <w:p>
            <w:pPr>
              <w:pStyle w:val="TableParagraph"/>
              <w:spacing w:line="264" w:lineRule="exact" w:before="121"/>
              <w:ind w:left="765"/>
              <w:rPr>
                <w:sz w:val="21"/>
              </w:rPr>
            </w:pPr>
            <w:r>
              <w:rPr>
                <w:sz w:val="21"/>
              </w:rPr>
              <w:t>公允价值（元）</w:t>
            </w:r>
          </w:p>
        </w:tc>
        <w:tc>
          <w:tcPr>
            <w:tcW w:w="1721" w:type="dxa"/>
            <w:shd w:val="clear" w:color="auto" w:fill="D9D9D9"/>
          </w:tcPr>
          <w:p>
            <w:pPr>
              <w:pStyle w:val="TableParagraph"/>
              <w:spacing w:line="264" w:lineRule="exact" w:before="121"/>
              <w:ind w:left="18"/>
              <w:rPr>
                <w:sz w:val="21"/>
              </w:rPr>
            </w:pPr>
            <w:r>
              <w:rPr>
                <w:sz w:val="21"/>
              </w:rPr>
              <w:t>占基金资产净值比</w:t>
            </w:r>
          </w:p>
        </w:tc>
      </w:tr>
    </w:tbl>
    <w:p>
      <w:pPr>
        <w:spacing w:after="0" w:line="264" w:lineRule="exact"/>
        <w:rPr>
          <w:sz w:val="21"/>
        </w:rPr>
        <w:sectPr>
          <w:pgSz w:w="11910" w:h="16840"/>
          <w:pgMar w:header="852" w:footer="992" w:top="1220" w:bottom="1180" w:left="1140" w:right="480"/>
        </w:sectPr>
      </w:pPr>
    </w:p>
    <w:p>
      <w:pPr>
        <w:pStyle w:val="BodyText"/>
        <w:spacing w:before="11"/>
        <w:rPr>
          <w:b/>
          <w:sz w:val="16"/>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2895"/>
        <w:gridCol w:w="3005"/>
        <w:gridCol w:w="1721"/>
      </w:tblGrid>
      <w:tr>
        <w:trPr>
          <w:trHeight w:val="405" w:hRule="atLeast"/>
        </w:trPr>
        <w:tc>
          <w:tcPr>
            <w:tcW w:w="713" w:type="dxa"/>
            <w:shd w:val="clear" w:color="auto" w:fill="D9D9D9"/>
          </w:tcPr>
          <w:p>
            <w:pPr>
              <w:pStyle w:val="TableParagraph"/>
              <w:rPr>
                <w:rFonts w:ascii="Times New Roman"/>
                <w:sz w:val="20"/>
              </w:rPr>
            </w:pPr>
          </w:p>
        </w:tc>
        <w:tc>
          <w:tcPr>
            <w:tcW w:w="2895" w:type="dxa"/>
            <w:shd w:val="clear" w:color="auto" w:fill="D9D9D9"/>
          </w:tcPr>
          <w:p>
            <w:pPr>
              <w:pStyle w:val="TableParagraph"/>
              <w:rPr>
                <w:rFonts w:ascii="Times New Roman"/>
                <w:sz w:val="20"/>
              </w:rPr>
            </w:pPr>
          </w:p>
        </w:tc>
        <w:tc>
          <w:tcPr>
            <w:tcW w:w="3005" w:type="dxa"/>
            <w:shd w:val="clear" w:color="auto" w:fill="D9D9D9"/>
          </w:tcPr>
          <w:p>
            <w:pPr>
              <w:pStyle w:val="TableParagraph"/>
              <w:rPr>
                <w:rFonts w:ascii="Times New Roman"/>
                <w:sz w:val="20"/>
              </w:rPr>
            </w:pPr>
          </w:p>
        </w:tc>
        <w:tc>
          <w:tcPr>
            <w:tcW w:w="1721" w:type="dxa"/>
            <w:shd w:val="clear" w:color="auto" w:fill="D9D9D9"/>
          </w:tcPr>
          <w:p>
            <w:pPr>
              <w:pStyle w:val="TableParagraph"/>
              <w:spacing w:before="104"/>
              <w:ind w:left="489"/>
              <w:rPr>
                <w:sz w:val="21"/>
              </w:rPr>
            </w:pPr>
            <w:r>
              <w:rPr>
                <w:sz w:val="21"/>
              </w:rPr>
              <w:t>例（%）</w:t>
            </w:r>
          </w:p>
        </w:tc>
      </w:tr>
      <w:tr>
        <w:trPr>
          <w:trHeight w:val="373" w:hRule="atLeast"/>
        </w:trPr>
        <w:tc>
          <w:tcPr>
            <w:tcW w:w="713" w:type="dxa"/>
          </w:tcPr>
          <w:p>
            <w:pPr>
              <w:pStyle w:val="TableParagraph"/>
              <w:spacing w:line="250" w:lineRule="exact" w:before="104"/>
              <w:ind w:right="293"/>
              <w:jc w:val="right"/>
              <w:rPr>
                <w:sz w:val="21"/>
              </w:rPr>
            </w:pPr>
            <w:r>
              <w:rPr>
                <w:w w:val="100"/>
                <w:sz w:val="21"/>
              </w:rPr>
              <w:t>A</w:t>
            </w:r>
          </w:p>
        </w:tc>
        <w:tc>
          <w:tcPr>
            <w:tcW w:w="2895" w:type="dxa"/>
          </w:tcPr>
          <w:p>
            <w:pPr>
              <w:pStyle w:val="TableParagraph"/>
              <w:spacing w:line="250" w:lineRule="exact" w:before="104"/>
              <w:ind w:left="13"/>
              <w:rPr>
                <w:sz w:val="21"/>
              </w:rPr>
            </w:pPr>
            <w:r>
              <w:rPr>
                <w:sz w:val="21"/>
              </w:rPr>
              <w:t>农、林、牧、渔业</w:t>
            </w:r>
          </w:p>
        </w:tc>
        <w:tc>
          <w:tcPr>
            <w:tcW w:w="3005" w:type="dxa"/>
          </w:tcPr>
          <w:p>
            <w:pPr>
              <w:pStyle w:val="TableParagraph"/>
              <w:spacing w:line="250" w:lineRule="exact" w:before="104"/>
              <w:ind w:right="-15"/>
              <w:jc w:val="right"/>
              <w:rPr>
                <w:sz w:val="21"/>
              </w:rPr>
            </w:pPr>
            <w:r>
              <w:rPr>
                <w:sz w:val="21"/>
              </w:rPr>
              <w:t>17,663,634.00</w:t>
            </w:r>
          </w:p>
        </w:tc>
        <w:tc>
          <w:tcPr>
            <w:tcW w:w="1721" w:type="dxa"/>
          </w:tcPr>
          <w:p>
            <w:pPr>
              <w:pStyle w:val="TableParagraph"/>
              <w:spacing w:line="250" w:lineRule="exact" w:before="104"/>
              <w:ind w:right="2"/>
              <w:jc w:val="right"/>
              <w:rPr>
                <w:sz w:val="21"/>
              </w:rPr>
            </w:pPr>
            <w:r>
              <w:rPr>
                <w:sz w:val="21"/>
              </w:rPr>
              <w:t>0.94</w:t>
            </w:r>
          </w:p>
        </w:tc>
      </w:tr>
      <w:tr>
        <w:trPr>
          <w:trHeight w:val="376" w:hRule="atLeast"/>
        </w:trPr>
        <w:tc>
          <w:tcPr>
            <w:tcW w:w="713" w:type="dxa"/>
          </w:tcPr>
          <w:p>
            <w:pPr>
              <w:pStyle w:val="TableParagraph"/>
              <w:spacing w:line="250" w:lineRule="exact" w:before="106"/>
              <w:ind w:right="293"/>
              <w:jc w:val="right"/>
              <w:rPr>
                <w:sz w:val="21"/>
              </w:rPr>
            </w:pPr>
            <w:r>
              <w:rPr>
                <w:w w:val="100"/>
                <w:sz w:val="21"/>
              </w:rPr>
              <w:t>B</w:t>
            </w:r>
          </w:p>
        </w:tc>
        <w:tc>
          <w:tcPr>
            <w:tcW w:w="2895" w:type="dxa"/>
          </w:tcPr>
          <w:p>
            <w:pPr>
              <w:pStyle w:val="TableParagraph"/>
              <w:spacing w:line="250" w:lineRule="exact" w:before="106"/>
              <w:ind w:left="13"/>
              <w:rPr>
                <w:sz w:val="21"/>
              </w:rPr>
            </w:pPr>
            <w:r>
              <w:rPr>
                <w:sz w:val="21"/>
              </w:rPr>
              <w:t>采矿业</w:t>
            </w:r>
          </w:p>
        </w:tc>
        <w:tc>
          <w:tcPr>
            <w:tcW w:w="3005" w:type="dxa"/>
          </w:tcPr>
          <w:p>
            <w:pPr>
              <w:pStyle w:val="TableParagraph"/>
              <w:spacing w:line="250" w:lineRule="exact" w:before="106"/>
              <w:ind w:right="-15"/>
              <w:jc w:val="right"/>
              <w:rPr>
                <w:sz w:val="21"/>
              </w:rPr>
            </w:pPr>
            <w:r>
              <w:rPr>
                <w:w w:val="100"/>
                <w:sz w:val="21"/>
              </w:rPr>
              <w:t>-</w:t>
            </w:r>
          </w:p>
        </w:tc>
        <w:tc>
          <w:tcPr>
            <w:tcW w:w="1721" w:type="dxa"/>
          </w:tcPr>
          <w:p>
            <w:pPr>
              <w:pStyle w:val="TableParagraph"/>
              <w:spacing w:line="250" w:lineRule="exact" w:before="106"/>
              <w:ind w:right="4"/>
              <w:jc w:val="right"/>
              <w:rPr>
                <w:sz w:val="21"/>
              </w:rPr>
            </w:pPr>
            <w:r>
              <w:rPr>
                <w:w w:val="100"/>
                <w:sz w:val="21"/>
              </w:rPr>
              <w:t>-</w:t>
            </w:r>
          </w:p>
        </w:tc>
      </w:tr>
      <w:tr>
        <w:trPr>
          <w:trHeight w:val="373" w:hRule="atLeast"/>
        </w:trPr>
        <w:tc>
          <w:tcPr>
            <w:tcW w:w="713" w:type="dxa"/>
          </w:tcPr>
          <w:p>
            <w:pPr>
              <w:pStyle w:val="TableParagraph"/>
              <w:spacing w:line="250" w:lineRule="exact" w:before="104"/>
              <w:ind w:right="293"/>
              <w:jc w:val="right"/>
              <w:rPr>
                <w:sz w:val="21"/>
              </w:rPr>
            </w:pPr>
            <w:r>
              <w:rPr>
                <w:w w:val="100"/>
                <w:sz w:val="21"/>
              </w:rPr>
              <w:t>C</w:t>
            </w:r>
          </w:p>
        </w:tc>
        <w:tc>
          <w:tcPr>
            <w:tcW w:w="2895" w:type="dxa"/>
          </w:tcPr>
          <w:p>
            <w:pPr>
              <w:pStyle w:val="TableParagraph"/>
              <w:spacing w:line="250" w:lineRule="exact" w:before="104"/>
              <w:ind w:left="13"/>
              <w:rPr>
                <w:sz w:val="21"/>
              </w:rPr>
            </w:pPr>
            <w:r>
              <w:rPr>
                <w:sz w:val="21"/>
              </w:rPr>
              <w:t>制造业</w:t>
            </w:r>
          </w:p>
        </w:tc>
        <w:tc>
          <w:tcPr>
            <w:tcW w:w="3005" w:type="dxa"/>
          </w:tcPr>
          <w:p>
            <w:pPr>
              <w:pStyle w:val="TableParagraph"/>
              <w:spacing w:line="250" w:lineRule="exact" w:before="104"/>
              <w:ind w:right="-15"/>
              <w:jc w:val="right"/>
              <w:rPr>
                <w:sz w:val="21"/>
              </w:rPr>
            </w:pPr>
            <w:r>
              <w:rPr>
                <w:sz w:val="21"/>
              </w:rPr>
              <w:t>620,263,055.25</w:t>
            </w:r>
          </w:p>
        </w:tc>
        <w:tc>
          <w:tcPr>
            <w:tcW w:w="1721" w:type="dxa"/>
          </w:tcPr>
          <w:p>
            <w:pPr>
              <w:pStyle w:val="TableParagraph"/>
              <w:spacing w:line="250" w:lineRule="exact" w:before="104"/>
              <w:ind w:right="2"/>
              <w:jc w:val="right"/>
              <w:rPr>
                <w:sz w:val="21"/>
              </w:rPr>
            </w:pPr>
            <w:r>
              <w:rPr>
                <w:sz w:val="21"/>
              </w:rPr>
              <w:t>32.86</w:t>
            </w:r>
          </w:p>
        </w:tc>
      </w:tr>
      <w:tr>
        <w:trPr>
          <w:trHeight w:val="736" w:hRule="atLeast"/>
        </w:trPr>
        <w:tc>
          <w:tcPr>
            <w:tcW w:w="713" w:type="dxa"/>
          </w:tcPr>
          <w:p>
            <w:pPr>
              <w:pStyle w:val="TableParagraph"/>
              <w:spacing w:before="106"/>
              <w:ind w:right="293"/>
              <w:jc w:val="right"/>
              <w:rPr>
                <w:sz w:val="21"/>
              </w:rPr>
            </w:pPr>
            <w:r>
              <w:rPr>
                <w:w w:val="100"/>
                <w:sz w:val="21"/>
              </w:rPr>
              <w:t>D</w:t>
            </w:r>
          </w:p>
        </w:tc>
        <w:tc>
          <w:tcPr>
            <w:tcW w:w="2895" w:type="dxa"/>
          </w:tcPr>
          <w:p>
            <w:pPr>
              <w:pStyle w:val="TableParagraph"/>
              <w:spacing w:line="360" w:lineRule="atLeast" w:before="15"/>
              <w:ind w:left="13" w:right="3"/>
              <w:rPr>
                <w:sz w:val="21"/>
              </w:rPr>
            </w:pPr>
            <w:r>
              <w:rPr>
                <w:spacing w:val="-12"/>
                <w:sz w:val="21"/>
              </w:rPr>
              <w:t>电力、热力、燃气及水生产和供</w:t>
            </w:r>
            <w:r>
              <w:rPr>
                <w:sz w:val="21"/>
              </w:rPr>
              <w:t>应业</w:t>
            </w:r>
          </w:p>
        </w:tc>
        <w:tc>
          <w:tcPr>
            <w:tcW w:w="3005" w:type="dxa"/>
          </w:tcPr>
          <w:p>
            <w:pPr>
              <w:pStyle w:val="TableParagraph"/>
              <w:rPr>
                <w:b/>
                <w:sz w:val="20"/>
              </w:rPr>
            </w:pPr>
          </w:p>
          <w:p>
            <w:pPr>
              <w:pStyle w:val="TableParagraph"/>
              <w:spacing w:before="5"/>
              <w:rPr>
                <w:b/>
                <w:sz w:val="16"/>
              </w:rPr>
            </w:pPr>
          </w:p>
          <w:p>
            <w:pPr>
              <w:pStyle w:val="TableParagraph"/>
              <w:spacing w:line="250" w:lineRule="exact"/>
              <w:ind w:right="-15"/>
              <w:jc w:val="right"/>
              <w:rPr>
                <w:sz w:val="21"/>
              </w:rPr>
            </w:pPr>
            <w:r>
              <w:rPr>
                <w:w w:val="100"/>
                <w:sz w:val="21"/>
              </w:rPr>
              <w:t>-</w:t>
            </w:r>
          </w:p>
        </w:tc>
        <w:tc>
          <w:tcPr>
            <w:tcW w:w="1721" w:type="dxa"/>
          </w:tcPr>
          <w:p>
            <w:pPr>
              <w:pStyle w:val="TableParagraph"/>
              <w:rPr>
                <w:b/>
                <w:sz w:val="20"/>
              </w:rPr>
            </w:pPr>
          </w:p>
          <w:p>
            <w:pPr>
              <w:pStyle w:val="TableParagraph"/>
              <w:spacing w:before="5"/>
              <w:rPr>
                <w:b/>
                <w:sz w:val="16"/>
              </w:rPr>
            </w:pPr>
          </w:p>
          <w:p>
            <w:pPr>
              <w:pStyle w:val="TableParagraph"/>
              <w:spacing w:line="250" w:lineRule="exact"/>
              <w:ind w:right="4"/>
              <w:jc w:val="right"/>
              <w:rPr>
                <w:sz w:val="21"/>
              </w:rPr>
            </w:pPr>
            <w:r>
              <w:rPr>
                <w:w w:val="100"/>
                <w:sz w:val="21"/>
              </w:rPr>
              <w:t>-</w:t>
            </w:r>
          </w:p>
        </w:tc>
      </w:tr>
      <w:tr>
        <w:trPr>
          <w:trHeight w:val="374" w:hRule="atLeast"/>
        </w:trPr>
        <w:tc>
          <w:tcPr>
            <w:tcW w:w="713" w:type="dxa"/>
          </w:tcPr>
          <w:p>
            <w:pPr>
              <w:pStyle w:val="TableParagraph"/>
              <w:spacing w:line="250" w:lineRule="exact" w:before="104"/>
              <w:ind w:right="293"/>
              <w:jc w:val="right"/>
              <w:rPr>
                <w:sz w:val="21"/>
              </w:rPr>
            </w:pPr>
            <w:r>
              <w:rPr>
                <w:w w:val="100"/>
                <w:sz w:val="21"/>
              </w:rPr>
              <w:t>E</w:t>
            </w:r>
          </w:p>
        </w:tc>
        <w:tc>
          <w:tcPr>
            <w:tcW w:w="2895" w:type="dxa"/>
          </w:tcPr>
          <w:p>
            <w:pPr>
              <w:pStyle w:val="TableParagraph"/>
              <w:spacing w:line="250" w:lineRule="exact" w:before="104"/>
              <w:ind w:left="13"/>
              <w:rPr>
                <w:sz w:val="21"/>
              </w:rPr>
            </w:pPr>
            <w:r>
              <w:rPr>
                <w:sz w:val="21"/>
              </w:rPr>
              <w:t>建筑业</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373" w:hRule="atLeast"/>
        </w:trPr>
        <w:tc>
          <w:tcPr>
            <w:tcW w:w="713" w:type="dxa"/>
          </w:tcPr>
          <w:p>
            <w:pPr>
              <w:pStyle w:val="TableParagraph"/>
              <w:spacing w:line="250" w:lineRule="exact" w:before="104"/>
              <w:ind w:right="293"/>
              <w:jc w:val="right"/>
              <w:rPr>
                <w:sz w:val="21"/>
              </w:rPr>
            </w:pPr>
            <w:r>
              <w:rPr>
                <w:w w:val="100"/>
                <w:sz w:val="21"/>
              </w:rPr>
              <w:t>F</w:t>
            </w:r>
          </w:p>
        </w:tc>
        <w:tc>
          <w:tcPr>
            <w:tcW w:w="2895" w:type="dxa"/>
          </w:tcPr>
          <w:p>
            <w:pPr>
              <w:pStyle w:val="TableParagraph"/>
              <w:spacing w:line="250" w:lineRule="exact" w:before="104"/>
              <w:ind w:left="13"/>
              <w:rPr>
                <w:sz w:val="21"/>
              </w:rPr>
            </w:pPr>
            <w:r>
              <w:rPr>
                <w:sz w:val="21"/>
              </w:rPr>
              <w:t>批发和零售业</w:t>
            </w:r>
          </w:p>
        </w:tc>
        <w:tc>
          <w:tcPr>
            <w:tcW w:w="3005" w:type="dxa"/>
          </w:tcPr>
          <w:p>
            <w:pPr>
              <w:pStyle w:val="TableParagraph"/>
              <w:spacing w:line="250" w:lineRule="exact" w:before="104"/>
              <w:ind w:right="-15"/>
              <w:jc w:val="right"/>
              <w:rPr>
                <w:sz w:val="21"/>
              </w:rPr>
            </w:pPr>
            <w:r>
              <w:rPr>
                <w:sz w:val="21"/>
              </w:rPr>
              <w:t>139,141,919.61</w:t>
            </w:r>
          </w:p>
        </w:tc>
        <w:tc>
          <w:tcPr>
            <w:tcW w:w="1721" w:type="dxa"/>
          </w:tcPr>
          <w:p>
            <w:pPr>
              <w:pStyle w:val="TableParagraph"/>
              <w:spacing w:line="250" w:lineRule="exact" w:before="104"/>
              <w:ind w:right="2"/>
              <w:jc w:val="right"/>
              <w:rPr>
                <w:sz w:val="21"/>
              </w:rPr>
            </w:pPr>
            <w:r>
              <w:rPr>
                <w:sz w:val="21"/>
              </w:rPr>
              <w:t>7.37</w:t>
            </w:r>
          </w:p>
        </w:tc>
      </w:tr>
      <w:tr>
        <w:trPr>
          <w:trHeight w:val="377" w:hRule="atLeast"/>
        </w:trPr>
        <w:tc>
          <w:tcPr>
            <w:tcW w:w="713" w:type="dxa"/>
          </w:tcPr>
          <w:p>
            <w:pPr>
              <w:pStyle w:val="TableParagraph"/>
              <w:spacing w:line="250" w:lineRule="exact" w:before="106"/>
              <w:ind w:right="293"/>
              <w:jc w:val="right"/>
              <w:rPr>
                <w:sz w:val="21"/>
              </w:rPr>
            </w:pPr>
            <w:r>
              <w:rPr>
                <w:w w:val="100"/>
                <w:sz w:val="21"/>
              </w:rPr>
              <w:t>G</w:t>
            </w:r>
          </w:p>
        </w:tc>
        <w:tc>
          <w:tcPr>
            <w:tcW w:w="2895" w:type="dxa"/>
          </w:tcPr>
          <w:p>
            <w:pPr>
              <w:pStyle w:val="TableParagraph"/>
              <w:spacing w:line="250" w:lineRule="exact" w:before="106"/>
              <w:ind w:left="13"/>
              <w:rPr>
                <w:sz w:val="21"/>
              </w:rPr>
            </w:pPr>
            <w:r>
              <w:rPr>
                <w:sz w:val="21"/>
              </w:rPr>
              <w:t>交通运输、仓储和邮政业</w:t>
            </w:r>
          </w:p>
        </w:tc>
        <w:tc>
          <w:tcPr>
            <w:tcW w:w="3005" w:type="dxa"/>
          </w:tcPr>
          <w:p>
            <w:pPr>
              <w:pStyle w:val="TableParagraph"/>
              <w:spacing w:line="250" w:lineRule="exact" w:before="106"/>
              <w:ind w:right="-15"/>
              <w:jc w:val="right"/>
              <w:rPr>
                <w:sz w:val="21"/>
              </w:rPr>
            </w:pPr>
            <w:r>
              <w:rPr>
                <w:w w:val="100"/>
                <w:sz w:val="21"/>
              </w:rPr>
              <w:t>-</w:t>
            </w:r>
          </w:p>
        </w:tc>
        <w:tc>
          <w:tcPr>
            <w:tcW w:w="1721" w:type="dxa"/>
          </w:tcPr>
          <w:p>
            <w:pPr>
              <w:pStyle w:val="TableParagraph"/>
              <w:spacing w:line="250" w:lineRule="exact" w:before="106"/>
              <w:ind w:right="4"/>
              <w:jc w:val="right"/>
              <w:rPr>
                <w:sz w:val="21"/>
              </w:rPr>
            </w:pPr>
            <w:r>
              <w:rPr>
                <w:w w:val="100"/>
                <w:sz w:val="21"/>
              </w:rPr>
              <w:t>-</w:t>
            </w:r>
          </w:p>
        </w:tc>
      </w:tr>
      <w:tr>
        <w:trPr>
          <w:trHeight w:val="373" w:hRule="atLeast"/>
        </w:trPr>
        <w:tc>
          <w:tcPr>
            <w:tcW w:w="713" w:type="dxa"/>
          </w:tcPr>
          <w:p>
            <w:pPr>
              <w:pStyle w:val="TableParagraph"/>
              <w:spacing w:line="250" w:lineRule="exact" w:before="104"/>
              <w:ind w:right="293"/>
              <w:jc w:val="right"/>
              <w:rPr>
                <w:sz w:val="21"/>
              </w:rPr>
            </w:pPr>
            <w:r>
              <w:rPr>
                <w:w w:val="100"/>
                <w:sz w:val="21"/>
              </w:rPr>
              <w:t>H</w:t>
            </w:r>
          </w:p>
        </w:tc>
        <w:tc>
          <w:tcPr>
            <w:tcW w:w="2895" w:type="dxa"/>
          </w:tcPr>
          <w:p>
            <w:pPr>
              <w:pStyle w:val="TableParagraph"/>
              <w:spacing w:line="250" w:lineRule="exact" w:before="104"/>
              <w:ind w:left="13"/>
              <w:rPr>
                <w:sz w:val="21"/>
              </w:rPr>
            </w:pPr>
            <w:r>
              <w:rPr>
                <w:sz w:val="21"/>
              </w:rPr>
              <w:t>住宿和餐饮业</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736" w:hRule="atLeast"/>
        </w:trPr>
        <w:tc>
          <w:tcPr>
            <w:tcW w:w="713" w:type="dxa"/>
          </w:tcPr>
          <w:p>
            <w:pPr>
              <w:pStyle w:val="TableParagraph"/>
              <w:spacing w:before="106"/>
              <w:ind w:right="293"/>
              <w:jc w:val="right"/>
              <w:rPr>
                <w:sz w:val="21"/>
              </w:rPr>
            </w:pPr>
            <w:r>
              <w:rPr>
                <w:w w:val="100"/>
                <w:sz w:val="21"/>
              </w:rPr>
              <w:t>I</w:t>
            </w:r>
          </w:p>
        </w:tc>
        <w:tc>
          <w:tcPr>
            <w:tcW w:w="2895" w:type="dxa"/>
          </w:tcPr>
          <w:p>
            <w:pPr>
              <w:pStyle w:val="TableParagraph"/>
              <w:spacing w:line="360" w:lineRule="atLeast" w:before="15"/>
              <w:ind w:left="13" w:right="3"/>
              <w:rPr>
                <w:sz w:val="21"/>
              </w:rPr>
            </w:pPr>
            <w:r>
              <w:rPr>
                <w:spacing w:val="-11"/>
                <w:sz w:val="21"/>
              </w:rPr>
              <w:t>信息传输、软件和信息技术服务</w:t>
            </w:r>
            <w:r>
              <w:rPr>
                <w:sz w:val="21"/>
              </w:rPr>
              <w:t>业</w:t>
            </w:r>
          </w:p>
        </w:tc>
        <w:tc>
          <w:tcPr>
            <w:tcW w:w="3005" w:type="dxa"/>
          </w:tcPr>
          <w:p>
            <w:pPr>
              <w:pStyle w:val="TableParagraph"/>
              <w:rPr>
                <w:b/>
                <w:sz w:val="20"/>
              </w:rPr>
            </w:pPr>
          </w:p>
          <w:p>
            <w:pPr>
              <w:pStyle w:val="TableParagraph"/>
              <w:spacing w:before="5"/>
              <w:rPr>
                <w:b/>
                <w:sz w:val="16"/>
              </w:rPr>
            </w:pPr>
          </w:p>
          <w:p>
            <w:pPr>
              <w:pStyle w:val="TableParagraph"/>
              <w:spacing w:line="250" w:lineRule="exact"/>
              <w:ind w:right="-15"/>
              <w:jc w:val="right"/>
              <w:rPr>
                <w:sz w:val="21"/>
              </w:rPr>
            </w:pPr>
            <w:r>
              <w:rPr>
                <w:sz w:val="21"/>
              </w:rPr>
              <w:t>54,729,324.60</w:t>
            </w:r>
          </w:p>
        </w:tc>
        <w:tc>
          <w:tcPr>
            <w:tcW w:w="1721" w:type="dxa"/>
          </w:tcPr>
          <w:p>
            <w:pPr>
              <w:pStyle w:val="TableParagraph"/>
              <w:rPr>
                <w:b/>
                <w:sz w:val="20"/>
              </w:rPr>
            </w:pPr>
          </w:p>
          <w:p>
            <w:pPr>
              <w:pStyle w:val="TableParagraph"/>
              <w:spacing w:before="5"/>
              <w:rPr>
                <w:b/>
                <w:sz w:val="16"/>
              </w:rPr>
            </w:pPr>
          </w:p>
          <w:p>
            <w:pPr>
              <w:pStyle w:val="TableParagraph"/>
              <w:spacing w:line="250" w:lineRule="exact"/>
              <w:ind w:right="2"/>
              <w:jc w:val="right"/>
              <w:rPr>
                <w:sz w:val="21"/>
              </w:rPr>
            </w:pPr>
            <w:r>
              <w:rPr>
                <w:sz w:val="21"/>
              </w:rPr>
              <w:t>2.90</w:t>
            </w:r>
          </w:p>
        </w:tc>
      </w:tr>
      <w:tr>
        <w:trPr>
          <w:trHeight w:val="373" w:hRule="atLeast"/>
        </w:trPr>
        <w:tc>
          <w:tcPr>
            <w:tcW w:w="713" w:type="dxa"/>
          </w:tcPr>
          <w:p>
            <w:pPr>
              <w:pStyle w:val="TableParagraph"/>
              <w:spacing w:line="250" w:lineRule="exact" w:before="104"/>
              <w:ind w:right="293"/>
              <w:jc w:val="right"/>
              <w:rPr>
                <w:sz w:val="21"/>
              </w:rPr>
            </w:pPr>
            <w:r>
              <w:rPr>
                <w:w w:val="100"/>
                <w:sz w:val="21"/>
              </w:rPr>
              <w:t>J</w:t>
            </w:r>
          </w:p>
        </w:tc>
        <w:tc>
          <w:tcPr>
            <w:tcW w:w="2895" w:type="dxa"/>
          </w:tcPr>
          <w:p>
            <w:pPr>
              <w:pStyle w:val="TableParagraph"/>
              <w:spacing w:line="250" w:lineRule="exact" w:before="104"/>
              <w:ind w:left="13"/>
              <w:rPr>
                <w:sz w:val="21"/>
              </w:rPr>
            </w:pPr>
            <w:r>
              <w:rPr>
                <w:sz w:val="21"/>
              </w:rPr>
              <w:t>金融业</w:t>
            </w:r>
          </w:p>
        </w:tc>
        <w:tc>
          <w:tcPr>
            <w:tcW w:w="3005" w:type="dxa"/>
          </w:tcPr>
          <w:p>
            <w:pPr>
              <w:pStyle w:val="TableParagraph"/>
              <w:spacing w:line="250" w:lineRule="exact" w:before="104"/>
              <w:ind w:right="-15"/>
              <w:jc w:val="right"/>
              <w:rPr>
                <w:sz w:val="21"/>
              </w:rPr>
            </w:pPr>
            <w:r>
              <w:rPr>
                <w:sz w:val="21"/>
              </w:rPr>
              <w:t>288,306,350.96</w:t>
            </w:r>
          </w:p>
        </w:tc>
        <w:tc>
          <w:tcPr>
            <w:tcW w:w="1721" w:type="dxa"/>
          </w:tcPr>
          <w:p>
            <w:pPr>
              <w:pStyle w:val="TableParagraph"/>
              <w:spacing w:line="250" w:lineRule="exact" w:before="104"/>
              <w:ind w:right="2"/>
              <w:jc w:val="right"/>
              <w:rPr>
                <w:sz w:val="21"/>
              </w:rPr>
            </w:pPr>
            <w:r>
              <w:rPr>
                <w:sz w:val="21"/>
              </w:rPr>
              <w:t>15.27</w:t>
            </w:r>
          </w:p>
        </w:tc>
      </w:tr>
      <w:tr>
        <w:trPr>
          <w:trHeight w:val="376" w:hRule="atLeast"/>
        </w:trPr>
        <w:tc>
          <w:tcPr>
            <w:tcW w:w="713" w:type="dxa"/>
          </w:tcPr>
          <w:p>
            <w:pPr>
              <w:pStyle w:val="TableParagraph"/>
              <w:spacing w:line="250" w:lineRule="exact" w:before="106"/>
              <w:ind w:right="293"/>
              <w:jc w:val="right"/>
              <w:rPr>
                <w:sz w:val="21"/>
              </w:rPr>
            </w:pPr>
            <w:r>
              <w:rPr>
                <w:w w:val="100"/>
                <w:sz w:val="21"/>
              </w:rPr>
              <w:t>K</w:t>
            </w:r>
          </w:p>
        </w:tc>
        <w:tc>
          <w:tcPr>
            <w:tcW w:w="2895" w:type="dxa"/>
          </w:tcPr>
          <w:p>
            <w:pPr>
              <w:pStyle w:val="TableParagraph"/>
              <w:spacing w:line="250" w:lineRule="exact" w:before="106"/>
              <w:ind w:left="13"/>
              <w:rPr>
                <w:sz w:val="21"/>
              </w:rPr>
            </w:pPr>
            <w:r>
              <w:rPr>
                <w:sz w:val="21"/>
              </w:rPr>
              <w:t>房地产业</w:t>
            </w:r>
          </w:p>
        </w:tc>
        <w:tc>
          <w:tcPr>
            <w:tcW w:w="3005" w:type="dxa"/>
          </w:tcPr>
          <w:p>
            <w:pPr>
              <w:pStyle w:val="TableParagraph"/>
              <w:spacing w:line="250" w:lineRule="exact" w:before="106"/>
              <w:ind w:right="-15"/>
              <w:jc w:val="right"/>
              <w:rPr>
                <w:sz w:val="21"/>
              </w:rPr>
            </w:pPr>
            <w:r>
              <w:rPr>
                <w:sz w:val="21"/>
              </w:rPr>
              <w:t>189,378,326.62</w:t>
            </w:r>
          </w:p>
        </w:tc>
        <w:tc>
          <w:tcPr>
            <w:tcW w:w="1721" w:type="dxa"/>
          </w:tcPr>
          <w:p>
            <w:pPr>
              <w:pStyle w:val="TableParagraph"/>
              <w:spacing w:line="250" w:lineRule="exact" w:before="106"/>
              <w:ind w:right="2"/>
              <w:jc w:val="right"/>
              <w:rPr>
                <w:sz w:val="21"/>
              </w:rPr>
            </w:pPr>
            <w:r>
              <w:rPr>
                <w:sz w:val="21"/>
              </w:rPr>
              <w:t>10.03</w:t>
            </w:r>
          </w:p>
        </w:tc>
      </w:tr>
      <w:tr>
        <w:trPr>
          <w:trHeight w:val="374" w:hRule="atLeast"/>
        </w:trPr>
        <w:tc>
          <w:tcPr>
            <w:tcW w:w="713" w:type="dxa"/>
          </w:tcPr>
          <w:p>
            <w:pPr>
              <w:pStyle w:val="TableParagraph"/>
              <w:spacing w:line="250" w:lineRule="exact" w:before="104"/>
              <w:ind w:right="293"/>
              <w:jc w:val="right"/>
              <w:rPr>
                <w:sz w:val="21"/>
              </w:rPr>
            </w:pPr>
            <w:r>
              <w:rPr>
                <w:w w:val="100"/>
                <w:sz w:val="21"/>
              </w:rPr>
              <w:t>L</w:t>
            </w:r>
          </w:p>
        </w:tc>
        <w:tc>
          <w:tcPr>
            <w:tcW w:w="2895" w:type="dxa"/>
          </w:tcPr>
          <w:p>
            <w:pPr>
              <w:pStyle w:val="TableParagraph"/>
              <w:spacing w:line="250" w:lineRule="exact" w:before="104"/>
              <w:ind w:left="13"/>
              <w:rPr>
                <w:sz w:val="21"/>
              </w:rPr>
            </w:pPr>
            <w:r>
              <w:rPr>
                <w:sz w:val="21"/>
              </w:rPr>
              <w:t>租赁和商务服务业</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373" w:hRule="atLeast"/>
        </w:trPr>
        <w:tc>
          <w:tcPr>
            <w:tcW w:w="713" w:type="dxa"/>
          </w:tcPr>
          <w:p>
            <w:pPr>
              <w:pStyle w:val="TableParagraph"/>
              <w:spacing w:line="250" w:lineRule="exact" w:before="104"/>
              <w:ind w:right="293"/>
              <w:jc w:val="right"/>
              <w:rPr>
                <w:sz w:val="21"/>
              </w:rPr>
            </w:pPr>
            <w:r>
              <w:rPr>
                <w:w w:val="100"/>
                <w:sz w:val="21"/>
              </w:rPr>
              <w:t>M</w:t>
            </w:r>
          </w:p>
        </w:tc>
        <w:tc>
          <w:tcPr>
            <w:tcW w:w="2895" w:type="dxa"/>
          </w:tcPr>
          <w:p>
            <w:pPr>
              <w:pStyle w:val="TableParagraph"/>
              <w:spacing w:line="250" w:lineRule="exact" w:before="104"/>
              <w:ind w:left="13"/>
              <w:rPr>
                <w:sz w:val="21"/>
              </w:rPr>
            </w:pPr>
            <w:r>
              <w:rPr>
                <w:sz w:val="21"/>
              </w:rPr>
              <w:t>科学研究和技术服务业</w:t>
            </w:r>
          </w:p>
        </w:tc>
        <w:tc>
          <w:tcPr>
            <w:tcW w:w="3005" w:type="dxa"/>
          </w:tcPr>
          <w:p>
            <w:pPr>
              <w:pStyle w:val="TableParagraph"/>
              <w:spacing w:line="250" w:lineRule="exact" w:before="104"/>
              <w:ind w:right="-15"/>
              <w:jc w:val="right"/>
              <w:rPr>
                <w:sz w:val="21"/>
              </w:rPr>
            </w:pPr>
            <w:r>
              <w:rPr>
                <w:sz w:val="21"/>
              </w:rPr>
              <w:t>12,322,584.30</w:t>
            </w:r>
          </w:p>
        </w:tc>
        <w:tc>
          <w:tcPr>
            <w:tcW w:w="1721" w:type="dxa"/>
          </w:tcPr>
          <w:p>
            <w:pPr>
              <w:pStyle w:val="TableParagraph"/>
              <w:spacing w:line="250" w:lineRule="exact" w:before="104"/>
              <w:ind w:right="2"/>
              <w:jc w:val="right"/>
              <w:rPr>
                <w:sz w:val="21"/>
              </w:rPr>
            </w:pPr>
            <w:r>
              <w:rPr>
                <w:sz w:val="21"/>
              </w:rPr>
              <w:t>0.65</w:t>
            </w:r>
          </w:p>
        </w:tc>
      </w:tr>
      <w:tr>
        <w:trPr>
          <w:trHeight w:val="376" w:hRule="atLeast"/>
        </w:trPr>
        <w:tc>
          <w:tcPr>
            <w:tcW w:w="713" w:type="dxa"/>
          </w:tcPr>
          <w:p>
            <w:pPr>
              <w:pStyle w:val="TableParagraph"/>
              <w:spacing w:line="250" w:lineRule="exact" w:before="106"/>
              <w:ind w:right="293"/>
              <w:jc w:val="right"/>
              <w:rPr>
                <w:sz w:val="21"/>
              </w:rPr>
            </w:pPr>
            <w:r>
              <w:rPr>
                <w:w w:val="100"/>
                <w:sz w:val="21"/>
              </w:rPr>
              <w:t>N</w:t>
            </w:r>
          </w:p>
        </w:tc>
        <w:tc>
          <w:tcPr>
            <w:tcW w:w="2895" w:type="dxa"/>
          </w:tcPr>
          <w:p>
            <w:pPr>
              <w:pStyle w:val="TableParagraph"/>
              <w:spacing w:line="250" w:lineRule="exact" w:before="106"/>
              <w:ind w:left="13"/>
              <w:rPr>
                <w:sz w:val="21"/>
              </w:rPr>
            </w:pPr>
            <w:r>
              <w:rPr>
                <w:sz w:val="21"/>
              </w:rPr>
              <w:t>水利、环境和公共设施管理业</w:t>
            </w:r>
          </w:p>
        </w:tc>
        <w:tc>
          <w:tcPr>
            <w:tcW w:w="3005" w:type="dxa"/>
          </w:tcPr>
          <w:p>
            <w:pPr>
              <w:pStyle w:val="TableParagraph"/>
              <w:spacing w:line="250" w:lineRule="exact" w:before="106"/>
              <w:ind w:right="-15"/>
              <w:jc w:val="right"/>
              <w:rPr>
                <w:sz w:val="21"/>
              </w:rPr>
            </w:pPr>
            <w:r>
              <w:rPr>
                <w:w w:val="100"/>
                <w:sz w:val="21"/>
              </w:rPr>
              <w:t>-</w:t>
            </w:r>
          </w:p>
        </w:tc>
        <w:tc>
          <w:tcPr>
            <w:tcW w:w="1721" w:type="dxa"/>
          </w:tcPr>
          <w:p>
            <w:pPr>
              <w:pStyle w:val="TableParagraph"/>
              <w:spacing w:line="250" w:lineRule="exact" w:before="106"/>
              <w:ind w:right="4"/>
              <w:jc w:val="right"/>
              <w:rPr>
                <w:sz w:val="21"/>
              </w:rPr>
            </w:pPr>
            <w:r>
              <w:rPr>
                <w:w w:val="100"/>
                <w:sz w:val="21"/>
              </w:rPr>
              <w:t>-</w:t>
            </w:r>
          </w:p>
        </w:tc>
      </w:tr>
      <w:tr>
        <w:trPr>
          <w:trHeight w:val="374" w:hRule="atLeast"/>
        </w:trPr>
        <w:tc>
          <w:tcPr>
            <w:tcW w:w="713" w:type="dxa"/>
          </w:tcPr>
          <w:p>
            <w:pPr>
              <w:pStyle w:val="TableParagraph"/>
              <w:spacing w:line="250" w:lineRule="exact" w:before="104"/>
              <w:ind w:right="293"/>
              <w:jc w:val="right"/>
              <w:rPr>
                <w:sz w:val="21"/>
              </w:rPr>
            </w:pPr>
            <w:r>
              <w:rPr>
                <w:w w:val="100"/>
                <w:sz w:val="21"/>
              </w:rPr>
              <w:t>O</w:t>
            </w:r>
          </w:p>
        </w:tc>
        <w:tc>
          <w:tcPr>
            <w:tcW w:w="2895" w:type="dxa"/>
          </w:tcPr>
          <w:p>
            <w:pPr>
              <w:pStyle w:val="TableParagraph"/>
              <w:spacing w:line="250" w:lineRule="exact" w:before="104"/>
              <w:ind w:left="13"/>
              <w:rPr>
                <w:sz w:val="21"/>
              </w:rPr>
            </w:pPr>
            <w:r>
              <w:rPr>
                <w:sz w:val="21"/>
              </w:rPr>
              <w:t>居民服务、修理和其他服务业</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376" w:hRule="atLeast"/>
        </w:trPr>
        <w:tc>
          <w:tcPr>
            <w:tcW w:w="713" w:type="dxa"/>
          </w:tcPr>
          <w:p>
            <w:pPr>
              <w:pStyle w:val="TableParagraph"/>
              <w:spacing w:line="250" w:lineRule="exact" w:before="106"/>
              <w:ind w:right="293"/>
              <w:jc w:val="right"/>
              <w:rPr>
                <w:sz w:val="21"/>
              </w:rPr>
            </w:pPr>
            <w:r>
              <w:rPr>
                <w:w w:val="100"/>
                <w:sz w:val="21"/>
              </w:rPr>
              <w:t>P</w:t>
            </w:r>
          </w:p>
        </w:tc>
        <w:tc>
          <w:tcPr>
            <w:tcW w:w="2895" w:type="dxa"/>
          </w:tcPr>
          <w:p>
            <w:pPr>
              <w:pStyle w:val="TableParagraph"/>
              <w:spacing w:line="250" w:lineRule="exact" w:before="106"/>
              <w:ind w:left="13"/>
              <w:rPr>
                <w:sz w:val="21"/>
              </w:rPr>
            </w:pPr>
            <w:r>
              <w:rPr>
                <w:sz w:val="21"/>
              </w:rPr>
              <w:t>教育</w:t>
            </w:r>
          </w:p>
        </w:tc>
        <w:tc>
          <w:tcPr>
            <w:tcW w:w="3005" w:type="dxa"/>
          </w:tcPr>
          <w:p>
            <w:pPr>
              <w:pStyle w:val="TableParagraph"/>
              <w:spacing w:line="250" w:lineRule="exact" w:before="106"/>
              <w:ind w:right="-15"/>
              <w:jc w:val="right"/>
              <w:rPr>
                <w:sz w:val="21"/>
              </w:rPr>
            </w:pPr>
            <w:r>
              <w:rPr>
                <w:w w:val="100"/>
                <w:sz w:val="21"/>
              </w:rPr>
              <w:t>-</w:t>
            </w:r>
          </w:p>
        </w:tc>
        <w:tc>
          <w:tcPr>
            <w:tcW w:w="1721" w:type="dxa"/>
          </w:tcPr>
          <w:p>
            <w:pPr>
              <w:pStyle w:val="TableParagraph"/>
              <w:spacing w:line="250" w:lineRule="exact" w:before="106"/>
              <w:ind w:right="4"/>
              <w:jc w:val="right"/>
              <w:rPr>
                <w:sz w:val="21"/>
              </w:rPr>
            </w:pPr>
            <w:r>
              <w:rPr>
                <w:w w:val="100"/>
                <w:sz w:val="21"/>
              </w:rPr>
              <w:t>-</w:t>
            </w:r>
          </w:p>
        </w:tc>
      </w:tr>
      <w:tr>
        <w:trPr>
          <w:trHeight w:val="373" w:hRule="atLeast"/>
        </w:trPr>
        <w:tc>
          <w:tcPr>
            <w:tcW w:w="713" w:type="dxa"/>
          </w:tcPr>
          <w:p>
            <w:pPr>
              <w:pStyle w:val="TableParagraph"/>
              <w:spacing w:line="250" w:lineRule="exact" w:before="104"/>
              <w:ind w:right="293"/>
              <w:jc w:val="right"/>
              <w:rPr>
                <w:sz w:val="21"/>
              </w:rPr>
            </w:pPr>
            <w:r>
              <w:rPr>
                <w:w w:val="100"/>
                <w:sz w:val="21"/>
              </w:rPr>
              <w:t>Q</w:t>
            </w:r>
          </w:p>
        </w:tc>
        <w:tc>
          <w:tcPr>
            <w:tcW w:w="2895" w:type="dxa"/>
          </w:tcPr>
          <w:p>
            <w:pPr>
              <w:pStyle w:val="TableParagraph"/>
              <w:spacing w:line="250" w:lineRule="exact" w:before="104"/>
              <w:ind w:left="13"/>
              <w:rPr>
                <w:sz w:val="21"/>
              </w:rPr>
            </w:pPr>
            <w:r>
              <w:rPr>
                <w:sz w:val="21"/>
              </w:rPr>
              <w:t>卫生和社会工作</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373" w:hRule="atLeast"/>
        </w:trPr>
        <w:tc>
          <w:tcPr>
            <w:tcW w:w="713" w:type="dxa"/>
          </w:tcPr>
          <w:p>
            <w:pPr>
              <w:pStyle w:val="TableParagraph"/>
              <w:spacing w:line="250" w:lineRule="exact" w:before="104"/>
              <w:ind w:right="293"/>
              <w:jc w:val="right"/>
              <w:rPr>
                <w:sz w:val="21"/>
              </w:rPr>
            </w:pPr>
            <w:r>
              <w:rPr>
                <w:w w:val="100"/>
                <w:sz w:val="21"/>
              </w:rPr>
              <w:t>R</w:t>
            </w:r>
          </w:p>
        </w:tc>
        <w:tc>
          <w:tcPr>
            <w:tcW w:w="2895" w:type="dxa"/>
          </w:tcPr>
          <w:p>
            <w:pPr>
              <w:pStyle w:val="TableParagraph"/>
              <w:spacing w:line="250" w:lineRule="exact" w:before="104"/>
              <w:ind w:left="13"/>
              <w:rPr>
                <w:sz w:val="21"/>
              </w:rPr>
            </w:pPr>
            <w:r>
              <w:rPr>
                <w:sz w:val="21"/>
              </w:rPr>
              <w:t>文化、体育和娱乐业</w:t>
            </w:r>
          </w:p>
        </w:tc>
        <w:tc>
          <w:tcPr>
            <w:tcW w:w="3005" w:type="dxa"/>
          </w:tcPr>
          <w:p>
            <w:pPr>
              <w:pStyle w:val="TableParagraph"/>
              <w:spacing w:line="250" w:lineRule="exact" w:before="104"/>
              <w:ind w:right="-15"/>
              <w:jc w:val="right"/>
              <w:rPr>
                <w:sz w:val="21"/>
              </w:rPr>
            </w:pPr>
            <w:r>
              <w:rPr>
                <w:w w:val="100"/>
                <w:sz w:val="21"/>
              </w:rPr>
              <w:t>-</w:t>
            </w:r>
          </w:p>
        </w:tc>
        <w:tc>
          <w:tcPr>
            <w:tcW w:w="1721" w:type="dxa"/>
          </w:tcPr>
          <w:p>
            <w:pPr>
              <w:pStyle w:val="TableParagraph"/>
              <w:spacing w:line="250" w:lineRule="exact" w:before="104"/>
              <w:ind w:right="4"/>
              <w:jc w:val="right"/>
              <w:rPr>
                <w:sz w:val="21"/>
              </w:rPr>
            </w:pPr>
            <w:r>
              <w:rPr>
                <w:w w:val="100"/>
                <w:sz w:val="21"/>
              </w:rPr>
              <w:t>-</w:t>
            </w:r>
          </w:p>
        </w:tc>
      </w:tr>
      <w:tr>
        <w:trPr>
          <w:trHeight w:val="376" w:hRule="atLeast"/>
        </w:trPr>
        <w:tc>
          <w:tcPr>
            <w:tcW w:w="713" w:type="dxa"/>
          </w:tcPr>
          <w:p>
            <w:pPr>
              <w:pStyle w:val="TableParagraph"/>
              <w:spacing w:line="250" w:lineRule="exact" w:before="106"/>
              <w:ind w:right="293"/>
              <w:jc w:val="right"/>
              <w:rPr>
                <w:sz w:val="21"/>
              </w:rPr>
            </w:pPr>
            <w:r>
              <w:rPr>
                <w:w w:val="100"/>
                <w:sz w:val="21"/>
              </w:rPr>
              <w:t>S</w:t>
            </w:r>
          </w:p>
        </w:tc>
        <w:tc>
          <w:tcPr>
            <w:tcW w:w="2895" w:type="dxa"/>
          </w:tcPr>
          <w:p>
            <w:pPr>
              <w:pStyle w:val="TableParagraph"/>
              <w:spacing w:line="250" w:lineRule="exact" w:before="106"/>
              <w:ind w:left="13"/>
              <w:rPr>
                <w:sz w:val="21"/>
              </w:rPr>
            </w:pPr>
            <w:r>
              <w:rPr>
                <w:sz w:val="21"/>
              </w:rPr>
              <w:t>综合</w:t>
            </w:r>
          </w:p>
        </w:tc>
        <w:tc>
          <w:tcPr>
            <w:tcW w:w="3005" w:type="dxa"/>
          </w:tcPr>
          <w:p>
            <w:pPr>
              <w:pStyle w:val="TableParagraph"/>
              <w:spacing w:line="250" w:lineRule="exact" w:before="106"/>
              <w:ind w:right="-15"/>
              <w:jc w:val="right"/>
              <w:rPr>
                <w:sz w:val="21"/>
              </w:rPr>
            </w:pPr>
            <w:r>
              <w:rPr>
                <w:w w:val="100"/>
                <w:sz w:val="21"/>
              </w:rPr>
              <w:t>-</w:t>
            </w:r>
          </w:p>
        </w:tc>
        <w:tc>
          <w:tcPr>
            <w:tcW w:w="1721" w:type="dxa"/>
          </w:tcPr>
          <w:p>
            <w:pPr>
              <w:pStyle w:val="TableParagraph"/>
              <w:spacing w:line="250" w:lineRule="exact" w:before="106"/>
              <w:ind w:right="4"/>
              <w:jc w:val="right"/>
              <w:rPr>
                <w:sz w:val="21"/>
              </w:rPr>
            </w:pPr>
            <w:r>
              <w:rPr>
                <w:w w:val="100"/>
                <w:sz w:val="21"/>
              </w:rPr>
              <w:t>-</w:t>
            </w:r>
          </w:p>
        </w:tc>
      </w:tr>
      <w:tr>
        <w:trPr>
          <w:trHeight w:val="373" w:hRule="atLeast"/>
        </w:trPr>
        <w:tc>
          <w:tcPr>
            <w:tcW w:w="713" w:type="dxa"/>
          </w:tcPr>
          <w:p>
            <w:pPr>
              <w:pStyle w:val="TableParagraph"/>
              <w:rPr>
                <w:rFonts w:ascii="Times New Roman"/>
                <w:sz w:val="20"/>
              </w:rPr>
            </w:pPr>
          </w:p>
        </w:tc>
        <w:tc>
          <w:tcPr>
            <w:tcW w:w="2895" w:type="dxa"/>
          </w:tcPr>
          <w:p>
            <w:pPr>
              <w:pStyle w:val="TableParagraph"/>
              <w:spacing w:line="250" w:lineRule="exact" w:before="104"/>
              <w:ind w:left="13"/>
              <w:rPr>
                <w:sz w:val="21"/>
              </w:rPr>
            </w:pPr>
            <w:r>
              <w:rPr>
                <w:sz w:val="21"/>
              </w:rPr>
              <w:t>合计</w:t>
            </w:r>
          </w:p>
        </w:tc>
        <w:tc>
          <w:tcPr>
            <w:tcW w:w="3005" w:type="dxa"/>
          </w:tcPr>
          <w:p>
            <w:pPr>
              <w:pStyle w:val="TableParagraph"/>
              <w:spacing w:line="250" w:lineRule="exact" w:before="104"/>
              <w:ind w:right="-15"/>
              <w:jc w:val="right"/>
              <w:rPr>
                <w:sz w:val="21"/>
              </w:rPr>
            </w:pPr>
            <w:r>
              <w:rPr>
                <w:sz w:val="21"/>
              </w:rPr>
              <w:t>1,321,805,195.34</w:t>
            </w:r>
          </w:p>
        </w:tc>
        <w:tc>
          <w:tcPr>
            <w:tcW w:w="1721" w:type="dxa"/>
          </w:tcPr>
          <w:p>
            <w:pPr>
              <w:pStyle w:val="TableParagraph"/>
              <w:spacing w:line="250" w:lineRule="exact" w:before="104"/>
              <w:ind w:right="2"/>
              <w:jc w:val="right"/>
              <w:rPr>
                <w:sz w:val="21"/>
              </w:rPr>
            </w:pPr>
            <w:r>
              <w:rPr>
                <w:sz w:val="21"/>
              </w:rPr>
              <w:t>70.03</w:t>
            </w:r>
          </w:p>
        </w:tc>
      </w:tr>
    </w:tbl>
    <w:p>
      <w:pPr>
        <w:pStyle w:val="BodyText"/>
        <w:spacing w:before="6"/>
        <w:rPr>
          <w:b/>
          <w:sz w:val="11"/>
        </w:rPr>
      </w:pPr>
    </w:p>
    <w:p>
      <w:pPr>
        <w:pStyle w:val="ListParagraph"/>
        <w:numPr>
          <w:ilvl w:val="1"/>
          <w:numId w:val="28"/>
        </w:numPr>
        <w:tabs>
          <w:tab w:pos="1064" w:val="left" w:leader="none"/>
        </w:tabs>
        <w:spacing w:line="240" w:lineRule="auto" w:before="88" w:after="0"/>
        <w:ind w:left="1063" w:right="0" w:hanging="406"/>
        <w:jc w:val="left"/>
        <w:rPr>
          <w:rFonts w:ascii="Cambria" w:eastAsia="Cambria"/>
          <w:b/>
          <w:sz w:val="24"/>
        </w:rPr>
      </w:pPr>
      <w:r>
        <w:rPr>
          <w:b/>
          <w:sz w:val="24"/>
        </w:rPr>
        <w:t>报告期末按行业分类的港股通投资股票投资组合</w:t>
      </w:r>
    </w:p>
    <w:p>
      <w:pPr>
        <w:pStyle w:val="BodyText"/>
        <w:spacing w:before="241"/>
        <w:ind w:left="1078"/>
      </w:pPr>
      <w:r>
        <w:rPr/>
        <w:t>无。</w:t>
      </w:r>
    </w:p>
    <w:p>
      <w:pPr>
        <w:pStyle w:val="BodyText"/>
        <w:spacing w:before="2"/>
        <w:rPr>
          <w:sz w:val="26"/>
        </w:rPr>
      </w:pPr>
    </w:p>
    <w:p>
      <w:pPr>
        <w:pStyle w:val="ListParagraph"/>
        <w:numPr>
          <w:ilvl w:val="0"/>
          <w:numId w:val="28"/>
        </w:numPr>
        <w:tabs>
          <w:tab w:pos="922" w:val="left" w:leader="none"/>
        </w:tabs>
        <w:spacing w:line="240" w:lineRule="auto" w:before="0" w:after="0"/>
        <w:ind w:left="922" w:right="0" w:hanging="264"/>
        <w:jc w:val="left"/>
        <w:rPr>
          <w:b/>
          <w:sz w:val="24"/>
        </w:rPr>
      </w:pPr>
      <w:r>
        <w:rPr>
          <w:b/>
          <w:sz w:val="24"/>
        </w:rPr>
        <w:t>报告期末按公允价值占基金资产净值比例大小排序的前十名股票投资明细</w:t>
      </w:r>
    </w:p>
    <w:p>
      <w:pPr>
        <w:pStyle w:val="BodyText"/>
        <w:rPr>
          <w:b/>
          <w:sz w:val="11"/>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245"/>
        <w:gridCol w:w="1354"/>
        <w:gridCol w:w="1697"/>
        <w:gridCol w:w="2117"/>
        <w:gridCol w:w="1364"/>
      </w:tblGrid>
      <w:tr>
        <w:trPr>
          <w:trHeight w:val="736" w:hRule="atLeast"/>
        </w:trPr>
        <w:tc>
          <w:tcPr>
            <w:tcW w:w="566" w:type="dxa"/>
            <w:shd w:val="clear" w:color="auto" w:fill="D9D9D9"/>
          </w:tcPr>
          <w:p>
            <w:pPr>
              <w:pStyle w:val="TableParagraph"/>
              <w:spacing w:before="4"/>
              <w:rPr>
                <w:b/>
                <w:sz w:val="22"/>
              </w:rPr>
            </w:pPr>
          </w:p>
          <w:p>
            <w:pPr>
              <w:pStyle w:val="TableParagraph"/>
              <w:ind w:left="53" w:right="43"/>
              <w:jc w:val="center"/>
              <w:rPr>
                <w:sz w:val="21"/>
              </w:rPr>
            </w:pPr>
            <w:r>
              <w:rPr>
                <w:sz w:val="21"/>
              </w:rPr>
              <w:t>序号</w:t>
            </w:r>
          </w:p>
        </w:tc>
        <w:tc>
          <w:tcPr>
            <w:tcW w:w="1245" w:type="dxa"/>
            <w:shd w:val="clear" w:color="auto" w:fill="D9D9D9"/>
          </w:tcPr>
          <w:p>
            <w:pPr>
              <w:pStyle w:val="TableParagraph"/>
              <w:spacing w:before="4"/>
              <w:rPr>
                <w:b/>
                <w:sz w:val="22"/>
              </w:rPr>
            </w:pPr>
          </w:p>
          <w:p>
            <w:pPr>
              <w:pStyle w:val="TableParagraph"/>
              <w:ind w:left="180" w:right="174"/>
              <w:jc w:val="center"/>
              <w:rPr>
                <w:sz w:val="21"/>
              </w:rPr>
            </w:pPr>
            <w:r>
              <w:rPr>
                <w:sz w:val="21"/>
              </w:rPr>
              <w:t>股票代码</w:t>
            </w:r>
          </w:p>
        </w:tc>
        <w:tc>
          <w:tcPr>
            <w:tcW w:w="1354" w:type="dxa"/>
            <w:shd w:val="clear" w:color="auto" w:fill="D9D9D9"/>
          </w:tcPr>
          <w:p>
            <w:pPr>
              <w:pStyle w:val="TableParagraph"/>
              <w:spacing w:before="4"/>
              <w:rPr>
                <w:b/>
                <w:sz w:val="22"/>
              </w:rPr>
            </w:pPr>
          </w:p>
          <w:p>
            <w:pPr>
              <w:pStyle w:val="TableParagraph"/>
              <w:ind w:left="234" w:right="225"/>
              <w:jc w:val="center"/>
              <w:rPr>
                <w:sz w:val="21"/>
              </w:rPr>
            </w:pPr>
            <w:r>
              <w:rPr>
                <w:sz w:val="21"/>
              </w:rPr>
              <w:t>股票名称</w:t>
            </w:r>
          </w:p>
        </w:tc>
        <w:tc>
          <w:tcPr>
            <w:tcW w:w="1697" w:type="dxa"/>
            <w:shd w:val="clear" w:color="auto" w:fill="D9D9D9"/>
          </w:tcPr>
          <w:p>
            <w:pPr>
              <w:pStyle w:val="TableParagraph"/>
              <w:spacing w:before="4"/>
              <w:rPr>
                <w:b/>
                <w:sz w:val="22"/>
              </w:rPr>
            </w:pPr>
          </w:p>
          <w:p>
            <w:pPr>
              <w:pStyle w:val="TableParagraph"/>
              <w:ind w:left="322"/>
              <w:rPr>
                <w:sz w:val="21"/>
              </w:rPr>
            </w:pPr>
            <w:r>
              <w:rPr>
                <w:sz w:val="21"/>
              </w:rPr>
              <w:t>数量（股）</w:t>
            </w:r>
          </w:p>
        </w:tc>
        <w:tc>
          <w:tcPr>
            <w:tcW w:w="2117" w:type="dxa"/>
            <w:shd w:val="clear" w:color="auto" w:fill="D9D9D9"/>
          </w:tcPr>
          <w:p>
            <w:pPr>
              <w:pStyle w:val="TableParagraph"/>
              <w:spacing w:before="4"/>
              <w:rPr>
                <w:b/>
                <w:sz w:val="22"/>
              </w:rPr>
            </w:pPr>
          </w:p>
          <w:p>
            <w:pPr>
              <w:pStyle w:val="TableParagraph"/>
              <w:ind w:left="322"/>
              <w:rPr>
                <w:sz w:val="21"/>
              </w:rPr>
            </w:pPr>
            <w:r>
              <w:rPr>
                <w:sz w:val="21"/>
              </w:rPr>
              <w:t>公允价值（元）</w:t>
            </w:r>
          </w:p>
        </w:tc>
        <w:tc>
          <w:tcPr>
            <w:tcW w:w="1364" w:type="dxa"/>
            <w:shd w:val="clear" w:color="auto" w:fill="D9D9D9"/>
          </w:tcPr>
          <w:p>
            <w:pPr>
              <w:pStyle w:val="TableParagraph"/>
              <w:spacing w:line="360" w:lineRule="atLeast" w:before="15"/>
              <w:ind w:left="101" w:right="38" w:hanging="51"/>
              <w:rPr>
                <w:sz w:val="21"/>
              </w:rPr>
            </w:pPr>
            <w:r>
              <w:rPr>
                <w:sz w:val="21"/>
              </w:rPr>
              <w:t>占基金资产净值比例（%）</w:t>
            </w:r>
          </w:p>
        </w:tc>
      </w:tr>
      <w:tr>
        <w:trPr>
          <w:trHeight w:val="374" w:hRule="atLeast"/>
        </w:trPr>
        <w:tc>
          <w:tcPr>
            <w:tcW w:w="566" w:type="dxa"/>
          </w:tcPr>
          <w:p>
            <w:pPr>
              <w:pStyle w:val="TableParagraph"/>
              <w:spacing w:line="250" w:lineRule="exact" w:before="104"/>
              <w:ind w:left="9"/>
              <w:jc w:val="center"/>
              <w:rPr>
                <w:sz w:val="21"/>
              </w:rPr>
            </w:pPr>
            <w:r>
              <w:rPr>
                <w:w w:val="100"/>
                <w:sz w:val="21"/>
              </w:rPr>
              <w:t>1</w:t>
            </w:r>
          </w:p>
        </w:tc>
        <w:tc>
          <w:tcPr>
            <w:tcW w:w="1245" w:type="dxa"/>
          </w:tcPr>
          <w:p>
            <w:pPr>
              <w:pStyle w:val="TableParagraph"/>
              <w:spacing w:line="250" w:lineRule="exact" w:before="104"/>
              <w:ind w:left="180" w:right="172"/>
              <w:jc w:val="center"/>
              <w:rPr>
                <w:sz w:val="21"/>
              </w:rPr>
            </w:pPr>
            <w:r>
              <w:rPr>
                <w:sz w:val="21"/>
              </w:rPr>
              <w:t>600519</w:t>
            </w:r>
          </w:p>
        </w:tc>
        <w:tc>
          <w:tcPr>
            <w:tcW w:w="1354" w:type="dxa"/>
          </w:tcPr>
          <w:p>
            <w:pPr>
              <w:pStyle w:val="TableParagraph"/>
              <w:spacing w:line="250" w:lineRule="exact" w:before="104"/>
              <w:ind w:left="236" w:right="222"/>
              <w:jc w:val="center"/>
              <w:rPr>
                <w:sz w:val="21"/>
              </w:rPr>
            </w:pPr>
            <w:r>
              <w:rPr>
                <w:sz w:val="21"/>
              </w:rPr>
              <w:t>贵州茅台</w:t>
            </w:r>
          </w:p>
        </w:tc>
        <w:tc>
          <w:tcPr>
            <w:tcW w:w="1697" w:type="dxa"/>
          </w:tcPr>
          <w:p>
            <w:pPr>
              <w:pStyle w:val="TableParagraph"/>
              <w:spacing w:line="250" w:lineRule="exact" w:before="104"/>
              <w:ind w:right="1"/>
              <w:jc w:val="right"/>
              <w:rPr>
                <w:sz w:val="21"/>
              </w:rPr>
            </w:pPr>
            <w:r>
              <w:rPr>
                <w:sz w:val="21"/>
              </w:rPr>
              <w:t>157,496</w:t>
            </w:r>
          </w:p>
        </w:tc>
        <w:tc>
          <w:tcPr>
            <w:tcW w:w="2117" w:type="dxa"/>
          </w:tcPr>
          <w:p>
            <w:pPr>
              <w:pStyle w:val="TableParagraph"/>
              <w:spacing w:line="250" w:lineRule="exact" w:before="104"/>
              <w:jc w:val="right"/>
              <w:rPr>
                <w:sz w:val="21"/>
              </w:rPr>
            </w:pPr>
            <w:r>
              <w:rPr>
                <w:sz w:val="21"/>
              </w:rPr>
              <w:t>181,120,400.00</w:t>
            </w:r>
          </w:p>
        </w:tc>
        <w:tc>
          <w:tcPr>
            <w:tcW w:w="1364" w:type="dxa"/>
          </w:tcPr>
          <w:p>
            <w:pPr>
              <w:pStyle w:val="TableParagraph"/>
              <w:spacing w:line="250" w:lineRule="exact" w:before="104"/>
              <w:ind w:right="1"/>
              <w:jc w:val="right"/>
              <w:rPr>
                <w:sz w:val="21"/>
              </w:rPr>
            </w:pPr>
            <w:r>
              <w:rPr>
                <w:sz w:val="21"/>
              </w:rPr>
              <w:t>9.60</w:t>
            </w:r>
          </w:p>
        </w:tc>
      </w:tr>
      <w:tr>
        <w:trPr>
          <w:trHeight w:val="376" w:hRule="atLeast"/>
        </w:trPr>
        <w:tc>
          <w:tcPr>
            <w:tcW w:w="566" w:type="dxa"/>
          </w:tcPr>
          <w:p>
            <w:pPr>
              <w:pStyle w:val="TableParagraph"/>
              <w:spacing w:line="250" w:lineRule="exact" w:before="106"/>
              <w:ind w:left="9"/>
              <w:jc w:val="center"/>
              <w:rPr>
                <w:sz w:val="21"/>
              </w:rPr>
            </w:pPr>
            <w:r>
              <w:rPr>
                <w:w w:val="100"/>
                <w:sz w:val="21"/>
              </w:rPr>
              <w:t>2</w:t>
            </w:r>
          </w:p>
        </w:tc>
        <w:tc>
          <w:tcPr>
            <w:tcW w:w="1245" w:type="dxa"/>
          </w:tcPr>
          <w:p>
            <w:pPr>
              <w:pStyle w:val="TableParagraph"/>
              <w:spacing w:line="250" w:lineRule="exact" w:before="106"/>
              <w:ind w:left="180" w:right="172"/>
              <w:jc w:val="center"/>
              <w:rPr>
                <w:sz w:val="21"/>
              </w:rPr>
            </w:pPr>
            <w:r>
              <w:rPr>
                <w:sz w:val="21"/>
              </w:rPr>
              <w:t>002727</w:t>
            </w:r>
          </w:p>
        </w:tc>
        <w:tc>
          <w:tcPr>
            <w:tcW w:w="1354" w:type="dxa"/>
          </w:tcPr>
          <w:p>
            <w:pPr>
              <w:pStyle w:val="TableParagraph"/>
              <w:spacing w:line="250" w:lineRule="exact" w:before="106"/>
              <w:ind w:left="236" w:right="224"/>
              <w:jc w:val="center"/>
              <w:rPr>
                <w:sz w:val="21"/>
              </w:rPr>
            </w:pPr>
            <w:r>
              <w:rPr>
                <w:sz w:val="21"/>
              </w:rPr>
              <w:t>一心堂</w:t>
            </w:r>
          </w:p>
        </w:tc>
        <w:tc>
          <w:tcPr>
            <w:tcW w:w="1697" w:type="dxa"/>
          </w:tcPr>
          <w:p>
            <w:pPr>
              <w:pStyle w:val="TableParagraph"/>
              <w:spacing w:line="250" w:lineRule="exact" w:before="106"/>
              <w:ind w:right="1"/>
              <w:jc w:val="right"/>
              <w:rPr>
                <w:sz w:val="21"/>
              </w:rPr>
            </w:pPr>
            <w:r>
              <w:rPr>
                <w:sz w:val="21"/>
              </w:rPr>
              <w:t>6,208,921</w:t>
            </w:r>
          </w:p>
        </w:tc>
        <w:tc>
          <w:tcPr>
            <w:tcW w:w="2117" w:type="dxa"/>
          </w:tcPr>
          <w:p>
            <w:pPr>
              <w:pStyle w:val="TableParagraph"/>
              <w:spacing w:line="250" w:lineRule="exact" w:before="106"/>
              <w:jc w:val="right"/>
              <w:rPr>
                <w:sz w:val="21"/>
              </w:rPr>
            </w:pPr>
            <w:r>
              <w:rPr>
                <w:sz w:val="21"/>
              </w:rPr>
              <w:t>139,141,919.61</w:t>
            </w:r>
          </w:p>
        </w:tc>
        <w:tc>
          <w:tcPr>
            <w:tcW w:w="1364" w:type="dxa"/>
          </w:tcPr>
          <w:p>
            <w:pPr>
              <w:pStyle w:val="TableParagraph"/>
              <w:spacing w:line="250" w:lineRule="exact" w:before="106"/>
              <w:ind w:right="1"/>
              <w:jc w:val="right"/>
              <w:rPr>
                <w:sz w:val="21"/>
              </w:rPr>
            </w:pPr>
            <w:r>
              <w:rPr>
                <w:sz w:val="21"/>
              </w:rPr>
              <w:t>7.37</w:t>
            </w:r>
          </w:p>
        </w:tc>
      </w:tr>
      <w:tr>
        <w:trPr>
          <w:trHeight w:val="373" w:hRule="atLeast"/>
        </w:trPr>
        <w:tc>
          <w:tcPr>
            <w:tcW w:w="566" w:type="dxa"/>
          </w:tcPr>
          <w:p>
            <w:pPr>
              <w:pStyle w:val="TableParagraph"/>
              <w:spacing w:line="250" w:lineRule="exact" w:before="104"/>
              <w:ind w:left="9"/>
              <w:jc w:val="center"/>
              <w:rPr>
                <w:sz w:val="21"/>
              </w:rPr>
            </w:pPr>
            <w:r>
              <w:rPr>
                <w:w w:val="100"/>
                <w:sz w:val="21"/>
              </w:rPr>
              <w:t>3</w:t>
            </w:r>
          </w:p>
        </w:tc>
        <w:tc>
          <w:tcPr>
            <w:tcW w:w="1245" w:type="dxa"/>
          </w:tcPr>
          <w:p>
            <w:pPr>
              <w:pStyle w:val="TableParagraph"/>
              <w:spacing w:line="250" w:lineRule="exact" w:before="104"/>
              <w:ind w:left="180" w:right="172"/>
              <w:jc w:val="center"/>
              <w:rPr>
                <w:sz w:val="21"/>
              </w:rPr>
            </w:pPr>
            <w:r>
              <w:rPr>
                <w:sz w:val="21"/>
              </w:rPr>
              <w:t>002142</w:t>
            </w:r>
          </w:p>
        </w:tc>
        <w:tc>
          <w:tcPr>
            <w:tcW w:w="1354" w:type="dxa"/>
          </w:tcPr>
          <w:p>
            <w:pPr>
              <w:pStyle w:val="TableParagraph"/>
              <w:spacing w:line="250" w:lineRule="exact" w:before="104"/>
              <w:ind w:left="236" w:right="222"/>
              <w:jc w:val="center"/>
              <w:rPr>
                <w:sz w:val="21"/>
              </w:rPr>
            </w:pPr>
            <w:r>
              <w:rPr>
                <w:sz w:val="21"/>
              </w:rPr>
              <w:t>宁波银行</w:t>
            </w:r>
          </w:p>
        </w:tc>
        <w:tc>
          <w:tcPr>
            <w:tcW w:w="1697" w:type="dxa"/>
          </w:tcPr>
          <w:p>
            <w:pPr>
              <w:pStyle w:val="TableParagraph"/>
              <w:spacing w:line="250" w:lineRule="exact" w:before="104"/>
              <w:ind w:right="1"/>
              <w:jc w:val="right"/>
              <w:rPr>
                <w:sz w:val="21"/>
              </w:rPr>
            </w:pPr>
            <w:r>
              <w:rPr>
                <w:sz w:val="21"/>
              </w:rPr>
              <w:t>4,931,867</w:t>
            </w:r>
          </w:p>
        </w:tc>
        <w:tc>
          <w:tcPr>
            <w:tcW w:w="2117" w:type="dxa"/>
          </w:tcPr>
          <w:p>
            <w:pPr>
              <w:pStyle w:val="TableParagraph"/>
              <w:spacing w:line="250" w:lineRule="exact" w:before="104"/>
              <w:jc w:val="right"/>
              <w:rPr>
                <w:sz w:val="21"/>
              </w:rPr>
            </w:pPr>
            <w:r>
              <w:rPr>
                <w:sz w:val="21"/>
              </w:rPr>
              <w:t>124,332,367.07</w:t>
            </w:r>
          </w:p>
        </w:tc>
        <w:tc>
          <w:tcPr>
            <w:tcW w:w="1364" w:type="dxa"/>
          </w:tcPr>
          <w:p>
            <w:pPr>
              <w:pStyle w:val="TableParagraph"/>
              <w:spacing w:line="250" w:lineRule="exact" w:before="104"/>
              <w:ind w:right="1"/>
              <w:jc w:val="right"/>
              <w:rPr>
                <w:sz w:val="21"/>
              </w:rPr>
            </w:pPr>
            <w:r>
              <w:rPr>
                <w:sz w:val="21"/>
              </w:rPr>
              <w:t>6.59</w:t>
            </w:r>
          </w:p>
        </w:tc>
      </w:tr>
      <w:tr>
        <w:trPr>
          <w:trHeight w:val="374" w:hRule="atLeast"/>
        </w:trPr>
        <w:tc>
          <w:tcPr>
            <w:tcW w:w="566" w:type="dxa"/>
          </w:tcPr>
          <w:p>
            <w:pPr>
              <w:pStyle w:val="TableParagraph"/>
              <w:spacing w:line="250" w:lineRule="exact" w:before="104"/>
              <w:ind w:left="9"/>
              <w:jc w:val="center"/>
              <w:rPr>
                <w:sz w:val="21"/>
              </w:rPr>
            </w:pPr>
            <w:r>
              <w:rPr>
                <w:w w:val="100"/>
                <w:sz w:val="21"/>
              </w:rPr>
              <w:t>4</w:t>
            </w:r>
          </w:p>
        </w:tc>
        <w:tc>
          <w:tcPr>
            <w:tcW w:w="1245" w:type="dxa"/>
          </w:tcPr>
          <w:p>
            <w:pPr>
              <w:pStyle w:val="TableParagraph"/>
              <w:spacing w:line="250" w:lineRule="exact" w:before="104"/>
              <w:ind w:left="180" w:right="172"/>
              <w:jc w:val="center"/>
              <w:rPr>
                <w:sz w:val="21"/>
              </w:rPr>
            </w:pPr>
            <w:r>
              <w:rPr>
                <w:sz w:val="21"/>
              </w:rPr>
              <w:t>601318</w:t>
            </w:r>
          </w:p>
        </w:tc>
        <w:tc>
          <w:tcPr>
            <w:tcW w:w="1354" w:type="dxa"/>
          </w:tcPr>
          <w:p>
            <w:pPr>
              <w:pStyle w:val="TableParagraph"/>
              <w:spacing w:line="250" w:lineRule="exact" w:before="104"/>
              <w:ind w:left="236" w:right="222"/>
              <w:jc w:val="center"/>
              <w:rPr>
                <w:sz w:val="21"/>
              </w:rPr>
            </w:pPr>
            <w:r>
              <w:rPr>
                <w:sz w:val="21"/>
              </w:rPr>
              <w:t>中国平安</w:t>
            </w:r>
          </w:p>
        </w:tc>
        <w:tc>
          <w:tcPr>
            <w:tcW w:w="1697" w:type="dxa"/>
          </w:tcPr>
          <w:p>
            <w:pPr>
              <w:pStyle w:val="TableParagraph"/>
              <w:spacing w:line="250" w:lineRule="exact" w:before="104"/>
              <w:ind w:right="1"/>
              <w:jc w:val="right"/>
              <w:rPr>
                <w:sz w:val="21"/>
              </w:rPr>
            </w:pPr>
            <w:r>
              <w:rPr>
                <w:sz w:val="21"/>
              </w:rPr>
              <w:t>1,278,441</w:t>
            </w:r>
          </w:p>
        </w:tc>
        <w:tc>
          <w:tcPr>
            <w:tcW w:w="2117" w:type="dxa"/>
          </w:tcPr>
          <w:p>
            <w:pPr>
              <w:pStyle w:val="TableParagraph"/>
              <w:spacing w:line="250" w:lineRule="exact" w:before="104"/>
              <w:jc w:val="right"/>
              <w:rPr>
                <w:sz w:val="21"/>
              </w:rPr>
            </w:pPr>
            <w:r>
              <w:rPr>
                <w:sz w:val="21"/>
              </w:rPr>
              <w:t>111,275,504.64</w:t>
            </w:r>
          </w:p>
        </w:tc>
        <w:tc>
          <w:tcPr>
            <w:tcW w:w="1364" w:type="dxa"/>
          </w:tcPr>
          <w:p>
            <w:pPr>
              <w:pStyle w:val="TableParagraph"/>
              <w:spacing w:line="250" w:lineRule="exact" w:before="104"/>
              <w:ind w:right="1"/>
              <w:jc w:val="right"/>
              <w:rPr>
                <w:sz w:val="21"/>
              </w:rPr>
            </w:pPr>
            <w:r>
              <w:rPr>
                <w:sz w:val="21"/>
              </w:rPr>
              <w:t>5.90</w:t>
            </w:r>
          </w:p>
        </w:tc>
      </w:tr>
      <w:tr>
        <w:trPr>
          <w:trHeight w:val="376" w:hRule="atLeast"/>
        </w:trPr>
        <w:tc>
          <w:tcPr>
            <w:tcW w:w="566" w:type="dxa"/>
          </w:tcPr>
          <w:p>
            <w:pPr>
              <w:pStyle w:val="TableParagraph"/>
              <w:spacing w:line="250" w:lineRule="exact" w:before="107"/>
              <w:ind w:left="9"/>
              <w:jc w:val="center"/>
              <w:rPr>
                <w:sz w:val="21"/>
              </w:rPr>
            </w:pPr>
            <w:r>
              <w:rPr>
                <w:w w:val="100"/>
                <w:sz w:val="21"/>
              </w:rPr>
              <w:t>5</w:t>
            </w:r>
          </w:p>
        </w:tc>
        <w:tc>
          <w:tcPr>
            <w:tcW w:w="1245" w:type="dxa"/>
          </w:tcPr>
          <w:p>
            <w:pPr>
              <w:pStyle w:val="TableParagraph"/>
              <w:spacing w:line="250" w:lineRule="exact" w:before="107"/>
              <w:ind w:left="180" w:right="172"/>
              <w:jc w:val="center"/>
              <w:rPr>
                <w:sz w:val="21"/>
              </w:rPr>
            </w:pPr>
            <w:r>
              <w:rPr>
                <w:sz w:val="21"/>
              </w:rPr>
              <w:t>000961</w:t>
            </w:r>
          </w:p>
        </w:tc>
        <w:tc>
          <w:tcPr>
            <w:tcW w:w="1354" w:type="dxa"/>
          </w:tcPr>
          <w:p>
            <w:pPr>
              <w:pStyle w:val="TableParagraph"/>
              <w:spacing w:line="250" w:lineRule="exact" w:before="107"/>
              <w:ind w:left="236" w:right="222"/>
              <w:jc w:val="center"/>
              <w:rPr>
                <w:sz w:val="21"/>
              </w:rPr>
            </w:pPr>
            <w:r>
              <w:rPr>
                <w:sz w:val="21"/>
              </w:rPr>
              <w:t>中南建设</w:t>
            </w:r>
          </w:p>
        </w:tc>
        <w:tc>
          <w:tcPr>
            <w:tcW w:w="1697" w:type="dxa"/>
          </w:tcPr>
          <w:p>
            <w:pPr>
              <w:pStyle w:val="TableParagraph"/>
              <w:spacing w:line="250" w:lineRule="exact" w:before="107"/>
              <w:ind w:right="1"/>
              <w:jc w:val="right"/>
              <w:rPr>
                <w:sz w:val="21"/>
              </w:rPr>
            </w:pPr>
            <w:r>
              <w:rPr>
                <w:sz w:val="21"/>
              </w:rPr>
              <w:t>12,692,847</w:t>
            </w:r>
          </w:p>
        </w:tc>
        <w:tc>
          <w:tcPr>
            <w:tcW w:w="2117" w:type="dxa"/>
          </w:tcPr>
          <w:p>
            <w:pPr>
              <w:pStyle w:val="TableParagraph"/>
              <w:spacing w:line="250" w:lineRule="exact" w:before="107"/>
              <w:jc w:val="right"/>
              <w:rPr>
                <w:sz w:val="21"/>
              </w:rPr>
            </w:pPr>
            <w:r>
              <w:rPr>
                <w:sz w:val="21"/>
              </w:rPr>
              <w:t>98,496,492.72</w:t>
            </w:r>
          </w:p>
        </w:tc>
        <w:tc>
          <w:tcPr>
            <w:tcW w:w="1364" w:type="dxa"/>
          </w:tcPr>
          <w:p>
            <w:pPr>
              <w:pStyle w:val="TableParagraph"/>
              <w:spacing w:line="250" w:lineRule="exact" w:before="107"/>
              <w:ind w:right="1"/>
              <w:jc w:val="right"/>
              <w:rPr>
                <w:sz w:val="21"/>
              </w:rPr>
            </w:pPr>
            <w:r>
              <w:rPr>
                <w:sz w:val="21"/>
              </w:rPr>
              <w:t>5.22</w:t>
            </w:r>
          </w:p>
        </w:tc>
      </w:tr>
      <w:tr>
        <w:trPr>
          <w:trHeight w:val="374" w:hRule="atLeast"/>
        </w:trPr>
        <w:tc>
          <w:tcPr>
            <w:tcW w:w="566" w:type="dxa"/>
          </w:tcPr>
          <w:p>
            <w:pPr>
              <w:pStyle w:val="TableParagraph"/>
              <w:spacing w:line="250" w:lineRule="exact" w:before="104"/>
              <w:ind w:left="9"/>
              <w:jc w:val="center"/>
              <w:rPr>
                <w:sz w:val="21"/>
              </w:rPr>
            </w:pPr>
            <w:r>
              <w:rPr>
                <w:w w:val="100"/>
                <w:sz w:val="21"/>
              </w:rPr>
              <w:t>6</w:t>
            </w:r>
          </w:p>
        </w:tc>
        <w:tc>
          <w:tcPr>
            <w:tcW w:w="1245" w:type="dxa"/>
          </w:tcPr>
          <w:p>
            <w:pPr>
              <w:pStyle w:val="TableParagraph"/>
              <w:spacing w:line="250" w:lineRule="exact" w:before="104"/>
              <w:ind w:left="180" w:right="172"/>
              <w:jc w:val="center"/>
              <w:rPr>
                <w:sz w:val="21"/>
              </w:rPr>
            </w:pPr>
            <w:r>
              <w:rPr>
                <w:sz w:val="21"/>
              </w:rPr>
              <w:t>600048</w:t>
            </w:r>
          </w:p>
        </w:tc>
        <w:tc>
          <w:tcPr>
            <w:tcW w:w="1354" w:type="dxa"/>
          </w:tcPr>
          <w:p>
            <w:pPr>
              <w:pStyle w:val="TableParagraph"/>
              <w:spacing w:line="250" w:lineRule="exact" w:before="104"/>
              <w:ind w:left="236" w:right="222"/>
              <w:jc w:val="center"/>
              <w:rPr>
                <w:sz w:val="21"/>
              </w:rPr>
            </w:pPr>
            <w:r>
              <w:rPr>
                <w:sz w:val="21"/>
              </w:rPr>
              <w:t>保利地产</w:t>
            </w:r>
          </w:p>
        </w:tc>
        <w:tc>
          <w:tcPr>
            <w:tcW w:w="1697" w:type="dxa"/>
          </w:tcPr>
          <w:p>
            <w:pPr>
              <w:pStyle w:val="TableParagraph"/>
              <w:spacing w:line="250" w:lineRule="exact" w:before="104"/>
              <w:ind w:right="1"/>
              <w:jc w:val="right"/>
              <w:rPr>
                <w:sz w:val="21"/>
              </w:rPr>
            </w:pPr>
            <w:r>
              <w:rPr>
                <w:sz w:val="21"/>
              </w:rPr>
              <w:t>6,355,373</w:t>
            </w:r>
          </w:p>
        </w:tc>
        <w:tc>
          <w:tcPr>
            <w:tcW w:w="2117" w:type="dxa"/>
          </w:tcPr>
          <w:p>
            <w:pPr>
              <w:pStyle w:val="TableParagraph"/>
              <w:spacing w:line="250" w:lineRule="exact" w:before="104"/>
              <w:jc w:val="right"/>
              <w:rPr>
                <w:sz w:val="21"/>
              </w:rPr>
            </w:pPr>
            <w:r>
              <w:rPr>
                <w:sz w:val="21"/>
              </w:rPr>
              <w:t>90,881,833.90</w:t>
            </w:r>
          </w:p>
        </w:tc>
        <w:tc>
          <w:tcPr>
            <w:tcW w:w="1364" w:type="dxa"/>
          </w:tcPr>
          <w:p>
            <w:pPr>
              <w:pStyle w:val="TableParagraph"/>
              <w:spacing w:line="250" w:lineRule="exact" w:before="104"/>
              <w:ind w:right="1"/>
              <w:jc w:val="right"/>
              <w:rPr>
                <w:sz w:val="21"/>
              </w:rPr>
            </w:pPr>
            <w:r>
              <w:rPr>
                <w:sz w:val="21"/>
              </w:rPr>
              <w:t>4.82</w:t>
            </w:r>
          </w:p>
        </w:tc>
      </w:tr>
    </w:tbl>
    <w:p>
      <w:pPr>
        <w:spacing w:after="0" w:line="250" w:lineRule="exact"/>
        <w:jc w:val="right"/>
        <w:rPr>
          <w:sz w:val="21"/>
        </w:rPr>
        <w:sectPr>
          <w:pgSz w:w="11910" w:h="16840"/>
          <w:pgMar w:header="852" w:footer="992" w:top="1220" w:bottom="1180" w:left="1140" w:right="480"/>
        </w:sectPr>
      </w:pPr>
    </w:p>
    <w:p>
      <w:pPr>
        <w:pStyle w:val="BodyText"/>
        <w:spacing w:before="11"/>
        <w:rPr>
          <w:b/>
          <w:sz w:val="16"/>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245"/>
        <w:gridCol w:w="1354"/>
        <w:gridCol w:w="1697"/>
        <w:gridCol w:w="2117"/>
        <w:gridCol w:w="1364"/>
      </w:tblGrid>
      <w:tr>
        <w:trPr>
          <w:trHeight w:val="374" w:hRule="atLeast"/>
        </w:trPr>
        <w:tc>
          <w:tcPr>
            <w:tcW w:w="566" w:type="dxa"/>
          </w:tcPr>
          <w:p>
            <w:pPr>
              <w:pStyle w:val="TableParagraph"/>
              <w:spacing w:line="250" w:lineRule="exact" w:before="104"/>
              <w:ind w:left="230"/>
              <w:rPr>
                <w:sz w:val="21"/>
              </w:rPr>
            </w:pPr>
            <w:r>
              <w:rPr>
                <w:w w:val="100"/>
                <w:sz w:val="21"/>
              </w:rPr>
              <w:t>7</w:t>
            </w:r>
          </w:p>
        </w:tc>
        <w:tc>
          <w:tcPr>
            <w:tcW w:w="1245" w:type="dxa"/>
          </w:tcPr>
          <w:p>
            <w:pPr>
              <w:pStyle w:val="TableParagraph"/>
              <w:spacing w:line="250" w:lineRule="exact" w:before="104"/>
              <w:ind w:left="180" w:right="172"/>
              <w:jc w:val="center"/>
              <w:rPr>
                <w:sz w:val="21"/>
              </w:rPr>
            </w:pPr>
            <w:r>
              <w:rPr>
                <w:sz w:val="21"/>
              </w:rPr>
              <w:t>002616</w:t>
            </w:r>
          </w:p>
        </w:tc>
        <w:tc>
          <w:tcPr>
            <w:tcW w:w="1354" w:type="dxa"/>
          </w:tcPr>
          <w:p>
            <w:pPr>
              <w:pStyle w:val="TableParagraph"/>
              <w:spacing w:line="250" w:lineRule="exact" w:before="104"/>
              <w:ind w:left="236" w:right="222"/>
              <w:jc w:val="center"/>
              <w:rPr>
                <w:sz w:val="21"/>
              </w:rPr>
            </w:pPr>
            <w:r>
              <w:rPr>
                <w:sz w:val="21"/>
              </w:rPr>
              <w:t>长青集团</w:t>
            </w:r>
          </w:p>
        </w:tc>
        <w:tc>
          <w:tcPr>
            <w:tcW w:w="1697" w:type="dxa"/>
          </w:tcPr>
          <w:p>
            <w:pPr>
              <w:pStyle w:val="TableParagraph"/>
              <w:spacing w:line="250" w:lineRule="exact" w:before="104"/>
              <w:ind w:right="1"/>
              <w:jc w:val="right"/>
              <w:rPr>
                <w:sz w:val="21"/>
              </w:rPr>
            </w:pPr>
            <w:r>
              <w:rPr>
                <w:sz w:val="21"/>
              </w:rPr>
              <w:t>10,293,463</w:t>
            </w:r>
          </w:p>
        </w:tc>
        <w:tc>
          <w:tcPr>
            <w:tcW w:w="2117" w:type="dxa"/>
          </w:tcPr>
          <w:p>
            <w:pPr>
              <w:pStyle w:val="TableParagraph"/>
              <w:spacing w:line="250" w:lineRule="exact" w:before="104"/>
              <w:jc w:val="right"/>
              <w:rPr>
                <w:sz w:val="21"/>
              </w:rPr>
            </w:pPr>
            <w:r>
              <w:rPr>
                <w:sz w:val="21"/>
              </w:rPr>
              <w:t>71,951,306.37</w:t>
            </w:r>
          </w:p>
        </w:tc>
        <w:tc>
          <w:tcPr>
            <w:tcW w:w="1364" w:type="dxa"/>
          </w:tcPr>
          <w:p>
            <w:pPr>
              <w:pStyle w:val="TableParagraph"/>
              <w:spacing w:line="250" w:lineRule="exact" w:before="104"/>
              <w:ind w:right="1"/>
              <w:jc w:val="right"/>
              <w:rPr>
                <w:sz w:val="21"/>
              </w:rPr>
            </w:pPr>
            <w:r>
              <w:rPr>
                <w:sz w:val="21"/>
              </w:rPr>
              <w:t>3.81</w:t>
            </w:r>
          </w:p>
        </w:tc>
      </w:tr>
      <w:tr>
        <w:trPr>
          <w:trHeight w:val="376" w:hRule="atLeast"/>
        </w:trPr>
        <w:tc>
          <w:tcPr>
            <w:tcW w:w="566" w:type="dxa"/>
          </w:tcPr>
          <w:p>
            <w:pPr>
              <w:pStyle w:val="TableParagraph"/>
              <w:spacing w:line="250" w:lineRule="exact" w:before="106"/>
              <w:ind w:left="230"/>
              <w:rPr>
                <w:sz w:val="21"/>
              </w:rPr>
            </w:pPr>
            <w:r>
              <w:rPr>
                <w:w w:val="100"/>
                <w:sz w:val="21"/>
              </w:rPr>
              <w:t>8</w:t>
            </w:r>
          </w:p>
        </w:tc>
        <w:tc>
          <w:tcPr>
            <w:tcW w:w="1245" w:type="dxa"/>
          </w:tcPr>
          <w:p>
            <w:pPr>
              <w:pStyle w:val="TableParagraph"/>
              <w:spacing w:line="250" w:lineRule="exact" w:before="106"/>
              <w:ind w:left="180" w:right="172"/>
              <w:jc w:val="center"/>
              <w:rPr>
                <w:sz w:val="21"/>
              </w:rPr>
            </w:pPr>
            <w:r>
              <w:rPr>
                <w:sz w:val="21"/>
              </w:rPr>
              <w:t>000333</w:t>
            </w:r>
          </w:p>
        </w:tc>
        <w:tc>
          <w:tcPr>
            <w:tcW w:w="1354" w:type="dxa"/>
          </w:tcPr>
          <w:p>
            <w:pPr>
              <w:pStyle w:val="TableParagraph"/>
              <w:spacing w:line="250" w:lineRule="exact" w:before="106"/>
              <w:ind w:left="236" w:right="222"/>
              <w:jc w:val="center"/>
              <w:rPr>
                <w:sz w:val="21"/>
              </w:rPr>
            </w:pPr>
            <w:r>
              <w:rPr>
                <w:sz w:val="21"/>
              </w:rPr>
              <w:t>美的集团</w:t>
            </w:r>
          </w:p>
        </w:tc>
        <w:tc>
          <w:tcPr>
            <w:tcW w:w="1697" w:type="dxa"/>
          </w:tcPr>
          <w:p>
            <w:pPr>
              <w:pStyle w:val="TableParagraph"/>
              <w:spacing w:line="250" w:lineRule="exact" w:before="106"/>
              <w:ind w:right="1"/>
              <w:jc w:val="right"/>
              <w:rPr>
                <w:sz w:val="21"/>
              </w:rPr>
            </w:pPr>
            <w:r>
              <w:rPr>
                <w:sz w:val="21"/>
              </w:rPr>
              <w:t>1,168,136</w:t>
            </w:r>
          </w:p>
        </w:tc>
        <w:tc>
          <w:tcPr>
            <w:tcW w:w="2117" w:type="dxa"/>
          </w:tcPr>
          <w:p>
            <w:pPr>
              <w:pStyle w:val="TableParagraph"/>
              <w:spacing w:line="250" w:lineRule="exact" w:before="106"/>
              <w:jc w:val="right"/>
              <w:rPr>
                <w:sz w:val="21"/>
              </w:rPr>
            </w:pPr>
            <w:r>
              <w:rPr>
                <w:sz w:val="21"/>
              </w:rPr>
              <w:t>59,691,749.60</w:t>
            </w:r>
          </w:p>
        </w:tc>
        <w:tc>
          <w:tcPr>
            <w:tcW w:w="1364" w:type="dxa"/>
          </w:tcPr>
          <w:p>
            <w:pPr>
              <w:pStyle w:val="TableParagraph"/>
              <w:spacing w:line="250" w:lineRule="exact" w:before="106"/>
              <w:ind w:right="1"/>
              <w:jc w:val="right"/>
              <w:rPr>
                <w:sz w:val="21"/>
              </w:rPr>
            </w:pPr>
            <w:r>
              <w:rPr>
                <w:sz w:val="21"/>
              </w:rPr>
              <w:t>3.16</w:t>
            </w:r>
          </w:p>
        </w:tc>
      </w:tr>
      <w:tr>
        <w:trPr>
          <w:trHeight w:val="373" w:hRule="atLeast"/>
        </w:trPr>
        <w:tc>
          <w:tcPr>
            <w:tcW w:w="566" w:type="dxa"/>
          </w:tcPr>
          <w:p>
            <w:pPr>
              <w:pStyle w:val="TableParagraph"/>
              <w:spacing w:line="250" w:lineRule="exact" w:before="104"/>
              <w:ind w:left="230"/>
              <w:rPr>
                <w:sz w:val="21"/>
              </w:rPr>
            </w:pPr>
            <w:r>
              <w:rPr>
                <w:w w:val="100"/>
                <w:sz w:val="21"/>
              </w:rPr>
              <w:t>9</w:t>
            </w:r>
          </w:p>
        </w:tc>
        <w:tc>
          <w:tcPr>
            <w:tcW w:w="1245" w:type="dxa"/>
          </w:tcPr>
          <w:p>
            <w:pPr>
              <w:pStyle w:val="TableParagraph"/>
              <w:spacing w:line="250" w:lineRule="exact" w:before="104"/>
              <w:ind w:left="180" w:right="172"/>
              <w:jc w:val="center"/>
              <w:rPr>
                <w:sz w:val="21"/>
              </w:rPr>
            </w:pPr>
            <w:r>
              <w:rPr>
                <w:sz w:val="21"/>
              </w:rPr>
              <w:t>002304</w:t>
            </w:r>
          </w:p>
        </w:tc>
        <w:tc>
          <w:tcPr>
            <w:tcW w:w="1354" w:type="dxa"/>
          </w:tcPr>
          <w:p>
            <w:pPr>
              <w:pStyle w:val="TableParagraph"/>
              <w:spacing w:line="250" w:lineRule="exact" w:before="104"/>
              <w:ind w:left="236" w:right="222"/>
              <w:jc w:val="center"/>
              <w:rPr>
                <w:sz w:val="21"/>
              </w:rPr>
            </w:pPr>
            <w:r>
              <w:rPr>
                <w:sz w:val="21"/>
              </w:rPr>
              <w:t>洋河股份</w:t>
            </w:r>
          </w:p>
        </w:tc>
        <w:tc>
          <w:tcPr>
            <w:tcW w:w="1697" w:type="dxa"/>
          </w:tcPr>
          <w:p>
            <w:pPr>
              <w:pStyle w:val="TableParagraph"/>
              <w:spacing w:line="250" w:lineRule="exact" w:before="104"/>
              <w:ind w:right="1"/>
              <w:jc w:val="right"/>
              <w:rPr>
                <w:sz w:val="21"/>
              </w:rPr>
            </w:pPr>
            <w:r>
              <w:rPr>
                <w:sz w:val="21"/>
              </w:rPr>
              <w:t>546,258</w:t>
            </w:r>
          </w:p>
        </w:tc>
        <w:tc>
          <w:tcPr>
            <w:tcW w:w="2117" w:type="dxa"/>
          </w:tcPr>
          <w:p>
            <w:pPr>
              <w:pStyle w:val="TableParagraph"/>
              <w:spacing w:line="250" w:lineRule="exact" w:before="104"/>
              <w:jc w:val="right"/>
              <w:rPr>
                <w:sz w:val="21"/>
              </w:rPr>
            </w:pPr>
            <w:r>
              <w:rPr>
                <w:sz w:val="21"/>
              </w:rPr>
              <w:t>56,810,832.00</w:t>
            </w:r>
          </w:p>
        </w:tc>
        <w:tc>
          <w:tcPr>
            <w:tcW w:w="1364" w:type="dxa"/>
          </w:tcPr>
          <w:p>
            <w:pPr>
              <w:pStyle w:val="TableParagraph"/>
              <w:spacing w:line="250" w:lineRule="exact" w:before="104"/>
              <w:ind w:right="1"/>
              <w:jc w:val="right"/>
              <w:rPr>
                <w:sz w:val="21"/>
              </w:rPr>
            </w:pPr>
            <w:r>
              <w:rPr>
                <w:sz w:val="21"/>
              </w:rPr>
              <w:t>3.01</w:t>
            </w:r>
          </w:p>
        </w:tc>
      </w:tr>
      <w:tr>
        <w:trPr>
          <w:trHeight w:val="376" w:hRule="atLeast"/>
        </w:trPr>
        <w:tc>
          <w:tcPr>
            <w:tcW w:w="566" w:type="dxa"/>
          </w:tcPr>
          <w:p>
            <w:pPr>
              <w:pStyle w:val="TableParagraph"/>
              <w:spacing w:line="250" w:lineRule="exact" w:before="106"/>
              <w:ind w:left="177"/>
              <w:rPr>
                <w:sz w:val="21"/>
              </w:rPr>
            </w:pPr>
            <w:r>
              <w:rPr>
                <w:sz w:val="21"/>
              </w:rPr>
              <w:t>10</w:t>
            </w:r>
          </w:p>
        </w:tc>
        <w:tc>
          <w:tcPr>
            <w:tcW w:w="1245" w:type="dxa"/>
          </w:tcPr>
          <w:p>
            <w:pPr>
              <w:pStyle w:val="TableParagraph"/>
              <w:spacing w:line="250" w:lineRule="exact" w:before="106"/>
              <w:ind w:left="180" w:right="172"/>
              <w:jc w:val="center"/>
              <w:rPr>
                <w:sz w:val="21"/>
              </w:rPr>
            </w:pPr>
            <w:r>
              <w:rPr>
                <w:sz w:val="21"/>
              </w:rPr>
              <w:t>603899</w:t>
            </w:r>
          </w:p>
        </w:tc>
        <w:tc>
          <w:tcPr>
            <w:tcW w:w="1354" w:type="dxa"/>
          </w:tcPr>
          <w:p>
            <w:pPr>
              <w:pStyle w:val="TableParagraph"/>
              <w:spacing w:line="250" w:lineRule="exact" w:before="106"/>
              <w:ind w:left="236" w:right="222"/>
              <w:jc w:val="center"/>
              <w:rPr>
                <w:sz w:val="21"/>
              </w:rPr>
            </w:pPr>
            <w:r>
              <w:rPr>
                <w:sz w:val="21"/>
              </w:rPr>
              <w:t>晨光文具</w:t>
            </w:r>
          </w:p>
        </w:tc>
        <w:tc>
          <w:tcPr>
            <w:tcW w:w="1697" w:type="dxa"/>
          </w:tcPr>
          <w:p>
            <w:pPr>
              <w:pStyle w:val="TableParagraph"/>
              <w:spacing w:line="250" w:lineRule="exact" w:before="106"/>
              <w:ind w:right="1"/>
              <w:jc w:val="right"/>
              <w:rPr>
                <w:sz w:val="21"/>
              </w:rPr>
            </w:pPr>
            <w:r>
              <w:rPr>
                <w:sz w:val="21"/>
              </w:rPr>
              <w:t>1,268,240</w:t>
            </w:r>
          </w:p>
        </w:tc>
        <w:tc>
          <w:tcPr>
            <w:tcW w:w="2117" w:type="dxa"/>
          </w:tcPr>
          <w:p>
            <w:pPr>
              <w:pStyle w:val="TableParagraph"/>
              <w:spacing w:line="250" w:lineRule="exact" w:before="106"/>
              <w:jc w:val="right"/>
              <w:rPr>
                <w:sz w:val="21"/>
              </w:rPr>
            </w:pPr>
            <w:r>
              <w:rPr>
                <w:sz w:val="21"/>
              </w:rPr>
              <w:t>56,512,774.40</w:t>
            </w:r>
          </w:p>
        </w:tc>
        <w:tc>
          <w:tcPr>
            <w:tcW w:w="1364" w:type="dxa"/>
          </w:tcPr>
          <w:p>
            <w:pPr>
              <w:pStyle w:val="TableParagraph"/>
              <w:spacing w:line="250" w:lineRule="exact" w:before="106"/>
              <w:ind w:right="1"/>
              <w:jc w:val="right"/>
              <w:rPr>
                <w:sz w:val="21"/>
              </w:rPr>
            </w:pPr>
            <w:r>
              <w:rPr>
                <w:sz w:val="21"/>
              </w:rPr>
              <w:t>2.99</w:t>
            </w:r>
          </w:p>
        </w:tc>
      </w:tr>
    </w:tbl>
    <w:p>
      <w:pPr>
        <w:pStyle w:val="BodyText"/>
        <w:spacing w:before="6"/>
        <w:rPr>
          <w:b/>
          <w:sz w:val="11"/>
        </w:rPr>
      </w:pPr>
    </w:p>
    <w:p>
      <w:pPr>
        <w:pStyle w:val="ListParagraph"/>
        <w:numPr>
          <w:ilvl w:val="0"/>
          <w:numId w:val="28"/>
        </w:numPr>
        <w:tabs>
          <w:tab w:pos="922" w:val="left" w:leader="none"/>
        </w:tabs>
        <w:spacing w:line="240" w:lineRule="auto" w:before="88" w:after="0"/>
        <w:ind w:left="922" w:right="0" w:hanging="264"/>
        <w:jc w:val="left"/>
        <w:rPr>
          <w:b/>
          <w:sz w:val="24"/>
        </w:rPr>
      </w:pPr>
      <w:r>
        <w:rPr>
          <w:b/>
          <w:sz w:val="24"/>
        </w:rPr>
        <w:t>报告期末按债券品种分类的债券投资组合</w:t>
      </w:r>
    </w:p>
    <w:p>
      <w:pPr>
        <w:pStyle w:val="BodyText"/>
        <w:rPr>
          <w:b/>
          <w:sz w:val="11"/>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344"/>
        <w:gridCol w:w="2753"/>
        <w:gridCol w:w="1582"/>
      </w:tblGrid>
      <w:tr>
        <w:trPr>
          <w:trHeight w:val="719" w:hRule="atLeast"/>
        </w:trPr>
        <w:tc>
          <w:tcPr>
            <w:tcW w:w="696" w:type="dxa"/>
            <w:shd w:val="clear" w:color="auto" w:fill="D9D9D9"/>
          </w:tcPr>
          <w:p>
            <w:pPr>
              <w:pStyle w:val="TableParagraph"/>
              <w:rPr>
                <w:b/>
                <w:sz w:val="21"/>
              </w:rPr>
            </w:pPr>
          </w:p>
          <w:p>
            <w:pPr>
              <w:pStyle w:val="TableParagraph"/>
              <w:ind w:left="117" w:right="108"/>
              <w:jc w:val="center"/>
              <w:rPr>
                <w:sz w:val="21"/>
              </w:rPr>
            </w:pPr>
            <w:r>
              <w:rPr>
                <w:sz w:val="21"/>
              </w:rPr>
              <w:t>序号</w:t>
            </w:r>
          </w:p>
        </w:tc>
        <w:tc>
          <w:tcPr>
            <w:tcW w:w="3344" w:type="dxa"/>
            <w:shd w:val="clear" w:color="auto" w:fill="D9D9D9"/>
          </w:tcPr>
          <w:p>
            <w:pPr>
              <w:pStyle w:val="TableParagraph"/>
              <w:rPr>
                <w:b/>
                <w:sz w:val="21"/>
              </w:rPr>
            </w:pPr>
          </w:p>
          <w:p>
            <w:pPr>
              <w:pStyle w:val="TableParagraph"/>
              <w:ind w:left="1231" w:right="1223"/>
              <w:jc w:val="center"/>
              <w:rPr>
                <w:sz w:val="21"/>
              </w:rPr>
            </w:pPr>
            <w:r>
              <w:rPr>
                <w:sz w:val="21"/>
              </w:rPr>
              <w:t>债券品种</w:t>
            </w:r>
          </w:p>
        </w:tc>
        <w:tc>
          <w:tcPr>
            <w:tcW w:w="2753" w:type="dxa"/>
            <w:shd w:val="clear" w:color="auto" w:fill="D9D9D9"/>
          </w:tcPr>
          <w:p>
            <w:pPr>
              <w:pStyle w:val="TableParagraph"/>
              <w:rPr>
                <w:b/>
                <w:sz w:val="21"/>
              </w:rPr>
            </w:pPr>
          </w:p>
          <w:p>
            <w:pPr>
              <w:pStyle w:val="TableParagraph"/>
              <w:ind w:left="640"/>
              <w:rPr>
                <w:sz w:val="21"/>
              </w:rPr>
            </w:pPr>
            <w:r>
              <w:rPr>
                <w:sz w:val="21"/>
              </w:rPr>
              <w:t>公允价值（元）</w:t>
            </w:r>
          </w:p>
        </w:tc>
        <w:tc>
          <w:tcPr>
            <w:tcW w:w="1582" w:type="dxa"/>
            <w:shd w:val="clear" w:color="auto" w:fill="D9D9D9"/>
          </w:tcPr>
          <w:p>
            <w:pPr>
              <w:pStyle w:val="TableParagraph"/>
              <w:spacing w:line="360" w:lineRule="exact" w:before="11"/>
              <w:ind w:left="314" w:right="43" w:hanging="262"/>
              <w:rPr>
                <w:sz w:val="21"/>
              </w:rPr>
            </w:pPr>
            <w:r>
              <w:rPr>
                <w:sz w:val="21"/>
              </w:rPr>
              <w:t>占基金资产净值比例（%）</w:t>
            </w:r>
          </w:p>
        </w:tc>
      </w:tr>
      <w:tr>
        <w:trPr>
          <w:trHeight w:val="348" w:hRule="atLeast"/>
        </w:trPr>
        <w:tc>
          <w:tcPr>
            <w:tcW w:w="696" w:type="dxa"/>
          </w:tcPr>
          <w:p>
            <w:pPr>
              <w:pStyle w:val="TableParagraph"/>
              <w:spacing w:line="250" w:lineRule="exact" w:before="78"/>
              <w:ind w:left="9"/>
              <w:jc w:val="center"/>
              <w:rPr>
                <w:sz w:val="21"/>
              </w:rPr>
            </w:pPr>
            <w:r>
              <w:rPr>
                <w:w w:val="100"/>
                <w:sz w:val="21"/>
              </w:rPr>
              <w:t>1</w:t>
            </w:r>
          </w:p>
        </w:tc>
        <w:tc>
          <w:tcPr>
            <w:tcW w:w="3344" w:type="dxa"/>
          </w:tcPr>
          <w:p>
            <w:pPr>
              <w:pStyle w:val="TableParagraph"/>
              <w:spacing w:line="250" w:lineRule="exact" w:before="78"/>
              <w:ind w:left="134"/>
              <w:rPr>
                <w:sz w:val="21"/>
              </w:rPr>
            </w:pPr>
            <w:r>
              <w:rPr>
                <w:sz w:val="21"/>
              </w:rPr>
              <w:t>国家债券</w:t>
            </w:r>
          </w:p>
        </w:tc>
        <w:tc>
          <w:tcPr>
            <w:tcW w:w="2753" w:type="dxa"/>
          </w:tcPr>
          <w:p>
            <w:pPr>
              <w:pStyle w:val="TableParagraph"/>
              <w:spacing w:line="250" w:lineRule="exact" w:before="78"/>
              <w:ind w:right="19"/>
              <w:jc w:val="right"/>
              <w:rPr>
                <w:sz w:val="21"/>
              </w:rPr>
            </w:pPr>
            <w:r>
              <w:rPr>
                <w:w w:val="100"/>
                <w:sz w:val="21"/>
              </w:rPr>
              <w:t>-</w:t>
            </w:r>
          </w:p>
        </w:tc>
        <w:tc>
          <w:tcPr>
            <w:tcW w:w="1582" w:type="dxa"/>
          </w:tcPr>
          <w:p>
            <w:pPr>
              <w:pStyle w:val="TableParagraph"/>
              <w:spacing w:line="250" w:lineRule="exact" w:before="78"/>
              <w:ind w:right="19"/>
              <w:jc w:val="right"/>
              <w:rPr>
                <w:sz w:val="21"/>
              </w:rPr>
            </w:pPr>
            <w:r>
              <w:rPr>
                <w:w w:val="100"/>
                <w:sz w:val="21"/>
              </w:rPr>
              <w:t>-</w:t>
            </w:r>
          </w:p>
        </w:tc>
      </w:tr>
      <w:tr>
        <w:trPr>
          <w:trHeight w:val="360" w:hRule="atLeast"/>
        </w:trPr>
        <w:tc>
          <w:tcPr>
            <w:tcW w:w="696" w:type="dxa"/>
          </w:tcPr>
          <w:p>
            <w:pPr>
              <w:pStyle w:val="TableParagraph"/>
              <w:spacing w:line="250" w:lineRule="exact" w:before="90"/>
              <w:ind w:left="9"/>
              <w:jc w:val="center"/>
              <w:rPr>
                <w:sz w:val="21"/>
              </w:rPr>
            </w:pPr>
            <w:r>
              <w:rPr>
                <w:w w:val="100"/>
                <w:sz w:val="21"/>
              </w:rPr>
              <w:t>2</w:t>
            </w:r>
          </w:p>
        </w:tc>
        <w:tc>
          <w:tcPr>
            <w:tcW w:w="3344" w:type="dxa"/>
          </w:tcPr>
          <w:p>
            <w:pPr>
              <w:pStyle w:val="TableParagraph"/>
              <w:spacing w:line="250" w:lineRule="exact" w:before="90"/>
              <w:ind w:left="134"/>
              <w:rPr>
                <w:sz w:val="21"/>
              </w:rPr>
            </w:pPr>
            <w:r>
              <w:rPr>
                <w:sz w:val="21"/>
              </w:rPr>
              <w:t>央行票据</w:t>
            </w:r>
          </w:p>
        </w:tc>
        <w:tc>
          <w:tcPr>
            <w:tcW w:w="2753" w:type="dxa"/>
          </w:tcPr>
          <w:p>
            <w:pPr>
              <w:pStyle w:val="TableParagraph"/>
              <w:spacing w:line="250" w:lineRule="exact" w:before="90"/>
              <w:ind w:right="19"/>
              <w:jc w:val="right"/>
              <w:rPr>
                <w:sz w:val="21"/>
              </w:rPr>
            </w:pPr>
            <w:r>
              <w:rPr>
                <w:w w:val="100"/>
                <w:sz w:val="21"/>
              </w:rPr>
              <w:t>-</w:t>
            </w:r>
          </w:p>
        </w:tc>
        <w:tc>
          <w:tcPr>
            <w:tcW w:w="1582" w:type="dxa"/>
          </w:tcPr>
          <w:p>
            <w:pPr>
              <w:pStyle w:val="TableParagraph"/>
              <w:spacing w:line="250" w:lineRule="exact" w:before="90"/>
              <w:ind w:right="19"/>
              <w:jc w:val="right"/>
              <w:rPr>
                <w:sz w:val="21"/>
              </w:rPr>
            </w:pPr>
            <w:r>
              <w:rPr>
                <w:w w:val="100"/>
                <w:sz w:val="21"/>
              </w:rPr>
              <w:t>-</w:t>
            </w:r>
          </w:p>
        </w:tc>
      </w:tr>
      <w:tr>
        <w:trPr>
          <w:trHeight w:val="359" w:hRule="atLeast"/>
        </w:trPr>
        <w:tc>
          <w:tcPr>
            <w:tcW w:w="696" w:type="dxa"/>
          </w:tcPr>
          <w:p>
            <w:pPr>
              <w:pStyle w:val="TableParagraph"/>
              <w:spacing w:line="250" w:lineRule="exact" w:before="90"/>
              <w:ind w:left="9"/>
              <w:jc w:val="center"/>
              <w:rPr>
                <w:sz w:val="21"/>
              </w:rPr>
            </w:pPr>
            <w:r>
              <w:rPr>
                <w:w w:val="100"/>
                <w:sz w:val="21"/>
              </w:rPr>
              <w:t>3</w:t>
            </w:r>
          </w:p>
        </w:tc>
        <w:tc>
          <w:tcPr>
            <w:tcW w:w="3344" w:type="dxa"/>
          </w:tcPr>
          <w:p>
            <w:pPr>
              <w:pStyle w:val="TableParagraph"/>
              <w:spacing w:line="250" w:lineRule="exact" w:before="90"/>
              <w:ind w:left="134"/>
              <w:rPr>
                <w:sz w:val="21"/>
              </w:rPr>
            </w:pPr>
            <w:r>
              <w:rPr>
                <w:sz w:val="21"/>
              </w:rPr>
              <w:t>金融债券</w:t>
            </w:r>
          </w:p>
        </w:tc>
        <w:tc>
          <w:tcPr>
            <w:tcW w:w="2753" w:type="dxa"/>
          </w:tcPr>
          <w:p>
            <w:pPr>
              <w:pStyle w:val="TableParagraph"/>
              <w:spacing w:line="250" w:lineRule="exact" w:before="90"/>
              <w:ind w:right="16"/>
              <w:jc w:val="right"/>
              <w:rPr>
                <w:sz w:val="21"/>
              </w:rPr>
            </w:pPr>
            <w:r>
              <w:rPr>
                <w:sz w:val="21"/>
              </w:rPr>
              <w:t>400,738,000.00</w:t>
            </w:r>
          </w:p>
        </w:tc>
        <w:tc>
          <w:tcPr>
            <w:tcW w:w="1582" w:type="dxa"/>
          </w:tcPr>
          <w:p>
            <w:pPr>
              <w:pStyle w:val="TableParagraph"/>
              <w:spacing w:line="250" w:lineRule="exact" w:before="90"/>
              <w:ind w:right="16"/>
              <w:jc w:val="right"/>
              <w:rPr>
                <w:sz w:val="21"/>
              </w:rPr>
            </w:pPr>
            <w:r>
              <w:rPr>
                <w:sz w:val="21"/>
              </w:rPr>
              <w:t>21.23</w:t>
            </w:r>
          </w:p>
        </w:tc>
      </w:tr>
      <w:tr>
        <w:trPr>
          <w:trHeight w:val="362" w:hRule="atLeast"/>
        </w:trPr>
        <w:tc>
          <w:tcPr>
            <w:tcW w:w="696" w:type="dxa"/>
          </w:tcPr>
          <w:p>
            <w:pPr>
              <w:pStyle w:val="TableParagraph"/>
              <w:rPr>
                <w:rFonts w:ascii="Times New Roman"/>
                <w:sz w:val="20"/>
              </w:rPr>
            </w:pPr>
          </w:p>
        </w:tc>
        <w:tc>
          <w:tcPr>
            <w:tcW w:w="3344" w:type="dxa"/>
          </w:tcPr>
          <w:p>
            <w:pPr>
              <w:pStyle w:val="TableParagraph"/>
              <w:spacing w:line="250" w:lineRule="exact" w:before="92"/>
              <w:ind w:left="134"/>
              <w:rPr>
                <w:sz w:val="21"/>
              </w:rPr>
            </w:pPr>
            <w:r>
              <w:rPr>
                <w:sz w:val="21"/>
              </w:rPr>
              <w:t>其中：政策性金融债</w:t>
            </w:r>
          </w:p>
        </w:tc>
        <w:tc>
          <w:tcPr>
            <w:tcW w:w="2753" w:type="dxa"/>
          </w:tcPr>
          <w:p>
            <w:pPr>
              <w:pStyle w:val="TableParagraph"/>
              <w:spacing w:line="250" w:lineRule="exact" w:before="92"/>
              <w:ind w:right="16"/>
              <w:jc w:val="right"/>
              <w:rPr>
                <w:sz w:val="21"/>
              </w:rPr>
            </w:pPr>
            <w:r>
              <w:rPr>
                <w:sz w:val="21"/>
              </w:rPr>
              <w:t>400,738,000.00</w:t>
            </w:r>
          </w:p>
        </w:tc>
        <w:tc>
          <w:tcPr>
            <w:tcW w:w="1582" w:type="dxa"/>
          </w:tcPr>
          <w:p>
            <w:pPr>
              <w:pStyle w:val="TableParagraph"/>
              <w:spacing w:line="250" w:lineRule="exact" w:before="92"/>
              <w:ind w:right="16"/>
              <w:jc w:val="right"/>
              <w:rPr>
                <w:sz w:val="21"/>
              </w:rPr>
            </w:pPr>
            <w:r>
              <w:rPr>
                <w:sz w:val="21"/>
              </w:rPr>
              <w:t>21.23</w:t>
            </w:r>
          </w:p>
        </w:tc>
      </w:tr>
      <w:tr>
        <w:trPr>
          <w:trHeight w:val="359" w:hRule="atLeast"/>
        </w:trPr>
        <w:tc>
          <w:tcPr>
            <w:tcW w:w="696" w:type="dxa"/>
          </w:tcPr>
          <w:p>
            <w:pPr>
              <w:pStyle w:val="TableParagraph"/>
              <w:spacing w:line="250" w:lineRule="exact" w:before="89"/>
              <w:ind w:left="9"/>
              <w:jc w:val="center"/>
              <w:rPr>
                <w:sz w:val="21"/>
              </w:rPr>
            </w:pPr>
            <w:r>
              <w:rPr>
                <w:w w:val="100"/>
                <w:sz w:val="21"/>
              </w:rPr>
              <w:t>4</w:t>
            </w:r>
          </w:p>
        </w:tc>
        <w:tc>
          <w:tcPr>
            <w:tcW w:w="3344" w:type="dxa"/>
          </w:tcPr>
          <w:p>
            <w:pPr>
              <w:pStyle w:val="TableParagraph"/>
              <w:spacing w:line="250" w:lineRule="exact" w:before="89"/>
              <w:ind w:left="134"/>
              <w:rPr>
                <w:sz w:val="21"/>
              </w:rPr>
            </w:pPr>
            <w:r>
              <w:rPr>
                <w:sz w:val="21"/>
              </w:rPr>
              <w:t>企业债券</w:t>
            </w:r>
          </w:p>
        </w:tc>
        <w:tc>
          <w:tcPr>
            <w:tcW w:w="2753" w:type="dxa"/>
          </w:tcPr>
          <w:p>
            <w:pPr>
              <w:pStyle w:val="TableParagraph"/>
              <w:spacing w:line="250" w:lineRule="exact" w:before="89"/>
              <w:ind w:right="19"/>
              <w:jc w:val="right"/>
              <w:rPr>
                <w:sz w:val="21"/>
              </w:rPr>
            </w:pPr>
            <w:r>
              <w:rPr>
                <w:w w:val="100"/>
                <w:sz w:val="21"/>
              </w:rPr>
              <w:t>-</w:t>
            </w:r>
          </w:p>
        </w:tc>
        <w:tc>
          <w:tcPr>
            <w:tcW w:w="1582" w:type="dxa"/>
          </w:tcPr>
          <w:p>
            <w:pPr>
              <w:pStyle w:val="TableParagraph"/>
              <w:spacing w:line="250" w:lineRule="exact" w:before="89"/>
              <w:ind w:right="19"/>
              <w:jc w:val="right"/>
              <w:rPr>
                <w:sz w:val="21"/>
              </w:rPr>
            </w:pPr>
            <w:r>
              <w:rPr>
                <w:w w:val="100"/>
                <w:sz w:val="21"/>
              </w:rPr>
              <w:t>-</w:t>
            </w:r>
          </w:p>
        </w:tc>
      </w:tr>
      <w:tr>
        <w:trPr>
          <w:trHeight w:val="359" w:hRule="atLeast"/>
        </w:trPr>
        <w:tc>
          <w:tcPr>
            <w:tcW w:w="696" w:type="dxa"/>
          </w:tcPr>
          <w:p>
            <w:pPr>
              <w:pStyle w:val="TableParagraph"/>
              <w:spacing w:line="250" w:lineRule="exact" w:before="90"/>
              <w:ind w:left="9"/>
              <w:jc w:val="center"/>
              <w:rPr>
                <w:sz w:val="21"/>
              </w:rPr>
            </w:pPr>
            <w:r>
              <w:rPr>
                <w:w w:val="100"/>
                <w:sz w:val="21"/>
              </w:rPr>
              <w:t>5</w:t>
            </w:r>
          </w:p>
        </w:tc>
        <w:tc>
          <w:tcPr>
            <w:tcW w:w="3344" w:type="dxa"/>
          </w:tcPr>
          <w:p>
            <w:pPr>
              <w:pStyle w:val="TableParagraph"/>
              <w:spacing w:line="250" w:lineRule="exact" w:before="90"/>
              <w:ind w:left="134"/>
              <w:rPr>
                <w:sz w:val="21"/>
              </w:rPr>
            </w:pPr>
            <w:r>
              <w:rPr>
                <w:sz w:val="21"/>
              </w:rPr>
              <w:t>企业短期融资券</w:t>
            </w:r>
          </w:p>
        </w:tc>
        <w:tc>
          <w:tcPr>
            <w:tcW w:w="2753" w:type="dxa"/>
          </w:tcPr>
          <w:p>
            <w:pPr>
              <w:pStyle w:val="TableParagraph"/>
              <w:spacing w:line="250" w:lineRule="exact" w:before="90"/>
              <w:ind w:right="19"/>
              <w:jc w:val="right"/>
              <w:rPr>
                <w:sz w:val="21"/>
              </w:rPr>
            </w:pPr>
            <w:r>
              <w:rPr>
                <w:w w:val="100"/>
                <w:sz w:val="21"/>
              </w:rPr>
              <w:t>-</w:t>
            </w:r>
          </w:p>
        </w:tc>
        <w:tc>
          <w:tcPr>
            <w:tcW w:w="1582" w:type="dxa"/>
          </w:tcPr>
          <w:p>
            <w:pPr>
              <w:pStyle w:val="TableParagraph"/>
              <w:spacing w:line="250" w:lineRule="exact" w:before="90"/>
              <w:ind w:right="19"/>
              <w:jc w:val="right"/>
              <w:rPr>
                <w:sz w:val="21"/>
              </w:rPr>
            </w:pPr>
            <w:r>
              <w:rPr>
                <w:w w:val="100"/>
                <w:sz w:val="21"/>
              </w:rPr>
              <w:t>-</w:t>
            </w:r>
          </w:p>
        </w:tc>
      </w:tr>
      <w:tr>
        <w:trPr>
          <w:trHeight w:val="359" w:hRule="atLeast"/>
        </w:trPr>
        <w:tc>
          <w:tcPr>
            <w:tcW w:w="696" w:type="dxa"/>
          </w:tcPr>
          <w:p>
            <w:pPr>
              <w:pStyle w:val="TableParagraph"/>
              <w:spacing w:line="250" w:lineRule="exact" w:before="89"/>
              <w:ind w:left="9"/>
              <w:jc w:val="center"/>
              <w:rPr>
                <w:sz w:val="21"/>
              </w:rPr>
            </w:pPr>
            <w:r>
              <w:rPr>
                <w:w w:val="100"/>
                <w:sz w:val="21"/>
              </w:rPr>
              <w:t>6</w:t>
            </w:r>
          </w:p>
        </w:tc>
        <w:tc>
          <w:tcPr>
            <w:tcW w:w="3344" w:type="dxa"/>
          </w:tcPr>
          <w:p>
            <w:pPr>
              <w:pStyle w:val="TableParagraph"/>
              <w:spacing w:line="250" w:lineRule="exact" w:before="89"/>
              <w:ind w:left="134"/>
              <w:rPr>
                <w:sz w:val="21"/>
              </w:rPr>
            </w:pPr>
            <w:r>
              <w:rPr>
                <w:sz w:val="21"/>
              </w:rPr>
              <w:t>中期票据</w:t>
            </w:r>
          </w:p>
        </w:tc>
        <w:tc>
          <w:tcPr>
            <w:tcW w:w="2753" w:type="dxa"/>
          </w:tcPr>
          <w:p>
            <w:pPr>
              <w:pStyle w:val="TableParagraph"/>
              <w:spacing w:line="250" w:lineRule="exact" w:before="89"/>
              <w:ind w:right="19"/>
              <w:jc w:val="right"/>
              <w:rPr>
                <w:sz w:val="21"/>
              </w:rPr>
            </w:pPr>
            <w:r>
              <w:rPr>
                <w:w w:val="100"/>
                <w:sz w:val="21"/>
              </w:rPr>
              <w:t>-</w:t>
            </w:r>
          </w:p>
        </w:tc>
        <w:tc>
          <w:tcPr>
            <w:tcW w:w="1582" w:type="dxa"/>
          </w:tcPr>
          <w:p>
            <w:pPr>
              <w:pStyle w:val="TableParagraph"/>
              <w:spacing w:line="250" w:lineRule="exact" w:before="89"/>
              <w:ind w:right="19"/>
              <w:jc w:val="right"/>
              <w:rPr>
                <w:sz w:val="21"/>
              </w:rPr>
            </w:pPr>
            <w:r>
              <w:rPr>
                <w:w w:val="100"/>
                <w:sz w:val="21"/>
              </w:rPr>
              <w:t>-</w:t>
            </w:r>
          </w:p>
        </w:tc>
      </w:tr>
      <w:tr>
        <w:trPr>
          <w:trHeight w:val="359" w:hRule="atLeast"/>
        </w:trPr>
        <w:tc>
          <w:tcPr>
            <w:tcW w:w="696" w:type="dxa"/>
          </w:tcPr>
          <w:p>
            <w:pPr>
              <w:pStyle w:val="TableParagraph"/>
              <w:spacing w:line="250" w:lineRule="exact" w:before="90"/>
              <w:ind w:left="9"/>
              <w:jc w:val="center"/>
              <w:rPr>
                <w:sz w:val="21"/>
              </w:rPr>
            </w:pPr>
            <w:r>
              <w:rPr>
                <w:w w:val="100"/>
                <w:sz w:val="21"/>
              </w:rPr>
              <w:t>7</w:t>
            </w:r>
          </w:p>
        </w:tc>
        <w:tc>
          <w:tcPr>
            <w:tcW w:w="3344" w:type="dxa"/>
          </w:tcPr>
          <w:p>
            <w:pPr>
              <w:pStyle w:val="TableParagraph"/>
              <w:spacing w:line="250" w:lineRule="exact" w:before="90"/>
              <w:ind w:left="134"/>
              <w:rPr>
                <w:sz w:val="21"/>
              </w:rPr>
            </w:pPr>
            <w:r>
              <w:rPr>
                <w:sz w:val="21"/>
              </w:rPr>
              <w:t>可转债（可交换债）</w:t>
            </w:r>
          </w:p>
        </w:tc>
        <w:tc>
          <w:tcPr>
            <w:tcW w:w="2753" w:type="dxa"/>
          </w:tcPr>
          <w:p>
            <w:pPr>
              <w:pStyle w:val="TableParagraph"/>
              <w:spacing w:line="250" w:lineRule="exact" w:before="90"/>
              <w:ind w:right="16"/>
              <w:jc w:val="right"/>
              <w:rPr>
                <w:sz w:val="21"/>
              </w:rPr>
            </w:pPr>
            <w:r>
              <w:rPr>
                <w:sz w:val="21"/>
              </w:rPr>
              <w:t>4,073,545.05</w:t>
            </w:r>
          </w:p>
        </w:tc>
        <w:tc>
          <w:tcPr>
            <w:tcW w:w="1582" w:type="dxa"/>
          </w:tcPr>
          <w:p>
            <w:pPr>
              <w:pStyle w:val="TableParagraph"/>
              <w:spacing w:line="250" w:lineRule="exact" w:before="90"/>
              <w:ind w:right="16"/>
              <w:jc w:val="right"/>
              <w:rPr>
                <w:sz w:val="21"/>
              </w:rPr>
            </w:pPr>
            <w:r>
              <w:rPr>
                <w:sz w:val="21"/>
              </w:rPr>
              <w:t>0.22</w:t>
            </w:r>
          </w:p>
        </w:tc>
      </w:tr>
      <w:tr>
        <w:trPr>
          <w:trHeight w:val="359" w:hRule="atLeast"/>
        </w:trPr>
        <w:tc>
          <w:tcPr>
            <w:tcW w:w="696" w:type="dxa"/>
          </w:tcPr>
          <w:p>
            <w:pPr>
              <w:pStyle w:val="TableParagraph"/>
              <w:spacing w:line="250" w:lineRule="exact" w:before="89"/>
              <w:ind w:left="9"/>
              <w:jc w:val="center"/>
              <w:rPr>
                <w:sz w:val="21"/>
              </w:rPr>
            </w:pPr>
            <w:r>
              <w:rPr>
                <w:w w:val="100"/>
                <w:sz w:val="21"/>
              </w:rPr>
              <w:t>8</w:t>
            </w:r>
          </w:p>
        </w:tc>
        <w:tc>
          <w:tcPr>
            <w:tcW w:w="3344" w:type="dxa"/>
          </w:tcPr>
          <w:p>
            <w:pPr>
              <w:pStyle w:val="TableParagraph"/>
              <w:spacing w:line="250" w:lineRule="exact" w:before="89"/>
              <w:ind w:left="134"/>
              <w:rPr>
                <w:sz w:val="21"/>
              </w:rPr>
            </w:pPr>
            <w:r>
              <w:rPr>
                <w:sz w:val="21"/>
              </w:rPr>
              <w:t>同业存单</w:t>
            </w:r>
          </w:p>
        </w:tc>
        <w:tc>
          <w:tcPr>
            <w:tcW w:w="2753" w:type="dxa"/>
          </w:tcPr>
          <w:p>
            <w:pPr>
              <w:pStyle w:val="TableParagraph"/>
              <w:spacing w:line="250" w:lineRule="exact" w:before="89"/>
              <w:ind w:right="19"/>
              <w:jc w:val="right"/>
              <w:rPr>
                <w:sz w:val="21"/>
              </w:rPr>
            </w:pPr>
            <w:r>
              <w:rPr>
                <w:w w:val="100"/>
                <w:sz w:val="21"/>
              </w:rPr>
              <w:t>-</w:t>
            </w:r>
          </w:p>
        </w:tc>
        <w:tc>
          <w:tcPr>
            <w:tcW w:w="1582" w:type="dxa"/>
          </w:tcPr>
          <w:p>
            <w:pPr>
              <w:pStyle w:val="TableParagraph"/>
              <w:spacing w:line="250" w:lineRule="exact" w:before="89"/>
              <w:ind w:right="19"/>
              <w:jc w:val="right"/>
              <w:rPr>
                <w:sz w:val="21"/>
              </w:rPr>
            </w:pPr>
            <w:r>
              <w:rPr>
                <w:w w:val="100"/>
                <w:sz w:val="21"/>
              </w:rPr>
              <w:t>-</w:t>
            </w:r>
          </w:p>
        </w:tc>
      </w:tr>
      <w:tr>
        <w:trPr>
          <w:trHeight w:val="362" w:hRule="atLeast"/>
        </w:trPr>
        <w:tc>
          <w:tcPr>
            <w:tcW w:w="696" w:type="dxa"/>
          </w:tcPr>
          <w:p>
            <w:pPr>
              <w:pStyle w:val="TableParagraph"/>
              <w:spacing w:line="250" w:lineRule="exact" w:before="92"/>
              <w:ind w:left="9"/>
              <w:jc w:val="center"/>
              <w:rPr>
                <w:sz w:val="21"/>
              </w:rPr>
            </w:pPr>
            <w:r>
              <w:rPr>
                <w:w w:val="100"/>
                <w:sz w:val="21"/>
              </w:rPr>
              <w:t>9</w:t>
            </w:r>
          </w:p>
        </w:tc>
        <w:tc>
          <w:tcPr>
            <w:tcW w:w="3344" w:type="dxa"/>
          </w:tcPr>
          <w:p>
            <w:pPr>
              <w:pStyle w:val="TableParagraph"/>
              <w:spacing w:line="250" w:lineRule="exact" w:before="92"/>
              <w:ind w:left="134"/>
              <w:rPr>
                <w:sz w:val="21"/>
              </w:rPr>
            </w:pPr>
            <w:r>
              <w:rPr>
                <w:sz w:val="21"/>
              </w:rPr>
              <w:t>其他</w:t>
            </w:r>
          </w:p>
        </w:tc>
        <w:tc>
          <w:tcPr>
            <w:tcW w:w="2753" w:type="dxa"/>
          </w:tcPr>
          <w:p>
            <w:pPr>
              <w:pStyle w:val="TableParagraph"/>
              <w:spacing w:line="250" w:lineRule="exact" w:before="92"/>
              <w:ind w:right="19"/>
              <w:jc w:val="right"/>
              <w:rPr>
                <w:sz w:val="21"/>
              </w:rPr>
            </w:pPr>
            <w:r>
              <w:rPr>
                <w:w w:val="100"/>
                <w:sz w:val="21"/>
              </w:rPr>
              <w:t>-</w:t>
            </w:r>
          </w:p>
        </w:tc>
        <w:tc>
          <w:tcPr>
            <w:tcW w:w="1582" w:type="dxa"/>
          </w:tcPr>
          <w:p>
            <w:pPr>
              <w:pStyle w:val="TableParagraph"/>
              <w:spacing w:line="250" w:lineRule="exact" w:before="92"/>
              <w:ind w:right="19"/>
              <w:jc w:val="right"/>
              <w:rPr>
                <w:sz w:val="21"/>
              </w:rPr>
            </w:pPr>
            <w:r>
              <w:rPr>
                <w:w w:val="100"/>
                <w:sz w:val="21"/>
              </w:rPr>
              <w:t>-</w:t>
            </w:r>
          </w:p>
        </w:tc>
      </w:tr>
      <w:tr>
        <w:trPr>
          <w:trHeight w:val="360" w:hRule="atLeast"/>
        </w:trPr>
        <w:tc>
          <w:tcPr>
            <w:tcW w:w="696" w:type="dxa"/>
          </w:tcPr>
          <w:p>
            <w:pPr>
              <w:pStyle w:val="TableParagraph"/>
              <w:spacing w:line="250" w:lineRule="exact" w:before="90"/>
              <w:ind w:left="117" w:right="108"/>
              <w:jc w:val="center"/>
              <w:rPr>
                <w:sz w:val="21"/>
              </w:rPr>
            </w:pPr>
            <w:r>
              <w:rPr>
                <w:sz w:val="21"/>
              </w:rPr>
              <w:t>10</w:t>
            </w:r>
          </w:p>
        </w:tc>
        <w:tc>
          <w:tcPr>
            <w:tcW w:w="3344" w:type="dxa"/>
          </w:tcPr>
          <w:p>
            <w:pPr>
              <w:pStyle w:val="TableParagraph"/>
              <w:spacing w:line="250" w:lineRule="exact" w:before="90"/>
              <w:ind w:left="134"/>
              <w:rPr>
                <w:sz w:val="21"/>
              </w:rPr>
            </w:pPr>
            <w:r>
              <w:rPr>
                <w:sz w:val="21"/>
              </w:rPr>
              <w:t>合计</w:t>
            </w:r>
          </w:p>
        </w:tc>
        <w:tc>
          <w:tcPr>
            <w:tcW w:w="2753" w:type="dxa"/>
          </w:tcPr>
          <w:p>
            <w:pPr>
              <w:pStyle w:val="TableParagraph"/>
              <w:spacing w:line="250" w:lineRule="exact" w:before="90"/>
              <w:ind w:right="16"/>
              <w:jc w:val="right"/>
              <w:rPr>
                <w:sz w:val="21"/>
              </w:rPr>
            </w:pPr>
            <w:r>
              <w:rPr>
                <w:sz w:val="21"/>
              </w:rPr>
              <w:t>404,811,545.05</w:t>
            </w:r>
          </w:p>
        </w:tc>
        <w:tc>
          <w:tcPr>
            <w:tcW w:w="1582" w:type="dxa"/>
          </w:tcPr>
          <w:p>
            <w:pPr>
              <w:pStyle w:val="TableParagraph"/>
              <w:spacing w:line="250" w:lineRule="exact" w:before="90"/>
              <w:ind w:right="16"/>
              <w:jc w:val="right"/>
              <w:rPr>
                <w:sz w:val="21"/>
              </w:rPr>
            </w:pPr>
            <w:r>
              <w:rPr>
                <w:sz w:val="21"/>
              </w:rPr>
              <w:t>21.45</w:t>
            </w:r>
          </w:p>
        </w:tc>
      </w:tr>
    </w:tbl>
    <w:p>
      <w:pPr>
        <w:pStyle w:val="ListParagraph"/>
        <w:numPr>
          <w:ilvl w:val="0"/>
          <w:numId w:val="28"/>
        </w:numPr>
        <w:tabs>
          <w:tab w:pos="922" w:val="left" w:leader="none"/>
        </w:tabs>
        <w:spacing w:line="240" w:lineRule="auto" w:before="235" w:after="0"/>
        <w:ind w:left="922" w:right="0" w:hanging="264"/>
        <w:jc w:val="left"/>
        <w:rPr>
          <w:b/>
          <w:sz w:val="24"/>
        </w:rPr>
      </w:pPr>
      <w:r>
        <w:rPr/>
        <w:pict>
          <v:shape style="position:absolute;margin-left:88.944pt;margin-top:34.190033pt;width:417.95pt;height:134.1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205"/>
                    <w:gridCol w:w="1292"/>
                    <w:gridCol w:w="1959"/>
                    <w:gridCol w:w="2064"/>
                    <w:gridCol w:w="1287"/>
                  </w:tblGrid>
                  <w:tr>
                    <w:trPr>
                      <w:trHeight w:val="733" w:hRule="atLeast"/>
                    </w:trPr>
                    <w:tc>
                      <w:tcPr>
                        <w:tcW w:w="538" w:type="dxa"/>
                        <w:shd w:val="clear" w:color="auto" w:fill="D9D9D9"/>
                      </w:tcPr>
                      <w:p>
                        <w:pPr>
                          <w:pStyle w:val="TableParagraph"/>
                          <w:spacing w:before="2"/>
                          <w:rPr>
                            <w:b/>
                            <w:sz w:val="22"/>
                          </w:rPr>
                        </w:pPr>
                      </w:p>
                      <w:p>
                        <w:pPr>
                          <w:pStyle w:val="TableParagraph"/>
                          <w:ind w:left="36" w:right="32"/>
                          <w:jc w:val="center"/>
                          <w:rPr>
                            <w:sz w:val="21"/>
                          </w:rPr>
                        </w:pPr>
                        <w:r>
                          <w:rPr>
                            <w:sz w:val="21"/>
                          </w:rPr>
                          <w:t>序号</w:t>
                        </w:r>
                      </w:p>
                    </w:tc>
                    <w:tc>
                      <w:tcPr>
                        <w:tcW w:w="1205" w:type="dxa"/>
                        <w:shd w:val="clear" w:color="auto" w:fill="D9D9D9"/>
                      </w:tcPr>
                      <w:p>
                        <w:pPr>
                          <w:pStyle w:val="TableParagraph"/>
                          <w:spacing w:before="2"/>
                          <w:rPr>
                            <w:b/>
                            <w:sz w:val="22"/>
                          </w:rPr>
                        </w:pPr>
                      </w:p>
                      <w:p>
                        <w:pPr>
                          <w:pStyle w:val="TableParagraph"/>
                          <w:ind w:left="160" w:right="154"/>
                          <w:jc w:val="center"/>
                          <w:rPr>
                            <w:sz w:val="21"/>
                          </w:rPr>
                        </w:pPr>
                        <w:r>
                          <w:rPr>
                            <w:sz w:val="21"/>
                          </w:rPr>
                          <w:t>债券代码</w:t>
                        </w:r>
                      </w:p>
                    </w:tc>
                    <w:tc>
                      <w:tcPr>
                        <w:tcW w:w="1292" w:type="dxa"/>
                        <w:shd w:val="clear" w:color="auto" w:fill="D9D9D9"/>
                      </w:tcPr>
                      <w:p>
                        <w:pPr>
                          <w:pStyle w:val="TableParagraph"/>
                          <w:spacing w:before="2"/>
                          <w:rPr>
                            <w:b/>
                            <w:sz w:val="22"/>
                          </w:rPr>
                        </w:pPr>
                      </w:p>
                      <w:p>
                        <w:pPr>
                          <w:pStyle w:val="TableParagraph"/>
                          <w:ind w:left="98" w:right="93"/>
                          <w:jc w:val="center"/>
                          <w:rPr>
                            <w:sz w:val="21"/>
                          </w:rPr>
                        </w:pPr>
                        <w:r>
                          <w:rPr>
                            <w:sz w:val="21"/>
                          </w:rPr>
                          <w:t>债券名称</w:t>
                        </w:r>
                      </w:p>
                    </w:tc>
                    <w:tc>
                      <w:tcPr>
                        <w:tcW w:w="1959" w:type="dxa"/>
                        <w:shd w:val="clear" w:color="auto" w:fill="D9D9D9"/>
                      </w:tcPr>
                      <w:p>
                        <w:pPr>
                          <w:pStyle w:val="TableParagraph"/>
                          <w:spacing w:before="2"/>
                          <w:rPr>
                            <w:b/>
                            <w:sz w:val="22"/>
                          </w:rPr>
                        </w:pPr>
                      </w:p>
                      <w:p>
                        <w:pPr>
                          <w:pStyle w:val="TableParagraph"/>
                          <w:ind w:left="452"/>
                          <w:rPr>
                            <w:sz w:val="21"/>
                          </w:rPr>
                        </w:pPr>
                        <w:r>
                          <w:rPr>
                            <w:sz w:val="21"/>
                          </w:rPr>
                          <w:t>数量（张）</w:t>
                        </w:r>
                      </w:p>
                    </w:tc>
                    <w:tc>
                      <w:tcPr>
                        <w:tcW w:w="2064" w:type="dxa"/>
                        <w:shd w:val="clear" w:color="auto" w:fill="D9D9D9"/>
                      </w:tcPr>
                      <w:p>
                        <w:pPr>
                          <w:pStyle w:val="TableParagraph"/>
                          <w:spacing w:before="2"/>
                          <w:rPr>
                            <w:b/>
                            <w:sz w:val="22"/>
                          </w:rPr>
                        </w:pPr>
                      </w:p>
                      <w:p>
                        <w:pPr>
                          <w:pStyle w:val="TableParagraph"/>
                          <w:ind w:left="293"/>
                          <w:rPr>
                            <w:sz w:val="21"/>
                          </w:rPr>
                        </w:pPr>
                        <w:r>
                          <w:rPr>
                            <w:sz w:val="21"/>
                          </w:rPr>
                          <w:t>公允价值（元）</w:t>
                        </w:r>
                      </w:p>
                    </w:tc>
                    <w:tc>
                      <w:tcPr>
                        <w:tcW w:w="1287" w:type="dxa"/>
                        <w:shd w:val="clear" w:color="auto" w:fill="D9D9D9"/>
                      </w:tcPr>
                      <w:p>
                        <w:pPr>
                          <w:pStyle w:val="TableParagraph"/>
                          <w:spacing w:line="360" w:lineRule="atLeast" w:before="13"/>
                          <w:ind w:left="13" w:right="106" w:firstLine="101"/>
                          <w:rPr>
                            <w:sz w:val="21"/>
                          </w:rPr>
                        </w:pPr>
                        <w:r>
                          <w:rPr>
                            <w:sz w:val="21"/>
                          </w:rPr>
                          <w:t>占基金资产净值比例（%</w:t>
                        </w:r>
                      </w:p>
                    </w:tc>
                  </w:tr>
                  <w:tr>
                    <w:trPr>
                      <w:trHeight w:val="376" w:hRule="atLeast"/>
                    </w:trPr>
                    <w:tc>
                      <w:tcPr>
                        <w:tcW w:w="538" w:type="dxa"/>
                      </w:tcPr>
                      <w:p>
                        <w:pPr>
                          <w:pStyle w:val="TableParagraph"/>
                          <w:spacing w:line="250" w:lineRule="exact" w:before="106"/>
                          <w:ind w:left="4"/>
                          <w:jc w:val="center"/>
                          <w:rPr>
                            <w:sz w:val="21"/>
                          </w:rPr>
                        </w:pPr>
                        <w:r>
                          <w:rPr>
                            <w:w w:val="100"/>
                            <w:sz w:val="21"/>
                          </w:rPr>
                          <w:t>1</w:t>
                        </w:r>
                      </w:p>
                    </w:tc>
                    <w:tc>
                      <w:tcPr>
                        <w:tcW w:w="1205" w:type="dxa"/>
                      </w:tcPr>
                      <w:p>
                        <w:pPr>
                          <w:pStyle w:val="TableParagraph"/>
                          <w:spacing w:line="250" w:lineRule="exact" w:before="106"/>
                          <w:ind w:left="160" w:right="152"/>
                          <w:jc w:val="center"/>
                          <w:rPr>
                            <w:sz w:val="21"/>
                          </w:rPr>
                        </w:pPr>
                        <w:r>
                          <w:rPr>
                            <w:sz w:val="21"/>
                          </w:rPr>
                          <w:t>190206</w:t>
                        </w:r>
                      </w:p>
                    </w:tc>
                    <w:tc>
                      <w:tcPr>
                        <w:tcW w:w="1292" w:type="dxa"/>
                      </w:tcPr>
                      <w:p>
                        <w:pPr>
                          <w:pStyle w:val="TableParagraph"/>
                          <w:spacing w:line="250" w:lineRule="exact" w:before="106"/>
                          <w:ind w:left="98" w:right="93"/>
                          <w:jc w:val="center"/>
                          <w:rPr>
                            <w:sz w:val="21"/>
                          </w:rPr>
                        </w:pPr>
                        <w:r>
                          <w:rPr>
                            <w:sz w:val="21"/>
                          </w:rPr>
                          <w:t>19 国开 06</w:t>
                        </w:r>
                      </w:p>
                    </w:tc>
                    <w:tc>
                      <w:tcPr>
                        <w:tcW w:w="1959" w:type="dxa"/>
                      </w:tcPr>
                      <w:p>
                        <w:pPr>
                          <w:pStyle w:val="TableParagraph"/>
                          <w:spacing w:line="250" w:lineRule="exact" w:before="106"/>
                          <w:ind w:right="1"/>
                          <w:jc w:val="right"/>
                          <w:rPr>
                            <w:sz w:val="21"/>
                          </w:rPr>
                        </w:pPr>
                        <w:r>
                          <w:rPr>
                            <w:sz w:val="21"/>
                          </w:rPr>
                          <w:t>800,000</w:t>
                        </w:r>
                      </w:p>
                    </w:tc>
                    <w:tc>
                      <w:tcPr>
                        <w:tcW w:w="2064" w:type="dxa"/>
                      </w:tcPr>
                      <w:p>
                        <w:pPr>
                          <w:pStyle w:val="TableParagraph"/>
                          <w:spacing w:line="250" w:lineRule="exact" w:before="106"/>
                          <w:ind w:right="3"/>
                          <w:jc w:val="right"/>
                          <w:rPr>
                            <w:sz w:val="21"/>
                          </w:rPr>
                        </w:pPr>
                        <w:r>
                          <w:rPr>
                            <w:sz w:val="21"/>
                          </w:rPr>
                          <w:t>79,976,000.00</w:t>
                        </w:r>
                      </w:p>
                    </w:tc>
                    <w:tc>
                      <w:tcPr>
                        <w:tcW w:w="1287" w:type="dxa"/>
                      </w:tcPr>
                      <w:p>
                        <w:pPr>
                          <w:pStyle w:val="TableParagraph"/>
                          <w:spacing w:line="250" w:lineRule="exact" w:before="106"/>
                          <w:ind w:right="3"/>
                          <w:jc w:val="right"/>
                          <w:rPr>
                            <w:sz w:val="21"/>
                          </w:rPr>
                        </w:pPr>
                        <w:r>
                          <w:rPr>
                            <w:sz w:val="21"/>
                          </w:rPr>
                          <w:t>4.24</w:t>
                        </w:r>
                      </w:p>
                    </w:tc>
                  </w:tr>
                  <w:tr>
                    <w:trPr>
                      <w:trHeight w:val="373" w:hRule="atLeast"/>
                    </w:trPr>
                    <w:tc>
                      <w:tcPr>
                        <w:tcW w:w="538" w:type="dxa"/>
                      </w:tcPr>
                      <w:p>
                        <w:pPr>
                          <w:pStyle w:val="TableParagraph"/>
                          <w:spacing w:line="250" w:lineRule="exact" w:before="104"/>
                          <w:ind w:left="4"/>
                          <w:jc w:val="center"/>
                          <w:rPr>
                            <w:sz w:val="21"/>
                          </w:rPr>
                        </w:pPr>
                        <w:r>
                          <w:rPr>
                            <w:w w:val="100"/>
                            <w:sz w:val="21"/>
                          </w:rPr>
                          <w:t>2</w:t>
                        </w:r>
                      </w:p>
                    </w:tc>
                    <w:tc>
                      <w:tcPr>
                        <w:tcW w:w="1205" w:type="dxa"/>
                      </w:tcPr>
                      <w:p>
                        <w:pPr>
                          <w:pStyle w:val="TableParagraph"/>
                          <w:spacing w:line="250" w:lineRule="exact" w:before="104"/>
                          <w:ind w:left="160" w:right="152"/>
                          <w:jc w:val="center"/>
                          <w:rPr>
                            <w:sz w:val="21"/>
                          </w:rPr>
                        </w:pPr>
                        <w:r>
                          <w:rPr>
                            <w:sz w:val="21"/>
                          </w:rPr>
                          <w:t>190405</w:t>
                        </w:r>
                      </w:p>
                    </w:tc>
                    <w:tc>
                      <w:tcPr>
                        <w:tcW w:w="1292" w:type="dxa"/>
                      </w:tcPr>
                      <w:p>
                        <w:pPr>
                          <w:pStyle w:val="TableParagraph"/>
                          <w:spacing w:line="250" w:lineRule="exact" w:before="104"/>
                          <w:ind w:left="98" w:right="93"/>
                          <w:jc w:val="center"/>
                          <w:rPr>
                            <w:sz w:val="21"/>
                          </w:rPr>
                        </w:pPr>
                        <w:r>
                          <w:rPr>
                            <w:sz w:val="21"/>
                          </w:rPr>
                          <w:t>19 农发 05</w:t>
                        </w:r>
                      </w:p>
                    </w:tc>
                    <w:tc>
                      <w:tcPr>
                        <w:tcW w:w="1959" w:type="dxa"/>
                      </w:tcPr>
                      <w:p>
                        <w:pPr>
                          <w:pStyle w:val="TableParagraph"/>
                          <w:spacing w:line="250" w:lineRule="exact" w:before="104"/>
                          <w:ind w:right="1"/>
                          <w:jc w:val="right"/>
                          <w:rPr>
                            <w:sz w:val="21"/>
                          </w:rPr>
                        </w:pPr>
                        <w:r>
                          <w:rPr>
                            <w:sz w:val="21"/>
                          </w:rPr>
                          <w:t>800,000</w:t>
                        </w:r>
                      </w:p>
                    </w:tc>
                    <w:tc>
                      <w:tcPr>
                        <w:tcW w:w="2064" w:type="dxa"/>
                      </w:tcPr>
                      <w:p>
                        <w:pPr>
                          <w:pStyle w:val="TableParagraph"/>
                          <w:spacing w:line="250" w:lineRule="exact" w:before="104"/>
                          <w:ind w:right="3"/>
                          <w:jc w:val="right"/>
                          <w:rPr>
                            <w:sz w:val="21"/>
                          </w:rPr>
                        </w:pPr>
                        <w:r>
                          <w:rPr>
                            <w:sz w:val="21"/>
                          </w:rPr>
                          <w:t>79,888,000.00</w:t>
                        </w:r>
                      </w:p>
                    </w:tc>
                    <w:tc>
                      <w:tcPr>
                        <w:tcW w:w="1287" w:type="dxa"/>
                      </w:tcPr>
                      <w:p>
                        <w:pPr>
                          <w:pStyle w:val="TableParagraph"/>
                          <w:spacing w:line="250" w:lineRule="exact" w:before="104"/>
                          <w:ind w:right="3"/>
                          <w:jc w:val="right"/>
                          <w:rPr>
                            <w:sz w:val="21"/>
                          </w:rPr>
                        </w:pPr>
                        <w:r>
                          <w:rPr>
                            <w:sz w:val="21"/>
                          </w:rPr>
                          <w:t>4.23</w:t>
                        </w:r>
                      </w:p>
                    </w:tc>
                  </w:tr>
                  <w:tr>
                    <w:trPr>
                      <w:trHeight w:val="376" w:hRule="atLeast"/>
                    </w:trPr>
                    <w:tc>
                      <w:tcPr>
                        <w:tcW w:w="538" w:type="dxa"/>
                      </w:tcPr>
                      <w:p>
                        <w:pPr>
                          <w:pStyle w:val="TableParagraph"/>
                          <w:spacing w:line="250" w:lineRule="exact" w:before="106"/>
                          <w:ind w:left="4"/>
                          <w:jc w:val="center"/>
                          <w:rPr>
                            <w:sz w:val="21"/>
                          </w:rPr>
                        </w:pPr>
                        <w:r>
                          <w:rPr>
                            <w:w w:val="100"/>
                            <w:sz w:val="21"/>
                          </w:rPr>
                          <w:t>3</w:t>
                        </w:r>
                      </w:p>
                    </w:tc>
                    <w:tc>
                      <w:tcPr>
                        <w:tcW w:w="1205" w:type="dxa"/>
                      </w:tcPr>
                      <w:p>
                        <w:pPr>
                          <w:pStyle w:val="TableParagraph"/>
                          <w:spacing w:line="250" w:lineRule="exact" w:before="106"/>
                          <w:ind w:left="160" w:right="152"/>
                          <w:jc w:val="center"/>
                          <w:rPr>
                            <w:sz w:val="21"/>
                          </w:rPr>
                        </w:pPr>
                        <w:r>
                          <w:rPr>
                            <w:sz w:val="21"/>
                          </w:rPr>
                          <w:t>160206</w:t>
                        </w:r>
                      </w:p>
                    </w:tc>
                    <w:tc>
                      <w:tcPr>
                        <w:tcW w:w="1292" w:type="dxa"/>
                      </w:tcPr>
                      <w:p>
                        <w:pPr>
                          <w:pStyle w:val="TableParagraph"/>
                          <w:spacing w:line="250" w:lineRule="exact" w:before="106"/>
                          <w:ind w:left="98" w:right="93"/>
                          <w:jc w:val="center"/>
                          <w:rPr>
                            <w:sz w:val="21"/>
                          </w:rPr>
                        </w:pPr>
                        <w:r>
                          <w:rPr>
                            <w:sz w:val="21"/>
                          </w:rPr>
                          <w:t>16 国开 06</w:t>
                        </w:r>
                      </w:p>
                    </w:tc>
                    <w:tc>
                      <w:tcPr>
                        <w:tcW w:w="1959" w:type="dxa"/>
                      </w:tcPr>
                      <w:p>
                        <w:pPr>
                          <w:pStyle w:val="TableParagraph"/>
                          <w:spacing w:line="250" w:lineRule="exact" w:before="106"/>
                          <w:ind w:right="1"/>
                          <w:jc w:val="right"/>
                          <w:rPr>
                            <w:sz w:val="21"/>
                          </w:rPr>
                        </w:pPr>
                        <w:r>
                          <w:rPr>
                            <w:sz w:val="21"/>
                          </w:rPr>
                          <w:t>700,000</w:t>
                        </w:r>
                      </w:p>
                    </w:tc>
                    <w:tc>
                      <w:tcPr>
                        <w:tcW w:w="2064" w:type="dxa"/>
                      </w:tcPr>
                      <w:p>
                        <w:pPr>
                          <w:pStyle w:val="TableParagraph"/>
                          <w:spacing w:line="250" w:lineRule="exact" w:before="106"/>
                          <w:ind w:right="3"/>
                          <w:jc w:val="right"/>
                          <w:rPr>
                            <w:sz w:val="21"/>
                          </w:rPr>
                        </w:pPr>
                        <w:r>
                          <w:rPr>
                            <w:sz w:val="21"/>
                          </w:rPr>
                          <w:t>70,028,000.00</w:t>
                        </w:r>
                      </w:p>
                    </w:tc>
                    <w:tc>
                      <w:tcPr>
                        <w:tcW w:w="1287" w:type="dxa"/>
                      </w:tcPr>
                      <w:p>
                        <w:pPr>
                          <w:pStyle w:val="TableParagraph"/>
                          <w:spacing w:line="250" w:lineRule="exact" w:before="106"/>
                          <w:ind w:right="3"/>
                          <w:jc w:val="right"/>
                          <w:rPr>
                            <w:sz w:val="21"/>
                          </w:rPr>
                        </w:pPr>
                        <w:r>
                          <w:rPr>
                            <w:sz w:val="21"/>
                          </w:rPr>
                          <w:t>3.71</w:t>
                        </w:r>
                      </w:p>
                    </w:tc>
                  </w:tr>
                  <w:tr>
                    <w:trPr>
                      <w:trHeight w:val="374" w:hRule="atLeast"/>
                    </w:trPr>
                    <w:tc>
                      <w:tcPr>
                        <w:tcW w:w="538" w:type="dxa"/>
                      </w:tcPr>
                      <w:p>
                        <w:pPr>
                          <w:pStyle w:val="TableParagraph"/>
                          <w:spacing w:line="250" w:lineRule="exact" w:before="104"/>
                          <w:ind w:left="4"/>
                          <w:jc w:val="center"/>
                          <w:rPr>
                            <w:sz w:val="21"/>
                          </w:rPr>
                        </w:pPr>
                        <w:r>
                          <w:rPr>
                            <w:w w:val="100"/>
                            <w:sz w:val="21"/>
                          </w:rPr>
                          <w:t>4</w:t>
                        </w:r>
                      </w:p>
                    </w:tc>
                    <w:tc>
                      <w:tcPr>
                        <w:tcW w:w="1205" w:type="dxa"/>
                      </w:tcPr>
                      <w:p>
                        <w:pPr>
                          <w:pStyle w:val="TableParagraph"/>
                          <w:spacing w:line="250" w:lineRule="exact" w:before="104"/>
                          <w:ind w:left="160" w:right="152"/>
                          <w:jc w:val="center"/>
                          <w:rPr>
                            <w:sz w:val="21"/>
                          </w:rPr>
                        </w:pPr>
                        <w:r>
                          <w:rPr>
                            <w:sz w:val="21"/>
                          </w:rPr>
                          <w:t>190304</w:t>
                        </w:r>
                      </w:p>
                    </w:tc>
                    <w:tc>
                      <w:tcPr>
                        <w:tcW w:w="1292" w:type="dxa"/>
                      </w:tcPr>
                      <w:p>
                        <w:pPr>
                          <w:pStyle w:val="TableParagraph"/>
                          <w:spacing w:line="250" w:lineRule="exact" w:before="104"/>
                          <w:ind w:left="98" w:right="93"/>
                          <w:jc w:val="center"/>
                          <w:rPr>
                            <w:sz w:val="21"/>
                          </w:rPr>
                        </w:pPr>
                        <w:r>
                          <w:rPr>
                            <w:sz w:val="21"/>
                          </w:rPr>
                          <w:t>19 进出 04</w:t>
                        </w:r>
                      </w:p>
                    </w:tc>
                    <w:tc>
                      <w:tcPr>
                        <w:tcW w:w="1959" w:type="dxa"/>
                      </w:tcPr>
                      <w:p>
                        <w:pPr>
                          <w:pStyle w:val="TableParagraph"/>
                          <w:spacing w:line="250" w:lineRule="exact" w:before="104"/>
                          <w:ind w:right="1"/>
                          <w:jc w:val="right"/>
                          <w:rPr>
                            <w:sz w:val="21"/>
                          </w:rPr>
                        </w:pPr>
                        <w:r>
                          <w:rPr>
                            <w:sz w:val="21"/>
                          </w:rPr>
                          <w:t>700,000</w:t>
                        </w:r>
                      </w:p>
                    </w:tc>
                    <w:tc>
                      <w:tcPr>
                        <w:tcW w:w="2064" w:type="dxa"/>
                      </w:tcPr>
                      <w:p>
                        <w:pPr>
                          <w:pStyle w:val="TableParagraph"/>
                          <w:spacing w:line="250" w:lineRule="exact" w:before="104"/>
                          <w:ind w:right="3"/>
                          <w:jc w:val="right"/>
                          <w:rPr>
                            <w:sz w:val="21"/>
                          </w:rPr>
                        </w:pPr>
                        <w:r>
                          <w:rPr>
                            <w:sz w:val="21"/>
                          </w:rPr>
                          <w:t>69,986,000.00</w:t>
                        </w:r>
                      </w:p>
                    </w:tc>
                    <w:tc>
                      <w:tcPr>
                        <w:tcW w:w="1287" w:type="dxa"/>
                      </w:tcPr>
                      <w:p>
                        <w:pPr>
                          <w:pStyle w:val="TableParagraph"/>
                          <w:spacing w:line="250" w:lineRule="exact" w:before="104"/>
                          <w:ind w:right="3"/>
                          <w:jc w:val="right"/>
                          <w:rPr>
                            <w:sz w:val="21"/>
                          </w:rPr>
                        </w:pPr>
                        <w:r>
                          <w:rPr>
                            <w:sz w:val="21"/>
                          </w:rPr>
                          <w:t>3.71</w:t>
                        </w:r>
                      </w:p>
                    </w:tc>
                  </w:tr>
                  <w:tr>
                    <w:trPr>
                      <w:trHeight w:val="376" w:hRule="atLeast"/>
                    </w:trPr>
                    <w:tc>
                      <w:tcPr>
                        <w:tcW w:w="538" w:type="dxa"/>
                      </w:tcPr>
                      <w:p>
                        <w:pPr>
                          <w:pStyle w:val="TableParagraph"/>
                          <w:spacing w:line="252" w:lineRule="exact" w:before="104"/>
                          <w:ind w:left="4"/>
                          <w:jc w:val="center"/>
                          <w:rPr>
                            <w:sz w:val="21"/>
                          </w:rPr>
                        </w:pPr>
                        <w:r>
                          <w:rPr>
                            <w:w w:val="100"/>
                            <w:sz w:val="21"/>
                          </w:rPr>
                          <w:t>5</w:t>
                        </w:r>
                      </w:p>
                    </w:tc>
                    <w:tc>
                      <w:tcPr>
                        <w:tcW w:w="1205" w:type="dxa"/>
                      </w:tcPr>
                      <w:p>
                        <w:pPr>
                          <w:pStyle w:val="TableParagraph"/>
                          <w:spacing w:line="252" w:lineRule="exact" w:before="104"/>
                          <w:ind w:left="160" w:right="152"/>
                          <w:jc w:val="center"/>
                          <w:rPr>
                            <w:sz w:val="21"/>
                          </w:rPr>
                        </w:pPr>
                        <w:r>
                          <w:rPr>
                            <w:sz w:val="21"/>
                          </w:rPr>
                          <w:t>180208</w:t>
                        </w:r>
                      </w:p>
                    </w:tc>
                    <w:tc>
                      <w:tcPr>
                        <w:tcW w:w="1292" w:type="dxa"/>
                      </w:tcPr>
                      <w:p>
                        <w:pPr>
                          <w:pStyle w:val="TableParagraph"/>
                          <w:spacing w:line="252" w:lineRule="exact" w:before="104"/>
                          <w:ind w:left="98" w:right="93"/>
                          <w:jc w:val="center"/>
                          <w:rPr>
                            <w:sz w:val="21"/>
                          </w:rPr>
                        </w:pPr>
                        <w:r>
                          <w:rPr>
                            <w:sz w:val="21"/>
                          </w:rPr>
                          <w:t>18 国开 08</w:t>
                        </w:r>
                      </w:p>
                    </w:tc>
                    <w:tc>
                      <w:tcPr>
                        <w:tcW w:w="1959" w:type="dxa"/>
                      </w:tcPr>
                      <w:p>
                        <w:pPr>
                          <w:pStyle w:val="TableParagraph"/>
                          <w:spacing w:line="252" w:lineRule="exact" w:before="104"/>
                          <w:ind w:right="1"/>
                          <w:jc w:val="right"/>
                          <w:rPr>
                            <w:sz w:val="21"/>
                          </w:rPr>
                        </w:pPr>
                        <w:r>
                          <w:rPr>
                            <w:sz w:val="21"/>
                          </w:rPr>
                          <w:t>500,000</w:t>
                        </w:r>
                      </w:p>
                    </w:tc>
                    <w:tc>
                      <w:tcPr>
                        <w:tcW w:w="2064" w:type="dxa"/>
                      </w:tcPr>
                      <w:p>
                        <w:pPr>
                          <w:pStyle w:val="TableParagraph"/>
                          <w:spacing w:line="252" w:lineRule="exact" w:before="104"/>
                          <w:ind w:right="3"/>
                          <w:jc w:val="right"/>
                          <w:rPr>
                            <w:sz w:val="21"/>
                          </w:rPr>
                        </w:pPr>
                        <w:r>
                          <w:rPr>
                            <w:sz w:val="21"/>
                          </w:rPr>
                          <w:t>50,865,000.00</w:t>
                        </w:r>
                      </w:p>
                    </w:tc>
                    <w:tc>
                      <w:tcPr>
                        <w:tcW w:w="1287" w:type="dxa"/>
                      </w:tcPr>
                      <w:p>
                        <w:pPr>
                          <w:pStyle w:val="TableParagraph"/>
                          <w:spacing w:line="252" w:lineRule="exact" w:before="104"/>
                          <w:ind w:right="3"/>
                          <w:jc w:val="right"/>
                          <w:rPr>
                            <w:sz w:val="21"/>
                          </w:rPr>
                        </w:pPr>
                        <w:r>
                          <w:rPr>
                            <w:sz w:val="21"/>
                          </w:rPr>
                          <w:t>2.69</w:t>
                        </w:r>
                      </w:p>
                    </w:tc>
                  </w:tr>
                </w:tbl>
                <w:p>
                  <w:pPr>
                    <w:pStyle w:val="BodyText"/>
                  </w:pPr>
                </w:p>
              </w:txbxContent>
            </v:textbox>
            <w10:wrap type="none"/>
          </v:shape>
        </w:pict>
      </w:r>
      <w:r>
        <w:rPr>
          <w:b/>
          <w:sz w:val="24"/>
        </w:rPr>
        <w:t>报告期末按公允价值占基金资产净值比例大小排序的前五名债券投资明细</w:t>
      </w:r>
    </w:p>
    <w:p>
      <w:pPr>
        <w:pStyle w:val="BodyText"/>
        <w:rPr>
          <w:b/>
          <w:sz w:val="28"/>
        </w:rPr>
      </w:pPr>
    </w:p>
    <w:p>
      <w:pPr>
        <w:pStyle w:val="BodyText"/>
        <w:rPr>
          <w:b/>
          <w:sz w:val="20"/>
        </w:rPr>
      </w:pPr>
    </w:p>
    <w:p>
      <w:pPr>
        <w:pStyle w:val="BodyText"/>
        <w:ind w:right="1205"/>
        <w:jc w:val="right"/>
      </w:pPr>
      <w:r>
        <w:rPr>
          <w:w w:val="10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pStyle w:val="ListParagraph"/>
        <w:numPr>
          <w:ilvl w:val="0"/>
          <w:numId w:val="28"/>
        </w:numPr>
        <w:tabs>
          <w:tab w:pos="922" w:val="left" w:leader="none"/>
        </w:tabs>
        <w:spacing w:line="364" w:lineRule="auto" w:before="0" w:after="0"/>
        <w:ind w:left="1111" w:right="1414" w:hanging="454"/>
        <w:jc w:val="left"/>
        <w:rPr>
          <w:b/>
          <w:sz w:val="24"/>
        </w:rPr>
      </w:pPr>
      <w:r>
        <w:rPr>
          <w:b/>
          <w:spacing w:val="-1"/>
          <w:sz w:val="24"/>
        </w:rPr>
        <w:t>报告期末按公允价值占基金资产净值比例大小排序的前十名资产支持证券投</w:t>
      </w:r>
      <w:r>
        <w:rPr>
          <w:b/>
          <w:sz w:val="24"/>
        </w:rPr>
        <w:t>资明细</w:t>
      </w:r>
    </w:p>
    <w:p>
      <w:pPr>
        <w:pStyle w:val="BodyText"/>
        <w:spacing w:before="82"/>
        <w:ind w:left="1078"/>
      </w:pPr>
      <w:r>
        <w:rPr/>
        <w:t>本基金本报告期末未持有资产支持证券。</w:t>
      </w:r>
    </w:p>
    <w:p>
      <w:pPr>
        <w:pStyle w:val="BodyText"/>
        <w:spacing w:before="1"/>
        <w:rPr>
          <w:sz w:val="26"/>
        </w:rPr>
      </w:pPr>
    </w:p>
    <w:p>
      <w:pPr>
        <w:pStyle w:val="ListParagraph"/>
        <w:numPr>
          <w:ilvl w:val="0"/>
          <w:numId w:val="28"/>
        </w:numPr>
        <w:tabs>
          <w:tab w:pos="922" w:val="left" w:leader="none"/>
        </w:tabs>
        <w:spacing w:line="240" w:lineRule="auto" w:before="0" w:after="0"/>
        <w:ind w:left="922" w:right="0" w:hanging="264"/>
        <w:jc w:val="left"/>
        <w:rPr>
          <w:b/>
          <w:sz w:val="24"/>
        </w:rPr>
      </w:pPr>
      <w:r>
        <w:rPr>
          <w:b/>
          <w:sz w:val="24"/>
        </w:rPr>
        <w:t>报告期末按公允价值占基金资产净值比例大小排序的前五名贵金属投资明细</w:t>
      </w:r>
    </w:p>
    <w:p>
      <w:pPr>
        <w:pStyle w:val="BodyText"/>
        <w:spacing w:before="241"/>
        <w:ind w:left="1078"/>
      </w:pPr>
      <w:r>
        <w:rPr/>
        <w:t>本基金本报告期末未持有贵金属。</w:t>
      </w:r>
    </w:p>
    <w:p>
      <w:pPr>
        <w:pStyle w:val="BodyText"/>
        <w:spacing w:before="2"/>
        <w:rPr>
          <w:sz w:val="26"/>
        </w:rPr>
      </w:pPr>
    </w:p>
    <w:p>
      <w:pPr>
        <w:pStyle w:val="ListParagraph"/>
        <w:numPr>
          <w:ilvl w:val="0"/>
          <w:numId w:val="28"/>
        </w:numPr>
        <w:tabs>
          <w:tab w:pos="922" w:val="left" w:leader="none"/>
        </w:tabs>
        <w:spacing w:line="240" w:lineRule="auto" w:before="0" w:after="0"/>
        <w:ind w:left="922" w:right="0" w:hanging="264"/>
        <w:jc w:val="left"/>
        <w:rPr>
          <w:b/>
          <w:sz w:val="24"/>
        </w:rPr>
      </w:pPr>
      <w:r>
        <w:rPr>
          <w:b/>
          <w:sz w:val="24"/>
        </w:rPr>
        <w:t>报告期末按公允价值占基金资产净值比例大小排序的前五名权证投资明细</w:t>
      </w:r>
    </w:p>
    <w:p>
      <w:pPr>
        <w:spacing w:after="0" w:line="240" w:lineRule="auto"/>
        <w:jc w:val="left"/>
        <w:rPr>
          <w:sz w:val="24"/>
        </w:rPr>
        <w:sectPr>
          <w:pgSz w:w="11910" w:h="16840"/>
          <w:pgMar w:header="852" w:footer="992" w:top="1220" w:bottom="1180" w:left="1140" w:right="480"/>
        </w:sectPr>
      </w:pPr>
    </w:p>
    <w:p>
      <w:pPr>
        <w:pStyle w:val="BodyText"/>
        <w:spacing w:before="1"/>
        <w:rPr>
          <w:b/>
          <w:sz w:val="19"/>
        </w:rPr>
      </w:pPr>
    </w:p>
    <w:p>
      <w:pPr>
        <w:pStyle w:val="BodyText"/>
        <w:spacing w:before="71"/>
        <w:ind w:left="1078"/>
      </w:pPr>
      <w:r>
        <w:rPr/>
        <w:t>本基金本报告期末未持有权证。</w:t>
      </w:r>
    </w:p>
    <w:p>
      <w:pPr>
        <w:pStyle w:val="BodyText"/>
        <w:spacing w:before="12"/>
        <w:rPr>
          <w:sz w:val="19"/>
        </w:rPr>
      </w:pPr>
    </w:p>
    <w:p>
      <w:pPr>
        <w:pStyle w:val="ListParagraph"/>
        <w:numPr>
          <w:ilvl w:val="0"/>
          <w:numId w:val="28"/>
        </w:numPr>
        <w:tabs>
          <w:tab w:pos="922" w:val="left" w:leader="none"/>
        </w:tabs>
        <w:spacing w:line="240" w:lineRule="auto" w:before="0" w:after="0"/>
        <w:ind w:left="922" w:right="0" w:hanging="264"/>
        <w:jc w:val="left"/>
        <w:rPr>
          <w:b/>
          <w:sz w:val="24"/>
        </w:rPr>
      </w:pPr>
      <w:r>
        <w:rPr>
          <w:b/>
          <w:w w:val="95"/>
          <w:sz w:val="24"/>
        </w:rPr>
        <w:t>报告期末本基金投资的股指期货交易情况说明</w:t>
      </w:r>
    </w:p>
    <w:p>
      <w:pPr>
        <w:pStyle w:val="ListParagraph"/>
        <w:numPr>
          <w:ilvl w:val="1"/>
          <w:numId w:val="28"/>
        </w:numPr>
        <w:tabs>
          <w:tab w:pos="1064" w:val="left" w:leader="none"/>
        </w:tabs>
        <w:spacing w:line="240" w:lineRule="auto" w:before="161" w:after="0"/>
        <w:ind w:left="1063" w:right="0" w:hanging="406"/>
        <w:jc w:val="left"/>
        <w:rPr>
          <w:rFonts w:ascii="Cambria" w:eastAsia="Cambria"/>
          <w:b/>
          <w:sz w:val="24"/>
        </w:rPr>
      </w:pPr>
      <w:r>
        <w:rPr>
          <w:b/>
          <w:w w:val="95"/>
          <w:sz w:val="24"/>
        </w:rPr>
        <w:t>报告期末本基金投资的股指期货持仓和损益明细</w:t>
      </w:r>
    </w:p>
    <w:p>
      <w:pPr>
        <w:pStyle w:val="BodyText"/>
        <w:spacing w:before="154"/>
        <w:ind w:left="1078"/>
      </w:pPr>
      <w:r>
        <w:rPr/>
        <w:t>本基金本报告期末未持有股指期货。</w:t>
      </w:r>
    </w:p>
    <w:p>
      <w:pPr>
        <w:pStyle w:val="ListParagraph"/>
        <w:numPr>
          <w:ilvl w:val="1"/>
          <w:numId w:val="28"/>
        </w:numPr>
        <w:tabs>
          <w:tab w:pos="1064" w:val="left" w:leader="none"/>
        </w:tabs>
        <w:spacing w:line="240" w:lineRule="auto" w:before="157" w:after="0"/>
        <w:ind w:left="1063" w:right="0" w:hanging="406"/>
        <w:jc w:val="left"/>
        <w:rPr>
          <w:rFonts w:ascii="Cambria" w:eastAsia="Cambria"/>
          <w:b/>
          <w:sz w:val="24"/>
        </w:rPr>
      </w:pPr>
      <w:r>
        <w:rPr>
          <w:b/>
          <w:sz w:val="24"/>
        </w:rPr>
        <w:t>本基金投资股指期货的投资政策</w:t>
      </w:r>
    </w:p>
    <w:p>
      <w:pPr>
        <w:pStyle w:val="BodyText"/>
        <w:spacing w:before="155"/>
        <w:ind w:left="1078"/>
      </w:pPr>
      <w:r>
        <w:rPr/>
        <w:t>根据本基金基金合同约定，本基金投资范围不包括股指期货。</w:t>
      </w:r>
    </w:p>
    <w:p>
      <w:pPr>
        <w:pStyle w:val="BodyText"/>
        <w:rPr>
          <w:sz w:val="20"/>
        </w:rPr>
      </w:pPr>
    </w:p>
    <w:p>
      <w:pPr>
        <w:pStyle w:val="BodyText"/>
        <w:spacing w:before="4"/>
        <w:rPr>
          <w:sz w:val="20"/>
        </w:rPr>
      </w:pPr>
    </w:p>
    <w:p>
      <w:pPr>
        <w:pStyle w:val="ListParagraph"/>
        <w:numPr>
          <w:ilvl w:val="0"/>
          <w:numId w:val="28"/>
        </w:numPr>
        <w:tabs>
          <w:tab w:pos="1064" w:val="left" w:leader="none"/>
        </w:tabs>
        <w:spacing w:line="240" w:lineRule="auto" w:before="1" w:after="0"/>
        <w:ind w:left="1063" w:right="0" w:hanging="406"/>
        <w:jc w:val="left"/>
        <w:rPr>
          <w:b/>
          <w:sz w:val="24"/>
        </w:rPr>
      </w:pPr>
      <w:r>
        <w:rPr>
          <w:b/>
          <w:sz w:val="24"/>
        </w:rPr>
        <w:t>报告期末本基金投资的国债期货交易情况说明</w:t>
      </w:r>
    </w:p>
    <w:p>
      <w:pPr>
        <w:pStyle w:val="ListParagraph"/>
        <w:numPr>
          <w:ilvl w:val="1"/>
          <w:numId w:val="28"/>
        </w:numPr>
        <w:tabs>
          <w:tab w:pos="1208" w:val="left" w:leader="none"/>
        </w:tabs>
        <w:spacing w:line="240" w:lineRule="auto" w:before="160" w:after="0"/>
        <w:ind w:left="1207" w:right="0" w:hanging="550"/>
        <w:jc w:val="left"/>
        <w:rPr>
          <w:rFonts w:ascii="Cambria" w:eastAsia="Cambria"/>
          <w:b/>
          <w:sz w:val="24"/>
        </w:rPr>
      </w:pPr>
      <w:r>
        <w:rPr>
          <w:b/>
          <w:sz w:val="24"/>
        </w:rPr>
        <w:t>本期国债期货投资政策</w:t>
      </w:r>
    </w:p>
    <w:p>
      <w:pPr>
        <w:pStyle w:val="BodyText"/>
        <w:spacing w:before="155"/>
        <w:ind w:left="1078"/>
      </w:pPr>
      <w:r>
        <w:rPr/>
        <w:t>根据本基金基金合同约定，本基金投资范围不包括国债期货。</w:t>
      </w:r>
    </w:p>
    <w:p>
      <w:pPr>
        <w:pStyle w:val="ListParagraph"/>
        <w:numPr>
          <w:ilvl w:val="1"/>
          <w:numId w:val="28"/>
        </w:numPr>
        <w:tabs>
          <w:tab w:pos="1208" w:val="left" w:leader="none"/>
        </w:tabs>
        <w:spacing w:line="240" w:lineRule="auto" w:before="157" w:after="0"/>
        <w:ind w:left="1207" w:right="0" w:hanging="550"/>
        <w:jc w:val="left"/>
        <w:rPr>
          <w:rFonts w:ascii="Cambria" w:eastAsia="Cambria"/>
          <w:b/>
          <w:sz w:val="24"/>
        </w:rPr>
      </w:pPr>
      <w:r>
        <w:rPr>
          <w:b/>
          <w:sz w:val="24"/>
        </w:rPr>
        <w:t>报告期末本基金投资的国债期货持仓和损益明细</w:t>
      </w:r>
    </w:p>
    <w:p>
      <w:pPr>
        <w:pStyle w:val="BodyText"/>
        <w:spacing w:before="154"/>
        <w:ind w:left="1078"/>
      </w:pPr>
      <w:r>
        <w:rPr/>
        <w:t>本基金本报告期末未持有国债期货。</w:t>
      </w:r>
    </w:p>
    <w:p>
      <w:pPr>
        <w:pStyle w:val="ListParagraph"/>
        <w:numPr>
          <w:ilvl w:val="1"/>
          <w:numId w:val="28"/>
        </w:numPr>
        <w:tabs>
          <w:tab w:pos="1208" w:val="left" w:leader="none"/>
        </w:tabs>
        <w:spacing w:line="240" w:lineRule="auto" w:before="157" w:after="0"/>
        <w:ind w:left="1207" w:right="0" w:hanging="550"/>
        <w:jc w:val="left"/>
        <w:rPr>
          <w:rFonts w:ascii="Cambria" w:eastAsia="Cambria"/>
          <w:b/>
          <w:sz w:val="24"/>
        </w:rPr>
      </w:pPr>
      <w:r>
        <w:rPr>
          <w:b/>
          <w:sz w:val="24"/>
        </w:rPr>
        <w:t>本期国债期货投资评价</w:t>
      </w:r>
    </w:p>
    <w:p>
      <w:pPr>
        <w:pStyle w:val="BodyText"/>
        <w:spacing w:before="164"/>
        <w:ind w:left="1078"/>
      </w:pPr>
      <w:r>
        <w:rPr/>
        <w:t>本基金本报告期末未持有国债期货。</w:t>
      </w:r>
    </w:p>
    <w:p>
      <w:pPr>
        <w:pStyle w:val="BodyText"/>
        <w:spacing w:before="12"/>
        <w:rPr>
          <w:sz w:val="19"/>
        </w:rPr>
      </w:pPr>
    </w:p>
    <w:p>
      <w:pPr>
        <w:pStyle w:val="ListParagraph"/>
        <w:numPr>
          <w:ilvl w:val="0"/>
          <w:numId w:val="28"/>
        </w:numPr>
        <w:tabs>
          <w:tab w:pos="1064" w:val="left" w:leader="none"/>
        </w:tabs>
        <w:spacing w:line="240" w:lineRule="auto" w:before="0" w:after="0"/>
        <w:ind w:left="1063" w:right="0" w:hanging="406"/>
        <w:jc w:val="left"/>
        <w:rPr>
          <w:b/>
          <w:sz w:val="24"/>
        </w:rPr>
      </w:pPr>
      <w:r>
        <w:rPr>
          <w:b/>
          <w:sz w:val="24"/>
        </w:rPr>
        <w:t>投资组合报告附注</w:t>
      </w:r>
    </w:p>
    <w:p>
      <w:pPr>
        <w:pStyle w:val="ListParagraph"/>
        <w:numPr>
          <w:ilvl w:val="1"/>
          <w:numId w:val="28"/>
        </w:numPr>
        <w:tabs>
          <w:tab w:pos="1208" w:val="left" w:leader="none"/>
        </w:tabs>
        <w:spacing w:line="242" w:lineRule="auto" w:before="161" w:after="0"/>
        <w:ind w:left="658" w:right="1368" w:firstLine="0"/>
        <w:jc w:val="left"/>
        <w:rPr>
          <w:rFonts w:ascii="Cambria" w:eastAsia="Cambria"/>
          <w:b/>
          <w:sz w:val="24"/>
        </w:rPr>
      </w:pPr>
      <w:r>
        <w:rPr>
          <w:b/>
          <w:spacing w:val="-1"/>
          <w:sz w:val="24"/>
        </w:rPr>
        <w:t>本基金投资的前十名证券的发行主体本期是否出现被监管部门立案调查， </w:t>
      </w:r>
      <w:r>
        <w:rPr>
          <w:b/>
          <w:sz w:val="24"/>
        </w:rPr>
        <w:t>或在报告编制日前一年内受到公开谴责、处罚的情形。</w:t>
      </w:r>
    </w:p>
    <w:p>
      <w:pPr>
        <w:pStyle w:val="BodyText"/>
        <w:spacing w:line="417" w:lineRule="auto" w:before="162"/>
        <w:ind w:left="658" w:right="1311" w:firstLine="419"/>
        <w:jc w:val="both"/>
      </w:pPr>
      <w:r>
        <w:rPr>
          <w:w w:val="100"/>
        </w:rPr>
        <w:t>1</w:t>
      </w:r>
      <w:r>
        <w:rPr>
          <w:spacing w:val="-3"/>
          <w:w w:val="100"/>
        </w:rPr>
        <w:t>、宁波银行股份有限公司</w:t>
      </w:r>
      <w:r>
        <w:rPr>
          <w:w w:val="100"/>
        </w:rPr>
        <w:t>（</w:t>
      </w:r>
      <w:r>
        <w:rPr>
          <w:spacing w:val="-12"/>
          <w:w w:val="100"/>
        </w:rPr>
        <w:t>以下简称“宁波银行”，股票代码：</w:t>
      </w:r>
      <w:r>
        <w:rPr>
          <w:w w:val="100"/>
        </w:rPr>
        <w:t>002</w:t>
      </w:r>
      <w:r>
        <w:rPr>
          <w:spacing w:val="-3"/>
          <w:w w:val="100"/>
        </w:rPr>
        <w:t>1</w:t>
      </w:r>
      <w:r>
        <w:rPr>
          <w:w w:val="100"/>
        </w:rPr>
        <w:t>4</w:t>
      </w:r>
      <w:r>
        <w:rPr>
          <w:spacing w:val="-1"/>
          <w:w w:val="100"/>
        </w:rPr>
        <w:t>2</w:t>
      </w:r>
      <w:r>
        <w:rPr>
          <w:spacing w:val="-3"/>
          <w:w w:val="100"/>
        </w:rPr>
        <w:t>）</w:t>
      </w:r>
      <w:r>
        <w:rPr>
          <w:w w:val="100"/>
        </w:rPr>
        <w:t>于</w:t>
      </w:r>
      <w:r>
        <w:rPr/>
        <w:t> </w:t>
      </w:r>
      <w:r>
        <w:rPr>
          <w:w w:val="100"/>
        </w:rPr>
        <w:t>2</w:t>
      </w:r>
      <w:r>
        <w:rPr>
          <w:spacing w:val="-3"/>
          <w:w w:val="100"/>
        </w:rPr>
        <w:t>0</w:t>
      </w:r>
      <w:r>
        <w:rPr>
          <w:w w:val="100"/>
        </w:rPr>
        <w:t>19</w:t>
      </w:r>
      <w:r>
        <w:rPr/>
        <w:t> </w:t>
      </w:r>
      <w:r>
        <w:rPr>
          <w:w w:val="100"/>
        </w:rPr>
        <w:t>年</w:t>
      </w:r>
      <w:r>
        <w:rPr/>
        <w:t> </w:t>
      </w:r>
      <w:r>
        <w:rPr>
          <w:w w:val="100"/>
        </w:rPr>
        <w:t>7</w:t>
      </w:r>
      <w:r>
        <w:rPr>
          <w:spacing w:val="-11"/>
        </w:rPr>
        <w:t>月 </w:t>
      </w:r>
      <w:r>
        <w:rPr/>
        <w:t>5</w:t>
      </w:r>
      <w:r>
        <w:rPr>
          <w:spacing w:val="-6"/>
        </w:rPr>
        <w:t> 日收到宁波银保监局出具的行政处罚决定书(甬银保监罚决字(</w:t>
      </w:r>
      <w:r>
        <w:rPr/>
        <w:t>2019)59</w:t>
      </w:r>
      <w:r>
        <w:rPr>
          <w:spacing w:val="-5"/>
        </w:rPr>
        <w:t> 号)。其因违反</w:t>
      </w:r>
      <w:r>
        <w:rPr>
          <w:spacing w:val="-11"/>
        </w:rPr>
        <w:t>信贷政策、违反房地产行业政策、违规开展存贷业务、员工管理不到位、向监管部门报送的</w:t>
      </w:r>
      <w:r>
        <w:rPr>
          <w:spacing w:val="-12"/>
        </w:rPr>
        <w:t>报表不准确等问题，违反了《中华人民共和国银行业监督管理法》的相关规定，被处以罚款</w:t>
      </w:r>
      <w:r>
        <w:rPr>
          <w:spacing w:val="-13"/>
        </w:rPr>
        <w:t>人民币 </w:t>
      </w:r>
      <w:r>
        <w:rPr/>
        <w:t>270</w:t>
      </w:r>
      <w:r>
        <w:rPr>
          <w:spacing w:val="-13"/>
        </w:rPr>
        <w:t> 万元。同时，因销售行为不合规、双录管理不到位的问题，收到宁波银保监局出</w:t>
      </w:r>
      <w:r>
        <w:rPr>
          <w:spacing w:val="-6"/>
        </w:rPr>
        <w:t>具的行政处罚决定书(甬银保监罚决字</w:t>
      </w:r>
      <w:r>
        <w:rPr/>
        <w:t>(2019)62</w:t>
      </w:r>
      <w:r>
        <w:rPr>
          <w:spacing w:val="-13"/>
        </w:rPr>
        <w:t> 号)，被处以罚款人民币 </w:t>
      </w:r>
      <w:r>
        <w:rPr/>
        <w:t>30</w:t>
      </w:r>
      <w:r>
        <w:rPr>
          <w:spacing w:val="-15"/>
        </w:rPr>
        <w:t> 万元。</w:t>
      </w:r>
    </w:p>
    <w:p>
      <w:pPr>
        <w:pStyle w:val="BodyText"/>
        <w:spacing w:line="417" w:lineRule="auto"/>
        <w:ind w:left="658" w:right="1309" w:firstLine="422"/>
        <w:jc w:val="both"/>
      </w:pPr>
      <w:r>
        <w:rPr/>
        <w:t>2019</w:t>
      </w:r>
      <w:r>
        <w:rPr>
          <w:spacing w:val="-31"/>
        </w:rPr>
        <w:t> 年 </w:t>
      </w:r>
      <w:r>
        <w:rPr/>
        <w:t>3</w:t>
      </w:r>
      <w:r>
        <w:rPr>
          <w:spacing w:val="-31"/>
        </w:rPr>
        <w:t> 月 </w:t>
      </w:r>
      <w:r>
        <w:rPr/>
        <w:t>22</w:t>
      </w:r>
      <w:r>
        <w:rPr>
          <w:spacing w:val="-11"/>
        </w:rPr>
        <w:t> 日，宁波银行因违规将同业存款变为一般性存款的问题，违反了《中华人民共和国银行业监督管理法》第四十六条的规定，收到宁波银保监局出具的行政处罚决定</w:t>
      </w:r>
      <w:r>
        <w:rPr>
          <w:spacing w:val="-6"/>
        </w:rPr>
        <w:t>书(甬银保监罚决字(</w:t>
      </w:r>
      <w:r>
        <w:rPr/>
        <w:t>2019)14</w:t>
      </w:r>
      <w:r>
        <w:rPr>
          <w:spacing w:val="-15"/>
        </w:rPr>
        <w:t> 号)，被处以 </w:t>
      </w:r>
      <w:r>
        <w:rPr/>
        <w:t>20</w:t>
      </w:r>
      <w:r>
        <w:rPr>
          <w:spacing w:val="-11"/>
        </w:rPr>
        <w:t> 万元罚款。</w:t>
      </w:r>
    </w:p>
    <w:p>
      <w:pPr>
        <w:pStyle w:val="BodyText"/>
        <w:spacing w:line="417" w:lineRule="auto"/>
        <w:ind w:left="658" w:right="1309"/>
        <w:jc w:val="both"/>
      </w:pPr>
      <w:r>
        <w:rPr/>
        <w:t>2019</w:t>
      </w:r>
      <w:r>
        <w:rPr>
          <w:spacing w:val="-31"/>
        </w:rPr>
        <w:t> 年 </w:t>
      </w:r>
      <w:r>
        <w:rPr/>
        <w:t>1</w:t>
      </w:r>
      <w:r>
        <w:rPr>
          <w:spacing w:val="-31"/>
        </w:rPr>
        <w:t> 月 </w:t>
      </w:r>
      <w:r>
        <w:rPr/>
        <w:t>11</w:t>
      </w:r>
      <w:r>
        <w:rPr>
          <w:spacing w:val="-10"/>
        </w:rPr>
        <w:t> 日，宁波银行因贷后资金流向、用途及项目进度等管理、监督、执行不到位</w:t>
      </w:r>
      <w:r>
        <w:rPr>
          <w:spacing w:val="-12"/>
        </w:rPr>
        <w:t>的问题，违反了《中华人民共和国银行业监督管理法》第四十六条的规定，收到宁波银保监</w:t>
      </w:r>
      <w:r>
        <w:rPr>
          <w:spacing w:val="-6"/>
        </w:rPr>
        <w:t>局出具的行政处罚决定书(甬银监罚决字(</w:t>
      </w:r>
      <w:r>
        <w:rPr/>
        <w:t>2018)45</w:t>
      </w:r>
      <w:r>
        <w:rPr>
          <w:spacing w:val="-16"/>
        </w:rPr>
        <w:t> 号)，被处以 </w:t>
      </w:r>
      <w:r>
        <w:rPr/>
        <w:t>20</w:t>
      </w:r>
      <w:r>
        <w:rPr>
          <w:spacing w:val="-10"/>
        </w:rPr>
        <w:t> 万元罚款。</w:t>
      </w:r>
    </w:p>
    <w:p>
      <w:pPr>
        <w:pStyle w:val="BodyText"/>
        <w:ind w:left="1080"/>
      </w:pPr>
      <w:r>
        <w:rPr/>
        <w:t>本基金基金经理依据基金合同及公司投资管理制度，在投资授权范围内，经正常投资决</w:t>
      </w:r>
    </w:p>
    <w:p>
      <w:pPr>
        <w:spacing w:after="0"/>
        <w:sectPr>
          <w:pgSz w:w="11910" w:h="16840"/>
          <w:pgMar w:header="852" w:footer="992" w:top="1220" w:bottom="1180" w:left="1140" w:right="480"/>
        </w:sectPr>
      </w:pPr>
    </w:p>
    <w:p>
      <w:pPr>
        <w:pStyle w:val="BodyText"/>
        <w:spacing w:before="1"/>
        <w:rPr>
          <w:sz w:val="19"/>
        </w:rPr>
      </w:pPr>
    </w:p>
    <w:p>
      <w:pPr>
        <w:pStyle w:val="BodyText"/>
        <w:spacing w:before="71"/>
        <w:ind w:left="658"/>
      </w:pPr>
      <w:r>
        <w:rPr/>
        <w:t>策程序对宁波银行进行了投资。</w:t>
      </w:r>
    </w:p>
    <w:p>
      <w:pPr>
        <w:pStyle w:val="BodyText"/>
        <w:spacing w:before="7"/>
        <w:rPr>
          <w:sz w:val="15"/>
        </w:rPr>
      </w:pPr>
    </w:p>
    <w:p>
      <w:pPr>
        <w:pStyle w:val="BodyText"/>
        <w:spacing w:line="417" w:lineRule="auto"/>
        <w:ind w:left="658" w:right="1309" w:firstLine="422"/>
      </w:pPr>
      <w:r>
        <w:rPr/>
        <w:t>2、其余九名证券的发行主体本报告期内没有被监管部门立案调查或在本报告编制日前一年内受到公开谴责、处罚的情况。</w:t>
      </w:r>
    </w:p>
    <w:p>
      <w:pPr>
        <w:pStyle w:val="ListParagraph"/>
        <w:numPr>
          <w:ilvl w:val="1"/>
          <w:numId w:val="28"/>
        </w:numPr>
        <w:tabs>
          <w:tab w:pos="1208" w:val="left" w:leader="none"/>
        </w:tabs>
        <w:spacing w:line="240" w:lineRule="auto" w:before="135" w:after="0"/>
        <w:ind w:left="1207" w:right="0" w:hanging="550"/>
        <w:jc w:val="left"/>
        <w:rPr>
          <w:rFonts w:ascii="Cambria" w:eastAsia="Cambria"/>
          <w:b/>
          <w:sz w:val="24"/>
        </w:rPr>
      </w:pPr>
      <w:r>
        <w:rPr>
          <w:b/>
          <w:sz w:val="24"/>
        </w:rPr>
        <w:t>基金投资的前十名股票是否超出基金合同规定的备选股票库。</w:t>
      </w:r>
    </w:p>
    <w:p>
      <w:pPr>
        <w:pStyle w:val="BodyText"/>
        <w:spacing w:before="241"/>
        <w:ind w:left="1078"/>
      </w:pPr>
      <w:r>
        <w:rPr/>
        <w:t>本基金投资的前十名股票未超出基金合同规定的备选股票库。</w:t>
      </w:r>
    </w:p>
    <w:p>
      <w:pPr>
        <w:pStyle w:val="BodyText"/>
        <w:spacing w:before="1"/>
        <w:rPr>
          <w:sz w:val="26"/>
        </w:rPr>
      </w:pPr>
    </w:p>
    <w:p>
      <w:pPr>
        <w:pStyle w:val="ListParagraph"/>
        <w:numPr>
          <w:ilvl w:val="1"/>
          <w:numId w:val="28"/>
        </w:numPr>
        <w:tabs>
          <w:tab w:pos="1208" w:val="left" w:leader="none"/>
        </w:tabs>
        <w:spacing w:line="240" w:lineRule="auto" w:before="1" w:after="0"/>
        <w:ind w:left="1207" w:right="0" w:hanging="550"/>
        <w:jc w:val="left"/>
        <w:rPr>
          <w:rFonts w:ascii="Cambria" w:eastAsia="Cambria"/>
          <w:b/>
          <w:sz w:val="24"/>
        </w:rPr>
      </w:pPr>
      <w:r>
        <w:rPr>
          <w:b/>
          <w:sz w:val="24"/>
        </w:rPr>
        <w:t>其他资产构成</w:t>
      </w:r>
    </w:p>
    <w:p>
      <w:pPr>
        <w:pStyle w:val="BodyText"/>
        <w:rPr>
          <w:b/>
          <w:sz w:val="11"/>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6"/>
        <w:gridCol w:w="2129"/>
        <w:gridCol w:w="5348"/>
      </w:tblGrid>
      <w:tr>
        <w:trPr>
          <w:trHeight w:val="374" w:hRule="atLeast"/>
        </w:trPr>
        <w:tc>
          <w:tcPr>
            <w:tcW w:w="866" w:type="dxa"/>
            <w:shd w:val="clear" w:color="auto" w:fill="D9D9D9"/>
          </w:tcPr>
          <w:p>
            <w:pPr>
              <w:pStyle w:val="TableParagraph"/>
              <w:spacing w:line="250" w:lineRule="exact" w:before="105"/>
              <w:ind w:left="201" w:right="194"/>
              <w:jc w:val="center"/>
              <w:rPr>
                <w:sz w:val="21"/>
              </w:rPr>
            </w:pPr>
            <w:r>
              <w:rPr>
                <w:sz w:val="21"/>
              </w:rPr>
              <w:t>序号</w:t>
            </w:r>
          </w:p>
        </w:tc>
        <w:tc>
          <w:tcPr>
            <w:tcW w:w="2129" w:type="dxa"/>
            <w:shd w:val="clear" w:color="auto" w:fill="D9D9D9"/>
          </w:tcPr>
          <w:p>
            <w:pPr>
              <w:pStyle w:val="TableParagraph"/>
              <w:spacing w:line="250" w:lineRule="exact" w:before="105"/>
              <w:ind w:left="833" w:right="826"/>
              <w:jc w:val="center"/>
              <w:rPr>
                <w:sz w:val="21"/>
              </w:rPr>
            </w:pPr>
            <w:r>
              <w:rPr>
                <w:sz w:val="21"/>
              </w:rPr>
              <w:t>名称</w:t>
            </w:r>
          </w:p>
        </w:tc>
        <w:tc>
          <w:tcPr>
            <w:tcW w:w="5348" w:type="dxa"/>
            <w:shd w:val="clear" w:color="auto" w:fill="D9D9D9"/>
          </w:tcPr>
          <w:p>
            <w:pPr>
              <w:pStyle w:val="TableParagraph"/>
              <w:spacing w:line="250" w:lineRule="exact" w:before="105"/>
              <w:ind w:left="2128" w:right="2120"/>
              <w:jc w:val="center"/>
              <w:rPr>
                <w:sz w:val="21"/>
              </w:rPr>
            </w:pPr>
            <w:r>
              <w:rPr>
                <w:sz w:val="21"/>
              </w:rPr>
              <w:t>金额（元）</w:t>
            </w:r>
          </w:p>
        </w:tc>
      </w:tr>
      <w:tr>
        <w:trPr>
          <w:trHeight w:val="376" w:hRule="atLeast"/>
        </w:trPr>
        <w:tc>
          <w:tcPr>
            <w:tcW w:w="866" w:type="dxa"/>
          </w:tcPr>
          <w:p>
            <w:pPr>
              <w:pStyle w:val="TableParagraph"/>
              <w:spacing w:line="250" w:lineRule="exact" w:before="106"/>
              <w:ind w:left="7"/>
              <w:jc w:val="center"/>
              <w:rPr>
                <w:sz w:val="21"/>
              </w:rPr>
            </w:pPr>
            <w:r>
              <w:rPr>
                <w:w w:val="100"/>
                <w:sz w:val="21"/>
              </w:rPr>
              <w:t>1</w:t>
            </w:r>
          </w:p>
        </w:tc>
        <w:tc>
          <w:tcPr>
            <w:tcW w:w="2129" w:type="dxa"/>
          </w:tcPr>
          <w:p>
            <w:pPr>
              <w:pStyle w:val="TableParagraph"/>
              <w:spacing w:line="250" w:lineRule="exact" w:before="106"/>
              <w:ind w:left="14"/>
              <w:rPr>
                <w:sz w:val="21"/>
              </w:rPr>
            </w:pPr>
            <w:r>
              <w:rPr>
                <w:sz w:val="21"/>
              </w:rPr>
              <w:t>存出保证金</w:t>
            </w:r>
          </w:p>
        </w:tc>
        <w:tc>
          <w:tcPr>
            <w:tcW w:w="5348" w:type="dxa"/>
          </w:tcPr>
          <w:p>
            <w:pPr>
              <w:pStyle w:val="TableParagraph"/>
              <w:spacing w:line="250" w:lineRule="exact" w:before="106"/>
              <w:ind w:right="1"/>
              <w:jc w:val="right"/>
              <w:rPr>
                <w:sz w:val="21"/>
              </w:rPr>
            </w:pPr>
            <w:r>
              <w:rPr>
                <w:sz w:val="21"/>
              </w:rPr>
              <w:t>382,635.34</w:t>
            </w:r>
          </w:p>
        </w:tc>
      </w:tr>
      <w:tr>
        <w:trPr>
          <w:trHeight w:val="374" w:hRule="atLeast"/>
        </w:trPr>
        <w:tc>
          <w:tcPr>
            <w:tcW w:w="866" w:type="dxa"/>
          </w:tcPr>
          <w:p>
            <w:pPr>
              <w:pStyle w:val="TableParagraph"/>
              <w:spacing w:line="250" w:lineRule="exact" w:before="104"/>
              <w:ind w:left="7"/>
              <w:jc w:val="center"/>
              <w:rPr>
                <w:sz w:val="21"/>
              </w:rPr>
            </w:pPr>
            <w:r>
              <w:rPr>
                <w:w w:val="100"/>
                <w:sz w:val="21"/>
              </w:rPr>
              <w:t>2</w:t>
            </w:r>
          </w:p>
        </w:tc>
        <w:tc>
          <w:tcPr>
            <w:tcW w:w="2129" w:type="dxa"/>
          </w:tcPr>
          <w:p>
            <w:pPr>
              <w:pStyle w:val="TableParagraph"/>
              <w:spacing w:line="250" w:lineRule="exact" w:before="104"/>
              <w:ind w:left="14"/>
              <w:rPr>
                <w:sz w:val="21"/>
              </w:rPr>
            </w:pPr>
            <w:r>
              <w:rPr>
                <w:sz w:val="21"/>
              </w:rPr>
              <w:t>应收证券清算款</w:t>
            </w:r>
          </w:p>
        </w:tc>
        <w:tc>
          <w:tcPr>
            <w:tcW w:w="5348" w:type="dxa"/>
          </w:tcPr>
          <w:p>
            <w:pPr>
              <w:pStyle w:val="TableParagraph"/>
              <w:spacing w:line="250" w:lineRule="exact" w:before="104"/>
              <w:ind w:right="2"/>
              <w:jc w:val="right"/>
              <w:rPr>
                <w:sz w:val="21"/>
              </w:rPr>
            </w:pPr>
            <w:r>
              <w:rPr>
                <w:sz w:val="21"/>
              </w:rPr>
              <w:t>1,878,626.50</w:t>
            </w:r>
          </w:p>
        </w:tc>
      </w:tr>
      <w:tr>
        <w:trPr>
          <w:trHeight w:val="376" w:hRule="atLeast"/>
        </w:trPr>
        <w:tc>
          <w:tcPr>
            <w:tcW w:w="866" w:type="dxa"/>
          </w:tcPr>
          <w:p>
            <w:pPr>
              <w:pStyle w:val="TableParagraph"/>
              <w:spacing w:line="250" w:lineRule="exact" w:before="106"/>
              <w:ind w:left="7"/>
              <w:jc w:val="center"/>
              <w:rPr>
                <w:sz w:val="21"/>
              </w:rPr>
            </w:pPr>
            <w:r>
              <w:rPr>
                <w:w w:val="100"/>
                <w:sz w:val="21"/>
              </w:rPr>
              <w:t>3</w:t>
            </w:r>
          </w:p>
        </w:tc>
        <w:tc>
          <w:tcPr>
            <w:tcW w:w="2129" w:type="dxa"/>
          </w:tcPr>
          <w:p>
            <w:pPr>
              <w:pStyle w:val="TableParagraph"/>
              <w:spacing w:line="250" w:lineRule="exact" w:before="106"/>
              <w:ind w:left="14"/>
              <w:rPr>
                <w:sz w:val="21"/>
              </w:rPr>
            </w:pPr>
            <w:r>
              <w:rPr>
                <w:sz w:val="21"/>
              </w:rPr>
              <w:t>应收股利</w:t>
            </w:r>
          </w:p>
        </w:tc>
        <w:tc>
          <w:tcPr>
            <w:tcW w:w="5348" w:type="dxa"/>
          </w:tcPr>
          <w:p>
            <w:pPr>
              <w:pStyle w:val="TableParagraph"/>
              <w:spacing w:line="250" w:lineRule="exact" w:before="106"/>
              <w:ind w:right="4"/>
              <w:jc w:val="right"/>
              <w:rPr>
                <w:sz w:val="21"/>
              </w:rPr>
            </w:pPr>
            <w:r>
              <w:rPr>
                <w:w w:val="100"/>
                <w:sz w:val="21"/>
              </w:rPr>
              <w:t>-</w:t>
            </w:r>
          </w:p>
        </w:tc>
      </w:tr>
      <w:tr>
        <w:trPr>
          <w:trHeight w:val="373" w:hRule="atLeast"/>
        </w:trPr>
        <w:tc>
          <w:tcPr>
            <w:tcW w:w="866" w:type="dxa"/>
          </w:tcPr>
          <w:p>
            <w:pPr>
              <w:pStyle w:val="TableParagraph"/>
              <w:spacing w:line="250" w:lineRule="exact" w:before="104"/>
              <w:ind w:left="7"/>
              <w:jc w:val="center"/>
              <w:rPr>
                <w:sz w:val="21"/>
              </w:rPr>
            </w:pPr>
            <w:r>
              <w:rPr>
                <w:w w:val="100"/>
                <w:sz w:val="21"/>
              </w:rPr>
              <w:t>4</w:t>
            </w:r>
          </w:p>
        </w:tc>
        <w:tc>
          <w:tcPr>
            <w:tcW w:w="2129" w:type="dxa"/>
          </w:tcPr>
          <w:p>
            <w:pPr>
              <w:pStyle w:val="TableParagraph"/>
              <w:spacing w:line="250" w:lineRule="exact" w:before="104"/>
              <w:ind w:left="14"/>
              <w:rPr>
                <w:sz w:val="21"/>
              </w:rPr>
            </w:pPr>
            <w:r>
              <w:rPr>
                <w:sz w:val="21"/>
              </w:rPr>
              <w:t>应收利息</w:t>
            </w:r>
          </w:p>
        </w:tc>
        <w:tc>
          <w:tcPr>
            <w:tcW w:w="5348" w:type="dxa"/>
          </w:tcPr>
          <w:p>
            <w:pPr>
              <w:pStyle w:val="TableParagraph"/>
              <w:spacing w:line="250" w:lineRule="exact" w:before="104"/>
              <w:ind w:right="2"/>
              <w:jc w:val="right"/>
              <w:rPr>
                <w:sz w:val="21"/>
              </w:rPr>
            </w:pPr>
            <w:r>
              <w:rPr>
                <w:sz w:val="21"/>
              </w:rPr>
              <w:t>5,239,404.47</w:t>
            </w:r>
          </w:p>
        </w:tc>
      </w:tr>
      <w:tr>
        <w:trPr>
          <w:trHeight w:val="373" w:hRule="atLeast"/>
        </w:trPr>
        <w:tc>
          <w:tcPr>
            <w:tcW w:w="866" w:type="dxa"/>
          </w:tcPr>
          <w:p>
            <w:pPr>
              <w:pStyle w:val="TableParagraph"/>
              <w:spacing w:line="250" w:lineRule="exact" w:before="104"/>
              <w:ind w:left="7"/>
              <w:jc w:val="center"/>
              <w:rPr>
                <w:sz w:val="21"/>
              </w:rPr>
            </w:pPr>
            <w:r>
              <w:rPr>
                <w:w w:val="100"/>
                <w:sz w:val="21"/>
              </w:rPr>
              <w:t>5</w:t>
            </w:r>
          </w:p>
        </w:tc>
        <w:tc>
          <w:tcPr>
            <w:tcW w:w="2129" w:type="dxa"/>
          </w:tcPr>
          <w:p>
            <w:pPr>
              <w:pStyle w:val="TableParagraph"/>
              <w:spacing w:line="250" w:lineRule="exact" w:before="104"/>
              <w:ind w:left="14"/>
              <w:rPr>
                <w:sz w:val="21"/>
              </w:rPr>
            </w:pPr>
            <w:r>
              <w:rPr>
                <w:sz w:val="21"/>
              </w:rPr>
              <w:t>应收申购款</w:t>
            </w:r>
          </w:p>
        </w:tc>
        <w:tc>
          <w:tcPr>
            <w:tcW w:w="5348" w:type="dxa"/>
          </w:tcPr>
          <w:p>
            <w:pPr>
              <w:pStyle w:val="TableParagraph"/>
              <w:spacing w:line="250" w:lineRule="exact" w:before="104"/>
              <w:ind w:right="2"/>
              <w:jc w:val="right"/>
              <w:rPr>
                <w:sz w:val="21"/>
              </w:rPr>
            </w:pPr>
            <w:r>
              <w:rPr>
                <w:sz w:val="21"/>
              </w:rPr>
              <w:t>2,600,723.63</w:t>
            </w:r>
          </w:p>
        </w:tc>
      </w:tr>
      <w:tr>
        <w:trPr>
          <w:trHeight w:val="376" w:hRule="atLeast"/>
        </w:trPr>
        <w:tc>
          <w:tcPr>
            <w:tcW w:w="866" w:type="dxa"/>
          </w:tcPr>
          <w:p>
            <w:pPr>
              <w:pStyle w:val="TableParagraph"/>
              <w:spacing w:line="250" w:lineRule="exact" w:before="106"/>
              <w:ind w:left="7"/>
              <w:jc w:val="center"/>
              <w:rPr>
                <w:sz w:val="21"/>
              </w:rPr>
            </w:pPr>
            <w:r>
              <w:rPr>
                <w:w w:val="100"/>
                <w:sz w:val="21"/>
              </w:rPr>
              <w:t>6</w:t>
            </w:r>
          </w:p>
        </w:tc>
        <w:tc>
          <w:tcPr>
            <w:tcW w:w="2129" w:type="dxa"/>
          </w:tcPr>
          <w:p>
            <w:pPr>
              <w:pStyle w:val="TableParagraph"/>
              <w:spacing w:line="250" w:lineRule="exact" w:before="106"/>
              <w:ind w:left="14"/>
              <w:rPr>
                <w:sz w:val="21"/>
              </w:rPr>
            </w:pPr>
            <w:r>
              <w:rPr>
                <w:sz w:val="21"/>
              </w:rPr>
              <w:t>其他应收款</w:t>
            </w:r>
          </w:p>
        </w:tc>
        <w:tc>
          <w:tcPr>
            <w:tcW w:w="5348" w:type="dxa"/>
          </w:tcPr>
          <w:p>
            <w:pPr>
              <w:pStyle w:val="TableParagraph"/>
              <w:spacing w:line="250" w:lineRule="exact" w:before="106"/>
              <w:ind w:right="4"/>
              <w:jc w:val="right"/>
              <w:rPr>
                <w:sz w:val="21"/>
              </w:rPr>
            </w:pPr>
            <w:r>
              <w:rPr>
                <w:w w:val="100"/>
                <w:sz w:val="21"/>
              </w:rPr>
              <w:t>-</w:t>
            </w:r>
          </w:p>
        </w:tc>
      </w:tr>
      <w:tr>
        <w:trPr>
          <w:trHeight w:val="373" w:hRule="atLeast"/>
        </w:trPr>
        <w:tc>
          <w:tcPr>
            <w:tcW w:w="866" w:type="dxa"/>
          </w:tcPr>
          <w:p>
            <w:pPr>
              <w:pStyle w:val="TableParagraph"/>
              <w:spacing w:line="250" w:lineRule="exact" w:before="104"/>
              <w:ind w:left="7"/>
              <w:jc w:val="center"/>
              <w:rPr>
                <w:sz w:val="21"/>
              </w:rPr>
            </w:pPr>
            <w:r>
              <w:rPr>
                <w:w w:val="100"/>
                <w:sz w:val="21"/>
              </w:rPr>
              <w:t>7</w:t>
            </w:r>
          </w:p>
        </w:tc>
        <w:tc>
          <w:tcPr>
            <w:tcW w:w="2129" w:type="dxa"/>
          </w:tcPr>
          <w:p>
            <w:pPr>
              <w:pStyle w:val="TableParagraph"/>
              <w:spacing w:line="250" w:lineRule="exact" w:before="104"/>
              <w:ind w:left="14"/>
              <w:rPr>
                <w:sz w:val="21"/>
              </w:rPr>
            </w:pPr>
            <w:r>
              <w:rPr>
                <w:sz w:val="21"/>
              </w:rPr>
              <w:t>待摊费用</w:t>
            </w:r>
          </w:p>
        </w:tc>
        <w:tc>
          <w:tcPr>
            <w:tcW w:w="5348" w:type="dxa"/>
          </w:tcPr>
          <w:p>
            <w:pPr>
              <w:pStyle w:val="TableParagraph"/>
              <w:spacing w:line="250" w:lineRule="exact" w:before="104"/>
              <w:ind w:right="4"/>
              <w:jc w:val="right"/>
              <w:rPr>
                <w:sz w:val="21"/>
              </w:rPr>
            </w:pPr>
            <w:r>
              <w:rPr>
                <w:w w:val="100"/>
                <w:sz w:val="21"/>
              </w:rPr>
              <w:t>-</w:t>
            </w:r>
          </w:p>
        </w:tc>
      </w:tr>
      <w:tr>
        <w:trPr>
          <w:trHeight w:val="376" w:hRule="atLeast"/>
        </w:trPr>
        <w:tc>
          <w:tcPr>
            <w:tcW w:w="866" w:type="dxa"/>
          </w:tcPr>
          <w:p>
            <w:pPr>
              <w:pStyle w:val="TableParagraph"/>
              <w:spacing w:line="250" w:lineRule="exact" w:before="106"/>
              <w:ind w:left="7"/>
              <w:jc w:val="center"/>
              <w:rPr>
                <w:sz w:val="21"/>
              </w:rPr>
            </w:pPr>
            <w:r>
              <w:rPr>
                <w:w w:val="100"/>
                <w:sz w:val="21"/>
              </w:rPr>
              <w:t>8</w:t>
            </w:r>
          </w:p>
        </w:tc>
        <w:tc>
          <w:tcPr>
            <w:tcW w:w="2129" w:type="dxa"/>
          </w:tcPr>
          <w:p>
            <w:pPr>
              <w:pStyle w:val="TableParagraph"/>
              <w:spacing w:line="250" w:lineRule="exact" w:before="106"/>
              <w:ind w:left="14"/>
              <w:rPr>
                <w:sz w:val="21"/>
              </w:rPr>
            </w:pPr>
            <w:r>
              <w:rPr>
                <w:sz w:val="21"/>
              </w:rPr>
              <w:t>其他</w:t>
            </w:r>
          </w:p>
        </w:tc>
        <w:tc>
          <w:tcPr>
            <w:tcW w:w="5348" w:type="dxa"/>
          </w:tcPr>
          <w:p>
            <w:pPr>
              <w:pStyle w:val="TableParagraph"/>
              <w:spacing w:line="250" w:lineRule="exact" w:before="106"/>
              <w:ind w:right="4"/>
              <w:jc w:val="right"/>
              <w:rPr>
                <w:sz w:val="21"/>
              </w:rPr>
            </w:pPr>
            <w:r>
              <w:rPr>
                <w:w w:val="100"/>
                <w:sz w:val="21"/>
              </w:rPr>
              <w:t>-</w:t>
            </w:r>
          </w:p>
        </w:tc>
      </w:tr>
      <w:tr>
        <w:trPr>
          <w:trHeight w:val="373" w:hRule="atLeast"/>
        </w:trPr>
        <w:tc>
          <w:tcPr>
            <w:tcW w:w="866" w:type="dxa"/>
          </w:tcPr>
          <w:p>
            <w:pPr>
              <w:pStyle w:val="TableParagraph"/>
              <w:spacing w:line="250" w:lineRule="exact" w:before="104"/>
              <w:ind w:left="7"/>
              <w:jc w:val="center"/>
              <w:rPr>
                <w:sz w:val="21"/>
              </w:rPr>
            </w:pPr>
            <w:r>
              <w:rPr>
                <w:w w:val="100"/>
                <w:sz w:val="21"/>
              </w:rPr>
              <w:t>9</w:t>
            </w:r>
          </w:p>
        </w:tc>
        <w:tc>
          <w:tcPr>
            <w:tcW w:w="2129" w:type="dxa"/>
          </w:tcPr>
          <w:p>
            <w:pPr>
              <w:pStyle w:val="TableParagraph"/>
              <w:spacing w:line="250" w:lineRule="exact" w:before="104"/>
              <w:ind w:left="14"/>
              <w:rPr>
                <w:sz w:val="21"/>
              </w:rPr>
            </w:pPr>
            <w:r>
              <w:rPr>
                <w:sz w:val="21"/>
              </w:rPr>
              <w:t>合计</w:t>
            </w:r>
          </w:p>
        </w:tc>
        <w:tc>
          <w:tcPr>
            <w:tcW w:w="5348" w:type="dxa"/>
          </w:tcPr>
          <w:p>
            <w:pPr>
              <w:pStyle w:val="TableParagraph"/>
              <w:spacing w:line="250" w:lineRule="exact" w:before="104"/>
              <w:ind w:right="2"/>
              <w:jc w:val="right"/>
              <w:rPr>
                <w:sz w:val="21"/>
              </w:rPr>
            </w:pPr>
            <w:r>
              <w:rPr>
                <w:sz w:val="21"/>
              </w:rPr>
              <w:t>10,101,389.94</w:t>
            </w:r>
          </w:p>
        </w:tc>
      </w:tr>
    </w:tbl>
    <w:p>
      <w:pPr>
        <w:pStyle w:val="ListParagraph"/>
        <w:numPr>
          <w:ilvl w:val="1"/>
          <w:numId w:val="28"/>
        </w:numPr>
        <w:tabs>
          <w:tab w:pos="1208" w:val="left" w:leader="none"/>
        </w:tabs>
        <w:spacing w:line="240" w:lineRule="auto" w:before="235" w:after="0"/>
        <w:ind w:left="1207" w:right="0" w:hanging="550"/>
        <w:jc w:val="left"/>
        <w:rPr>
          <w:rFonts w:ascii="Cambria" w:eastAsia="Cambria"/>
          <w:b/>
          <w:sz w:val="24"/>
        </w:rPr>
      </w:pPr>
      <w:r>
        <w:rPr>
          <w:b/>
          <w:sz w:val="24"/>
        </w:rPr>
        <w:t>报告期末持有的处于转股期的可转换债券明细</w:t>
      </w:r>
    </w:p>
    <w:p>
      <w:pPr>
        <w:pStyle w:val="BodyText"/>
        <w:rPr>
          <w:b/>
          <w:sz w:val="11"/>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0"/>
        <w:gridCol w:w="1525"/>
        <w:gridCol w:w="1520"/>
        <w:gridCol w:w="2562"/>
        <w:gridCol w:w="1470"/>
      </w:tblGrid>
      <w:tr>
        <w:trPr>
          <w:trHeight w:val="736" w:hRule="atLeast"/>
        </w:trPr>
        <w:tc>
          <w:tcPr>
            <w:tcW w:w="1270" w:type="dxa"/>
            <w:shd w:val="clear" w:color="auto" w:fill="D9D9D9"/>
          </w:tcPr>
          <w:p>
            <w:pPr>
              <w:pStyle w:val="TableParagraph"/>
              <w:spacing w:before="4"/>
              <w:rPr>
                <w:b/>
                <w:sz w:val="22"/>
              </w:rPr>
            </w:pPr>
          </w:p>
          <w:p>
            <w:pPr>
              <w:pStyle w:val="TableParagraph"/>
              <w:ind w:left="403" w:right="397"/>
              <w:jc w:val="center"/>
              <w:rPr>
                <w:sz w:val="21"/>
              </w:rPr>
            </w:pPr>
            <w:r>
              <w:rPr>
                <w:sz w:val="21"/>
              </w:rPr>
              <w:t>序号</w:t>
            </w:r>
          </w:p>
        </w:tc>
        <w:tc>
          <w:tcPr>
            <w:tcW w:w="1525" w:type="dxa"/>
            <w:shd w:val="clear" w:color="auto" w:fill="D9D9D9"/>
          </w:tcPr>
          <w:p>
            <w:pPr>
              <w:pStyle w:val="TableParagraph"/>
              <w:spacing w:before="4"/>
              <w:rPr>
                <w:b/>
                <w:sz w:val="22"/>
              </w:rPr>
            </w:pPr>
          </w:p>
          <w:p>
            <w:pPr>
              <w:pStyle w:val="TableParagraph"/>
              <w:ind w:left="318" w:right="316"/>
              <w:jc w:val="center"/>
              <w:rPr>
                <w:sz w:val="21"/>
              </w:rPr>
            </w:pPr>
            <w:r>
              <w:rPr>
                <w:sz w:val="21"/>
              </w:rPr>
              <w:t>债券代码</w:t>
            </w:r>
          </w:p>
        </w:tc>
        <w:tc>
          <w:tcPr>
            <w:tcW w:w="1520" w:type="dxa"/>
            <w:shd w:val="clear" w:color="auto" w:fill="D9D9D9"/>
          </w:tcPr>
          <w:p>
            <w:pPr>
              <w:pStyle w:val="TableParagraph"/>
              <w:spacing w:before="4"/>
              <w:rPr>
                <w:b/>
                <w:sz w:val="22"/>
              </w:rPr>
            </w:pPr>
          </w:p>
          <w:p>
            <w:pPr>
              <w:pStyle w:val="TableParagraph"/>
              <w:ind w:left="318" w:right="311"/>
              <w:jc w:val="center"/>
              <w:rPr>
                <w:sz w:val="21"/>
              </w:rPr>
            </w:pPr>
            <w:r>
              <w:rPr>
                <w:sz w:val="21"/>
              </w:rPr>
              <w:t>债券名称</w:t>
            </w:r>
          </w:p>
        </w:tc>
        <w:tc>
          <w:tcPr>
            <w:tcW w:w="2562" w:type="dxa"/>
            <w:shd w:val="clear" w:color="auto" w:fill="D9D9D9"/>
          </w:tcPr>
          <w:p>
            <w:pPr>
              <w:pStyle w:val="TableParagraph"/>
              <w:spacing w:before="4"/>
              <w:rPr>
                <w:b/>
                <w:sz w:val="22"/>
              </w:rPr>
            </w:pPr>
          </w:p>
          <w:p>
            <w:pPr>
              <w:pStyle w:val="TableParagraph"/>
              <w:ind w:left="543"/>
              <w:rPr>
                <w:sz w:val="21"/>
              </w:rPr>
            </w:pPr>
            <w:r>
              <w:rPr>
                <w:sz w:val="21"/>
              </w:rPr>
              <w:t>公允价值（元）</w:t>
            </w:r>
          </w:p>
        </w:tc>
        <w:tc>
          <w:tcPr>
            <w:tcW w:w="1470" w:type="dxa"/>
            <w:shd w:val="clear" w:color="auto" w:fill="D9D9D9"/>
          </w:tcPr>
          <w:p>
            <w:pPr>
              <w:pStyle w:val="TableParagraph"/>
              <w:spacing w:line="360" w:lineRule="atLeast" w:before="15"/>
              <w:ind w:left="150" w:right="94" w:hanging="51"/>
              <w:rPr>
                <w:sz w:val="21"/>
              </w:rPr>
            </w:pPr>
            <w:r>
              <w:rPr>
                <w:sz w:val="21"/>
              </w:rPr>
              <w:t>占基金资产净值比例（%）</w:t>
            </w:r>
          </w:p>
        </w:tc>
      </w:tr>
      <w:tr>
        <w:trPr>
          <w:trHeight w:val="374" w:hRule="atLeast"/>
        </w:trPr>
        <w:tc>
          <w:tcPr>
            <w:tcW w:w="1270" w:type="dxa"/>
          </w:tcPr>
          <w:p>
            <w:pPr>
              <w:pStyle w:val="TableParagraph"/>
              <w:spacing w:line="250" w:lineRule="exact" w:before="104"/>
              <w:ind w:left="6"/>
              <w:jc w:val="center"/>
              <w:rPr>
                <w:sz w:val="21"/>
              </w:rPr>
            </w:pPr>
            <w:r>
              <w:rPr>
                <w:w w:val="100"/>
                <w:sz w:val="21"/>
              </w:rPr>
              <w:t>1</w:t>
            </w:r>
          </w:p>
        </w:tc>
        <w:tc>
          <w:tcPr>
            <w:tcW w:w="1525" w:type="dxa"/>
          </w:tcPr>
          <w:p>
            <w:pPr>
              <w:pStyle w:val="TableParagraph"/>
              <w:spacing w:line="250" w:lineRule="exact" w:before="104"/>
              <w:ind w:left="318" w:right="313"/>
              <w:jc w:val="center"/>
              <w:rPr>
                <w:sz w:val="21"/>
              </w:rPr>
            </w:pPr>
            <w:r>
              <w:rPr>
                <w:sz w:val="21"/>
              </w:rPr>
              <w:t>128059</w:t>
            </w:r>
          </w:p>
        </w:tc>
        <w:tc>
          <w:tcPr>
            <w:tcW w:w="1520" w:type="dxa"/>
          </w:tcPr>
          <w:p>
            <w:pPr>
              <w:pStyle w:val="TableParagraph"/>
              <w:spacing w:line="250" w:lineRule="exact" w:before="104"/>
              <w:ind w:left="318" w:right="311"/>
              <w:jc w:val="center"/>
              <w:rPr>
                <w:sz w:val="21"/>
              </w:rPr>
            </w:pPr>
            <w:r>
              <w:rPr>
                <w:sz w:val="21"/>
              </w:rPr>
              <w:t>视源转债</w:t>
            </w:r>
          </w:p>
        </w:tc>
        <w:tc>
          <w:tcPr>
            <w:tcW w:w="2562" w:type="dxa"/>
          </w:tcPr>
          <w:p>
            <w:pPr>
              <w:pStyle w:val="TableParagraph"/>
              <w:spacing w:line="250" w:lineRule="exact" w:before="104"/>
              <w:ind w:left="1493"/>
              <w:rPr>
                <w:sz w:val="21"/>
              </w:rPr>
            </w:pPr>
            <w:r>
              <w:rPr>
                <w:sz w:val="21"/>
              </w:rPr>
              <w:t>198,432.00</w:t>
            </w:r>
          </w:p>
        </w:tc>
        <w:tc>
          <w:tcPr>
            <w:tcW w:w="1470" w:type="dxa"/>
          </w:tcPr>
          <w:p>
            <w:pPr>
              <w:pStyle w:val="TableParagraph"/>
              <w:spacing w:line="250" w:lineRule="exact" w:before="104"/>
              <w:ind w:right="5"/>
              <w:jc w:val="right"/>
              <w:rPr>
                <w:sz w:val="21"/>
              </w:rPr>
            </w:pPr>
            <w:r>
              <w:rPr>
                <w:sz w:val="21"/>
              </w:rPr>
              <w:t>0.01</w:t>
            </w:r>
          </w:p>
        </w:tc>
      </w:tr>
    </w:tbl>
    <w:p>
      <w:pPr>
        <w:pStyle w:val="ListParagraph"/>
        <w:numPr>
          <w:ilvl w:val="1"/>
          <w:numId w:val="28"/>
        </w:numPr>
        <w:tabs>
          <w:tab w:pos="1208" w:val="left" w:leader="none"/>
        </w:tabs>
        <w:spacing w:line="240" w:lineRule="auto" w:before="235" w:after="0"/>
        <w:ind w:left="1207" w:right="0" w:hanging="550"/>
        <w:jc w:val="left"/>
        <w:rPr>
          <w:rFonts w:ascii="Cambria" w:eastAsia="Cambria"/>
          <w:b/>
          <w:sz w:val="24"/>
        </w:rPr>
      </w:pPr>
      <w:r>
        <w:rPr>
          <w:b/>
          <w:sz w:val="24"/>
        </w:rPr>
        <w:t>报告期末前十名股票中存在流通受限情况的说明</w:t>
      </w:r>
    </w:p>
    <w:p>
      <w:pPr>
        <w:pStyle w:val="BodyText"/>
        <w:spacing w:before="241"/>
        <w:ind w:left="1078"/>
      </w:pPr>
      <w:r>
        <w:rPr/>
        <w:t>本基金本报告期末前十名股票中不存在流通受限的情况。</w:t>
      </w:r>
    </w:p>
    <w:p>
      <w:pPr>
        <w:pStyle w:val="BodyText"/>
        <w:spacing w:before="2"/>
        <w:rPr>
          <w:sz w:val="26"/>
        </w:rPr>
      </w:pPr>
    </w:p>
    <w:p>
      <w:pPr>
        <w:pStyle w:val="ListParagraph"/>
        <w:numPr>
          <w:ilvl w:val="1"/>
          <w:numId w:val="28"/>
        </w:numPr>
        <w:tabs>
          <w:tab w:pos="1138" w:val="left" w:leader="none"/>
        </w:tabs>
        <w:spacing w:line="240" w:lineRule="auto" w:before="0" w:after="0"/>
        <w:ind w:left="1138" w:right="0" w:hanging="480"/>
        <w:jc w:val="left"/>
        <w:rPr>
          <w:rFonts w:ascii="Cambria" w:eastAsia="Cambria"/>
          <w:b/>
          <w:sz w:val="21"/>
        </w:rPr>
      </w:pPr>
      <w:r>
        <w:rPr>
          <w:b/>
          <w:sz w:val="24"/>
        </w:rPr>
        <w:t>投资组合报告附注的其他文字描述部分</w:t>
      </w:r>
    </w:p>
    <w:p>
      <w:pPr>
        <w:pStyle w:val="BodyText"/>
        <w:spacing w:before="10"/>
        <w:rPr>
          <w:b/>
          <w:sz w:val="18"/>
        </w:rPr>
      </w:pPr>
    </w:p>
    <w:p>
      <w:pPr>
        <w:pStyle w:val="BodyText"/>
        <w:ind w:left="1082"/>
      </w:pPr>
      <w:r>
        <w:rPr/>
        <w:t>无。</w:t>
      </w:r>
    </w:p>
    <w:p>
      <w:pPr>
        <w:spacing w:after="0"/>
        <w:sectPr>
          <w:pgSz w:w="11910" w:h="16840"/>
          <w:pgMar w:header="852" w:footer="992" w:top="1220" w:bottom="1180" w:left="1140" w:right="480"/>
        </w:sectPr>
      </w:pPr>
    </w:p>
    <w:p>
      <w:pPr>
        <w:pStyle w:val="BodyText"/>
        <w:spacing w:before="11"/>
        <w:rPr>
          <w:sz w:val="17"/>
        </w:rPr>
      </w:pPr>
    </w:p>
    <w:p>
      <w:pPr>
        <w:pStyle w:val="Heading1"/>
        <w:spacing w:before="66"/>
        <w:ind w:left="1902" w:right="2558"/>
        <w:jc w:val="center"/>
      </w:pPr>
      <w:bookmarkStart w:name="_bookmark14" w:id="15"/>
      <w:bookmarkEnd w:id="15"/>
      <w:r>
        <w:rPr>
          <w:b w:val="0"/>
        </w:rPr>
      </w:r>
      <w:r>
        <w:rPr/>
        <w:t>十一、基金的融资</w:t>
      </w:r>
    </w:p>
    <w:p>
      <w:pPr>
        <w:pStyle w:val="BodyText"/>
        <w:rPr>
          <w:b/>
          <w:sz w:val="24"/>
        </w:rPr>
      </w:pPr>
    </w:p>
    <w:p>
      <w:pPr>
        <w:pStyle w:val="BodyText"/>
        <w:spacing w:before="9"/>
        <w:rPr>
          <w:b/>
          <w:sz w:val="26"/>
        </w:rPr>
      </w:pPr>
    </w:p>
    <w:p>
      <w:pPr>
        <w:pStyle w:val="BodyText"/>
        <w:ind w:left="1078"/>
      </w:pPr>
      <w:r>
        <w:rPr/>
        <w:t>本系列基金可以按照国家的有关规定进行融资。</w:t>
      </w:r>
    </w:p>
    <w:p>
      <w:pPr>
        <w:spacing w:after="0"/>
        <w:sectPr>
          <w:pgSz w:w="11910" w:h="16840"/>
          <w:pgMar w:header="852" w:footer="992" w:top="1220" w:bottom="1180" w:left="1140" w:right="480"/>
        </w:sectPr>
      </w:pPr>
    </w:p>
    <w:p>
      <w:pPr>
        <w:pStyle w:val="BodyText"/>
        <w:spacing w:before="11"/>
        <w:rPr>
          <w:sz w:val="17"/>
        </w:rPr>
      </w:pPr>
    </w:p>
    <w:p>
      <w:pPr>
        <w:pStyle w:val="Heading1"/>
        <w:spacing w:before="66"/>
        <w:ind w:left="1902" w:right="2558"/>
        <w:jc w:val="center"/>
      </w:pPr>
      <w:bookmarkStart w:name="_bookmark15" w:id="16"/>
      <w:bookmarkEnd w:id="16"/>
      <w:r>
        <w:rPr>
          <w:b w:val="0"/>
        </w:rPr>
      </w:r>
      <w:r>
        <w:rPr/>
        <w:t>十二、基金的业绩</w:t>
      </w:r>
    </w:p>
    <w:p>
      <w:pPr>
        <w:pStyle w:val="BodyText"/>
        <w:spacing w:line="417" w:lineRule="auto" w:before="181"/>
        <w:ind w:left="658" w:right="1309" w:firstLine="419"/>
        <w:jc w:val="both"/>
      </w:pPr>
      <w:r>
        <w:rPr>
          <w:spacing w:val="-9"/>
        </w:rPr>
        <w:t>基金管理人承诺以诚实信用、勤勉尽责的原则管理和运用基金资产，但不保证基金一定</w:t>
      </w:r>
      <w:r>
        <w:rPr>
          <w:spacing w:val="-11"/>
        </w:rPr>
        <w:t>盈利。基金的过往业绩并不代表其未来表现。投资有风险，投资者在作出投资决策前应仔细</w:t>
      </w:r>
      <w:r>
        <w:rPr>
          <w:spacing w:val="-6"/>
        </w:rPr>
        <w:t>阅读本系列基金的招募说明书和更新招募说明书。</w:t>
      </w:r>
    </w:p>
    <w:p>
      <w:pPr>
        <w:pStyle w:val="BodyText"/>
        <w:spacing w:line="417" w:lineRule="auto"/>
        <w:ind w:left="658" w:right="1309" w:firstLine="419"/>
      </w:pPr>
      <w:r>
        <w:rPr>
          <w:spacing w:val="-7"/>
        </w:rPr>
        <w:t>基金托管人中国银行股份有限公司根据基金合同规定，已经复核了下列财务指标、净值</w:t>
      </w:r>
      <w:r>
        <w:rPr>
          <w:spacing w:val="-5"/>
        </w:rPr>
        <w:t>表现等内容，保证复核内容不存在虚假记载、误导性陈述或者重大遗漏。</w:t>
      </w:r>
    </w:p>
    <w:p>
      <w:pPr>
        <w:pStyle w:val="BodyText"/>
        <w:spacing w:line="269" w:lineRule="exact"/>
        <w:ind w:left="1078"/>
      </w:pPr>
      <w:r>
        <w:rPr/>
        <w:t>基金业绩数据截止 2019 年 9 月 30 日。</w:t>
      </w:r>
    </w:p>
    <w:p>
      <w:pPr>
        <w:pStyle w:val="BodyText"/>
        <w:rPr>
          <w:sz w:val="20"/>
        </w:rPr>
      </w:pPr>
    </w:p>
    <w:p>
      <w:pPr>
        <w:pStyle w:val="BodyText"/>
        <w:rPr>
          <w:sz w:val="20"/>
        </w:rPr>
      </w:pPr>
    </w:p>
    <w:p>
      <w:pPr>
        <w:spacing w:before="135"/>
        <w:ind w:left="658" w:right="0" w:firstLine="0"/>
        <w:jc w:val="left"/>
        <w:rPr>
          <w:b/>
          <w:sz w:val="24"/>
        </w:rPr>
      </w:pPr>
      <w:r>
        <w:rPr>
          <w:b/>
          <w:sz w:val="24"/>
        </w:rPr>
        <w:t>优选混合型基金的净值表现</w:t>
      </w:r>
    </w:p>
    <w:p>
      <w:pPr>
        <w:pStyle w:val="BodyText"/>
        <w:rPr>
          <w:b/>
          <w:sz w:val="24"/>
        </w:rPr>
      </w:pPr>
    </w:p>
    <w:p>
      <w:pPr>
        <w:pStyle w:val="BodyText"/>
        <w:spacing w:before="8"/>
        <w:rPr>
          <w:b/>
          <w:sz w:val="26"/>
        </w:rPr>
      </w:pPr>
    </w:p>
    <w:p>
      <w:pPr>
        <w:spacing w:before="0"/>
        <w:ind w:left="658" w:right="0" w:firstLine="0"/>
        <w:jc w:val="left"/>
        <w:rPr>
          <w:b/>
          <w:sz w:val="21"/>
        </w:rPr>
      </w:pPr>
      <w:r>
        <w:rPr>
          <w:rFonts w:ascii="Cambria" w:eastAsia="Cambria"/>
          <w:b/>
          <w:sz w:val="21"/>
        </w:rPr>
        <w:t>1</w:t>
      </w:r>
      <w:r>
        <w:rPr>
          <w:b/>
          <w:sz w:val="21"/>
        </w:rPr>
        <w:t>、基金份额净值增长率及其与同期业绩比较基准收益率比较表</w:t>
      </w:r>
    </w:p>
    <w:p>
      <w:pPr>
        <w:pStyle w:val="BodyText"/>
        <w:spacing w:before="9"/>
        <w:rPr>
          <w:b/>
          <w:sz w:val="7"/>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215"/>
        <w:gridCol w:w="1277"/>
        <w:gridCol w:w="1561"/>
        <w:gridCol w:w="1275"/>
        <w:gridCol w:w="1156"/>
        <w:gridCol w:w="1081"/>
      </w:tblGrid>
      <w:tr>
        <w:trPr>
          <w:trHeight w:val="935" w:hRule="atLeast"/>
        </w:trPr>
        <w:tc>
          <w:tcPr>
            <w:tcW w:w="2160" w:type="dxa"/>
          </w:tcPr>
          <w:p>
            <w:pPr>
              <w:pStyle w:val="TableParagraph"/>
              <w:spacing w:before="1"/>
              <w:rPr>
                <w:b/>
                <w:sz w:val="26"/>
              </w:rPr>
            </w:pPr>
          </w:p>
          <w:p>
            <w:pPr>
              <w:pStyle w:val="TableParagraph"/>
              <w:ind w:left="717" w:right="707"/>
              <w:jc w:val="center"/>
              <w:rPr>
                <w:sz w:val="21"/>
              </w:rPr>
            </w:pPr>
            <w:r>
              <w:rPr>
                <w:sz w:val="21"/>
              </w:rPr>
              <w:t>阶段</w:t>
            </w:r>
          </w:p>
        </w:tc>
        <w:tc>
          <w:tcPr>
            <w:tcW w:w="1215" w:type="dxa"/>
          </w:tcPr>
          <w:p>
            <w:pPr>
              <w:pStyle w:val="TableParagraph"/>
              <w:spacing w:line="278" w:lineRule="auto" w:before="178"/>
              <w:ind w:left="240" w:right="173" w:hanging="53"/>
              <w:rPr>
                <w:sz w:val="21"/>
              </w:rPr>
            </w:pPr>
            <w:r>
              <w:rPr>
                <w:sz w:val="21"/>
              </w:rPr>
              <w:t>净值增长率（</w:t>
            </w:r>
            <w:r>
              <w:rPr>
                <w:rFonts w:ascii="Times New Roman" w:eastAsia="Times New Roman"/>
                <w:sz w:val="21"/>
              </w:rPr>
              <w:t>1</w:t>
            </w:r>
            <w:r>
              <w:rPr>
                <w:sz w:val="21"/>
              </w:rPr>
              <w:t>）</w:t>
            </w:r>
          </w:p>
        </w:tc>
        <w:tc>
          <w:tcPr>
            <w:tcW w:w="1277" w:type="dxa"/>
          </w:tcPr>
          <w:p>
            <w:pPr>
              <w:pStyle w:val="TableParagraph"/>
              <w:spacing w:line="278" w:lineRule="auto" w:before="178"/>
              <w:ind w:left="108" w:right="-15" w:firstLine="4"/>
              <w:rPr>
                <w:sz w:val="21"/>
              </w:rPr>
            </w:pPr>
            <w:r>
              <w:rPr>
                <w:spacing w:val="-1"/>
                <w:sz w:val="21"/>
              </w:rPr>
              <w:t>净值增长率</w:t>
            </w:r>
            <w:r>
              <w:rPr>
                <w:spacing w:val="-2"/>
                <w:sz w:val="21"/>
              </w:rPr>
              <w:t>标准差</w:t>
            </w:r>
            <w:r>
              <w:rPr>
                <w:sz w:val="21"/>
              </w:rPr>
              <w:t>（</w:t>
            </w:r>
            <w:r>
              <w:rPr>
                <w:rFonts w:ascii="Times New Roman" w:eastAsia="Times New Roman"/>
                <w:sz w:val="21"/>
              </w:rPr>
              <w:t>2</w:t>
            </w:r>
            <w:r>
              <w:rPr>
                <w:sz w:val="21"/>
              </w:rPr>
              <w:t>）</w:t>
            </w:r>
          </w:p>
        </w:tc>
        <w:tc>
          <w:tcPr>
            <w:tcW w:w="1561" w:type="dxa"/>
          </w:tcPr>
          <w:p>
            <w:pPr>
              <w:pStyle w:val="TableParagraph"/>
              <w:spacing w:line="278" w:lineRule="auto" w:before="178"/>
              <w:ind w:left="201" w:right="137" w:hanging="53"/>
              <w:rPr>
                <w:sz w:val="21"/>
              </w:rPr>
            </w:pPr>
            <w:r>
              <w:rPr>
                <w:sz w:val="21"/>
              </w:rPr>
              <w:t>业绩比较基准收益率（</w:t>
            </w:r>
            <w:r>
              <w:rPr>
                <w:rFonts w:ascii="Times New Roman" w:eastAsia="Times New Roman"/>
                <w:sz w:val="21"/>
              </w:rPr>
              <w:t>3</w:t>
            </w:r>
            <w:r>
              <w:rPr>
                <w:sz w:val="21"/>
              </w:rPr>
              <w:t>）</w:t>
            </w:r>
          </w:p>
        </w:tc>
        <w:tc>
          <w:tcPr>
            <w:tcW w:w="1275" w:type="dxa"/>
          </w:tcPr>
          <w:p>
            <w:pPr>
              <w:pStyle w:val="TableParagraph"/>
              <w:spacing w:line="278" w:lineRule="auto" w:before="22"/>
              <w:ind w:left="109" w:right="99"/>
              <w:rPr>
                <w:sz w:val="21"/>
              </w:rPr>
            </w:pPr>
            <w:r>
              <w:rPr>
                <w:spacing w:val="-4"/>
                <w:sz w:val="21"/>
              </w:rPr>
              <w:t>业绩比较基准收益率标</w:t>
            </w:r>
          </w:p>
          <w:p>
            <w:pPr>
              <w:pStyle w:val="TableParagraph"/>
              <w:spacing w:line="269" w:lineRule="exact"/>
              <w:ind w:left="162"/>
              <w:rPr>
                <w:sz w:val="21"/>
              </w:rPr>
            </w:pPr>
            <w:r>
              <w:rPr>
                <w:spacing w:val="-1"/>
                <w:sz w:val="21"/>
              </w:rPr>
              <w:t>准差（</w:t>
            </w:r>
            <w:r>
              <w:rPr>
                <w:rFonts w:ascii="Times New Roman" w:eastAsia="Times New Roman"/>
                <w:spacing w:val="-1"/>
                <w:sz w:val="21"/>
              </w:rPr>
              <w:t>4</w:t>
            </w:r>
            <w:r>
              <w:rPr>
                <w:spacing w:val="-1"/>
                <w:sz w:val="21"/>
              </w:rPr>
              <w:t>）</w:t>
            </w:r>
          </w:p>
        </w:tc>
        <w:tc>
          <w:tcPr>
            <w:tcW w:w="1156" w:type="dxa"/>
          </w:tcPr>
          <w:p>
            <w:pPr>
              <w:pStyle w:val="TableParagraph"/>
              <w:spacing w:before="1"/>
              <w:rPr>
                <w:b/>
                <w:sz w:val="26"/>
              </w:rPr>
            </w:pPr>
          </w:p>
          <w:p>
            <w:pPr>
              <w:pStyle w:val="TableParagraph"/>
              <w:ind w:left="106" w:right="-15"/>
              <w:rPr>
                <w:sz w:val="21"/>
              </w:rPr>
            </w:pPr>
            <w:r>
              <w:rPr>
                <w:spacing w:val="-12"/>
                <w:sz w:val="21"/>
              </w:rPr>
              <w:t>（</w:t>
            </w:r>
            <w:r>
              <w:rPr>
                <w:rFonts w:ascii="Times New Roman" w:eastAsia="Times New Roman"/>
                <w:spacing w:val="-12"/>
                <w:sz w:val="21"/>
              </w:rPr>
              <w:t>1</w:t>
            </w:r>
            <w:r>
              <w:rPr>
                <w:spacing w:val="-12"/>
                <w:sz w:val="21"/>
              </w:rPr>
              <w:t>）</w:t>
            </w:r>
            <w:r>
              <w:rPr>
                <w:rFonts w:ascii="Times New Roman" w:eastAsia="Times New Roman"/>
                <w:spacing w:val="-12"/>
                <w:sz w:val="21"/>
              </w:rPr>
              <w:t>-</w:t>
            </w:r>
            <w:r>
              <w:rPr>
                <w:spacing w:val="-12"/>
                <w:sz w:val="21"/>
              </w:rPr>
              <w:t>（</w:t>
            </w:r>
            <w:r>
              <w:rPr>
                <w:rFonts w:ascii="Times New Roman" w:eastAsia="Times New Roman"/>
                <w:spacing w:val="-12"/>
                <w:sz w:val="21"/>
              </w:rPr>
              <w:t>3</w:t>
            </w:r>
            <w:r>
              <w:rPr>
                <w:spacing w:val="-12"/>
                <w:sz w:val="21"/>
              </w:rPr>
              <w:t>）</w:t>
            </w:r>
          </w:p>
        </w:tc>
        <w:tc>
          <w:tcPr>
            <w:tcW w:w="1081" w:type="dxa"/>
          </w:tcPr>
          <w:p>
            <w:pPr>
              <w:pStyle w:val="TableParagraph"/>
              <w:spacing w:before="1"/>
              <w:rPr>
                <w:b/>
                <w:sz w:val="26"/>
              </w:rPr>
            </w:pPr>
          </w:p>
          <w:p>
            <w:pPr>
              <w:pStyle w:val="TableParagraph"/>
              <w:ind w:right="-15"/>
              <w:jc w:val="right"/>
              <w:rPr>
                <w:sz w:val="21"/>
              </w:rPr>
            </w:pPr>
            <w:r>
              <w:rPr>
                <w:w w:val="100"/>
                <w:sz w:val="21"/>
              </w:rPr>
              <w:t>（</w:t>
            </w:r>
            <w:r>
              <w:rPr>
                <w:rFonts w:ascii="Times New Roman" w:eastAsia="Times New Roman"/>
                <w:spacing w:val="-3"/>
                <w:w w:val="100"/>
                <w:sz w:val="21"/>
              </w:rPr>
              <w:t>2</w:t>
            </w:r>
            <w:r>
              <w:rPr>
                <w:spacing w:val="-82"/>
                <w:w w:val="100"/>
                <w:sz w:val="21"/>
              </w:rPr>
              <w:t>）</w:t>
            </w:r>
            <w:r>
              <w:rPr>
                <w:spacing w:val="-204"/>
                <w:w w:val="100"/>
                <w:sz w:val="21"/>
              </w:rPr>
              <w:t>（</w:t>
            </w:r>
            <w:r>
              <w:rPr>
                <w:rFonts w:ascii="Times New Roman" w:eastAsia="Times New Roman"/>
                <w:w w:val="100"/>
                <w:sz w:val="21"/>
              </w:rPr>
              <w:t>-</w:t>
            </w:r>
            <w:r>
              <w:rPr>
                <w:rFonts w:ascii="Times New Roman" w:eastAsia="Times New Roman"/>
                <w:sz w:val="21"/>
              </w:rPr>
              <w:t>  </w:t>
            </w:r>
            <w:r>
              <w:rPr>
                <w:rFonts w:ascii="Times New Roman" w:eastAsia="Times New Roman"/>
                <w:spacing w:val="-24"/>
                <w:sz w:val="21"/>
              </w:rPr>
              <w:t> </w:t>
            </w:r>
            <w:r>
              <w:rPr>
                <w:rFonts w:ascii="Times New Roman" w:eastAsia="Times New Roman"/>
                <w:w w:val="100"/>
                <w:sz w:val="21"/>
              </w:rPr>
              <w:t>4</w:t>
            </w:r>
            <w:r>
              <w:rPr>
                <w:w w:val="100"/>
                <w:sz w:val="21"/>
              </w:rPr>
              <w:t>）</w:t>
            </w:r>
          </w:p>
        </w:tc>
      </w:tr>
      <w:tr>
        <w:trPr>
          <w:trHeight w:val="467" w:hRule="atLeast"/>
        </w:trPr>
        <w:tc>
          <w:tcPr>
            <w:tcW w:w="2160" w:type="dxa"/>
          </w:tcPr>
          <w:p>
            <w:pPr>
              <w:pStyle w:val="TableParagraph"/>
              <w:spacing w:before="99"/>
              <w:ind w:left="719" w:right="707"/>
              <w:jc w:val="center"/>
              <w:rPr>
                <w:sz w:val="21"/>
              </w:rPr>
            </w:pPr>
            <w:r>
              <w:rPr>
                <w:rFonts w:ascii="Times New Roman" w:eastAsia="Times New Roman"/>
                <w:sz w:val="21"/>
              </w:rPr>
              <w:t>2009 </w:t>
            </w:r>
            <w:r>
              <w:rPr>
                <w:sz w:val="21"/>
              </w:rPr>
              <w:t>年</w:t>
            </w:r>
          </w:p>
        </w:tc>
        <w:tc>
          <w:tcPr>
            <w:tcW w:w="1215" w:type="dxa"/>
          </w:tcPr>
          <w:p>
            <w:pPr>
              <w:pStyle w:val="TableParagraph"/>
              <w:spacing w:before="111"/>
              <w:ind w:right="92"/>
              <w:jc w:val="right"/>
              <w:rPr>
                <w:rFonts w:ascii="Times New Roman"/>
                <w:sz w:val="21"/>
              </w:rPr>
            </w:pPr>
            <w:r>
              <w:rPr>
                <w:rFonts w:ascii="Times New Roman"/>
                <w:sz w:val="21"/>
              </w:rPr>
              <w:t>53.25%</w:t>
            </w:r>
          </w:p>
        </w:tc>
        <w:tc>
          <w:tcPr>
            <w:tcW w:w="1277" w:type="dxa"/>
          </w:tcPr>
          <w:p>
            <w:pPr>
              <w:pStyle w:val="TableParagraph"/>
              <w:spacing w:before="111"/>
              <w:ind w:right="92"/>
              <w:jc w:val="right"/>
              <w:rPr>
                <w:rFonts w:ascii="Times New Roman"/>
                <w:sz w:val="21"/>
              </w:rPr>
            </w:pPr>
            <w:r>
              <w:rPr>
                <w:rFonts w:ascii="Times New Roman"/>
                <w:sz w:val="21"/>
              </w:rPr>
              <w:t>1.49%</w:t>
            </w:r>
          </w:p>
        </w:tc>
        <w:tc>
          <w:tcPr>
            <w:tcW w:w="1561" w:type="dxa"/>
          </w:tcPr>
          <w:p>
            <w:pPr>
              <w:pStyle w:val="TableParagraph"/>
              <w:spacing w:before="111"/>
              <w:ind w:right="93"/>
              <w:jc w:val="right"/>
              <w:rPr>
                <w:rFonts w:ascii="Times New Roman"/>
                <w:sz w:val="21"/>
              </w:rPr>
            </w:pPr>
            <w:r>
              <w:rPr>
                <w:rFonts w:ascii="Times New Roman"/>
                <w:sz w:val="21"/>
              </w:rPr>
              <w:t>64.78%</w:t>
            </w:r>
          </w:p>
        </w:tc>
        <w:tc>
          <w:tcPr>
            <w:tcW w:w="1275" w:type="dxa"/>
          </w:tcPr>
          <w:p>
            <w:pPr>
              <w:pStyle w:val="TableParagraph"/>
              <w:spacing w:before="111"/>
              <w:ind w:right="94"/>
              <w:jc w:val="right"/>
              <w:rPr>
                <w:rFonts w:ascii="Times New Roman"/>
                <w:sz w:val="21"/>
              </w:rPr>
            </w:pPr>
            <w:r>
              <w:rPr>
                <w:rFonts w:ascii="Times New Roman"/>
                <w:sz w:val="21"/>
              </w:rPr>
              <w:t>1.53%</w:t>
            </w:r>
          </w:p>
        </w:tc>
        <w:tc>
          <w:tcPr>
            <w:tcW w:w="1156" w:type="dxa"/>
          </w:tcPr>
          <w:p>
            <w:pPr>
              <w:pStyle w:val="TableParagraph"/>
              <w:spacing w:before="111"/>
              <w:ind w:left="328"/>
              <w:rPr>
                <w:rFonts w:ascii="Times New Roman"/>
                <w:sz w:val="21"/>
              </w:rPr>
            </w:pPr>
            <w:r>
              <w:rPr>
                <w:rFonts w:ascii="Times New Roman"/>
                <w:sz w:val="21"/>
              </w:rPr>
              <w:t>-11.53%</w:t>
            </w:r>
          </w:p>
        </w:tc>
        <w:tc>
          <w:tcPr>
            <w:tcW w:w="1081" w:type="dxa"/>
          </w:tcPr>
          <w:p>
            <w:pPr>
              <w:pStyle w:val="TableParagraph"/>
              <w:spacing w:before="111"/>
              <w:ind w:left="357"/>
              <w:rPr>
                <w:rFonts w:ascii="Times New Roman"/>
                <w:sz w:val="21"/>
              </w:rPr>
            </w:pPr>
            <w:r>
              <w:rPr>
                <w:rFonts w:ascii="Times New Roman"/>
                <w:sz w:val="21"/>
              </w:rPr>
              <w:t>-0.04%</w:t>
            </w:r>
          </w:p>
        </w:tc>
      </w:tr>
      <w:tr>
        <w:trPr>
          <w:trHeight w:val="467" w:hRule="atLeast"/>
        </w:trPr>
        <w:tc>
          <w:tcPr>
            <w:tcW w:w="2160" w:type="dxa"/>
          </w:tcPr>
          <w:p>
            <w:pPr>
              <w:pStyle w:val="TableParagraph"/>
              <w:spacing w:before="100"/>
              <w:ind w:left="719" w:right="707"/>
              <w:jc w:val="center"/>
              <w:rPr>
                <w:sz w:val="21"/>
              </w:rPr>
            </w:pPr>
            <w:r>
              <w:rPr>
                <w:rFonts w:ascii="Times New Roman" w:eastAsia="Times New Roman"/>
                <w:sz w:val="21"/>
              </w:rPr>
              <w:t>2010 </w:t>
            </w:r>
            <w:r>
              <w:rPr>
                <w:sz w:val="21"/>
              </w:rPr>
              <w:t>年</w:t>
            </w:r>
          </w:p>
        </w:tc>
        <w:tc>
          <w:tcPr>
            <w:tcW w:w="1215" w:type="dxa"/>
          </w:tcPr>
          <w:p>
            <w:pPr>
              <w:pStyle w:val="TableParagraph"/>
              <w:spacing w:before="111"/>
              <w:ind w:right="95"/>
              <w:jc w:val="right"/>
              <w:rPr>
                <w:rFonts w:ascii="Times New Roman"/>
                <w:sz w:val="21"/>
              </w:rPr>
            </w:pPr>
            <w:r>
              <w:rPr>
                <w:rFonts w:ascii="Times New Roman"/>
                <w:sz w:val="21"/>
              </w:rPr>
              <w:t>-1.09%</w:t>
            </w:r>
          </w:p>
        </w:tc>
        <w:tc>
          <w:tcPr>
            <w:tcW w:w="1277" w:type="dxa"/>
          </w:tcPr>
          <w:p>
            <w:pPr>
              <w:pStyle w:val="TableParagraph"/>
              <w:spacing w:before="111"/>
              <w:ind w:right="92"/>
              <w:jc w:val="right"/>
              <w:rPr>
                <w:rFonts w:ascii="Times New Roman"/>
                <w:sz w:val="21"/>
              </w:rPr>
            </w:pPr>
            <w:r>
              <w:rPr>
                <w:rFonts w:ascii="Times New Roman"/>
                <w:sz w:val="21"/>
              </w:rPr>
              <w:t>1.30%</w:t>
            </w:r>
          </w:p>
        </w:tc>
        <w:tc>
          <w:tcPr>
            <w:tcW w:w="1561" w:type="dxa"/>
          </w:tcPr>
          <w:p>
            <w:pPr>
              <w:pStyle w:val="TableParagraph"/>
              <w:spacing w:before="111"/>
              <w:ind w:right="95"/>
              <w:jc w:val="right"/>
              <w:rPr>
                <w:rFonts w:ascii="Times New Roman"/>
                <w:sz w:val="21"/>
              </w:rPr>
            </w:pPr>
            <w:r>
              <w:rPr>
                <w:rFonts w:ascii="Times New Roman"/>
                <w:sz w:val="21"/>
              </w:rPr>
              <w:t>-7.70%</w:t>
            </w:r>
          </w:p>
        </w:tc>
        <w:tc>
          <w:tcPr>
            <w:tcW w:w="1275" w:type="dxa"/>
          </w:tcPr>
          <w:p>
            <w:pPr>
              <w:pStyle w:val="TableParagraph"/>
              <w:spacing w:before="111"/>
              <w:ind w:right="94"/>
              <w:jc w:val="right"/>
              <w:rPr>
                <w:rFonts w:ascii="Times New Roman"/>
                <w:sz w:val="21"/>
              </w:rPr>
            </w:pPr>
            <w:r>
              <w:rPr>
                <w:rFonts w:ascii="Times New Roman"/>
                <w:sz w:val="21"/>
              </w:rPr>
              <w:t>1.15%</w:t>
            </w:r>
          </w:p>
        </w:tc>
        <w:tc>
          <w:tcPr>
            <w:tcW w:w="1156" w:type="dxa"/>
          </w:tcPr>
          <w:p>
            <w:pPr>
              <w:pStyle w:val="TableParagraph"/>
              <w:spacing w:before="111"/>
              <w:ind w:left="503"/>
              <w:rPr>
                <w:rFonts w:ascii="Times New Roman"/>
                <w:sz w:val="21"/>
              </w:rPr>
            </w:pPr>
            <w:r>
              <w:rPr>
                <w:rFonts w:ascii="Times New Roman"/>
                <w:sz w:val="21"/>
              </w:rPr>
              <w:t>6.61%</w:t>
            </w:r>
          </w:p>
        </w:tc>
        <w:tc>
          <w:tcPr>
            <w:tcW w:w="1081" w:type="dxa"/>
          </w:tcPr>
          <w:p>
            <w:pPr>
              <w:pStyle w:val="TableParagraph"/>
              <w:spacing w:before="111"/>
              <w:ind w:right="96"/>
              <w:jc w:val="right"/>
              <w:rPr>
                <w:rFonts w:ascii="Times New Roman"/>
                <w:sz w:val="21"/>
              </w:rPr>
            </w:pPr>
            <w:r>
              <w:rPr>
                <w:rFonts w:ascii="Times New Roman"/>
                <w:sz w:val="21"/>
              </w:rPr>
              <w:t>0.15%</w:t>
            </w:r>
          </w:p>
        </w:tc>
      </w:tr>
      <w:tr>
        <w:trPr>
          <w:trHeight w:val="470" w:hRule="atLeast"/>
        </w:trPr>
        <w:tc>
          <w:tcPr>
            <w:tcW w:w="2160" w:type="dxa"/>
          </w:tcPr>
          <w:p>
            <w:pPr>
              <w:pStyle w:val="TableParagraph"/>
              <w:spacing w:before="102"/>
              <w:ind w:left="719" w:right="707"/>
              <w:jc w:val="center"/>
              <w:rPr>
                <w:sz w:val="21"/>
              </w:rPr>
            </w:pPr>
            <w:r>
              <w:rPr>
                <w:rFonts w:ascii="Times New Roman" w:eastAsia="Times New Roman"/>
                <w:sz w:val="21"/>
              </w:rPr>
              <w:t>2011 </w:t>
            </w:r>
            <w:r>
              <w:rPr>
                <w:sz w:val="21"/>
              </w:rPr>
              <w:t>年</w:t>
            </w:r>
          </w:p>
        </w:tc>
        <w:tc>
          <w:tcPr>
            <w:tcW w:w="1215" w:type="dxa"/>
          </w:tcPr>
          <w:p>
            <w:pPr>
              <w:pStyle w:val="TableParagraph"/>
              <w:spacing w:before="113"/>
              <w:ind w:right="95"/>
              <w:jc w:val="right"/>
              <w:rPr>
                <w:rFonts w:ascii="Times New Roman"/>
                <w:sz w:val="21"/>
              </w:rPr>
            </w:pPr>
            <w:r>
              <w:rPr>
                <w:rFonts w:ascii="Times New Roman"/>
                <w:sz w:val="21"/>
              </w:rPr>
              <w:t>-19.82%</w:t>
            </w:r>
          </w:p>
        </w:tc>
        <w:tc>
          <w:tcPr>
            <w:tcW w:w="1277" w:type="dxa"/>
          </w:tcPr>
          <w:p>
            <w:pPr>
              <w:pStyle w:val="TableParagraph"/>
              <w:spacing w:before="113"/>
              <w:ind w:right="92"/>
              <w:jc w:val="right"/>
              <w:rPr>
                <w:rFonts w:ascii="Times New Roman"/>
                <w:sz w:val="21"/>
              </w:rPr>
            </w:pPr>
            <w:r>
              <w:rPr>
                <w:rFonts w:ascii="Times New Roman"/>
                <w:sz w:val="21"/>
              </w:rPr>
              <w:t>1.01%</w:t>
            </w:r>
          </w:p>
        </w:tc>
        <w:tc>
          <w:tcPr>
            <w:tcW w:w="1561" w:type="dxa"/>
          </w:tcPr>
          <w:p>
            <w:pPr>
              <w:pStyle w:val="TableParagraph"/>
              <w:spacing w:before="113"/>
              <w:ind w:right="95"/>
              <w:jc w:val="right"/>
              <w:rPr>
                <w:rFonts w:ascii="Times New Roman"/>
                <w:sz w:val="21"/>
              </w:rPr>
            </w:pPr>
            <w:r>
              <w:rPr>
                <w:rFonts w:ascii="Times New Roman"/>
                <w:sz w:val="21"/>
              </w:rPr>
              <w:t>-18.76%</w:t>
            </w:r>
          </w:p>
        </w:tc>
        <w:tc>
          <w:tcPr>
            <w:tcW w:w="1275" w:type="dxa"/>
          </w:tcPr>
          <w:p>
            <w:pPr>
              <w:pStyle w:val="TableParagraph"/>
              <w:spacing w:before="113"/>
              <w:ind w:right="94"/>
              <w:jc w:val="right"/>
              <w:rPr>
                <w:rFonts w:ascii="Times New Roman"/>
                <w:sz w:val="21"/>
              </w:rPr>
            </w:pPr>
            <w:r>
              <w:rPr>
                <w:rFonts w:ascii="Times New Roman"/>
                <w:sz w:val="21"/>
              </w:rPr>
              <w:t>0.96%</w:t>
            </w:r>
          </w:p>
        </w:tc>
        <w:tc>
          <w:tcPr>
            <w:tcW w:w="1156" w:type="dxa"/>
          </w:tcPr>
          <w:p>
            <w:pPr>
              <w:pStyle w:val="TableParagraph"/>
              <w:spacing w:before="113"/>
              <w:ind w:left="433"/>
              <w:rPr>
                <w:rFonts w:ascii="Times New Roman"/>
                <w:sz w:val="21"/>
              </w:rPr>
            </w:pPr>
            <w:r>
              <w:rPr>
                <w:rFonts w:ascii="Times New Roman"/>
                <w:sz w:val="21"/>
              </w:rPr>
              <w:t>-1.06%</w:t>
            </w:r>
          </w:p>
        </w:tc>
        <w:tc>
          <w:tcPr>
            <w:tcW w:w="1081" w:type="dxa"/>
          </w:tcPr>
          <w:p>
            <w:pPr>
              <w:pStyle w:val="TableParagraph"/>
              <w:spacing w:before="113"/>
              <w:ind w:right="96"/>
              <w:jc w:val="right"/>
              <w:rPr>
                <w:rFonts w:ascii="Times New Roman"/>
                <w:sz w:val="21"/>
              </w:rPr>
            </w:pPr>
            <w:r>
              <w:rPr>
                <w:rFonts w:ascii="Times New Roman"/>
                <w:sz w:val="21"/>
              </w:rPr>
              <w:t>0.05%</w:t>
            </w:r>
          </w:p>
        </w:tc>
      </w:tr>
      <w:tr>
        <w:trPr>
          <w:trHeight w:val="467" w:hRule="atLeast"/>
        </w:trPr>
        <w:tc>
          <w:tcPr>
            <w:tcW w:w="2160" w:type="dxa"/>
          </w:tcPr>
          <w:p>
            <w:pPr>
              <w:pStyle w:val="TableParagraph"/>
              <w:spacing w:before="99"/>
              <w:ind w:left="719" w:right="707"/>
              <w:jc w:val="center"/>
              <w:rPr>
                <w:sz w:val="21"/>
              </w:rPr>
            </w:pPr>
            <w:r>
              <w:rPr>
                <w:rFonts w:ascii="Times New Roman" w:eastAsia="Times New Roman"/>
                <w:sz w:val="21"/>
              </w:rPr>
              <w:t>2012 </w:t>
            </w:r>
            <w:r>
              <w:rPr>
                <w:sz w:val="21"/>
              </w:rPr>
              <w:t>年</w:t>
            </w:r>
          </w:p>
        </w:tc>
        <w:tc>
          <w:tcPr>
            <w:tcW w:w="1215" w:type="dxa"/>
          </w:tcPr>
          <w:p>
            <w:pPr>
              <w:pStyle w:val="TableParagraph"/>
              <w:spacing w:before="111"/>
              <w:ind w:right="92"/>
              <w:jc w:val="right"/>
              <w:rPr>
                <w:rFonts w:ascii="Times New Roman"/>
                <w:sz w:val="21"/>
              </w:rPr>
            </w:pPr>
            <w:r>
              <w:rPr>
                <w:rFonts w:ascii="Times New Roman"/>
                <w:sz w:val="21"/>
              </w:rPr>
              <w:t>14.29%</w:t>
            </w:r>
          </w:p>
        </w:tc>
        <w:tc>
          <w:tcPr>
            <w:tcW w:w="1277" w:type="dxa"/>
          </w:tcPr>
          <w:p>
            <w:pPr>
              <w:pStyle w:val="TableParagraph"/>
              <w:spacing w:before="111"/>
              <w:ind w:right="92"/>
              <w:jc w:val="right"/>
              <w:rPr>
                <w:rFonts w:ascii="Times New Roman"/>
                <w:sz w:val="21"/>
              </w:rPr>
            </w:pPr>
            <w:r>
              <w:rPr>
                <w:rFonts w:ascii="Times New Roman"/>
                <w:sz w:val="21"/>
              </w:rPr>
              <w:t>1.11%</w:t>
            </w:r>
          </w:p>
        </w:tc>
        <w:tc>
          <w:tcPr>
            <w:tcW w:w="1561" w:type="dxa"/>
          </w:tcPr>
          <w:p>
            <w:pPr>
              <w:pStyle w:val="TableParagraph"/>
              <w:spacing w:before="111"/>
              <w:ind w:right="93"/>
              <w:jc w:val="right"/>
              <w:rPr>
                <w:rFonts w:ascii="Times New Roman"/>
                <w:sz w:val="21"/>
              </w:rPr>
            </w:pPr>
            <w:r>
              <w:rPr>
                <w:rFonts w:ascii="Times New Roman"/>
                <w:sz w:val="21"/>
              </w:rPr>
              <w:t>3.07%</w:t>
            </w:r>
          </w:p>
        </w:tc>
        <w:tc>
          <w:tcPr>
            <w:tcW w:w="1275" w:type="dxa"/>
          </w:tcPr>
          <w:p>
            <w:pPr>
              <w:pStyle w:val="TableParagraph"/>
              <w:spacing w:before="111"/>
              <w:ind w:right="94"/>
              <w:jc w:val="right"/>
              <w:rPr>
                <w:rFonts w:ascii="Times New Roman"/>
                <w:sz w:val="21"/>
              </w:rPr>
            </w:pPr>
            <w:r>
              <w:rPr>
                <w:rFonts w:ascii="Times New Roman"/>
                <w:sz w:val="21"/>
              </w:rPr>
              <w:t>0.92%</w:t>
            </w:r>
          </w:p>
        </w:tc>
        <w:tc>
          <w:tcPr>
            <w:tcW w:w="1156" w:type="dxa"/>
          </w:tcPr>
          <w:p>
            <w:pPr>
              <w:pStyle w:val="TableParagraph"/>
              <w:spacing w:before="111"/>
              <w:ind w:left="405"/>
              <w:rPr>
                <w:rFonts w:ascii="Times New Roman"/>
                <w:sz w:val="21"/>
              </w:rPr>
            </w:pPr>
            <w:r>
              <w:rPr>
                <w:rFonts w:ascii="Times New Roman"/>
                <w:sz w:val="21"/>
              </w:rPr>
              <w:t>11.22%</w:t>
            </w:r>
          </w:p>
        </w:tc>
        <w:tc>
          <w:tcPr>
            <w:tcW w:w="1081" w:type="dxa"/>
          </w:tcPr>
          <w:p>
            <w:pPr>
              <w:pStyle w:val="TableParagraph"/>
              <w:spacing w:before="111"/>
              <w:ind w:right="96"/>
              <w:jc w:val="right"/>
              <w:rPr>
                <w:rFonts w:ascii="Times New Roman"/>
                <w:sz w:val="21"/>
              </w:rPr>
            </w:pPr>
            <w:r>
              <w:rPr>
                <w:rFonts w:ascii="Times New Roman"/>
                <w:sz w:val="21"/>
              </w:rPr>
              <w:t>0.19%</w:t>
            </w:r>
          </w:p>
        </w:tc>
      </w:tr>
      <w:tr>
        <w:trPr>
          <w:trHeight w:val="467" w:hRule="atLeast"/>
        </w:trPr>
        <w:tc>
          <w:tcPr>
            <w:tcW w:w="2160" w:type="dxa"/>
          </w:tcPr>
          <w:p>
            <w:pPr>
              <w:pStyle w:val="TableParagraph"/>
              <w:spacing w:before="99"/>
              <w:ind w:left="719" w:right="707"/>
              <w:jc w:val="center"/>
              <w:rPr>
                <w:sz w:val="21"/>
              </w:rPr>
            </w:pPr>
            <w:r>
              <w:rPr>
                <w:rFonts w:ascii="Times New Roman" w:eastAsia="Times New Roman"/>
                <w:sz w:val="21"/>
              </w:rPr>
              <w:t>2013 </w:t>
            </w:r>
            <w:r>
              <w:rPr>
                <w:sz w:val="21"/>
              </w:rPr>
              <w:t>年</w:t>
            </w:r>
          </w:p>
        </w:tc>
        <w:tc>
          <w:tcPr>
            <w:tcW w:w="1215" w:type="dxa"/>
          </w:tcPr>
          <w:p>
            <w:pPr>
              <w:pStyle w:val="TableParagraph"/>
              <w:spacing w:before="111"/>
              <w:ind w:right="92"/>
              <w:jc w:val="right"/>
              <w:rPr>
                <w:rFonts w:ascii="Times New Roman"/>
                <w:sz w:val="21"/>
              </w:rPr>
            </w:pPr>
            <w:r>
              <w:rPr>
                <w:rFonts w:ascii="Times New Roman"/>
                <w:sz w:val="21"/>
              </w:rPr>
              <w:t>39.69%</w:t>
            </w:r>
          </w:p>
        </w:tc>
        <w:tc>
          <w:tcPr>
            <w:tcW w:w="1277" w:type="dxa"/>
          </w:tcPr>
          <w:p>
            <w:pPr>
              <w:pStyle w:val="TableParagraph"/>
              <w:spacing w:before="111"/>
              <w:ind w:right="92"/>
              <w:jc w:val="right"/>
              <w:rPr>
                <w:rFonts w:ascii="Times New Roman"/>
                <w:sz w:val="21"/>
              </w:rPr>
            </w:pPr>
            <w:r>
              <w:rPr>
                <w:rFonts w:ascii="Times New Roman"/>
                <w:sz w:val="21"/>
              </w:rPr>
              <w:t>1.35%</w:t>
            </w:r>
          </w:p>
        </w:tc>
        <w:tc>
          <w:tcPr>
            <w:tcW w:w="1561" w:type="dxa"/>
          </w:tcPr>
          <w:p>
            <w:pPr>
              <w:pStyle w:val="TableParagraph"/>
              <w:spacing w:before="111"/>
              <w:ind w:right="95"/>
              <w:jc w:val="right"/>
              <w:rPr>
                <w:rFonts w:ascii="Times New Roman"/>
                <w:sz w:val="21"/>
              </w:rPr>
            </w:pPr>
            <w:r>
              <w:rPr>
                <w:rFonts w:ascii="Times New Roman"/>
                <w:sz w:val="21"/>
              </w:rPr>
              <w:t>-1.04%</w:t>
            </w:r>
          </w:p>
        </w:tc>
        <w:tc>
          <w:tcPr>
            <w:tcW w:w="1275" w:type="dxa"/>
          </w:tcPr>
          <w:p>
            <w:pPr>
              <w:pStyle w:val="TableParagraph"/>
              <w:spacing w:before="111"/>
              <w:ind w:right="94"/>
              <w:jc w:val="right"/>
              <w:rPr>
                <w:rFonts w:ascii="Times New Roman"/>
                <w:sz w:val="21"/>
              </w:rPr>
            </w:pPr>
            <w:r>
              <w:rPr>
                <w:rFonts w:ascii="Times New Roman"/>
                <w:sz w:val="21"/>
              </w:rPr>
              <w:t>0.94%</w:t>
            </w:r>
          </w:p>
        </w:tc>
        <w:tc>
          <w:tcPr>
            <w:tcW w:w="1156" w:type="dxa"/>
          </w:tcPr>
          <w:p>
            <w:pPr>
              <w:pStyle w:val="TableParagraph"/>
              <w:spacing w:before="111"/>
              <w:ind w:left="397"/>
              <w:rPr>
                <w:rFonts w:ascii="Times New Roman"/>
                <w:sz w:val="21"/>
              </w:rPr>
            </w:pPr>
            <w:r>
              <w:rPr>
                <w:rFonts w:ascii="Times New Roman"/>
                <w:sz w:val="21"/>
              </w:rPr>
              <w:t>40.73%</w:t>
            </w:r>
          </w:p>
        </w:tc>
        <w:tc>
          <w:tcPr>
            <w:tcW w:w="1081" w:type="dxa"/>
          </w:tcPr>
          <w:p>
            <w:pPr>
              <w:pStyle w:val="TableParagraph"/>
              <w:spacing w:before="111"/>
              <w:ind w:right="96"/>
              <w:jc w:val="right"/>
              <w:rPr>
                <w:rFonts w:ascii="Times New Roman"/>
                <w:sz w:val="21"/>
              </w:rPr>
            </w:pPr>
            <w:r>
              <w:rPr>
                <w:rFonts w:ascii="Times New Roman"/>
                <w:sz w:val="21"/>
              </w:rPr>
              <w:t>0.41%</w:t>
            </w:r>
          </w:p>
        </w:tc>
      </w:tr>
      <w:tr>
        <w:trPr>
          <w:trHeight w:val="467" w:hRule="atLeast"/>
        </w:trPr>
        <w:tc>
          <w:tcPr>
            <w:tcW w:w="2160" w:type="dxa"/>
          </w:tcPr>
          <w:p>
            <w:pPr>
              <w:pStyle w:val="TableParagraph"/>
              <w:spacing w:before="99"/>
              <w:ind w:left="719" w:right="707"/>
              <w:jc w:val="center"/>
              <w:rPr>
                <w:sz w:val="21"/>
              </w:rPr>
            </w:pPr>
            <w:r>
              <w:rPr>
                <w:rFonts w:ascii="Times New Roman" w:eastAsia="Times New Roman"/>
                <w:sz w:val="21"/>
              </w:rPr>
              <w:t>2014 </w:t>
            </w:r>
            <w:r>
              <w:rPr>
                <w:sz w:val="21"/>
              </w:rPr>
              <w:t>年</w:t>
            </w:r>
          </w:p>
        </w:tc>
        <w:tc>
          <w:tcPr>
            <w:tcW w:w="1215" w:type="dxa"/>
          </w:tcPr>
          <w:p>
            <w:pPr>
              <w:pStyle w:val="TableParagraph"/>
              <w:spacing w:before="111"/>
              <w:ind w:right="92"/>
              <w:jc w:val="right"/>
              <w:rPr>
                <w:rFonts w:ascii="Times New Roman"/>
                <w:sz w:val="21"/>
              </w:rPr>
            </w:pPr>
            <w:r>
              <w:rPr>
                <w:rFonts w:ascii="Times New Roman"/>
                <w:sz w:val="21"/>
              </w:rPr>
              <w:t>9.40%</w:t>
            </w:r>
          </w:p>
        </w:tc>
        <w:tc>
          <w:tcPr>
            <w:tcW w:w="1277" w:type="dxa"/>
          </w:tcPr>
          <w:p>
            <w:pPr>
              <w:pStyle w:val="TableParagraph"/>
              <w:spacing w:before="111"/>
              <w:ind w:right="92"/>
              <w:jc w:val="right"/>
              <w:rPr>
                <w:rFonts w:ascii="Times New Roman"/>
                <w:sz w:val="21"/>
              </w:rPr>
            </w:pPr>
            <w:r>
              <w:rPr>
                <w:rFonts w:ascii="Times New Roman"/>
                <w:sz w:val="21"/>
              </w:rPr>
              <w:t>1.17%</w:t>
            </w:r>
          </w:p>
        </w:tc>
        <w:tc>
          <w:tcPr>
            <w:tcW w:w="1561" w:type="dxa"/>
          </w:tcPr>
          <w:p>
            <w:pPr>
              <w:pStyle w:val="TableParagraph"/>
              <w:spacing w:before="111"/>
              <w:ind w:right="93"/>
              <w:jc w:val="right"/>
              <w:rPr>
                <w:rFonts w:ascii="Times New Roman"/>
                <w:sz w:val="21"/>
              </w:rPr>
            </w:pPr>
            <w:r>
              <w:rPr>
                <w:rFonts w:ascii="Times New Roman"/>
                <w:sz w:val="21"/>
              </w:rPr>
              <w:t>39.95%</w:t>
            </w:r>
          </w:p>
        </w:tc>
        <w:tc>
          <w:tcPr>
            <w:tcW w:w="1275" w:type="dxa"/>
          </w:tcPr>
          <w:p>
            <w:pPr>
              <w:pStyle w:val="TableParagraph"/>
              <w:spacing w:before="111"/>
              <w:ind w:right="94"/>
              <w:jc w:val="right"/>
              <w:rPr>
                <w:rFonts w:ascii="Times New Roman"/>
                <w:sz w:val="21"/>
              </w:rPr>
            </w:pPr>
            <w:r>
              <w:rPr>
                <w:rFonts w:ascii="Times New Roman"/>
                <w:sz w:val="21"/>
              </w:rPr>
              <w:t>0.84%</w:t>
            </w:r>
          </w:p>
        </w:tc>
        <w:tc>
          <w:tcPr>
            <w:tcW w:w="1156" w:type="dxa"/>
          </w:tcPr>
          <w:p>
            <w:pPr>
              <w:pStyle w:val="TableParagraph"/>
              <w:spacing w:before="111"/>
              <w:ind w:left="328"/>
              <w:rPr>
                <w:rFonts w:ascii="Times New Roman"/>
                <w:sz w:val="21"/>
              </w:rPr>
            </w:pPr>
            <w:r>
              <w:rPr>
                <w:rFonts w:ascii="Times New Roman"/>
                <w:sz w:val="21"/>
              </w:rPr>
              <w:t>-30.55%</w:t>
            </w:r>
          </w:p>
        </w:tc>
        <w:tc>
          <w:tcPr>
            <w:tcW w:w="1081" w:type="dxa"/>
          </w:tcPr>
          <w:p>
            <w:pPr>
              <w:pStyle w:val="TableParagraph"/>
              <w:spacing w:before="111"/>
              <w:ind w:right="96"/>
              <w:jc w:val="right"/>
              <w:rPr>
                <w:rFonts w:ascii="Times New Roman"/>
                <w:sz w:val="21"/>
              </w:rPr>
            </w:pPr>
            <w:r>
              <w:rPr>
                <w:rFonts w:ascii="Times New Roman"/>
                <w:sz w:val="21"/>
              </w:rPr>
              <w:t>0.33%</w:t>
            </w:r>
          </w:p>
        </w:tc>
      </w:tr>
      <w:tr>
        <w:trPr>
          <w:trHeight w:val="467" w:hRule="atLeast"/>
        </w:trPr>
        <w:tc>
          <w:tcPr>
            <w:tcW w:w="2160" w:type="dxa"/>
          </w:tcPr>
          <w:p>
            <w:pPr>
              <w:pStyle w:val="TableParagraph"/>
              <w:spacing w:before="145"/>
              <w:ind w:left="719" w:right="707"/>
              <w:jc w:val="center"/>
              <w:rPr>
                <w:sz w:val="21"/>
              </w:rPr>
            </w:pPr>
            <w:r>
              <w:rPr>
                <w:rFonts w:ascii="Times New Roman" w:eastAsia="Times New Roman"/>
                <w:sz w:val="21"/>
              </w:rPr>
              <w:t>2015 </w:t>
            </w:r>
            <w:r>
              <w:rPr>
                <w:sz w:val="21"/>
              </w:rPr>
              <w:t>年</w:t>
            </w:r>
          </w:p>
        </w:tc>
        <w:tc>
          <w:tcPr>
            <w:tcW w:w="1215" w:type="dxa"/>
          </w:tcPr>
          <w:p>
            <w:pPr>
              <w:pStyle w:val="TableParagraph"/>
              <w:spacing w:before="111"/>
              <w:ind w:right="92"/>
              <w:jc w:val="right"/>
              <w:rPr>
                <w:rFonts w:ascii="Times New Roman"/>
                <w:sz w:val="21"/>
              </w:rPr>
            </w:pPr>
            <w:r>
              <w:rPr>
                <w:rFonts w:ascii="Times New Roman"/>
                <w:sz w:val="21"/>
              </w:rPr>
              <w:t>61.02%</w:t>
            </w:r>
          </w:p>
        </w:tc>
        <w:tc>
          <w:tcPr>
            <w:tcW w:w="1277" w:type="dxa"/>
          </w:tcPr>
          <w:p>
            <w:pPr>
              <w:pStyle w:val="TableParagraph"/>
              <w:spacing w:before="111"/>
              <w:ind w:right="92"/>
              <w:jc w:val="right"/>
              <w:rPr>
                <w:rFonts w:ascii="Times New Roman"/>
                <w:sz w:val="21"/>
              </w:rPr>
            </w:pPr>
            <w:r>
              <w:rPr>
                <w:rFonts w:ascii="Times New Roman"/>
                <w:sz w:val="21"/>
              </w:rPr>
              <w:t>2.67%</w:t>
            </w:r>
          </w:p>
        </w:tc>
        <w:tc>
          <w:tcPr>
            <w:tcW w:w="1561" w:type="dxa"/>
          </w:tcPr>
          <w:p>
            <w:pPr>
              <w:pStyle w:val="TableParagraph"/>
              <w:spacing w:before="111"/>
              <w:ind w:right="93"/>
              <w:jc w:val="right"/>
              <w:rPr>
                <w:rFonts w:ascii="Times New Roman"/>
                <w:sz w:val="21"/>
              </w:rPr>
            </w:pPr>
            <w:r>
              <w:rPr>
                <w:rFonts w:ascii="Times New Roman"/>
                <w:sz w:val="21"/>
              </w:rPr>
              <w:t>20.58%</w:t>
            </w:r>
          </w:p>
        </w:tc>
        <w:tc>
          <w:tcPr>
            <w:tcW w:w="1275" w:type="dxa"/>
          </w:tcPr>
          <w:p>
            <w:pPr>
              <w:pStyle w:val="TableParagraph"/>
              <w:spacing w:before="111"/>
              <w:ind w:right="94"/>
              <w:jc w:val="right"/>
              <w:rPr>
                <w:rFonts w:ascii="Times New Roman"/>
                <w:sz w:val="21"/>
              </w:rPr>
            </w:pPr>
            <w:r>
              <w:rPr>
                <w:rFonts w:ascii="Times New Roman"/>
                <w:sz w:val="21"/>
              </w:rPr>
              <w:t>1.95%</w:t>
            </w:r>
          </w:p>
        </w:tc>
        <w:tc>
          <w:tcPr>
            <w:tcW w:w="1156" w:type="dxa"/>
          </w:tcPr>
          <w:p>
            <w:pPr>
              <w:pStyle w:val="TableParagraph"/>
              <w:spacing w:before="111"/>
              <w:ind w:left="397"/>
              <w:rPr>
                <w:rFonts w:ascii="Times New Roman"/>
                <w:sz w:val="21"/>
              </w:rPr>
            </w:pPr>
            <w:r>
              <w:rPr>
                <w:rFonts w:ascii="Times New Roman"/>
                <w:sz w:val="21"/>
              </w:rPr>
              <w:t>40.44%</w:t>
            </w:r>
          </w:p>
        </w:tc>
        <w:tc>
          <w:tcPr>
            <w:tcW w:w="1081" w:type="dxa"/>
          </w:tcPr>
          <w:p>
            <w:pPr>
              <w:pStyle w:val="TableParagraph"/>
              <w:spacing w:before="111"/>
              <w:ind w:right="96"/>
              <w:jc w:val="right"/>
              <w:rPr>
                <w:rFonts w:ascii="Times New Roman"/>
                <w:sz w:val="21"/>
              </w:rPr>
            </w:pPr>
            <w:r>
              <w:rPr>
                <w:rFonts w:ascii="Times New Roman"/>
                <w:sz w:val="21"/>
              </w:rPr>
              <w:t>0.72%</w:t>
            </w:r>
          </w:p>
        </w:tc>
      </w:tr>
      <w:tr>
        <w:trPr>
          <w:trHeight w:val="467" w:hRule="atLeast"/>
        </w:trPr>
        <w:tc>
          <w:tcPr>
            <w:tcW w:w="2160" w:type="dxa"/>
          </w:tcPr>
          <w:p>
            <w:pPr>
              <w:pStyle w:val="TableParagraph"/>
              <w:spacing w:before="145"/>
              <w:ind w:left="719" w:right="707"/>
              <w:jc w:val="center"/>
              <w:rPr>
                <w:sz w:val="21"/>
              </w:rPr>
            </w:pPr>
            <w:r>
              <w:rPr>
                <w:rFonts w:ascii="Times New Roman" w:eastAsia="Times New Roman"/>
                <w:sz w:val="21"/>
              </w:rPr>
              <w:t>2016 </w:t>
            </w:r>
            <w:r>
              <w:rPr>
                <w:sz w:val="21"/>
              </w:rPr>
              <w:t>年</w:t>
            </w:r>
          </w:p>
        </w:tc>
        <w:tc>
          <w:tcPr>
            <w:tcW w:w="1215" w:type="dxa"/>
          </w:tcPr>
          <w:p>
            <w:pPr>
              <w:pStyle w:val="TableParagraph"/>
              <w:spacing w:before="111"/>
              <w:ind w:right="95"/>
              <w:jc w:val="right"/>
              <w:rPr>
                <w:rFonts w:ascii="Times New Roman"/>
                <w:sz w:val="21"/>
              </w:rPr>
            </w:pPr>
            <w:r>
              <w:rPr>
                <w:rFonts w:ascii="Times New Roman"/>
                <w:sz w:val="21"/>
              </w:rPr>
              <w:t>-8.28%</w:t>
            </w:r>
          </w:p>
        </w:tc>
        <w:tc>
          <w:tcPr>
            <w:tcW w:w="1277" w:type="dxa"/>
          </w:tcPr>
          <w:p>
            <w:pPr>
              <w:pStyle w:val="TableParagraph"/>
              <w:spacing w:before="111"/>
              <w:ind w:right="92"/>
              <w:jc w:val="right"/>
              <w:rPr>
                <w:rFonts w:ascii="Times New Roman"/>
                <w:sz w:val="21"/>
              </w:rPr>
            </w:pPr>
            <w:r>
              <w:rPr>
                <w:rFonts w:ascii="Times New Roman"/>
                <w:sz w:val="21"/>
              </w:rPr>
              <w:t>1.70%</w:t>
            </w:r>
          </w:p>
        </w:tc>
        <w:tc>
          <w:tcPr>
            <w:tcW w:w="1561" w:type="dxa"/>
          </w:tcPr>
          <w:p>
            <w:pPr>
              <w:pStyle w:val="TableParagraph"/>
              <w:spacing w:before="111"/>
              <w:ind w:right="95"/>
              <w:jc w:val="right"/>
              <w:rPr>
                <w:rFonts w:ascii="Times New Roman"/>
                <w:sz w:val="21"/>
              </w:rPr>
            </w:pPr>
            <w:r>
              <w:rPr>
                <w:rFonts w:ascii="Times New Roman"/>
                <w:sz w:val="21"/>
              </w:rPr>
              <w:t>-9.90%</w:t>
            </w:r>
          </w:p>
        </w:tc>
        <w:tc>
          <w:tcPr>
            <w:tcW w:w="1275" w:type="dxa"/>
          </w:tcPr>
          <w:p>
            <w:pPr>
              <w:pStyle w:val="TableParagraph"/>
              <w:spacing w:before="111"/>
              <w:ind w:right="94"/>
              <w:jc w:val="right"/>
              <w:rPr>
                <w:rFonts w:ascii="Times New Roman"/>
                <w:sz w:val="21"/>
              </w:rPr>
            </w:pPr>
            <w:r>
              <w:rPr>
                <w:rFonts w:ascii="Times New Roman"/>
                <w:sz w:val="21"/>
              </w:rPr>
              <w:t>1.25%</w:t>
            </w:r>
          </w:p>
        </w:tc>
        <w:tc>
          <w:tcPr>
            <w:tcW w:w="1156" w:type="dxa"/>
          </w:tcPr>
          <w:p>
            <w:pPr>
              <w:pStyle w:val="TableParagraph"/>
              <w:spacing w:before="111"/>
              <w:ind w:left="397"/>
              <w:rPr>
                <w:rFonts w:ascii="Times New Roman"/>
                <w:sz w:val="21"/>
              </w:rPr>
            </w:pPr>
            <w:r>
              <w:rPr>
                <w:rFonts w:ascii="Times New Roman"/>
                <w:sz w:val="21"/>
              </w:rPr>
              <w:t>1.62%</w:t>
            </w:r>
          </w:p>
        </w:tc>
        <w:tc>
          <w:tcPr>
            <w:tcW w:w="1081" w:type="dxa"/>
          </w:tcPr>
          <w:p>
            <w:pPr>
              <w:pStyle w:val="TableParagraph"/>
              <w:spacing w:before="111"/>
              <w:ind w:right="96"/>
              <w:jc w:val="right"/>
              <w:rPr>
                <w:rFonts w:ascii="Times New Roman"/>
                <w:sz w:val="21"/>
              </w:rPr>
            </w:pPr>
            <w:r>
              <w:rPr>
                <w:rFonts w:ascii="Times New Roman"/>
                <w:sz w:val="21"/>
              </w:rPr>
              <w:t>0.45%</w:t>
            </w:r>
          </w:p>
        </w:tc>
      </w:tr>
      <w:tr>
        <w:trPr>
          <w:trHeight w:val="470" w:hRule="atLeast"/>
        </w:trPr>
        <w:tc>
          <w:tcPr>
            <w:tcW w:w="2160" w:type="dxa"/>
          </w:tcPr>
          <w:p>
            <w:pPr>
              <w:pStyle w:val="TableParagraph"/>
              <w:spacing w:before="145"/>
              <w:ind w:left="719" w:right="707"/>
              <w:jc w:val="center"/>
              <w:rPr>
                <w:sz w:val="21"/>
              </w:rPr>
            </w:pPr>
            <w:r>
              <w:rPr>
                <w:rFonts w:ascii="Times New Roman" w:eastAsia="Times New Roman"/>
                <w:sz w:val="21"/>
              </w:rPr>
              <w:t>2017 </w:t>
            </w:r>
            <w:r>
              <w:rPr>
                <w:sz w:val="21"/>
              </w:rPr>
              <w:t>年</w:t>
            </w:r>
          </w:p>
        </w:tc>
        <w:tc>
          <w:tcPr>
            <w:tcW w:w="1215" w:type="dxa"/>
          </w:tcPr>
          <w:p>
            <w:pPr>
              <w:pStyle w:val="TableParagraph"/>
              <w:spacing w:before="114"/>
              <w:ind w:right="92"/>
              <w:jc w:val="right"/>
              <w:rPr>
                <w:rFonts w:ascii="Times New Roman"/>
                <w:sz w:val="21"/>
              </w:rPr>
            </w:pPr>
            <w:r>
              <w:rPr>
                <w:rFonts w:ascii="Times New Roman"/>
                <w:sz w:val="21"/>
              </w:rPr>
              <w:t>27.72%</w:t>
            </w:r>
          </w:p>
        </w:tc>
        <w:tc>
          <w:tcPr>
            <w:tcW w:w="1277" w:type="dxa"/>
          </w:tcPr>
          <w:p>
            <w:pPr>
              <w:pStyle w:val="TableParagraph"/>
              <w:spacing w:before="114"/>
              <w:ind w:right="92"/>
              <w:jc w:val="right"/>
              <w:rPr>
                <w:rFonts w:ascii="Times New Roman"/>
                <w:sz w:val="21"/>
              </w:rPr>
            </w:pPr>
            <w:r>
              <w:rPr>
                <w:rFonts w:ascii="Times New Roman"/>
                <w:sz w:val="21"/>
              </w:rPr>
              <w:t>0.84%</w:t>
            </w:r>
          </w:p>
        </w:tc>
        <w:tc>
          <w:tcPr>
            <w:tcW w:w="1561" w:type="dxa"/>
          </w:tcPr>
          <w:p>
            <w:pPr>
              <w:pStyle w:val="TableParagraph"/>
              <w:spacing w:before="114"/>
              <w:ind w:right="93"/>
              <w:jc w:val="right"/>
              <w:rPr>
                <w:rFonts w:ascii="Times New Roman"/>
                <w:sz w:val="21"/>
              </w:rPr>
            </w:pPr>
            <w:r>
              <w:rPr>
                <w:rFonts w:ascii="Times New Roman"/>
                <w:sz w:val="21"/>
              </w:rPr>
              <w:t>6.43%</w:t>
            </w:r>
          </w:p>
        </w:tc>
        <w:tc>
          <w:tcPr>
            <w:tcW w:w="1275" w:type="dxa"/>
          </w:tcPr>
          <w:p>
            <w:pPr>
              <w:pStyle w:val="TableParagraph"/>
              <w:spacing w:before="114"/>
              <w:ind w:right="94"/>
              <w:jc w:val="right"/>
              <w:rPr>
                <w:rFonts w:ascii="Times New Roman"/>
                <w:sz w:val="21"/>
              </w:rPr>
            </w:pPr>
            <w:r>
              <w:rPr>
                <w:rFonts w:ascii="Times New Roman"/>
                <w:sz w:val="21"/>
              </w:rPr>
              <w:t>0.52%</w:t>
            </w:r>
          </w:p>
        </w:tc>
        <w:tc>
          <w:tcPr>
            <w:tcW w:w="1156" w:type="dxa"/>
          </w:tcPr>
          <w:p>
            <w:pPr>
              <w:pStyle w:val="TableParagraph"/>
              <w:spacing w:before="114"/>
              <w:ind w:left="397"/>
              <w:rPr>
                <w:rFonts w:ascii="Times New Roman"/>
                <w:sz w:val="21"/>
              </w:rPr>
            </w:pPr>
            <w:r>
              <w:rPr>
                <w:rFonts w:ascii="Times New Roman"/>
                <w:sz w:val="21"/>
              </w:rPr>
              <w:t>21.29%</w:t>
            </w:r>
          </w:p>
        </w:tc>
        <w:tc>
          <w:tcPr>
            <w:tcW w:w="1081" w:type="dxa"/>
          </w:tcPr>
          <w:p>
            <w:pPr>
              <w:pStyle w:val="TableParagraph"/>
              <w:spacing w:before="114"/>
              <w:ind w:right="96"/>
              <w:jc w:val="right"/>
              <w:rPr>
                <w:rFonts w:ascii="Times New Roman"/>
                <w:sz w:val="21"/>
              </w:rPr>
            </w:pPr>
            <w:r>
              <w:rPr>
                <w:rFonts w:ascii="Times New Roman"/>
                <w:sz w:val="21"/>
              </w:rPr>
              <w:t>0.32%</w:t>
            </w:r>
          </w:p>
        </w:tc>
      </w:tr>
      <w:tr>
        <w:trPr>
          <w:trHeight w:val="467" w:hRule="atLeast"/>
        </w:trPr>
        <w:tc>
          <w:tcPr>
            <w:tcW w:w="2160" w:type="dxa"/>
          </w:tcPr>
          <w:p>
            <w:pPr>
              <w:pStyle w:val="TableParagraph"/>
              <w:spacing w:before="142"/>
              <w:ind w:left="719" w:right="707"/>
              <w:jc w:val="center"/>
              <w:rPr>
                <w:sz w:val="21"/>
              </w:rPr>
            </w:pPr>
            <w:r>
              <w:rPr>
                <w:rFonts w:ascii="Times New Roman" w:eastAsia="Times New Roman"/>
                <w:sz w:val="21"/>
              </w:rPr>
              <w:t>2018 </w:t>
            </w:r>
            <w:r>
              <w:rPr>
                <w:sz w:val="21"/>
              </w:rPr>
              <w:t>年</w:t>
            </w:r>
          </w:p>
        </w:tc>
        <w:tc>
          <w:tcPr>
            <w:tcW w:w="1215" w:type="dxa"/>
          </w:tcPr>
          <w:p>
            <w:pPr>
              <w:pStyle w:val="TableParagraph"/>
              <w:spacing w:before="111"/>
              <w:ind w:right="95"/>
              <w:jc w:val="right"/>
              <w:rPr>
                <w:rFonts w:ascii="Times New Roman"/>
                <w:sz w:val="21"/>
              </w:rPr>
            </w:pPr>
            <w:r>
              <w:rPr>
                <w:rFonts w:ascii="Times New Roman"/>
                <w:sz w:val="21"/>
              </w:rPr>
              <w:t>-19.64%</w:t>
            </w:r>
          </w:p>
        </w:tc>
        <w:tc>
          <w:tcPr>
            <w:tcW w:w="1277" w:type="dxa"/>
          </w:tcPr>
          <w:p>
            <w:pPr>
              <w:pStyle w:val="TableParagraph"/>
              <w:spacing w:before="111"/>
              <w:ind w:right="92"/>
              <w:jc w:val="right"/>
              <w:rPr>
                <w:rFonts w:ascii="Times New Roman"/>
                <w:sz w:val="21"/>
              </w:rPr>
            </w:pPr>
            <w:r>
              <w:rPr>
                <w:rFonts w:ascii="Times New Roman"/>
                <w:sz w:val="21"/>
              </w:rPr>
              <w:t>1.29%</w:t>
            </w:r>
          </w:p>
        </w:tc>
        <w:tc>
          <w:tcPr>
            <w:tcW w:w="1561" w:type="dxa"/>
          </w:tcPr>
          <w:p>
            <w:pPr>
              <w:pStyle w:val="TableParagraph"/>
              <w:spacing w:before="111"/>
              <w:ind w:right="95"/>
              <w:jc w:val="right"/>
              <w:rPr>
                <w:rFonts w:ascii="Times New Roman"/>
                <w:sz w:val="21"/>
              </w:rPr>
            </w:pPr>
            <w:r>
              <w:rPr>
                <w:rFonts w:ascii="Times New Roman"/>
                <w:sz w:val="21"/>
              </w:rPr>
              <w:t>-20.85%</w:t>
            </w:r>
          </w:p>
        </w:tc>
        <w:tc>
          <w:tcPr>
            <w:tcW w:w="1275" w:type="dxa"/>
          </w:tcPr>
          <w:p>
            <w:pPr>
              <w:pStyle w:val="TableParagraph"/>
              <w:spacing w:before="111"/>
              <w:ind w:right="94"/>
              <w:jc w:val="right"/>
              <w:rPr>
                <w:rFonts w:ascii="Times New Roman"/>
                <w:sz w:val="21"/>
              </w:rPr>
            </w:pPr>
            <w:r>
              <w:rPr>
                <w:rFonts w:ascii="Times New Roman"/>
                <w:sz w:val="21"/>
              </w:rPr>
              <w:t>1.07%</w:t>
            </w:r>
          </w:p>
        </w:tc>
        <w:tc>
          <w:tcPr>
            <w:tcW w:w="1156" w:type="dxa"/>
          </w:tcPr>
          <w:p>
            <w:pPr>
              <w:pStyle w:val="TableParagraph"/>
              <w:spacing w:before="111"/>
              <w:ind w:left="503"/>
              <w:rPr>
                <w:rFonts w:ascii="Times New Roman"/>
                <w:sz w:val="21"/>
              </w:rPr>
            </w:pPr>
            <w:r>
              <w:rPr>
                <w:rFonts w:ascii="Times New Roman"/>
                <w:sz w:val="21"/>
              </w:rPr>
              <w:t>1.21%</w:t>
            </w:r>
          </w:p>
        </w:tc>
        <w:tc>
          <w:tcPr>
            <w:tcW w:w="1081" w:type="dxa"/>
          </w:tcPr>
          <w:p>
            <w:pPr>
              <w:pStyle w:val="TableParagraph"/>
              <w:spacing w:before="111"/>
              <w:ind w:right="96"/>
              <w:jc w:val="right"/>
              <w:rPr>
                <w:rFonts w:ascii="Times New Roman"/>
                <w:sz w:val="21"/>
              </w:rPr>
            </w:pPr>
            <w:r>
              <w:rPr>
                <w:rFonts w:ascii="Times New Roman"/>
                <w:sz w:val="21"/>
              </w:rPr>
              <w:t>0.22%</w:t>
            </w:r>
          </w:p>
        </w:tc>
      </w:tr>
      <w:tr>
        <w:trPr>
          <w:trHeight w:val="623" w:hRule="atLeast"/>
        </w:trPr>
        <w:tc>
          <w:tcPr>
            <w:tcW w:w="2160" w:type="dxa"/>
          </w:tcPr>
          <w:p>
            <w:pPr>
              <w:pStyle w:val="TableParagraph"/>
              <w:spacing w:before="22"/>
              <w:ind w:left="213"/>
              <w:rPr>
                <w:sz w:val="21"/>
              </w:rPr>
            </w:pPr>
            <w:r>
              <w:rPr>
                <w:rFonts w:ascii="Times New Roman" w:eastAsia="Times New Roman"/>
                <w:sz w:val="21"/>
              </w:rPr>
              <w:t>2019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w:t>
            </w:r>
          </w:p>
          <w:p>
            <w:pPr>
              <w:pStyle w:val="TableParagraph"/>
              <w:spacing w:before="43"/>
              <w:ind w:left="266"/>
              <w:rPr>
                <w:sz w:val="21"/>
              </w:rPr>
            </w:pPr>
            <w:r>
              <w:rPr>
                <w:rFonts w:ascii="Times New Roman" w:eastAsia="Times New Roman"/>
                <w:sz w:val="21"/>
              </w:rPr>
              <w:t>2019 </w:t>
            </w:r>
            <w:r>
              <w:rPr>
                <w:sz w:val="21"/>
              </w:rPr>
              <w:t>年 </w:t>
            </w:r>
            <w:r>
              <w:rPr>
                <w:rFonts w:ascii="Times New Roman" w:eastAsia="Times New Roman"/>
                <w:sz w:val="21"/>
              </w:rPr>
              <w:t>6 </w:t>
            </w:r>
            <w:r>
              <w:rPr>
                <w:sz w:val="21"/>
              </w:rPr>
              <w:t>月 </w:t>
            </w:r>
            <w:r>
              <w:rPr>
                <w:rFonts w:ascii="Times New Roman" w:eastAsia="Times New Roman"/>
                <w:sz w:val="21"/>
              </w:rPr>
              <w:t>30 </w:t>
            </w:r>
            <w:r>
              <w:rPr>
                <w:sz w:val="21"/>
              </w:rPr>
              <w:t>日</w:t>
            </w:r>
          </w:p>
        </w:tc>
        <w:tc>
          <w:tcPr>
            <w:tcW w:w="1215" w:type="dxa"/>
          </w:tcPr>
          <w:p>
            <w:pPr>
              <w:pStyle w:val="TableParagraph"/>
              <w:spacing w:before="190"/>
              <w:ind w:right="92"/>
              <w:jc w:val="right"/>
              <w:rPr>
                <w:rFonts w:ascii="Times New Roman"/>
                <w:sz w:val="21"/>
              </w:rPr>
            </w:pPr>
            <w:r>
              <w:rPr>
                <w:rFonts w:ascii="Times New Roman"/>
                <w:sz w:val="21"/>
              </w:rPr>
              <w:t>20.40%</w:t>
            </w:r>
          </w:p>
        </w:tc>
        <w:tc>
          <w:tcPr>
            <w:tcW w:w="1277" w:type="dxa"/>
          </w:tcPr>
          <w:p>
            <w:pPr>
              <w:pStyle w:val="TableParagraph"/>
              <w:spacing w:before="190"/>
              <w:ind w:right="92"/>
              <w:jc w:val="right"/>
              <w:rPr>
                <w:rFonts w:ascii="Times New Roman"/>
                <w:sz w:val="21"/>
              </w:rPr>
            </w:pPr>
            <w:r>
              <w:rPr>
                <w:rFonts w:ascii="Times New Roman"/>
                <w:sz w:val="21"/>
              </w:rPr>
              <w:t>1.37%</w:t>
            </w:r>
          </w:p>
        </w:tc>
        <w:tc>
          <w:tcPr>
            <w:tcW w:w="1561" w:type="dxa"/>
          </w:tcPr>
          <w:p>
            <w:pPr>
              <w:pStyle w:val="TableParagraph"/>
              <w:spacing w:before="190"/>
              <w:ind w:right="93"/>
              <w:jc w:val="right"/>
              <w:rPr>
                <w:rFonts w:ascii="Times New Roman"/>
                <w:sz w:val="21"/>
              </w:rPr>
            </w:pPr>
            <w:r>
              <w:rPr>
                <w:rFonts w:ascii="Times New Roman"/>
                <w:sz w:val="21"/>
              </w:rPr>
              <w:t>20.23%</w:t>
            </w:r>
          </w:p>
        </w:tc>
        <w:tc>
          <w:tcPr>
            <w:tcW w:w="1275" w:type="dxa"/>
          </w:tcPr>
          <w:p>
            <w:pPr>
              <w:pStyle w:val="TableParagraph"/>
              <w:spacing w:before="190"/>
              <w:ind w:right="94"/>
              <w:jc w:val="right"/>
              <w:rPr>
                <w:rFonts w:ascii="Times New Roman"/>
                <w:sz w:val="21"/>
              </w:rPr>
            </w:pPr>
            <w:r>
              <w:rPr>
                <w:rFonts w:ascii="Times New Roman"/>
                <w:sz w:val="21"/>
              </w:rPr>
              <w:t>1.25%</w:t>
            </w:r>
          </w:p>
        </w:tc>
        <w:tc>
          <w:tcPr>
            <w:tcW w:w="1156" w:type="dxa"/>
          </w:tcPr>
          <w:p>
            <w:pPr>
              <w:pStyle w:val="TableParagraph"/>
              <w:spacing w:before="190"/>
              <w:ind w:left="503"/>
              <w:rPr>
                <w:rFonts w:ascii="Times New Roman"/>
                <w:sz w:val="21"/>
              </w:rPr>
            </w:pPr>
            <w:r>
              <w:rPr>
                <w:rFonts w:ascii="Times New Roman"/>
                <w:sz w:val="21"/>
              </w:rPr>
              <w:t>0.17%</w:t>
            </w:r>
          </w:p>
        </w:tc>
        <w:tc>
          <w:tcPr>
            <w:tcW w:w="1081" w:type="dxa"/>
          </w:tcPr>
          <w:p>
            <w:pPr>
              <w:pStyle w:val="TableParagraph"/>
              <w:spacing w:before="190"/>
              <w:ind w:right="96"/>
              <w:jc w:val="right"/>
              <w:rPr>
                <w:rFonts w:ascii="Times New Roman"/>
                <w:sz w:val="21"/>
              </w:rPr>
            </w:pPr>
            <w:r>
              <w:rPr>
                <w:rFonts w:ascii="Times New Roman"/>
                <w:sz w:val="21"/>
              </w:rPr>
              <w:t>0.12%</w:t>
            </w:r>
          </w:p>
        </w:tc>
      </w:tr>
      <w:tr>
        <w:trPr>
          <w:trHeight w:val="623" w:hRule="atLeast"/>
        </w:trPr>
        <w:tc>
          <w:tcPr>
            <w:tcW w:w="2160" w:type="dxa"/>
          </w:tcPr>
          <w:p>
            <w:pPr>
              <w:pStyle w:val="TableParagraph"/>
              <w:spacing w:before="22"/>
              <w:ind w:left="213"/>
              <w:rPr>
                <w:sz w:val="21"/>
              </w:rPr>
            </w:pPr>
            <w:r>
              <w:rPr>
                <w:rFonts w:ascii="Times New Roman" w:eastAsia="Times New Roman"/>
                <w:sz w:val="21"/>
              </w:rPr>
              <w:t>2019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w:t>
            </w:r>
          </w:p>
          <w:p>
            <w:pPr>
              <w:pStyle w:val="TableParagraph"/>
              <w:spacing w:before="43"/>
              <w:ind w:left="266"/>
              <w:rPr>
                <w:sz w:val="21"/>
              </w:rPr>
            </w:pPr>
            <w:r>
              <w:rPr>
                <w:rFonts w:ascii="Times New Roman" w:eastAsia="Times New Roman"/>
                <w:sz w:val="21"/>
              </w:rPr>
              <w:t>2019 </w:t>
            </w:r>
            <w:r>
              <w:rPr>
                <w:sz w:val="21"/>
              </w:rPr>
              <w:t>年 </w:t>
            </w:r>
            <w:r>
              <w:rPr>
                <w:rFonts w:ascii="Times New Roman" w:eastAsia="Times New Roman"/>
                <w:sz w:val="21"/>
              </w:rPr>
              <w:t>9 </w:t>
            </w:r>
            <w:r>
              <w:rPr>
                <w:sz w:val="21"/>
              </w:rPr>
              <w:t>月 </w:t>
            </w:r>
            <w:r>
              <w:rPr>
                <w:rFonts w:ascii="Times New Roman" w:eastAsia="Times New Roman"/>
                <w:sz w:val="21"/>
              </w:rPr>
              <w:t>30 </w:t>
            </w:r>
            <w:r>
              <w:rPr>
                <w:sz w:val="21"/>
              </w:rPr>
              <w:t>日</w:t>
            </w:r>
          </w:p>
        </w:tc>
        <w:tc>
          <w:tcPr>
            <w:tcW w:w="1215" w:type="dxa"/>
          </w:tcPr>
          <w:p>
            <w:pPr>
              <w:pStyle w:val="TableParagraph"/>
              <w:spacing w:before="190"/>
              <w:ind w:right="92"/>
              <w:jc w:val="right"/>
              <w:rPr>
                <w:rFonts w:ascii="Times New Roman"/>
                <w:sz w:val="21"/>
              </w:rPr>
            </w:pPr>
            <w:r>
              <w:rPr>
                <w:rFonts w:ascii="Times New Roman"/>
                <w:sz w:val="21"/>
              </w:rPr>
              <w:t>33.20%</w:t>
            </w:r>
          </w:p>
        </w:tc>
        <w:tc>
          <w:tcPr>
            <w:tcW w:w="1277" w:type="dxa"/>
          </w:tcPr>
          <w:p>
            <w:pPr>
              <w:pStyle w:val="TableParagraph"/>
              <w:spacing w:before="190"/>
              <w:ind w:right="92"/>
              <w:jc w:val="right"/>
              <w:rPr>
                <w:rFonts w:ascii="Times New Roman"/>
                <w:sz w:val="21"/>
              </w:rPr>
            </w:pPr>
            <w:r>
              <w:rPr>
                <w:rFonts w:ascii="Times New Roman"/>
                <w:sz w:val="21"/>
              </w:rPr>
              <w:t>1.26%</w:t>
            </w:r>
          </w:p>
        </w:tc>
        <w:tc>
          <w:tcPr>
            <w:tcW w:w="1561" w:type="dxa"/>
          </w:tcPr>
          <w:p>
            <w:pPr>
              <w:pStyle w:val="TableParagraph"/>
              <w:spacing w:before="190"/>
              <w:ind w:right="93"/>
              <w:jc w:val="right"/>
              <w:rPr>
                <w:rFonts w:ascii="Times New Roman"/>
                <w:sz w:val="21"/>
              </w:rPr>
            </w:pPr>
            <w:r>
              <w:rPr>
                <w:rFonts w:ascii="Times New Roman"/>
                <w:sz w:val="21"/>
              </w:rPr>
              <w:t>20.37%</w:t>
            </w:r>
          </w:p>
        </w:tc>
        <w:tc>
          <w:tcPr>
            <w:tcW w:w="1275" w:type="dxa"/>
          </w:tcPr>
          <w:p>
            <w:pPr>
              <w:pStyle w:val="TableParagraph"/>
              <w:spacing w:before="190"/>
              <w:ind w:right="94"/>
              <w:jc w:val="right"/>
              <w:rPr>
                <w:rFonts w:ascii="Times New Roman"/>
                <w:sz w:val="21"/>
              </w:rPr>
            </w:pPr>
            <w:r>
              <w:rPr>
                <w:rFonts w:ascii="Times New Roman"/>
                <w:sz w:val="21"/>
              </w:rPr>
              <w:t>1.11%</w:t>
            </w:r>
          </w:p>
        </w:tc>
        <w:tc>
          <w:tcPr>
            <w:tcW w:w="1156" w:type="dxa"/>
          </w:tcPr>
          <w:p>
            <w:pPr>
              <w:pStyle w:val="TableParagraph"/>
              <w:spacing w:before="190"/>
              <w:ind w:left="397"/>
              <w:rPr>
                <w:rFonts w:ascii="Times New Roman"/>
                <w:sz w:val="21"/>
              </w:rPr>
            </w:pPr>
            <w:r>
              <w:rPr>
                <w:rFonts w:ascii="Times New Roman"/>
                <w:sz w:val="21"/>
              </w:rPr>
              <w:t>12.83%</w:t>
            </w:r>
          </w:p>
        </w:tc>
        <w:tc>
          <w:tcPr>
            <w:tcW w:w="1081" w:type="dxa"/>
          </w:tcPr>
          <w:p>
            <w:pPr>
              <w:pStyle w:val="TableParagraph"/>
              <w:spacing w:before="190"/>
              <w:ind w:right="96"/>
              <w:jc w:val="right"/>
              <w:rPr>
                <w:rFonts w:ascii="Times New Roman"/>
                <w:sz w:val="21"/>
              </w:rPr>
            </w:pPr>
            <w:r>
              <w:rPr>
                <w:rFonts w:ascii="Times New Roman"/>
                <w:sz w:val="21"/>
              </w:rPr>
              <w:t>0.15%</w:t>
            </w:r>
          </w:p>
        </w:tc>
      </w:tr>
      <w:tr>
        <w:trPr>
          <w:trHeight w:val="623" w:hRule="atLeast"/>
        </w:trPr>
        <w:tc>
          <w:tcPr>
            <w:tcW w:w="2160" w:type="dxa"/>
          </w:tcPr>
          <w:p>
            <w:pPr>
              <w:pStyle w:val="TableParagraph"/>
              <w:spacing w:before="22"/>
              <w:ind w:left="108"/>
              <w:rPr>
                <w:sz w:val="21"/>
              </w:rPr>
            </w:pPr>
            <w:r>
              <w:rPr>
                <w:rFonts w:ascii="Times New Roman" w:eastAsia="Times New Roman"/>
                <w:sz w:val="21"/>
              </w:rPr>
              <w:t>2003 </w:t>
            </w:r>
            <w:r>
              <w:rPr>
                <w:spacing w:val="-27"/>
                <w:sz w:val="21"/>
              </w:rPr>
              <w:t>年 </w:t>
            </w:r>
            <w:r>
              <w:rPr>
                <w:rFonts w:ascii="Times New Roman" w:eastAsia="Times New Roman"/>
                <w:sz w:val="21"/>
              </w:rPr>
              <w:t>10 </w:t>
            </w:r>
            <w:r>
              <w:rPr>
                <w:spacing w:val="-27"/>
                <w:sz w:val="21"/>
              </w:rPr>
              <w:t>月 </w:t>
            </w:r>
            <w:r>
              <w:rPr>
                <w:rFonts w:ascii="Times New Roman" w:eastAsia="Times New Roman"/>
                <w:sz w:val="21"/>
              </w:rPr>
              <w:t>24 </w:t>
            </w:r>
            <w:r>
              <w:rPr>
                <w:spacing w:val="-2"/>
                <w:sz w:val="21"/>
              </w:rPr>
              <w:t>日－</w:t>
            </w:r>
          </w:p>
          <w:p>
            <w:pPr>
              <w:pStyle w:val="TableParagraph"/>
              <w:spacing w:before="43"/>
              <w:ind w:left="108"/>
              <w:rPr>
                <w:sz w:val="21"/>
              </w:rPr>
            </w:pPr>
            <w:r>
              <w:rPr>
                <w:rFonts w:ascii="Times New Roman" w:eastAsia="Times New Roman"/>
                <w:sz w:val="21"/>
              </w:rPr>
              <w:t>2019 </w:t>
            </w:r>
            <w:r>
              <w:rPr>
                <w:sz w:val="21"/>
              </w:rPr>
              <w:t>年 </w:t>
            </w:r>
            <w:r>
              <w:rPr>
                <w:rFonts w:ascii="Times New Roman" w:eastAsia="Times New Roman"/>
                <w:sz w:val="21"/>
              </w:rPr>
              <w:t>9 </w:t>
            </w:r>
            <w:r>
              <w:rPr>
                <w:sz w:val="21"/>
              </w:rPr>
              <w:t>月 </w:t>
            </w:r>
            <w:r>
              <w:rPr>
                <w:rFonts w:ascii="Times New Roman" w:eastAsia="Times New Roman"/>
                <w:sz w:val="21"/>
              </w:rPr>
              <w:t>30 </w:t>
            </w:r>
            <w:r>
              <w:rPr>
                <w:sz w:val="21"/>
              </w:rPr>
              <w:t>日</w:t>
            </w:r>
          </w:p>
        </w:tc>
        <w:tc>
          <w:tcPr>
            <w:tcW w:w="1215" w:type="dxa"/>
          </w:tcPr>
          <w:p>
            <w:pPr>
              <w:pStyle w:val="TableParagraph"/>
              <w:spacing w:before="190"/>
              <w:ind w:right="93"/>
              <w:jc w:val="right"/>
              <w:rPr>
                <w:rFonts w:ascii="Times New Roman"/>
                <w:sz w:val="21"/>
              </w:rPr>
            </w:pPr>
            <w:r>
              <w:rPr>
                <w:rFonts w:ascii="Times New Roman"/>
                <w:sz w:val="21"/>
              </w:rPr>
              <w:t>1006.45%</w:t>
            </w:r>
          </w:p>
        </w:tc>
        <w:tc>
          <w:tcPr>
            <w:tcW w:w="1277" w:type="dxa"/>
          </w:tcPr>
          <w:p>
            <w:pPr>
              <w:pStyle w:val="TableParagraph"/>
              <w:spacing w:before="190"/>
              <w:ind w:right="92"/>
              <w:jc w:val="right"/>
              <w:rPr>
                <w:rFonts w:ascii="Times New Roman"/>
                <w:sz w:val="21"/>
              </w:rPr>
            </w:pPr>
            <w:r>
              <w:rPr>
                <w:rFonts w:ascii="Times New Roman"/>
                <w:sz w:val="21"/>
              </w:rPr>
              <w:t>1.47%</w:t>
            </w:r>
          </w:p>
        </w:tc>
        <w:tc>
          <w:tcPr>
            <w:tcW w:w="1561" w:type="dxa"/>
          </w:tcPr>
          <w:p>
            <w:pPr>
              <w:pStyle w:val="TableParagraph"/>
              <w:spacing w:before="190"/>
              <w:ind w:right="93"/>
              <w:jc w:val="right"/>
              <w:rPr>
                <w:rFonts w:ascii="Times New Roman"/>
                <w:sz w:val="21"/>
              </w:rPr>
            </w:pPr>
            <w:r>
              <w:rPr>
                <w:rFonts w:ascii="Times New Roman"/>
                <w:sz w:val="21"/>
              </w:rPr>
              <w:t>162.89%</w:t>
            </w:r>
          </w:p>
        </w:tc>
        <w:tc>
          <w:tcPr>
            <w:tcW w:w="1275" w:type="dxa"/>
          </w:tcPr>
          <w:p>
            <w:pPr>
              <w:pStyle w:val="TableParagraph"/>
              <w:spacing w:before="190"/>
              <w:ind w:right="94"/>
              <w:jc w:val="right"/>
              <w:rPr>
                <w:rFonts w:ascii="Times New Roman"/>
                <w:sz w:val="21"/>
              </w:rPr>
            </w:pPr>
            <w:r>
              <w:rPr>
                <w:rFonts w:ascii="Times New Roman"/>
                <w:sz w:val="21"/>
              </w:rPr>
              <w:t>1.30%</w:t>
            </w:r>
          </w:p>
        </w:tc>
        <w:tc>
          <w:tcPr>
            <w:tcW w:w="1156" w:type="dxa"/>
          </w:tcPr>
          <w:p>
            <w:pPr>
              <w:pStyle w:val="TableParagraph"/>
              <w:spacing w:before="190"/>
              <w:ind w:left="292"/>
              <w:rPr>
                <w:rFonts w:ascii="Times New Roman"/>
                <w:sz w:val="21"/>
              </w:rPr>
            </w:pPr>
            <w:r>
              <w:rPr>
                <w:rFonts w:ascii="Times New Roman"/>
                <w:sz w:val="21"/>
              </w:rPr>
              <w:t>843.56%</w:t>
            </w:r>
          </w:p>
        </w:tc>
        <w:tc>
          <w:tcPr>
            <w:tcW w:w="1081" w:type="dxa"/>
          </w:tcPr>
          <w:p>
            <w:pPr>
              <w:pStyle w:val="TableParagraph"/>
              <w:spacing w:before="190"/>
              <w:ind w:right="96"/>
              <w:jc w:val="right"/>
              <w:rPr>
                <w:rFonts w:ascii="Times New Roman"/>
                <w:sz w:val="21"/>
              </w:rPr>
            </w:pPr>
            <w:r>
              <w:rPr>
                <w:rFonts w:ascii="Times New Roman"/>
                <w:sz w:val="21"/>
              </w:rPr>
              <w:t>0.17%</w:t>
            </w:r>
          </w:p>
        </w:tc>
      </w:tr>
    </w:tbl>
    <w:p>
      <w:pPr>
        <w:spacing w:before="100"/>
        <w:ind w:left="658" w:right="0" w:firstLine="0"/>
        <w:jc w:val="left"/>
        <w:rPr>
          <w:b/>
          <w:sz w:val="21"/>
        </w:rPr>
      </w:pPr>
      <w:r>
        <w:rPr>
          <w:rFonts w:ascii="Cambria" w:eastAsia="Cambria"/>
          <w:b/>
          <w:sz w:val="21"/>
        </w:rPr>
        <w:t>2</w:t>
      </w:r>
      <w:r>
        <w:rPr>
          <w:b/>
          <w:sz w:val="21"/>
        </w:rPr>
        <w:t>、自基金合同生效以来基金份额净值变动情况及与同期业绩比较基准的变动的比较</w:t>
      </w:r>
    </w:p>
    <w:p>
      <w:pPr>
        <w:spacing w:after="0"/>
        <w:jc w:val="left"/>
        <w:rPr>
          <w:sz w:val="21"/>
        </w:rPr>
        <w:sectPr>
          <w:pgSz w:w="11910" w:h="16840"/>
          <w:pgMar w:header="852" w:footer="992" w:top="1220" w:bottom="1180" w:left="1140" w:right="480"/>
        </w:sectPr>
      </w:pPr>
    </w:p>
    <w:p>
      <w:pPr>
        <w:pStyle w:val="BodyText"/>
        <w:spacing w:before="8" w:after="1"/>
        <w:rPr>
          <w:b/>
          <w:sz w:val="26"/>
        </w:rPr>
      </w:pPr>
    </w:p>
    <w:p>
      <w:pPr>
        <w:pStyle w:val="BodyText"/>
        <w:ind w:left="772"/>
        <w:rPr>
          <w:sz w:val="20"/>
        </w:rPr>
      </w:pPr>
      <w:r>
        <w:rPr>
          <w:sz w:val="20"/>
        </w:rPr>
        <w:drawing>
          <wp:inline distT="0" distB="0" distL="0" distR="0">
            <wp:extent cx="5150113" cy="2999422"/>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77" cstate="print"/>
                    <a:stretch>
                      <a:fillRect/>
                    </a:stretch>
                  </pic:blipFill>
                  <pic:spPr>
                    <a:xfrm>
                      <a:off x="0" y="0"/>
                      <a:ext cx="5150113" cy="2999422"/>
                    </a:xfrm>
                    <a:prstGeom prst="rect">
                      <a:avLst/>
                    </a:prstGeom>
                  </pic:spPr>
                </pic:pic>
              </a:graphicData>
            </a:graphic>
          </wp:inline>
        </w:drawing>
      </w:r>
      <w:r>
        <w:rPr>
          <w:sz w:val="20"/>
        </w:rPr>
      </w:r>
    </w:p>
    <w:p>
      <w:pPr>
        <w:pStyle w:val="BodyText"/>
        <w:spacing w:before="4"/>
        <w:rPr>
          <w:b/>
          <w:sz w:val="13"/>
        </w:rPr>
      </w:pPr>
    </w:p>
    <w:p>
      <w:pPr>
        <w:pStyle w:val="BodyText"/>
        <w:spacing w:line="417" w:lineRule="auto" w:before="72"/>
        <w:ind w:left="658" w:right="1308"/>
      </w:pPr>
      <w:r>
        <w:rPr>
          <w:spacing w:val="-4"/>
        </w:rPr>
        <w:t>注：本基金的资产配置比例为：股票投资的比例为基金资产净值的 </w:t>
      </w:r>
      <w:r>
        <w:rPr/>
        <w:t>70</w:t>
      </w:r>
      <w:r>
        <w:rPr>
          <w:spacing w:val="-10"/>
        </w:rPr>
        <w:t>%至 </w:t>
      </w:r>
      <w:r>
        <w:rPr/>
        <w:t>80%</w:t>
      </w:r>
      <w:r>
        <w:rPr>
          <w:spacing w:val="-2"/>
        </w:rPr>
        <w:t>；债券投资的</w:t>
      </w:r>
      <w:r>
        <w:rPr>
          <w:spacing w:val="-6"/>
        </w:rPr>
        <w:t>比例为基金资产净值的 </w:t>
      </w:r>
      <w:r>
        <w:rPr/>
        <w:t>20</w:t>
      </w:r>
      <w:r>
        <w:rPr>
          <w:spacing w:val="-11"/>
        </w:rPr>
        <w:t>%至 </w:t>
      </w:r>
      <w:r>
        <w:rPr/>
        <w:t>30</w:t>
      </w:r>
      <w:r>
        <w:rPr>
          <w:spacing w:val="-5"/>
        </w:rPr>
        <w:t>%。按照本系列基金基金合同的规定，本基金自 </w:t>
      </w:r>
      <w:r>
        <w:rPr/>
        <w:t>2003</w:t>
      </w:r>
      <w:r>
        <w:rPr>
          <w:spacing w:val="-22"/>
        </w:rPr>
        <w:t> 年 </w:t>
      </w:r>
      <w:r>
        <w:rPr/>
        <w:t>10</w:t>
      </w:r>
    </w:p>
    <w:p>
      <w:pPr>
        <w:pStyle w:val="BodyText"/>
        <w:spacing w:line="269" w:lineRule="exact"/>
        <w:ind w:left="658"/>
      </w:pPr>
      <w:r>
        <w:rPr>
          <w:spacing w:val="-23"/>
        </w:rPr>
        <w:t>月 </w:t>
      </w:r>
      <w:r>
        <w:rPr/>
        <w:t>24</w:t>
      </w:r>
      <w:r>
        <w:rPr>
          <w:spacing w:val="-12"/>
        </w:rPr>
        <w:t> 日合同生效日起至 </w:t>
      </w:r>
      <w:r>
        <w:rPr/>
        <w:t>2004</w:t>
      </w:r>
      <w:r>
        <w:rPr>
          <w:spacing w:val="-31"/>
        </w:rPr>
        <w:t> 年 </w:t>
      </w:r>
      <w:r>
        <w:rPr/>
        <w:t>1</w:t>
      </w:r>
      <w:r>
        <w:rPr>
          <w:spacing w:val="-31"/>
        </w:rPr>
        <w:t> 月 </w:t>
      </w:r>
      <w:r>
        <w:rPr/>
        <w:t>23</w:t>
      </w:r>
      <w:r>
        <w:rPr>
          <w:spacing w:val="-9"/>
        </w:rPr>
        <w:t> 日为建仓期。建仓期结束时，本基金投资组合均达</w:t>
      </w:r>
    </w:p>
    <w:p>
      <w:pPr>
        <w:pStyle w:val="BodyText"/>
        <w:spacing w:before="7"/>
        <w:rPr>
          <w:sz w:val="15"/>
        </w:rPr>
      </w:pPr>
    </w:p>
    <w:p>
      <w:pPr>
        <w:pStyle w:val="BodyText"/>
        <w:ind w:left="658"/>
      </w:pPr>
      <w:r>
        <w:rPr>
          <w:spacing w:val="-8"/>
        </w:rPr>
        <w:t>到上述投资组合比例的要求。 自 </w:t>
      </w:r>
      <w:r>
        <w:rPr/>
        <w:t>2017</w:t>
      </w:r>
      <w:r>
        <w:rPr>
          <w:spacing w:val="-33"/>
        </w:rPr>
        <w:t> 年 </w:t>
      </w:r>
      <w:r>
        <w:rPr/>
        <w:t>9</w:t>
      </w:r>
      <w:r>
        <w:rPr>
          <w:spacing w:val="-33"/>
        </w:rPr>
        <w:t> 月 </w:t>
      </w:r>
      <w:r>
        <w:rPr/>
        <w:t>6</w:t>
      </w:r>
      <w:r>
        <w:rPr>
          <w:spacing w:val="-13"/>
        </w:rPr>
        <w:t> 日起，本基金业绩比较基准由“上证综合指</w:t>
      </w:r>
    </w:p>
    <w:p>
      <w:pPr>
        <w:pStyle w:val="BodyText"/>
        <w:spacing w:before="6"/>
        <w:rPr>
          <w:sz w:val="15"/>
        </w:rPr>
      </w:pPr>
    </w:p>
    <w:p>
      <w:pPr>
        <w:pStyle w:val="BodyText"/>
        <w:spacing w:line="417" w:lineRule="auto" w:before="1"/>
        <w:ind w:left="658" w:right="1308"/>
      </w:pPr>
      <w:r>
        <w:rPr>
          <w:spacing w:val="-3"/>
        </w:rPr>
        <w:t>数和深证综合指数的加权复合指数×</w:t>
      </w:r>
      <w:r>
        <w:rPr/>
        <w:t>80%</w:t>
      </w:r>
      <w:r>
        <w:rPr>
          <w:spacing w:val="-3"/>
        </w:rPr>
        <w:t>+中国债券总指数</w:t>
      </w:r>
      <w:r>
        <w:rPr/>
        <w:t>×20</w:t>
      </w:r>
      <w:r>
        <w:rPr>
          <w:spacing w:val="-7"/>
        </w:rPr>
        <w:t>%”调整为“中证 </w:t>
      </w:r>
      <w:r>
        <w:rPr/>
        <w:t>800</w:t>
      </w:r>
      <w:r>
        <w:rPr>
          <w:spacing w:val="-9"/>
        </w:rPr>
        <w:t> 指数× </w:t>
      </w:r>
      <w:r>
        <w:rPr>
          <w:spacing w:val="-9"/>
          <w:w w:val="100"/>
        </w:rPr>
        <w:t>80</w:t>
      </w:r>
      <w:r>
        <w:rPr>
          <w:spacing w:val="-3"/>
          <w:w w:val="100"/>
        </w:rPr>
        <w:t>%＋中国债券总指数×20</w:t>
      </w:r>
      <w:r>
        <w:rPr>
          <w:spacing w:val="-71"/>
          <w:w w:val="100"/>
        </w:rPr>
        <w:t>%”。</w:t>
      </w:r>
    </w:p>
    <w:p>
      <w:pPr>
        <w:pStyle w:val="BodyText"/>
        <w:rPr>
          <w:sz w:val="20"/>
        </w:rPr>
      </w:pPr>
    </w:p>
    <w:p>
      <w:pPr>
        <w:pStyle w:val="BodyText"/>
        <w:rPr>
          <w:sz w:val="20"/>
        </w:rPr>
      </w:pPr>
    </w:p>
    <w:p>
      <w:pPr>
        <w:pStyle w:val="BodyText"/>
        <w:rPr>
          <w:sz w:val="23"/>
        </w:rPr>
      </w:pPr>
    </w:p>
    <w:p>
      <w:pPr>
        <w:spacing w:before="0"/>
        <w:ind w:left="658" w:right="0" w:firstLine="0"/>
        <w:jc w:val="left"/>
        <w:rPr>
          <w:b/>
          <w:sz w:val="24"/>
        </w:rPr>
      </w:pPr>
      <w:r>
        <w:rPr>
          <w:b/>
          <w:sz w:val="24"/>
        </w:rPr>
        <w:t>货币市场基金的净值表现</w:t>
      </w:r>
    </w:p>
    <w:p>
      <w:pPr>
        <w:pStyle w:val="BodyText"/>
        <w:rPr>
          <w:b/>
          <w:sz w:val="24"/>
        </w:rPr>
      </w:pPr>
    </w:p>
    <w:p>
      <w:pPr>
        <w:pStyle w:val="BodyText"/>
        <w:spacing w:before="8"/>
        <w:rPr>
          <w:b/>
          <w:sz w:val="26"/>
        </w:rPr>
      </w:pPr>
    </w:p>
    <w:p>
      <w:pPr>
        <w:spacing w:line="417" w:lineRule="auto" w:before="0"/>
        <w:ind w:left="658" w:right="4418" w:firstLine="0"/>
        <w:jc w:val="left"/>
        <w:rPr>
          <w:rFonts w:ascii="Times New Roman" w:eastAsia="Times New Roman"/>
          <w:b/>
          <w:sz w:val="21"/>
        </w:rPr>
      </w:pPr>
      <w:r>
        <w:rPr/>
        <w:pict>
          <v:shape style="position:absolute;margin-left:71.664001pt;margin-top:41.850033pt;width:486.8pt;height:167.3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1261"/>
                    <w:gridCol w:w="1260"/>
                    <w:gridCol w:w="1260"/>
                    <w:gridCol w:w="1440"/>
                    <w:gridCol w:w="1081"/>
                    <w:gridCol w:w="1440"/>
                  </w:tblGrid>
                  <w:tr>
                    <w:trPr>
                      <w:trHeight w:val="935" w:hRule="atLeast"/>
                    </w:trPr>
                    <w:tc>
                      <w:tcPr>
                        <w:tcW w:w="1980" w:type="dxa"/>
                      </w:tcPr>
                      <w:p>
                        <w:pPr>
                          <w:pStyle w:val="TableParagraph"/>
                          <w:spacing w:before="1"/>
                          <w:rPr>
                            <w:rFonts w:ascii="Times New Roman"/>
                            <w:b/>
                            <w:sz w:val="29"/>
                          </w:rPr>
                        </w:pPr>
                      </w:p>
                      <w:p>
                        <w:pPr>
                          <w:pStyle w:val="TableParagraph"/>
                          <w:ind w:left="628" w:right="617"/>
                          <w:jc w:val="center"/>
                          <w:rPr>
                            <w:sz w:val="21"/>
                          </w:rPr>
                        </w:pPr>
                        <w:r>
                          <w:rPr>
                            <w:sz w:val="21"/>
                          </w:rPr>
                          <w:t>阶段</w:t>
                        </w:r>
                      </w:p>
                    </w:tc>
                    <w:tc>
                      <w:tcPr>
                        <w:tcW w:w="1261" w:type="dxa"/>
                      </w:tcPr>
                      <w:p>
                        <w:pPr>
                          <w:pStyle w:val="TableParagraph"/>
                          <w:spacing w:line="278" w:lineRule="auto" w:before="178"/>
                          <w:ind w:left="208" w:right="198"/>
                          <w:rPr>
                            <w:sz w:val="21"/>
                          </w:rPr>
                        </w:pPr>
                        <w:r>
                          <w:rPr>
                            <w:sz w:val="21"/>
                          </w:rPr>
                          <w:t>份额净值收益率①</w:t>
                        </w:r>
                      </w:p>
                    </w:tc>
                    <w:tc>
                      <w:tcPr>
                        <w:tcW w:w="1260" w:type="dxa"/>
                      </w:tcPr>
                      <w:p>
                        <w:pPr>
                          <w:pStyle w:val="TableParagraph"/>
                          <w:spacing w:line="278" w:lineRule="auto" w:before="22"/>
                          <w:ind w:left="208" w:right="197"/>
                          <w:jc w:val="center"/>
                          <w:rPr>
                            <w:sz w:val="21"/>
                          </w:rPr>
                        </w:pPr>
                        <w:r>
                          <w:rPr>
                            <w:spacing w:val="-5"/>
                            <w:sz w:val="21"/>
                          </w:rPr>
                          <w:t>份额净值收益率标</w:t>
                        </w:r>
                      </w:p>
                      <w:p>
                        <w:pPr>
                          <w:pStyle w:val="TableParagraph"/>
                          <w:spacing w:line="269" w:lineRule="exact"/>
                          <w:ind w:left="208" w:right="197"/>
                          <w:jc w:val="center"/>
                          <w:rPr>
                            <w:sz w:val="21"/>
                          </w:rPr>
                        </w:pPr>
                        <w:r>
                          <w:rPr>
                            <w:sz w:val="21"/>
                          </w:rPr>
                          <w:t>准差②</w:t>
                        </w:r>
                      </w:p>
                    </w:tc>
                    <w:tc>
                      <w:tcPr>
                        <w:tcW w:w="1260" w:type="dxa"/>
                      </w:tcPr>
                      <w:p>
                        <w:pPr>
                          <w:pStyle w:val="TableParagraph"/>
                          <w:spacing w:line="278" w:lineRule="auto" w:before="22"/>
                          <w:ind w:left="208" w:right="197"/>
                          <w:jc w:val="center"/>
                          <w:rPr>
                            <w:sz w:val="21"/>
                          </w:rPr>
                        </w:pPr>
                        <w:r>
                          <w:rPr>
                            <w:sz w:val="21"/>
                          </w:rPr>
                          <w:t>业绩比较基准收益</w:t>
                        </w:r>
                      </w:p>
                      <w:p>
                        <w:pPr>
                          <w:pStyle w:val="TableParagraph"/>
                          <w:spacing w:line="269" w:lineRule="exact"/>
                          <w:ind w:left="208" w:right="197"/>
                          <w:jc w:val="center"/>
                          <w:rPr>
                            <w:sz w:val="21"/>
                          </w:rPr>
                        </w:pPr>
                        <w:r>
                          <w:rPr>
                            <w:sz w:val="21"/>
                          </w:rPr>
                          <w:t>率③</w:t>
                        </w:r>
                      </w:p>
                    </w:tc>
                    <w:tc>
                      <w:tcPr>
                        <w:tcW w:w="1440" w:type="dxa"/>
                      </w:tcPr>
                      <w:p>
                        <w:pPr>
                          <w:pStyle w:val="TableParagraph"/>
                          <w:spacing w:line="278" w:lineRule="auto" w:before="22"/>
                          <w:ind w:left="194" w:right="180"/>
                          <w:jc w:val="center"/>
                          <w:rPr>
                            <w:sz w:val="21"/>
                          </w:rPr>
                        </w:pPr>
                        <w:r>
                          <w:rPr>
                            <w:sz w:val="21"/>
                          </w:rPr>
                          <w:t>业绩比较基准收益率标</w:t>
                        </w:r>
                      </w:p>
                      <w:p>
                        <w:pPr>
                          <w:pStyle w:val="TableParagraph"/>
                          <w:spacing w:line="269" w:lineRule="exact"/>
                          <w:ind w:left="189" w:right="180"/>
                          <w:jc w:val="center"/>
                          <w:rPr>
                            <w:sz w:val="21"/>
                          </w:rPr>
                        </w:pPr>
                        <w:r>
                          <w:rPr>
                            <w:sz w:val="21"/>
                          </w:rPr>
                          <w:t>准差④</w:t>
                        </w:r>
                      </w:p>
                    </w:tc>
                    <w:tc>
                      <w:tcPr>
                        <w:tcW w:w="1081" w:type="dxa"/>
                      </w:tcPr>
                      <w:p>
                        <w:pPr>
                          <w:pStyle w:val="TableParagraph"/>
                          <w:spacing w:before="1"/>
                          <w:rPr>
                            <w:rFonts w:ascii="Times New Roman"/>
                            <w:b/>
                            <w:sz w:val="29"/>
                          </w:rPr>
                        </w:pPr>
                      </w:p>
                      <w:p>
                        <w:pPr>
                          <w:pStyle w:val="TableParagraph"/>
                          <w:ind w:left="107"/>
                          <w:rPr>
                            <w:sz w:val="21"/>
                          </w:rPr>
                        </w:pPr>
                        <w:r>
                          <w:rPr>
                            <w:sz w:val="21"/>
                          </w:rPr>
                          <w:t>①－③</w:t>
                        </w:r>
                      </w:p>
                    </w:tc>
                    <w:tc>
                      <w:tcPr>
                        <w:tcW w:w="1440" w:type="dxa"/>
                      </w:tcPr>
                      <w:p>
                        <w:pPr>
                          <w:pStyle w:val="TableParagraph"/>
                          <w:spacing w:before="1"/>
                          <w:rPr>
                            <w:rFonts w:ascii="Times New Roman"/>
                            <w:b/>
                            <w:sz w:val="29"/>
                          </w:rPr>
                        </w:pPr>
                      </w:p>
                      <w:p>
                        <w:pPr>
                          <w:pStyle w:val="TableParagraph"/>
                          <w:ind w:left="402"/>
                          <w:rPr>
                            <w:sz w:val="21"/>
                          </w:rPr>
                        </w:pPr>
                        <w:r>
                          <w:rPr>
                            <w:sz w:val="21"/>
                          </w:rPr>
                          <w:t>②－④</w:t>
                        </w:r>
                      </w:p>
                    </w:tc>
                  </w:tr>
                  <w:tr>
                    <w:trPr>
                      <w:trHeight w:val="467" w:hRule="atLeast"/>
                    </w:trPr>
                    <w:tc>
                      <w:tcPr>
                        <w:tcW w:w="1980" w:type="dxa"/>
                      </w:tcPr>
                      <w:p>
                        <w:pPr>
                          <w:pStyle w:val="TableParagraph"/>
                          <w:spacing w:before="99"/>
                          <w:ind w:left="628" w:right="619"/>
                          <w:jc w:val="center"/>
                          <w:rPr>
                            <w:sz w:val="21"/>
                          </w:rPr>
                        </w:pPr>
                        <w:r>
                          <w:rPr>
                            <w:rFonts w:ascii="Times New Roman" w:eastAsia="Times New Roman"/>
                            <w:sz w:val="21"/>
                          </w:rPr>
                          <w:t>2009 </w:t>
                        </w:r>
                        <w:r>
                          <w:rPr>
                            <w:sz w:val="21"/>
                          </w:rPr>
                          <w:t>年</w:t>
                        </w:r>
                      </w:p>
                    </w:tc>
                    <w:tc>
                      <w:tcPr>
                        <w:tcW w:w="1261" w:type="dxa"/>
                      </w:tcPr>
                      <w:p>
                        <w:pPr>
                          <w:pStyle w:val="TableParagraph"/>
                          <w:spacing w:before="111"/>
                          <w:ind w:right="93"/>
                          <w:jc w:val="right"/>
                          <w:rPr>
                            <w:rFonts w:ascii="Times New Roman"/>
                            <w:sz w:val="21"/>
                          </w:rPr>
                        </w:pPr>
                        <w:r>
                          <w:rPr>
                            <w:rFonts w:ascii="Times New Roman"/>
                            <w:sz w:val="21"/>
                          </w:rPr>
                          <w:t>1.1973%</w:t>
                        </w:r>
                      </w:p>
                    </w:tc>
                    <w:tc>
                      <w:tcPr>
                        <w:tcW w:w="1260" w:type="dxa"/>
                      </w:tcPr>
                      <w:p>
                        <w:pPr>
                          <w:pStyle w:val="TableParagraph"/>
                          <w:spacing w:before="111"/>
                          <w:ind w:right="93"/>
                          <w:jc w:val="right"/>
                          <w:rPr>
                            <w:rFonts w:ascii="Times New Roman"/>
                            <w:sz w:val="21"/>
                          </w:rPr>
                        </w:pPr>
                        <w:r>
                          <w:rPr>
                            <w:rFonts w:ascii="Times New Roman"/>
                            <w:sz w:val="21"/>
                          </w:rPr>
                          <w:t>0.0030%</w:t>
                        </w:r>
                      </w:p>
                    </w:tc>
                    <w:tc>
                      <w:tcPr>
                        <w:tcW w:w="1260" w:type="dxa"/>
                      </w:tcPr>
                      <w:p>
                        <w:pPr>
                          <w:pStyle w:val="TableParagraph"/>
                          <w:spacing w:before="111"/>
                          <w:ind w:right="93"/>
                          <w:jc w:val="right"/>
                          <w:rPr>
                            <w:rFonts w:ascii="Times New Roman"/>
                            <w:sz w:val="21"/>
                          </w:rPr>
                        </w:pPr>
                        <w:r>
                          <w:rPr>
                            <w:rFonts w:ascii="Times New Roman"/>
                            <w:sz w:val="21"/>
                          </w:rPr>
                          <w:t>2.2500%</w:t>
                        </w:r>
                      </w:p>
                    </w:tc>
                    <w:tc>
                      <w:tcPr>
                        <w:tcW w:w="1440" w:type="dxa"/>
                      </w:tcPr>
                      <w:p>
                        <w:pPr>
                          <w:pStyle w:val="TableParagraph"/>
                          <w:spacing w:before="111"/>
                          <w:ind w:right="93"/>
                          <w:jc w:val="right"/>
                          <w:rPr>
                            <w:rFonts w:ascii="Times New Roman"/>
                            <w:sz w:val="21"/>
                          </w:rPr>
                        </w:pPr>
                        <w:r>
                          <w:rPr>
                            <w:rFonts w:ascii="Times New Roman"/>
                            <w:sz w:val="21"/>
                          </w:rPr>
                          <w:t>0.0000%</w:t>
                        </w:r>
                      </w:p>
                    </w:tc>
                    <w:tc>
                      <w:tcPr>
                        <w:tcW w:w="1081" w:type="dxa"/>
                      </w:tcPr>
                      <w:p>
                        <w:pPr>
                          <w:pStyle w:val="TableParagraph"/>
                          <w:spacing w:before="111"/>
                          <w:ind w:left="148"/>
                          <w:rPr>
                            <w:rFonts w:ascii="Times New Roman"/>
                            <w:sz w:val="21"/>
                          </w:rPr>
                        </w:pPr>
                        <w:r>
                          <w:rPr>
                            <w:rFonts w:ascii="Times New Roman"/>
                            <w:sz w:val="21"/>
                          </w:rPr>
                          <w:t>-1.0527%</w:t>
                        </w:r>
                      </w:p>
                    </w:tc>
                    <w:tc>
                      <w:tcPr>
                        <w:tcW w:w="1440" w:type="dxa"/>
                      </w:tcPr>
                      <w:p>
                        <w:pPr>
                          <w:pStyle w:val="TableParagraph"/>
                          <w:spacing w:before="111"/>
                          <w:ind w:right="93"/>
                          <w:jc w:val="right"/>
                          <w:rPr>
                            <w:rFonts w:ascii="Times New Roman"/>
                            <w:sz w:val="21"/>
                          </w:rPr>
                        </w:pPr>
                        <w:r>
                          <w:rPr>
                            <w:rFonts w:ascii="Times New Roman"/>
                            <w:sz w:val="21"/>
                          </w:rPr>
                          <w:t>0.0030%</w:t>
                        </w:r>
                      </w:p>
                    </w:tc>
                  </w:tr>
                  <w:tr>
                    <w:trPr>
                      <w:trHeight w:val="467" w:hRule="atLeast"/>
                    </w:trPr>
                    <w:tc>
                      <w:tcPr>
                        <w:tcW w:w="1980" w:type="dxa"/>
                      </w:tcPr>
                      <w:p>
                        <w:pPr>
                          <w:pStyle w:val="TableParagraph"/>
                          <w:spacing w:before="99"/>
                          <w:ind w:left="628" w:right="619"/>
                          <w:jc w:val="center"/>
                          <w:rPr>
                            <w:sz w:val="21"/>
                          </w:rPr>
                        </w:pPr>
                        <w:r>
                          <w:rPr>
                            <w:rFonts w:ascii="Times New Roman" w:eastAsia="Times New Roman"/>
                            <w:sz w:val="21"/>
                          </w:rPr>
                          <w:t>2010 </w:t>
                        </w:r>
                        <w:r>
                          <w:rPr>
                            <w:sz w:val="21"/>
                          </w:rPr>
                          <w:t>年</w:t>
                        </w:r>
                      </w:p>
                    </w:tc>
                    <w:tc>
                      <w:tcPr>
                        <w:tcW w:w="1261" w:type="dxa"/>
                      </w:tcPr>
                      <w:p>
                        <w:pPr>
                          <w:pStyle w:val="TableParagraph"/>
                          <w:spacing w:before="111"/>
                          <w:ind w:right="93"/>
                          <w:jc w:val="right"/>
                          <w:rPr>
                            <w:rFonts w:ascii="Times New Roman"/>
                            <w:sz w:val="21"/>
                          </w:rPr>
                        </w:pPr>
                        <w:r>
                          <w:rPr>
                            <w:rFonts w:ascii="Times New Roman"/>
                            <w:sz w:val="21"/>
                          </w:rPr>
                          <w:t>1.1310%</w:t>
                        </w:r>
                      </w:p>
                    </w:tc>
                    <w:tc>
                      <w:tcPr>
                        <w:tcW w:w="1260" w:type="dxa"/>
                      </w:tcPr>
                      <w:p>
                        <w:pPr>
                          <w:pStyle w:val="TableParagraph"/>
                          <w:spacing w:before="111"/>
                          <w:ind w:right="93"/>
                          <w:jc w:val="right"/>
                          <w:rPr>
                            <w:rFonts w:ascii="Times New Roman"/>
                            <w:sz w:val="21"/>
                          </w:rPr>
                        </w:pPr>
                        <w:r>
                          <w:rPr>
                            <w:rFonts w:ascii="Times New Roman"/>
                            <w:sz w:val="21"/>
                          </w:rPr>
                          <w:t>0.0042%</w:t>
                        </w:r>
                      </w:p>
                    </w:tc>
                    <w:tc>
                      <w:tcPr>
                        <w:tcW w:w="1260" w:type="dxa"/>
                      </w:tcPr>
                      <w:p>
                        <w:pPr>
                          <w:pStyle w:val="TableParagraph"/>
                          <w:spacing w:before="111"/>
                          <w:ind w:right="93"/>
                          <w:jc w:val="right"/>
                          <w:rPr>
                            <w:rFonts w:ascii="Times New Roman"/>
                            <w:sz w:val="21"/>
                          </w:rPr>
                        </w:pPr>
                        <w:r>
                          <w:rPr>
                            <w:rFonts w:ascii="Times New Roman"/>
                            <w:sz w:val="21"/>
                          </w:rPr>
                          <w:t>1.6434%</w:t>
                        </w:r>
                      </w:p>
                    </w:tc>
                    <w:tc>
                      <w:tcPr>
                        <w:tcW w:w="1440" w:type="dxa"/>
                      </w:tcPr>
                      <w:p>
                        <w:pPr>
                          <w:pStyle w:val="TableParagraph"/>
                          <w:spacing w:before="111"/>
                          <w:ind w:right="93"/>
                          <w:jc w:val="right"/>
                          <w:rPr>
                            <w:rFonts w:ascii="Times New Roman"/>
                            <w:sz w:val="21"/>
                          </w:rPr>
                        </w:pPr>
                        <w:r>
                          <w:rPr>
                            <w:rFonts w:ascii="Times New Roman"/>
                            <w:sz w:val="21"/>
                          </w:rPr>
                          <w:t>0.0012%</w:t>
                        </w:r>
                      </w:p>
                    </w:tc>
                    <w:tc>
                      <w:tcPr>
                        <w:tcW w:w="1081" w:type="dxa"/>
                      </w:tcPr>
                      <w:p>
                        <w:pPr>
                          <w:pStyle w:val="TableParagraph"/>
                          <w:spacing w:before="111"/>
                          <w:ind w:left="148"/>
                          <w:rPr>
                            <w:rFonts w:ascii="Times New Roman"/>
                            <w:sz w:val="21"/>
                          </w:rPr>
                        </w:pPr>
                        <w:r>
                          <w:rPr>
                            <w:rFonts w:ascii="Times New Roman"/>
                            <w:sz w:val="21"/>
                          </w:rPr>
                          <w:t>-0.5124%</w:t>
                        </w:r>
                      </w:p>
                    </w:tc>
                    <w:tc>
                      <w:tcPr>
                        <w:tcW w:w="1440" w:type="dxa"/>
                      </w:tcPr>
                      <w:p>
                        <w:pPr>
                          <w:pStyle w:val="TableParagraph"/>
                          <w:spacing w:before="111"/>
                          <w:ind w:right="93"/>
                          <w:jc w:val="right"/>
                          <w:rPr>
                            <w:rFonts w:ascii="Times New Roman"/>
                            <w:sz w:val="21"/>
                          </w:rPr>
                        </w:pPr>
                        <w:r>
                          <w:rPr>
                            <w:rFonts w:ascii="Times New Roman"/>
                            <w:sz w:val="21"/>
                          </w:rPr>
                          <w:t>0.0030%</w:t>
                        </w:r>
                      </w:p>
                    </w:tc>
                  </w:tr>
                  <w:tr>
                    <w:trPr>
                      <w:trHeight w:val="470" w:hRule="atLeast"/>
                    </w:trPr>
                    <w:tc>
                      <w:tcPr>
                        <w:tcW w:w="1980" w:type="dxa"/>
                      </w:tcPr>
                      <w:p>
                        <w:pPr>
                          <w:pStyle w:val="TableParagraph"/>
                          <w:spacing w:before="102"/>
                          <w:ind w:left="628" w:right="619"/>
                          <w:jc w:val="center"/>
                          <w:rPr>
                            <w:sz w:val="21"/>
                          </w:rPr>
                        </w:pPr>
                        <w:r>
                          <w:rPr>
                            <w:rFonts w:ascii="Times New Roman" w:eastAsia="Times New Roman"/>
                            <w:sz w:val="21"/>
                          </w:rPr>
                          <w:t>2011 </w:t>
                        </w:r>
                        <w:r>
                          <w:rPr>
                            <w:sz w:val="21"/>
                          </w:rPr>
                          <w:t>年</w:t>
                        </w:r>
                      </w:p>
                    </w:tc>
                    <w:tc>
                      <w:tcPr>
                        <w:tcW w:w="1261" w:type="dxa"/>
                      </w:tcPr>
                      <w:p>
                        <w:pPr>
                          <w:pStyle w:val="TableParagraph"/>
                          <w:spacing w:before="113"/>
                          <w:ind w:right="93"/>
                          <w:jc w:val="right"/>
                          <w:rPr>
                            <w:rFonts w:ascii="Times New Roman"/>
                            <w:sz w:val="21"/>
                          </w:rPr>
                        </w:pPr>
                        <w:r>
                          <w:rPr>
                            <w:rFonts w:ascii="Times New Roman"/>
                            <w:sz w:val="21"/>
                          </w:rPr>
                          <w:t>2.2634%</w:t>
                        </w:r>
                      </w:p>
                    </w:tc>
                    <w:tc>
                      <w:tcPr>
                        <w:tcW w:w="1260" w:type="dxa"/>
                      </w:tcPr>
                      <w:p>
                        <w:pPr>
                          <w:pStyle w:val="TableParagraph"/>
                          <w:spacing w:before="113"/>
                          <w:ind w:right="93"/>
                          <w:jc w:val="right"/>
                          <w:rPr>
                            <w:rFonts w:ascii="Times New Roman"/>
                            <w:sz w:val="21"/>
                          </w:rPr>
                        </w:pPr>
                        <w:r>
                          <w:rPr>
                            <w:rFonts w:ascii="Times New Roman"/>
                            <w:sz w:val="21"/>
                          </w:rPr>
                          <w:t>0.0042%</w:t>
                        </w:r>
                      </w:p>
                    </w:tc>
                    <w:tc>
                      <w:tcPr>
                        <w:tcW w:w="1260" w:type="dxa"/>
                      </w:tcPr>
                      <w:p>
                        <w:pPr>
                          <w:pStyle w:val="TableParagraph"/>
                          <w:spacing w:before="113"/>
                          <w:ind w:right="93"/>
                          <w:jc w:val="right"/>
                          <w:rPr>
                            <w:rFonts w:ascii="Times New Roman"/>
                            <w:sz w:val="21"/>
                          </w:rPr>
                        </w:pPr>
                        <w:r>
                          <w:rPr>
                            <w:rFonts w:ascii="Times New Roman"/>
                            <w:sz w:val="21"/>
                          </w:rPr>
                          <w:t>1.4597%</w:t>
                        </w:r>
                      </w:p>
                    </w:tc>
                    <w:tc>
                      <w:tcPr>
                        <w:tcW w:w="1440" w:type="dxa"/>
                      </w:tcPr>
                      <w:p>
                        <w:pPr>
                          <w:pStyle w:val="TableParagraph"/>
                          <w:spacing w:before="113"/>
                          <w:ind w:right="93"/>
                          <w:jc w:val="right"/>
                          <w:rPr>
                            <w:rFonts w:ascii="Times New Roman"/>
                            <w:sz w:val="21"/>
                          </w:rPr>
                        </w:pPr>
                        <w:r>
                          <w:rPr>
                            <w:rFonts w:ascii="Times New Roman"/>
                            <w:sz w:val="21"/>
                          </w:rPr>
                          <w:t>0.0001%</w:t>
                        </w:r>
                      </w:p>
                    </w:tc>
                    <w:tc>
                      <w:tcPr>
                        <w:tcW w:w="1081" w:type="dxa"/>
                      </w:tcPr>
                      <w:p>
                        <w:pPr>
                          <w:pStyle w:val="TableParagraph"/>
                          <w:spacing w:before="113"/>
                          <w:ind w:right="94"/>
                          <w:jc w:val="right"/>
                          <w:rPr>
                            <w:rFonts w:ascii="Times New Roman"/>
                            <w:sz w:val="21"/>
                          </w:rPr>
                        </w:pPr>
                        <w:r>
                          <w:rPr>
                            <w:rFonts w:ascii="Times New Roman"/>
                            <w:sz w:val="21"/>
                          </w:rPr>
                          <w:t>0.8037%</w:t>
                        </w:r>
                      </w:p>
                    </w:tc>
                    <w:tc>
                      <w:tcPr>
                        <w:tcW w:w="1440" w:type="dxa"/>
                      </w:tcPr>
                      <w:p>
                        <w:pPr>
                          <w:pStyle w:val="TableParagraph"/>
                          <w:spacing w:before="113"/>
                          <w:ind w:right="93"/>
                          <w:jc w:val="right"/>
                          <w:rPr>
                            <w:rFonts w:ascii="Times New Roman"/>
                            <w:sz w:val="21"/>
                          </w:rPr>
                        </w:pPr>
                        <w:r>
                          <w:rPr>
                            <w:rFonts w:ascii="Times New Roman"/>
                            <w:sz w:val="21"/>
                          </w:rPr>
                          <w:t>0.0041%</w:t>
                        </w:r>
                      </w:p>
                    </w:tc>
                  </w:tr>
                  <w:tr>
                    <w:trPr>
                      <w:trHeight w:val="467" w:hRule="atLeast"/>
                    </w:trPr>
                    <w:tc>
                      <w:tcPr>
                        <w:tcW w:w="1980" w:type="dxa"/>
                      </w:tcPr>
                      <w:p>
                        <w:pPr>
                          <w:pStyle w:val="TableParagraph"/>
                          <w:spacing w:before="99"/>
                          <w:ind w:left="628" w:right="619"/>
                          <w:jc w:val="center"/>
                          <w:rPr>
                            <w:sz w:val="21"/>
                          </w:rPr>
                        </w:pPr>
                        <w:r>
                          <w:rPr>
                            <w:rFonts w:ascii="Times New Roman" w:eastAsia="Times New Roman"/>
                            <w:sz w:val="21"/>
                          </w:rPr>
                          <w:t>2012 </w:t>
                        </w:r>
                        <w:r>
                          <w:rPr>
                            <w:sz w:val="21"/>
                          </w:rPr>
                          <w:t>年</w:t>
                        </w:r>
                      </w:p>
                    </w:tc>
                    <w:tc>
                      <w:tcPr>
                        <w:tcW w:w="1261" w:type="dxa"/>
                      </w:tcPr>
                      <w:p>
                        <w:pPr>
                          <w:pStyle w:val="TableParagraph"/>
                          <w:spacing w:before="111"/>
                          <w:ind w:right="93"/>
                          <w:jc w:val="right"/>
                          <w:rPr>
                            <w:rFonts w:ascii="Times New Roman"/>
                            <w:sz w:val="21"/>
                          </w:rPr>
                        </w:pPr>
                        <w:r>
                          <w:rPr>
                            <w:rFonts w:ascii="Times New Roman"/>
                            <w:sz w:val="21"/>
                          </w:rPr>
                          <w:t>3.3451%</w:t>
                        </w:r>
                      </w:p>
                    </w:tc>
                    <w:tc>
                      <w:tcPr>
                        <w:tcW w:w="1260" w:type="dxa"/>
                      </w:tcPr>
                      <w:p>
                        <w:pPr>
                          <w:pStyle w:val="TableParagraph"/>
                          <w:spacing w:before="111"/>
                          <w:ind w:right="93"/>
                          <w:jc w:val="right"/>
                          <w:rPr>
                            <w:rFonts w:ascii="Times New Roman"/>
                            <w:sz w:val="21"/>
                          </w:rPr>
                        </w:pPr>
                        <w:r>
                          <w:rPr>
                            <w:rFonts w:ascii="Times New Roman"/>
                            <w:sz w:val="21"/>
                          </w:rPr>
                          <w:t>0.0037%</w:t>
                        </w:r>
                      </w:p>
                    </w:tc>
                    <w:tc>
                      <w:tcPr>
                        <w:tcW w:w="1260" w:type="dxa"/>
                      </w:tcPr>
                      <w:p>
                        <w:pPr>
                          <w:pStyle w:val="TableParagraph"/>
                          <w:spacing w:before="111"/>
                          <w:ind w:right="93"/>
                          <w:jc w:val="right"/>
                          <w:rPr>
                            <w:rFonts w:ascii="Times New Roman"/>
                            <w:sz w:val="21"/>
                          </w:rPr>
                        </w:pPr>
                        <w:r>
                          <w:rPr>
                            <w:rFonts w:ascii="Times New Roman"/>
                            <w:sz w:val="21"/>
                          </w:rPr>
                          <w:t>1.4178%</w:t>
                        </w:r>
                      </w:p>
                    </w:tc>
                    <w:tc>
                      <w:tcPr>
                        <w:tcW w:w="1440" w:type="dxa"/>
                      </w:tcPr>
                      <w:p>
                        <w:pPr>
                          <w:pStyle w:val="TableParagraph"/>
                          <w:spacing w:before="111"/>
                          <w:ind w:right="93"/>
                          <w:jc w:val="right"/>
                          <w:rPr>
                            <w:rFonts w:ascii="Times New Roman"/>
                            <w:sz w:val="21"/>
                          </w:rPr>
                        </w:pPr>
                        <w:r>
                          <w:rPr>
                            <w:rFonts w:ascii="Times New Roman"/>
                            <w:sz w:val="21"/>
                          </w:rPr>
                          <w:t>0.0002%</w:t>
                        </w:r>
                      </w:p>
                    </w:tc>
                    <w:tc>
                      <w:tcPr>
                        <w:tcW w:w="1081" w:type="dxa"/>
                      </w:tcPr>
                      <w:p>
                        <w:pPr>
                          <w:pStyle w:val="TableParagraph"/>
                          <w:spacing w:before="111"/>
                          <w:ind w:right="93"/>
                          <w:jc w:val="right"/>
                          <w:rPr>
                            <w:rFonts w:ascii="Times New Roman"/>
                            <w:sz w:val="21"/>
                          </w:rPr>
                        </w:pPr>
                        <w:r>
                          <w:rPr>
                            <w:rFonts w:ascii="Times New Roman"/>
                            <w:sz w:val="21"/>
                          </w:rPr>
                          <w:t>1.9273%</w:t>
                        </w:r>
                      </w:p>
                    </w:tc>
                    <w:tc>
                      <w:tcPr>
                        <w:tcW w:w="1440" w:type="dxa"/>
                      </w:tcPr>
                      <w:p>
                        <w:pPr>
                          <w:pStyle w:val="TableParagraph"/>
                          <w:spacing w:before="111"/>
                          <w:ind w:right="93"/>
                          <w:jc w:val="right"/>
                          <w:rPr>
                            <w:rFonts w:ascii="Times New Roman"/>
                            <w:sz w:val="21"/>
                          </w:rPr>
                        </w:pPr>
                        <w:r>
                          <w:rPr>
                            <w:rFonts w:ascii="Times New Roman"/>
                            <w:sz w:val="21"/>
                          </w:rPr>
                          <w:t>0.0035%</w:t>
                        </w:r>
                      </w:p>
                    </w:tc>
                  </w:tr>
                  <w:tr>
                    <w:trPr>
                      <w:trHeight w:val="467" w:hRule="atLeast"/>
                    </w:trPr>
                    <w:tc>
                      <w:tcPr>
                        <w:tcW w:w="1980" w:type="dxa"/>
                      </w:tcPr>
                      <w:p>
                        <w:pPr>
                          <w:pStyle w:val="TableParagraph"/>
                          <w:spacing w:before="99"/>
                          <w:ind w:left="628" w:right="619"/>
                          <w:jc w:val="center"/>
                          <w:rPr>
                            <w:sz w:val="21"/>
                          </w:rPr>
                        </w:pPr>
                        <w:r>
                          <w:rPr>
                            <w:rFonts w:ascii="Times New Roman" w:eastAsia="Times New Roman"/>
                            <w:sz w:val="21"/>
                          </w:rPr>
                          <w:t>2013 </w:t>
                        </w:r>
                        <w:r>
                          <w:rPr>
                            <w:sz w:val="21"/>
                          </w:rPr>
                          <w:t>年</w:t>
                        </w:r>
                      </w:p>
                    </w:tc>
                    <w:tc>
                      <w:tcPr>
                        <w:tcW w:w="1261" w:type="dxa"/>
                      </w:tcPr>
                      <w:p>
                        <w:pPr>
                          <w:pStyle w:val="TableParagraph"/>
                          <w:spacing w:before="111"/>
                          <w:ind w:right="93"/>
                          <w:jc w:val="right"/>
                          <w:rPr>
                            <w:rFonts w:ascii="Times New Roman"/>
                            <w:sz w:val="21"/>
                          </w:rPr>
                        </w:pPr>
                        <w:r>
                          <w:rPr>
                            <w:rFonts w:ascii="Times New Roman"/>
                            <w:sz w:val="21"/>
                          </w:rPr>
                          <w:t>3.5239%</w:t>
                        </w:r>
                      </w:p>
                    </w:tc>
                    <w:tc>
                      <w:tcPr>
                        <w:tcW w:w="1260" w:type="dxa"/>
                      </w:tcPr>
                      <w:p>
                        <w:pPr>
                          <w:pStyle w:val="TableParagraph"/>
                          <w:spacing w:before="111"/>
                          <w:ind w:right="93"/>
                          <w:jc w:val="right"/>
                          <w:rPr>
                            <w:rFonts w:ascii="Times New Roman"/>
                            <w:sz w:val="21"/>
                          </w:rPr>
                        </w:pPr>
                        <w:r>
                          <w:rPr>
                            <w:rFonts w:ascii="Times New Roman"/>
                            <w:sz w:val="21"/>
                          </w:rPr>
                          <w:t>0.0046%</w:t>
                        </w:r>
                      </w:p>
                    </w:tc>
                    <w:tc>
                      <w:tcPr>
                        <w:tcW w:w="1260" w:type="dxa"/>
                      </w:tcPr>
                      <w:p>
                        <w:pPr>
                          <w:pStyle w:val="TableParagraph"/>
                          <w:spacing w:before="111"/>
                          <w:ind w:right="93"/>
                          <w:jc w:val="right"/>
                          <w:rPr>
                            <w:rFonts w:ascii="Times New Roman"/>
                            <w:sz w:val="21"/>
                          </w:rPr>
                        </w:pPr>
                        <w:r>
                          <w:rPr>
                            <w:rFonts w:ascii="Times New Roman"/>
                            <w:sz w:val="21"/>
                          </w:rPr>
                          <w:t>1.3500%</w:t>
                        </w:r>
                      </w:p>
                    </w:tc>
                    <w:tc>
                      <w:tcPr>
                        <w:tcW w:w="1440" w:type="dxa"/>
                      </w:tcPr>
                      <w:p>
                        <w:pPr>
                          <w:pStyle w:val="TableParagraph"/>
                          <w:spacing w:before="111"/>
                          <w:ind w:right="93"/>
                          <w:jc w:val="right"/>
                          <w:rPr>
                            <w:rFonts w:ascii="Times New Roman"/>
                            <w:sz w:val="21"/>
                          </w:rPr>
                        </w:pPr>
                        <w:r>
                          <w:rPr>
                            <w:rFonts w:ascii="Times New Roman"/>
                            <w:sz w:val="21"/>
                          </w:rPr>
                          <w:t>0.0000%</w:t>
                        </w:r>
                      </w:p>
                    </w:tc>
                    <w:tc>
                      <w:tcPr>
                        <w:tcW w:w="1081" w:type="dxa"/>
                      </w:tcPr>
                      <w:p>
                        <w:pPr>
                          <w:pStyle w:val="TableParagraph"/>
                          <w:spacing w:before="111"/>
                          <w:ind w:right="94"/>
                          <w:jc w:val="right"/>
                          <w:rPr>
                            <w:rFonts w:ascii="Times New Roman"/>
                            <w:sz w:val="21"/>
                          </w:rPr>
                        </w:pPr>
                        <w:r>
                          <w:rPr>
                            <w:rFonts w:ascii="Times New Roman"/>
                            <w:sz w:val="21"/>
                          </w:rPr>
                          <w:t>2.1739%</w:t>
                        </w:r>
                      </w:p>
                    </w:tc>
                    <w:tc>
                      <w:tcPr>
                        <w:tcW w:w="1440" w:type="dxa"/>
                      </w:tcPr>
                      <w:p>
                        <w:pPr>
                          <w:pStyle w:val="TableParagraph"/>
                          <w:spacing w:before="111"/>
                          <w:ind w:right="93"/>
                          <w:jc w:val="right"/>
                          <w:rPr>
                            <w:rFonts w:ascii="Times New Roman"/>
                            <w:sz w:val="21"/>
                          </w:rPr>
                        </w:pPr>
                        <w:r>
                          <w:rPr>
                            <w:rFonts w:ascii="Times New Roman"/>
                            <w:sz w:val="21"/>
                          </w:rPr>
                          <w:t>0.0046%</w:t>
                        </w:r>
                      </w:p>
                    </w:tc>
                  </w:tr>
                </w:tbl>
                <w:p>
                  <w:pPr>
                    <w:pStyle w:val="BodyText"/>
                  </w:pPr>
                </w:p>
              </w:txbxContent>
            </v:textbox>
            <w10:wrap type="none"/>
          </v:shape>
        </w:pict>
      </w:r>
      <w:r>
        <w:rPr>
          <w:rFonts w:ascii="Times New Roman" w:eastAsia="Times New Roman"/>
          <w:b/>
          <w:sz w:val="21"/>
        </w:rPr>
        <w:t>1</w:t>
      </w:r>
      <w:r>
        <w:rPr>
          <w:b/>
          <w:spacing w:val="-9"/>
          <w:sz w:val="21"/>
        </w:rPr>
        <w:t>、 基金收益率及其与同期业绩比较基准收益率的比较表</w:t>
      </w:r>
      <w:r>
        <w:rPr>
          <w:b/>
          <w:spacing w:val="-11"/>
          <w:sz w:val="21"/>
        </w:rPr>
        <w:t>货币基金 </w:t>
      </w:r>
      <w:r>
        <w:rPr>
          <w:rFonts w:ascii="Times New Roman" w:eastAsia="Times New Roman"/>
          <w:b/>
          <w:sz w:val="21"/>
        </w:rPr>
        <w:t>A</w:t>
      </w:r>
    </w:p>
    <w:p>
      <w:pPr>
        <w:spacing w:after="0" w:line="417" w:lineRule="auto"/>
        <w:jc w:val="left"/>
        <w:rPr>
          <w:rFonts w:ascii="Times New Roman" w:eastAsia="Times New Roman"/>
          <w:sz w:val="21"/>
        </w:rPr>
        <w:sectPr>
          <w:footerReference w:type="default" r:id="rId176"/>
          <w:pgSz w:w="11910" w:h="16840"/>
          <w:pgMar w:footer="992" w:header="852" w:top="1220" w:bottom="1180" w:left="1140" w:right="480"/>
        </w:sectPr>
      </w:pPr>
    </w:p>
    <w:p>
      <w:pPr>
        <w:pStyle w:val="BodyText"/>
        <w:spacing w:before="9"/>
        <w:rPr>
          <w:rFonts w:ascii="Times New Roman"/>
          <w:b/>
          <w:sz w:val="18"/>
        </w:rPr>
      </w:pPr>
    </w:p>
    <w:tbl>
      <w:tblPr>
        <w:tblW w:w="0" w:type="auto"/>
        <w:jc w:val="left"/>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1261"/>
        <w:gridCol w:w="1260"/>
        <w:gridCol w:w="1260"/>
        <w:gridCol w:w="1440"/>
        <w:gridCol w:w="1081"/>
        <w:gridCol w:w="1440"/>
      </w:tblGrid>
      <w:tr>
        <w:trPr>
          <w:trHeight w:val="468" w:hRule="atLeast"/>
        </w:trPr>
        <w:tc>
          <w:tcPr>
            <w:tcW w:w="1980" w:type="dxa"/>
          </w:tcPr>
          <w:p>
            <w:pPr>
              <w:pStyle w:val="TableParagraph"/>
              <w:spacing w:before="102"/>
              <w:ind w:left="628" w:right="619"/>
              <w:jc w:val="center"/>
              <w:rPr>
                <w:sz w:val="21"/>
              </w:rPr>
            </w:pPr>
            <w:r>
              <w:rPr>
                <w:rFonts w:ascii="Times New Roman" w:eastAsia="Times New Roman"/>
                <w:sz w:val="21"/>
              </w:rPr>
              <w:t>2014 </w:t>
            </w:r>
            <w:r>
              <w:rPr>
                <w:sz w:val="21"/>
              </w:rPr>
              <w:t>年</w:t>
            </w:r>
          </w:p>
        </w:tc>
        <w:tc>
          <w:tcPr>
            <w:tcW w:w="1261" w:type="dxa"/>
          </w:tcPr>
          <w:p>
            <w:pPr>
              <w:pStyle w:val="TableParagraph"/>
              <w:spacing w:before="111"/>
              <w:ind w:right="93"/>
              <w:jc w:val="right"/>
              <w:rPr>
                <w:rFonts w:ascii="Times New Roman"/>
                <w:sz w:val="21"/>
              </w:rPr>
            </w:pPr>
            <w:r>
              <w:rPr>
                <w:rFonts w:ascii="Times New Roman"/>
                <w:sz w:val="21"/>
              </w:rPr>
              <w:t>4.1998%</w:t>
            </w:r>
          </w:p>
        </w:tc>
        <w:tc>
          <w:tcPr>
            <w:tcW w:w="1260" w:type="dxa"/>
          </w:tcPr>
          <w:p>
            <w:pPr>
              <w:pStyle w:val="TableParagraph"/>
              <w:spacing w:before="111"/>
              <w:ind w:right="93"/>
              <w:jc w:val="right"/>
              <w:rPr>
                <w:rFonts w:ascii="Times New Roman"/>
                <w:sz w:val="21"/>
              </w:rPr>
            </w:pPr>
            <w:r>
              <w:rPr>
                <w:rFonts w:ascii="Times New Roman"/>
                <w:sz w:val="21"/>
              </w:rPr>
              <w:t>0.0051%</w:t>
            </w:r>
          </w:p>
        </w:tc>
        <w:tc>
          <w:tcPr>
            <w:tcW w:w="1260" w:type="dxa"/>
          </w:tcPr>
          <w:p>
            <w:pPr>
              <w:pStyle w:val="TableParagraph"/>
              <w:spacing w:before="111"/>
              <w:ind w:right="93"/>
              <w:jc w:val="right"/>
              <w:rPr>
                <w:rFonts w:ascii="Times New Roman"/>
                <w:sz w:val="21"/>
              </w:rPr>
            </w:pPr>
            <w:r>
              <w:rPr>
                <w:rFonts w:ascii="Times New Roman"/>
                <w:sz w:val="21"/>
              </w:rPr>
              <w:t>1.3500%</w:t>
            </w:r>
          </w:p>
        </w:tc>
        <w:tc>
          <w:tcPr>
            <w:tcW w:w="1440" w:type="dxa"/>
          </w:tcPr>
          <w:p>
            <w:pPr>
              <w:pStyle w:val="TableParagraph"/>
              <w:spacing w:before="111"/>
              <w:ind w:right="93"/>
              <w:jc w:val="right"/>
              <w:rPr>
                <w:rFonts w:ascii="Times New Roman"/>
                <w:sz w:val="21"/>
              </w:rPr>
            </w:pPr>
            <w:r>
              <w:rPr>
                <w:rFonts w:ascii="Times New Roman"/>
                <w:sz w:val="21"/>
              </w:rPr>
              <w:t>0.0000%</w:t>
            </w:r>
          </w:p>
        </w:tc>
        <w:tc>
          <w:tcPr>
            <w:tcW w:w="1081" w:type="dxa"/>
          </w:tcPr>
          <w:p>
            <w:pPr>
              <w:pStyle w:val="TableParagraph"/>
              <w:spacing w:before="111"/>
              <w:ind w:left="198" w:right="77"/>
              <w:jc w:val="center"/>
              <w:rPr>
                <w:rFonts w:ascii="Times New Roman"/>
                <w:sz w:val="21"/>
              </w:rPr>
            </w:pPr>
            <w:r>
              <w:rPr>
                <w:rFonts w:ascii="Times New Roman"/>
                <w:sz w:val="21"/>
              </w:rPr>
              <w:t>2.8498%</w:t>
            </w:r>
          </w:p>
        </w:tc>
        <w:tc>
          <w:tcPr>
            <w:tcW w:w="1440" w:type="dxa"/>
          </w:tcPr>
          <w:p>
            <w:pPr>
              <w:pStyle w:val="TableParagraph"/>
              <w:spacing w:before="111"/>
              <w:ind w:right="93"/>
              <w:jc w:val="right"/>
              <w:rPr>
                <w:rFonts w:ascii="Times New Roman"/>
                <w:sz w:val="21"/>
              </w:rPr>
            </w:pPr>
            <w:r>
              <w:rPr>
                <w:rFonts w:ascii="Times New Roman"/>
                <w:sz w:val="21"/>
              </w:rPr>
              <w:t>0.0051%</w:t>
            </w:r>
          </w:p>
        </w:tc>
      </w:tr>
      <w:tr>
        <w:trPr>
          <w:trHeight w:val="467" w:hRule="atLeast"/>
        </w:trPr>
        <w:tc>
          <w:tcPr>
            <w:tcW w:w="1980" w:type="dxa"/>
          </w:tcPr>
          <w:p>
            <w:pPr>
              <w:pStyle w:val="TableParagraph"/>
              <w:spacing w:before="101"/>
              <w:ind w:left="628" w:right="619"/>
              <w:jc w:val="center"/>
              <w:rPr>
                <w:sz w:val="21"/>
              </w:rPr>
            </w:pPr>
            <w:r>
              <w:rPr>
                <w:rFonts w:ascii="Times New Roman" w:eastAsia="Times New Roman"/>
                <w:sz w:val="21"/>
              </w:rPr>
              <w:t>2015 </w:t>
            </w:r>
            <w:r>
              <w:rPr>
                <w:sz w:val="21"/>
              </w:rPr>
              <w:t>年</w:t>
            </w:r>
          </w:p>
        </w:tc>
        <w:tc>
          <w:tcPr>
            <w:tcW w:w="1261" w:type="dxa"/>
          </w:tcPr>
          <w:p>
            <w:pPr>
              <w:pStyle w:val="TableParagraph"/>
              <w:spacing w:before="111"/>
              <w:ind w:right="93"/>
              <w:jc w:val="right"/>
              <w:rPr>
                <w:rFonts w:ascii="Times New Roman"/>
                <w:sz w:val="21"/>
              </w:rPr>
            </w:pPr>
            <w:r>
              <w:rPr>
                <w:rFonts w:ascii="Times New Roman"/>
                <w:sz w:val="21"/>
              </w:rPr>
              <w:t>3.1473%</w:t>
            </w:r>
          </w:p>
        </w:tc>
        <w:tc>
          <w:tcPr>
            <w:tcW w:w="1260" w:type="dxa"/>
          </w:tcPr>
          <w:p>
            <w:pPr>
              <w:pStyle w:val="TableParagraph"/>
              <w:spacing w:before="111"/>
              <w:ind w:right="93"/>
              <w:jc w:val="right"/>
              <w:rPr>
                <w:rFonts w:ascii="Times New Roman"/>
                <w:sz w:val="21"/>
              </w:rPr>
            </w:pPr>
            <w:r>
              <w:rPr>
                <w:rFonts w:ascii="Times New Roman"/>
                <w:sz w:val="21"/>
              </w:rPr>
              <w:t>0.0084%</w:t>
            </w:r>
          </w:p>
        </w:tc>
        <w:tc>
          <w:tcPr>
            <w:tcW w:w="1260" w:type="dxa"/>
          </w:tcPr>
          <w:p>
            <w:pPr>
              <w:pStyle w:val="TableParagraph"/>
              <w:spacing w:before="111"/>
              <w:ind w:right="93"/>
              <w:jc w:val="right"/>
              <w:rPr>
                <w:rFonts w:ascii="Times New Roman"/>
                <w:sz w:val="21"/>
              </w:rPr>
            </w:pPr>
            <w:r>
              <w:rPr>
                <w:rFonts w:ascii="Times New Roman"/>
                <w:sz w:val="21"/>
              </w:rPr>
              <w:t>1.3500%</w:t>
            </w:r>
          </w:p>
        </w:tc>
        <w:tc>
          <w:tcPr>
            <w:tcW w:w="1440" w:type="dxa"/>
          </w:tcPr>
          <w:p>
            <w:pPr>
              <w:pStyle w:val="TableParagraph"/>
              <w:spacing w:before="111"/>
              <w:ind w:right="93"/>
              <w:jc w:val="right"/>
              <w:rPr>
                <w:rFonts w:ascii="Times New Roman"/>
                <w:sz w:val="21"/>
              </w:rPr>
            </w:pPr>
            <w:r>
              <w:rPr>
                <w:rFonts w:ascii="Times New Roman"/>
                <w:sz w:val="21"/>
              </w:rPr>
              <w:t>0.0000%</w:t>
            </w:r>
          </w:p>
        </w:tc>
        <w:tc>
          <w:tcPr>
            <w:tcW w:w="1081" w:type="dxa"/>
          </w:tcPr>
          <w:p>
            <w:pPr>
              <w:pStyle w:val="TableParagraph"/>
              <w:spacing w:before="111"/>
              <w:ind w:left="198" w:right="77"/>
              <w:jc w:val="center"/>
              <w:rPr>
                <w:rFonts w:ascii="Times New Roman"/>
                <w:sz w:val="21"/>
              </w:rPr>
            </w:pPr>
            <w:r>
              <w:rPr>
                <w:rFonts w:ascii="Times New Roman"/>
                <w:sz w:val="21"/>
              </w:rPr>
              <w:t>1.7973%</w:t>
            </w:r>
          </w:p>
        </w:tc>
        <w:tc>
          <w:tcPr>
            <w:tcW w:w="1440" w:type="dxa"/>
          </w:tcPr>
          <w:p>
            <w:pPr>
              <w:pStyle w:val="TableParagraph"/>
              <w:spacing w:before="111"/>
              <w:ind w:right="93"/>
              <w:jc w:val="right"/>
              <w:rPr>
                <w:rFonts w:ascii="Times New Roman"/>
                <w:sz w:val="21"/>
              </w:rPr>
            </w:pPr>
            <w:r>
              <w:rPr>
                <w:rFonts w:ascii="Times New Roman"/>
                <w:sz w:val="21"/>
              </w:rPr>
              <w:t>0.0084%</w:t>
            </w:r>
          </w:p>
        </w:tc>
      </w:tr>
      <w:tr>
        <w:trPr>
          <w:trHeight w:val="467" w:hRule="atLeast"/>
        </w:trPr>
        <w:tc>
          <w:tcPr>
            <w:tcW w:w="1980" w:type="dxa"/>
          </w:tcPr>
          <w:p>
            <w:pPr>
              <w:pStyle w:val="TableParagraph"/>
              <w:spacing w:before="102"/>
              <w:ind w:left="628" w:right="619"/>
              <w:jc w:val="center"/>
              <w:rPr>
                <w:sz w:val="21"/>
              </w:rPr>
            </w:pPr>
            <w:r>
              <w:rPr>
                <w:rFonts w:ascii="Times New Roman" w:eastAsia="Times New Roman"/>
                <w:sz w:val="21"/>
              </w:rPr>
              <w:t>2016 </w:t>
            </w:r>
            <w:r>
              <w:rPr>
                <w:sz w:val="21"/>
              </w:rPr>
              <w:t>年</w:t>
            </w:r>
          </w:p>
        </w:tc>
        <w:tc>
          <w:tcPr>
            <w:tcW w:w="1261" w:type="dxa"/>
          </w:tcPr>
          <w:p>
            <w:pPr>
              <w:pStyle w:val="TableParagraph"/>
              <w:spacing w:before="111"/>
              <w:ind w:right="93"/>
              <w:jc w:val="right"/>
              <w:rPr>
                <w:rFonts w:ascii="Times New Roman"/>
                <w:sz w:val="21"/>
              </w:rPr>
            </w:pPr>
            <w:r>
              <w:rPr>
                <w:rFonts w:ascii="Times New Roman"/>
                <w:sz w:val="21"/>
              </w:rPr>
              <w:t>2.1350%</w:t>
            </w:r>
          </w:p>
        </w:tc>
        <w:tc>
          <w:tcPr>
            <w:tcW w:w="1260" w:type="dxa"/>
          </w:tcPr>
          <w:p>
            <w:pPr>
              <w:pStyle w:val="TableParagraph"/>
              <w:spacing w:before="111"/>
              <w:ind w:right="93"/>
              <w:jc w:val="right"/>
              <w:rPr>
                <w:rFonts w:ascii="Times New Roman"/>
                <w:sz w:val="21"/>
              </w:rPr>
            </w:pPr>
            <w:r>
              <w:rPr>
                <w:rFonts w:ascii="Times New Roman"/>
                <w:sz w:val="21"/>
              </w:rPr>
              <w:t>0.0029%</w:t>
            </w:r>
          </w:p>
        </w:tc>
        <w:tc>
          <w:tcPr>
            <w:tcW w:w="1260" w:type="dxa"/>
          </w:tcPr>
          <w:p>
            <w:pPr>
              <w:pStyle w:val="TableParagraph"/>
              <w:spacing w:before="111"/>
              <w:ind w:right="93"/>
              <w:jc w:val="right"/>
              <w:rPr>
                <w:rFonts w:ascii="Times New Roman"/>
                <w:sz w:val="21"/>
              </w:rPr>
            </w:pPr>
            <w:r>
              <w:rPr>
                <w:rFonts w:ascii="Times New Roman"/>
                <w:sz w:val="21"/>
              </w:rPr>
              <w:t>1.3500%</w:t>
            </w:r>
          </w:p>
        </w:tc>
        <w:tc>
          <w:tcPr>
            <w:tcW w:w="1440" w:type="dxa"/>
          </w:tcPr>
          <w:p>
            <w:pPr>
              <w:pStyle w:val="TableParagraph"/>
              <w:spacing w:before="111"/>
              <w:ind w:right="93"/>
              <w:jc w:val="right"/>
              <w:rPr>
                <w:rFonts w:ascii="Times New Roman"/>
                <w:sz w:val="21"/>
              </w:rPr>
            </w:pPr>
            <w:r>
              <w:rPr>
                <w:rFonts w:ascii="Times New Roman"/>
                <w:sz w:val="21"/>
              </w:rPr>
              <w:t>0.0000%</w:t>
            </w:r>
          </w:p>
        </w:tc>
        <w:tc>
          <w:tcPr>
            <w:tcW w:w="1081" w:type="dxa"/>
          </w:tcPr>
          <w:p>
            <w:pPr>
              <w:pStyle w:val="TableParagraph"/>
              <w:spacing w:before="111"/>
              <w:ind w:left="198" w:right="77"/>
              <w:jc w:val="center"/>
              <w:rPr>
                <w:rFonts w:ascii="Times New Roman"/>
                <w:sz w:val="21"/>
              </w:rPr>
            </w:pPr>
            <w:r>
              <w:rPr>
                <w:rFonts w:ascii="Times New Roman"/>
                <w:sz w:val="21"/>
              </w:rPr>
              <w:t>0.7850%</w:t>
            </w:r>
          </w:p>
        </w:tc>
        <w:tc>
          <w:tcPr>
            <w:tcW w:w="1440" w:type="dxa"/>
          </w:tcPr>
          <w:p>
            <w:pPr>
              <w:pStyle w:val="TableParagraph"/>
              <w:spacing w:before="111"/>
              <w:ind w:right="93"/>
              <w:jc w:val="right"/>
              <w:rPr>
                <w:rFonts w:ascii="Times New Roman"/>
                <w:sz w:val="21"/>
              </w:rPr>
            </w:pPr>
            <w:r>
              <w:rPr>
                <w:rFonts w:ascii="Times New Roman"/>
                <w:sz w:val="21"/>
              </w:rPr>
              <w:t>0.0029%</w:t>
            </w:r>
          </w:p>
        </w:tc>
      </w:tr>
      <w:tr>
        <w:trPr>
          <w:trHeight w:val="470" w:hRule="atLeast"/>
        </w:trPr>
        <w:tc>
          <w:tcPr>
            <w:tcW w:w="1980" w:type="dxa"/>
          </w:tcPr>
          <w:p>
            <w:pPr>
              <w:pStyle w:val="TableParagraph"/>
              <w:spacing w:before="102"/>
              <w:ind w:left="628" w:right="619"/>
              <w:jc w:val="center"/>
              <w:rPr>
                <w:sz w:val="21"/>
              </w:rPr>
            </w:pPr>
            <w:r>
              <w:rPr>
                <w:rFonts w:ascii="Times New Roman" w:eastAsia="Times New Roman"/>
                <w:sz w:val="21"/>
              </w:rPr>
              <w:t>2017 </w:t>
            </w:r>
            <w:r>
              <w:rPr>
                <w:sz w:val="21"/>
              </w:rPr>
              <w:t>年</w:t>
            </w:r>
          </w:p>
        </w:tc>
        <w:tc>
          <w:tcPr>
            <w:tcW w:w="1261" w:type="dxa"/>
          </w:tcPr>
          <w:p>
            <w:pPr>
              <w:pStyle w:val="TableParagraph"/>
              <w:spacing w:before="113"/>
              <w:ind w:right="93"/>
              <w:jc w:val="right"/>
              <w:rPr>
                <w:rFonts w:ascii="Times New Roman"/>
                <w:sz w:val="21"/>
              </w:rPr>
            </w:pPr>
            <w:r>
              <w:rPr>
                <w:rFonts w:ascii="Times New Roman"/>
                <w:sz w:val="21"/>
              </w:rPr>
              <w:t>3.7174%</w:t>
            </w:r>
          </w:p>
        </w:tc>
        <w:tc>
          <w:tcPr>
            <w:tcW w:w="1260" w:type="dxa"/>
          </w:tcPr>
          <w:p>
            <w:pPr>
              <w:pStyle w:val="TableParagraph"/>
              <w:spacing w:before="113"/>
              <w:ind w:right="93"/>
              <w:jc w:val="right"/>
              <w:rPr>
                <w:rFonts w:ascii="Times New Roman"/>
                <w:sz w:val="21"/>
              </w:rPr>
            </w:pPr>
            <w:r>
              <w:rPr>
                <w:rFonts w:ascii="Times New Roman"/>
                <w:sz w:val="21"/>
              </w:rPr>
              <w:t>0.0026%</w:t>
            </w:r>
          </w:p>
        </w:tc>
        <w:tc>
          <w:tcPr>
            <w:tcW w:w="1260" w:type="dxa"/>
          </w:tcPr>
          <w:p>
            <w:pPr>
              <w:pStyle w:val="TableParagraph"/>
              <w:spacing w:before="113"/>
              <w:ind w:right="93"/>
              <w:jc w:val="right"/>
              <w:rPr>
                <w:rFonts w:ascii="Times New Roman"/>
                <w:sz w:val="21"/>
              </w:rPr>
            </w:pPr>
            <w:r>
              <w:rPr>
                <w:rFonts w:ascii="Times New Roman"/>
                <w:sz w:val="21"/>
              </w:rPr>
              <w:t>1.3500%</w:t>
            </w:r>
          </w:p>
        </w:tc>
        <w:tc>
          <w:tcPr>
            <w:tcW w:w="1440" w:type="dxa"/>
          </w:tcPr>
          <w:p>
            <w:pPr>
              <w:pStyle w:val="TableParagraph"/>
              <w:spacing w:before="113"/>
              <w:ind w:right="93"/>
              <w:jc w:val="right"/>
              <w:rPr>
                <w:rFonts w:ascii="Times New Roman"/>
                <w:sz w:val="21"/>
              </w:rPr>
            </w:pPr>
            <w:r>
              <w:rPr>
                <w:rFonts w:ascii="Times New Roman"/>
                <w:sz w:val="21"/>
              </w:rPr>
              <w:t>0.0000%</w:t>
            </w:r>
          </w:p>
        </w:tc>
        <w:tc>
          <w:tcPr>
            <w:tcW w:w="1081" w:type="dxa"/>
          </w:tcPr>
          <w:p>
            <w:pPr>
              <w:pStyle w:val="TableParagraph"/>
              <w:spacing w:before="113"/>
              <w:ind w:left="198" w:right="77"/>
              <w:jc w:val="center"/>
              <w:rPr>
                <w:rFonts w:ascii="Times New Roman"/>
                <w:sz w:val="21"/>
              </w:rPr>
            </w:pPr>
            <w:r>
              <w:rPr>
                <w:rFonts w:ascii="Times New Roman"/>
                <w:sz w:val="21"/>
              </w:rPr>
              <w:t>2.3674%</w:t>
            </w:r>
          </w:p>
        </w:tc>
        <w:tc>
          <w:tcPr>
            <w:tcW w:w="1440" w:type="dxa"/>
          </w:tcPr>
          <w:p>
            <w:pPr>
              <w:pStyle w:val="TableParagraph"/>
              <w:spacing w:before="113"/>
              <w:ind w:right="93"/>
              <w:jc w:val="right"/>
              <w:rPr>
                <w:rFonts w:ascii="Times New Roman"/>
                <w:sz w:val="21"/>
              </w:rPr>
            </w:pPr>
            <w:r>
              <w:rPr>
                <w:rFonts w:ascii="Times New Roman"/>
                <w:sz w:val="21"/>
              </w:rPr>
              <w:t>0.0026%</w:t>
            </w:r>
          </w:p>
        </w:tc>
      </w:tr>
      <w:tr>
        <w:trPr>
          <w:trHeight w:val="467" w:hRule="atLeast"/>
        </w:trPr>
        <w:tc>
          <w:tcPr>
            <w:tcW w:w="1980" w:type="dxa"/>
          </w:tcPr>
          <w:p>
            <w:pPr>
              <w:pStyle w:val="TableParagraph"/>
              <w:spacing w:before="99"/>
              <w:ind w:left="628" w:right="619"/>
              <w:jc w:val="center"/>
              <w:rPr>
                <w:sz w:val="21"/>
              </w:rPr>
            </w:pPr>
            <w:r>
              <w:rPr>
                <w:rFonts w:ascii="Times New Roman" w:eastAsia="Times New Roman"/>
                <w:sz w:val="21"/>
              </w:rPr>
              <w:t>2018 </w:t>
            </w:r>
            <w:r>
              <w:rPr>
                <w:sz w:val="21"/>
              </w:rPr>
              <w:t>年</w:t>
            </w:r>
          </w:p>
        </w:tc>
        <w:tc>
          <w:tcPr>
            <w:tcW w:w="1261" w:type="dxa"/>
          </w:tcPr>
          <w:p>
            <w:pPr>
              <w:pStyle w:val="TableParagraph"/>
              <w:spacing w:before="111"/>
              <w:ind w:right="93"/>
              <w:jc w:val="right"/>
              <w:rPr>
                <w:rFonts w:ascii="Times New Roman"/>
                <w:sz w:val="21"/>
              </w:rPr>
            </w:pPr>
            <w:r>
              <w:rPr>
                <w:rFonts w:ascii="Times New Roman"/>
                <w:sz w:val="21"/>
              </w:rPr>
              <w:t>3.1547%</w:t>
            </w:r>
          </w:p>
        </w:tc>
        <w:tc>
          <w:tcPr>
            <w:tcW w:w="1260" w:type="dxa"/>
          </w:tcPr>
          <w:p>
            <w:pPr>
              <w:pStyle w:val="TableParagraph"/>
              <w:spacing w:before="111"/>
              <w:ind w:right="93"/>
              <w:jc w:val="right"/>
              <w:rPr>
                <w:rFonts w:ascii="Times New Roman"/>
                <w:sz w:val="21"/>
              </w:rPr>
            </w:pPr>
            <w:r>
              <w:rPr>
                <w:rFonts w:ascii="Times New Roman"/>
                <w:sz w:val="21"/>
              </w:rPr>
              <w:t>0.0025%</w:t>
            </w:r>
          </w:p>
        </w:tc>
        <w:tc>
          <w:tcPr>
            <w:tcW w:w="1260" w:type="dxa"/>
          </w:tcPr>
          <w:p>
            <w:pPr>
              <w:pStyle w:val="TableParagraph"/>
              <w:spacing w:before="111"/>
              <w:ind w:right="93"/>
              <w:jc w:val="right"/>
              <w:rPr>
                <w:rFonts w:ascii="Times New Roman"/>
                <w:sz w:val="21"/>
              </w:rPr>
            </w:pPr>
            <w:r>
              <w:rPr>
                <w:rFonts w:ascii="Times New Roman"/>
                <w:sz w:val="21"/>
              </w:rPr>
              <w:t>1.3500%</w:t>
            </w:r>
          </w:p>
        </w:tc>
        <w:tc>
          <w:tcPr>
            <w:tcW w:w="1440" w:type="dxa"/>
          </w:tcPr>
          <w:p>
            <w:pPr>
              <w:pStyle w:val="TableParagraph"/>
              <w:spacing w:before="111"/>
              <w:ind w:right="93"/>
              <w:jc w:val="right"/>
              <w:rPr>
                <w:rFonts w:ascii="Times New Roman"/>
                <w:sz w:val="21"/>
              </w:rPr>
            </w:pPr>
            <w:r>
              <w:rPr>
                <w:rFonts w:ascii="Times New Roman"/>
                <w:sz w:val="21"/>
              </w:rPr>
              <w:t>0.0000%</w:t>
            </w:r>
          </w:p>
        </w:tc>
        <w:tc>
          <w:tcPr>
            <w:tcW w:w="1081" w:type="dxa"/>
          </w:tcPr>
          <w:p>
            <w:pPr>
              <w:pStyle w:val="TableParagraph"/>
              <w:spacing w:before="111"/>
              <w:ind w:left="198" w:right="77"/>
              <w:jc w:val="center"/>
              <w:rPr>
                <w:rFonts w:ascii="Times New Roman"/>
                <w:sz w:val="21"/>
              </w:rPr>
            </w:pPr>
            <w:r>
              <w:rPr>
                <w:rFonts w:ascii="Times New Roman"/>
                <w:sz w:val="21"/>
              </w:rPr>
              <w:t>1.8047%</w:t>
            </w:r>
          </w:p>
        </w:tc>
        <w:tc>
          <w:tcPr>
            <w:tcW w:w="1440" w:type="dxa"/>
          </w:tcPr>
          <w:p>
            <w:pPr>
              <w:pStyle w:val="TableParagraph"/>
              <w:spacing w:before="111"/>
              <w:ind w:right="93"/>
              <w:jc w:val="right"/>
              <w:rPr>
                <w:rFonts w:ascii="Times New Roman"/>
                <w:sz w:val="21"/>
              </w:rPr>
            </w:pPr>
            <w:r>
              <w:rPr>
                <w:rFonts w:ascii="Times New Roman"/>
                <w:sz w:val="21"/>
              </w:rPr>
              <w:t>0.0025%</w:t>
            </w:r>
          </w:p>
        </w:tc>
      </w:tr>
      <w:tr>
        <w:trPr>
          <w:trHeight w:val="623" w:hRule="atLeast"/>
        </w:trPr>
        <w:tc>
          <w:tcPr>
            <w:tcW w:w="1980" w:type="dxa"/>
          </w:tcPr>
          <w:p>
            <w:pPr>
              <w:pStyle w:val="TableParagraph"/>
              <w:spacing w:before="22"/>
              <w:ind w:left="122"/>
              <w:rPr>
                <w:sz w:val="21"/>
              </w:rPr>
            </w:pPr>
            <w:r>
              <w:rPr>
                <w:rFonts w:ascii="Times New Roman" w:eastAsia="Times New Roman"/>
                <w:sz w:val="21"/>
              </w:rPr>
              <w:t>2019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w:t>
            </w:r>
          </w:p>
          <w:p>
            <w:pPr>
              <w:pStyle w:val="TableParagraph"/>
              <w:spacing w:before="43"/>
              <w:ind w:left="175"/>
              <w:rPr>
                <w:sz w:val="21"/>
              </w:rPr>
            </w:pPr>
            <w:r>
              <w:rPr>
                <w:rFonts w:ascii="Times New Roman" w:eastAsia="Times New Roman"/>
                <w:sz w:val="21"/>
              </w:rPr>
              <w:t>2019 </w:t>
            </w:r>
            <w:r>
              <w:rPr>
                <w:sz w:val="21"/>
              </w:rPr>
              <w:t>年 </w:t>
            </w:r>
            <w:r>
              <w:rPr>
                <w:rFonts w:ascii="Times New Roman" w:eastAsia="Times New Roman"/>
                <w:sz w:val="21"/>
              </w:rPr>
              <w:t>6 </w:t>
            </w:r>
            <w:r>
              <w:rPr>
                <w:sz w:val="21"/>
              </w:rPr>
              <w:t>月 </w:t>
            </w:r>
            <w:r>
              <w:rPr>
                <w:rFonts w:ascii="Times New Roman" w:eastAsia="Times New Roman"/>
                <w:sz w:val="21"/>
              </w:rPr>
              <w:t>30 </w:t>
            </w:r>
            <w:r>
              <w:rPr>
                <w:sz w:val="21"/>
              </w:rPr>
              <w:t>日</w:t>
            </w:r>
          </w:p>
        </w:tc>
        <w:tc>
          <w:tcPr>
            <w:tcW w:w="1261" w:type="dxa"/>
          </w:tcPr>
          <w:p>
            <w:pPr>
              <w:pStyle w:val="TableParagraph"/>
              <w:spacing w:before="187"/>
              <w:ind w:right="93"/>
              <w:jc w:val="right"/>
              <w:rPr>
                <w:rFonts w:ascii="Times New Roman"/>
                <w:sz w:val="21"/>
              </w:rPr>
            </w:pPr>
            <w:r>
              <w:rPr>
                <w:rFonts w:ascii="Times New Roman"/>
                <w:sz w:val="21"/>
              </w:rPr>
              <w:t>1.1187%</w:t>
            </w:r>
          </w:p>
        </w:tc>
        <w:tc>
          <w:tcPr>
            <w:tcW w:w="1260" w:type="dxa"/>
          </w:tcPr>
          <w:p>
            <w:pPr>
              <w:pStyle w:val="TableParagraph"/>
              <w:spacing w:before="187"/>
              <w:ind w:right="93"/>
              <w:jc w:val="right"/>
              <w:rPr>
                <w:rFonts w:ascii="Times New Roman"/>
                <w:sz w:val="21"/>
              </w:rPr>
            </w:pPr>
            <w:r>
              <w:rPr>
                <w:rFonts w:ascii="Times New Roman"/>
                <w:sz w:val="21"/>
              </w:rPr>
              <w:t>0.0032%</w:t>
            </w:r>
          </w:p>
        </w:tc>
        <w:tc>
          <w:tcPr>
            <w:tcW w:w="1260" w:type="dxa"/>
          </w:tcPr>
          <w:p>
            <w:pPr>
              <w:pStyle w:val="TableParagraph"/>
              <w:spacing w:before="187"/>
              <w:ind w:right="93"/>
              <w:jc w:val="right"/>
              <w:rPr>
                <w:rFonts w:ascii="Times New Roman"/>
                <w:sz w:val="21"/>
              </w:rPr>
            </w:pPr>
            <w:r>
              <w:rPr>
                <w:rFonts w:ascii="Times New Roman"/>
                <w:sz w:val="21"/>
              </w:rPr>
              <w:t>0.6695%</w:t>
            </w:r>
          </w:p>
        </w:tc>
        <w:tc>
          <w:tcPr>
            <w:tcW w:w="1440" w:type="dxa"/>
          </w:tcPr>
          <w:p>
            <w:pPr>
              <w:pStyle w:val="TableParagraph"/>
              <w:spacing w:before="187"/>
              <w:ind w:right="93"/>
              <w:jc w:val="right"/>
              <w:rPr>
                <w:rFonts w:ascii="Times New Roman"/>
                <w:sz w:val="21"/>
              </w:rPr>
            </w:pPr>
            <w:r>
              <w:rPr>
                <w:rFonts w:ascii="Times New Roman"/>
                <w:sz w:val="21"/>
              </w:rPr>
              <w:t>0.0000%</w:t>
            </w:r>
          </w:p>
        </w:tc>
        <w:tc>
          <w:tcPr>
            <w:tcW w:w="1081" w:type="dxa"/>
          </w:tcPr>
          <w:p>
            <w:pPr>
              <w:pStyle w:val="TableParagraph"/>
              <w:spacing w:before="187"/>
              <w:ind w:left="198" w:right="77"/>
              <w:jc w:val="center"/>
              <w:rPr>
                <w:rFonts w:ascii="Times New Roman"/>
                <w:sz w:val="21"/>
              </w:rPr>
            </w:pPr>
            <w:r>
              <w:rPr>
                <w:rFonts w:ascii="Times New Roman"/>
                <w:sz w:val="21"/>
              </w:rPr>
              <w:t>0.4492%</w:t>
            </w:r>
          </w:p>
        </w:tc>
        <w:tc>
          <w:tcPr>
            <w:tcW w:w="1440" w:type="dxa"/>
          </w:tcPr>
          <w:p>
            <w:pPr>
              <w:pStyle w:val="TableParagraph"/>
              <w:spacing w:before="187"/>
              <w:ind w:right="93"/>
              <w:jc w:val="right"/>
              <w:rPr>
                <w:rFonts w:ascii="Times New Roman"/>
                <w:sz w:val="21"/>
              </w:rPr>
            </w:pPr>
            <w:r>
              <w:rPr>
                <w:rFonts w:ascii="Times New Roman"/>
                <w:sz w:val="21"/>
              </w:rPr>
              <w:t>0.0032%</w:t>
            </w:r>
          </w:p>
        </w:tc>
      </w:tr>
      <w:tr>
        <w:trPr>
          <w:trHeight w:val="624" w:hRule="atLeast"/>
        </w:trPr>
        <w:tc>
          <w:tcPr>
            <w:tcW w:w="1980" w:type="dxa"/>
          </w:tcPr>
          <w:p>
            <w:pPr>
              <w:pStyle w:val="TableParagraph"/>
              <w:spacing w:before="22"/>
              <w:ind w:left="122"/>
              <w:rPr>
                <w:sz w:val="21"/>
              </w:rPr>
            </w:pPr>
            <w:r>
              <w:rPr>
                <w:rFonts w:ascii="Times New Roman" w:eastAsia="Times New Roman"/>
                <w:sz w:val="21"/>
              </w:rPr>
              <w:t>2019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w:t>
            </w:r>
          </w:p>
          <w:p>
            <w:pPr>
              <w:pStyle w:val="TableParagraph"/>
              <w:spacing w:before="44"/>
              <w:ind w:left="175"/>
              <w:rPr>
                <w:sz w:val="21"/>
              </w:rPr>
            </w:pPr>
            <w:r>
              <w:rPr>
                <w:rFonts w:ascii="Times New Roman" w:eastAsia="Times New Roman"/>
                <w:sz w:val="21"/>
              </w:rPr>
              <w:t>2019 </w:t>
            </w:r>
            <w:r>
              <w:rPr>
                <w:sz w:val="21"/>
              </w:rPr>
              <w:t>年 </w:t>
            </w:r>
            <w:r>
              <w:rPr>
                <w:rFonts w:ascii="Times New Roman" w:eastAsia="Times New Roman"/>
                <w:sz w:val="21"/>
              </w:rPr>
              <w:t>9 </w:t>
            </w:r>
            <w:r>
              <w:rPr>
                <w:sz w:val="21"/>
              </w:rPr>
              <w:t>月 </w:t>
            </w:r>
            <w:r>
              <w:rPr>
                <w:rFonts w:ascii="Times New Roman" w:eastAsia="Times New Roman"/>
                <w:sz w:val="21"/>
              </w:rPr>
              <w:t>30 </w:t>
            </w:r>
            <w:r>
              <w:rPr>
                <w:sz w:val="21"/>
              </w:rPr>
              <w:t>日</w:t>
            </w:r>
          </w:p>
        </w:tc>
        <w:tc>
          <w:tcPr>
            <w:tcW w:w="1261" w:type="dxa"/>
          </w:tcPr>
          <w:p>
            <w:pPr>
              <w:pStyle w:val="TableParagraph"/>
              <w:spacing w:before="190"/>
              <w:ind w:right="93"/>
              <w:jc w:val="right"/>
              <w:rPr>
                <w:rFonts w:ascii="Times New Roman"/>
                <w:sz w:val="21"/>
              </w:rPr>
            </w:pPr>
            <w:r>
              <w:rPr>
                <w:rFonts w:ascii="Times New Roman"/>
                <w:sz w:val="21"/>
              </w:rPr>
              <w:t>1.7064%</w:t>
            </w:r>
          </w:p>
        </w:tc>
        <w:tc>
          <w:tcPr>
            <w:tcW w:w="1260" w:type="dxa"/>
          </w:tcPr>
          <w:p>
            <w:pPr>
              <w:pStyle w:val="TableParagraph"/>
              <w:spacing w:before="190"/>
              <w:ind w:right="93"/>
              <w:jc w:val="right"/>
              <w:rPr>
                <w:rFonts w:ascii="Times New Roman"/>
                <w:sz w:val="21"/>
              </w:rPr>
            </w:pPr>
            <w:r>
              <w:rPr>
                <w:rFonts w:ascii="Times New Roman"/>
                <w:sz w:val="21"/>
              </w:rPr>
              <w:t>0.0037%</w:t>
            </w:r>
          </w:p>
        </w:tc>
        <w:tc>
          <w:tcPr>
            <w:tcW w:w="1260" w:type="dxa"/>
          </w:tcPr>
          <w:p>
            <w:pPr>
              <w:pStyle w:val="TableParagraph"/>
              <w:spacing w:before="190"/>
              <w:ind w:right="93"/>
              <w:jc w:val="right"/>
              <w:rPr>
                <w:rFonts w:ascii="Times New Roman"/>
                <w:sz w:val="21"/>
              </w:rPr>
            </w:pPr>
            <w:r>
              <w:rPr>
                <w:rFonts w:ascii="Times New Roman"/>
                <w:sz w:val="21"/>
              </w:rPr>
              <w:t>1.0097%</w:t>
            </w:r>
          </w:p>
        </w:tc>
        <w:tc>
          <w:tcPr>
            <w:tcW w:w="1440" w:type="dxa"/>
          </w:tcPr>
          <w:p>
            <w:pPr>
              <w:pStyle w:val="TableParagraph"/>
              <w:spacing w:before="190"/>
              <w:ind w:right="93"/>
              <w:jc w:val="right"/>
              <w:rPr>
                <w:rFonts w:ascii="Times New Roman"/>
                <w:sz w:val="21"/>
              </w:rPr>
            </w:pPr>
            <w:r>
              <w:rPr>
                <w:rFonts w:ascii="Times New Roman"/>
                <w:sz w:val="21"/>
              </w:rPr>
              <w:t>0.0000%</w:t>
            </w:r>
          </w:p>
        </w:tc>
        <w:tc>
          <w:tcPr>
            <w:tcW w:w="1081" w:type="dxa"/>
          </w:tcPr>
          <w:p>
            <w:pPr>
              <w:pStyle w:val="TableParagraph"/>
              <w:spacing w:before="190"/>
              <w:ind w:left="198" w:right="77"/>
              <w:jc w:val="center"/>
              <w:rPr>
                <w:rFonts w:ascii="Times New Roman"/>
                <w:sz w:val="21"/>
              </w:rPr>
            </w:pPr>
            <w:r>
              <w:rPr>
                <w:rFonts w:ascii="Times New Roman"/>
                <w:sz w:val="21"/>
              </w:rPr>
              <w:t>0.6967%</w:t>
            </w:r>
          </w:p>
        </w:tc>
        <w:tc>
          <w:tcPr>
            <w:tcW w:w="1440" w:type="dxa"/>
          </w:tcPr>
          <w:p>
            <w:pPr>
              <w:pStyle w:val="TableParagraph"/>
              <w:spacing w:before="190"/>
              <w:ind w:right="93"/>
              <w:jc w:val="right"/>
              <w:rPr>
                <w:rFonts w:ascii="Times New Roman"/>
                <w:sz w:val="21"/>
              </w:rPr>
            </w:pPr>
            <w:r>
              <w:rPr>
                <w:rFonts w:ascii="Times New Roman"/>
                <w:sz w:val="21"/>
              </w:rPr>
              <w:t>0.0037%</w:t>
            </w:r>
          </w:p>
        </w:tc>
      </w:tr>
      <w:tr>
        <w:trPr>
          <w:trHeight w:val="623" w:hRule="atLeast"/>
        </w:trPr>
        <w:tc>
          <w:tcPr>
            <w:tcW w:w="1980" w:type="dxa"/>
          </w:tcPr>
          <w:p>
            <w:pPr>
              <w:pStyle w:val="TableParagraph"/>
              <w:spacing w:before="22"/>
              <w:ind w:left="107"/>
              <w:rPr>
                <w:sz w:val="21"/>
              </w:rPr>
            </w:pPr>
            <w:r>
              <w:rPr>
                <w:rFonts w:ascii="Times New Roman" w:eastAsia="Times New Roman"/>
                <w:sz w:val="21"/>
              </w:rPr>
              <w:t>2005 </w:t>
            </w:r>
            <w:r>
              <w:rPr>
                <w:spacing w:val="-33"/>
                <w:sz w:val="21"/>
              </w:rPr>
              <w:t>年 </w:t>
            </w:r>
            <w:r>
              <w:rPr>
                <w:rFonts w:ascii="Times New Roman" w:eastAsia="Times New Roman"/>
                <w:sz w:val="21"/>
              </w:rPr>
              <w:t>7 </w:t>
            </w:r>
            <w:r>
              <w:rPr>
                <w:spacing w:val="-33"/>
                <w:sz w:val="21"/>
              </w:rPr>
              <w:t>月 </w:t>
            </w:r>
            <w:r>
              <w:rPr>
                <w:rFonts w:ascii="Times New Roman" w:eastAsia="Times New Roman"/>
                <w:sz w:val="21"/>
              </w:rPr>
              <w:t>15 </w:t>
            </w:r>
            <w:r>
              <w:rPr>
                <w:spacing w:val="-3"/>
                <w:sz w:val="21"/>
              </w:rPr>
              <w:t>日－</w:t>
            </w:r>
          </w:p>
          <w:p>
            <w:pPr>
              <w:pStyle w:val="TableParagraph"/>
              <w:spacing w:before="43"/>
              <w:ind w:left="175"/>
              <w:rPr>
                <w:sz w:val="21"/>
              </w:rPr>
            </w:pPr>
            <w:r>
              <w:rPr>
                <w:rFonts w:ascii="Times New Roman" w:eastAsia="Times New Roman"/>
                <w:sz w:val="21"/>
              </w:rPr>
              <w:t>2019 </w:t>
            </w:r>
            <w:r>
              <w:rPr>
                <w:sz w:val="21"/>
              </w:rPr>
              <w:t>年 </w:t>
            </w:r>
            <w:r>
              <w:rPr>
                <w:rFonts w:ascii="Times New Roman" w:eastAsia="Times New Roman"/>
                <w:sz w:val="21"/>
              </w:rPr>
              <w:t>9 </w:t>
            </w:r>
            <w:r>
              <w:rPr>
                <w:sz w:val="21"/>
              </w:rPr>
              <w:t>月 </w:t>
            </w:r>
            <w:r>
              <w:rPr>
                <w:rFonts w:ascii="Times New Roman" w:eastAsia="Times New Roman"/>
                <w:sz w:val="21"/>
              </w:rPr>
              <w:t>30 </w:t>
            </w:r>
            <w:r>
              <w:rPr>
                <w:sz w:val="21"/>
              </w:rPr>
              <w:t>日</w:t>
            </w:r>
          </w:p>
        </w:tc>
        <w:tc>
          <w:tcPr>
            <w:tcW w:w="1261" w:type="dxa"/>
          </w:tcPr>
          <w:p>
            <w:pPr>
              <w:pStyle w:val="TableParagraph"/>
              <w:spacing w:before="190"/>
              <w:ind w:right="93"/>
              <w:jc w:val="right"/>
              <w:rPr>
                <w:rFonts w:ascii="Times New Roman"/>
                <w:sz w:val="21"/>
              </w:rPr>
            </w:pPr>
            <w:r>
              <w:rPr>
                <w:rFonts w:ascii="Times New Roman"/>
                <w:sz w:val="21"/>
              </w:rPr>
              <w:t>46.6061%</w:t>
            </w:r>
          </w:p>
        </w:tc>
        <w:tc>
          <w:tcPr>
            <w:tcW w:w="1260" w:type="dxa"/>
          </w:tcPr>
          <w:p>
            <w:pPr>
              <w:pStyle w:val="TableParagraph"/>
              <w:spacing w:before="190"/>
              <w:ind w:right="93"/>
              <w:jc w:val="right"/>
              <w:rPr>
                <w:rFonts w:ascii="Times New Roman"/>
                <w:sz w:val="21"/>
              </w:rPr>
            </w:pPr>
            <w:r>
              <w:rPr>
                <w:rFonts w:ascii="Times New Roman"/>
                <w:sz w:val="21"/>
              </w:rPr>
              <w:t>0.0063%</w:t>
            </w:r>
          </w:p>
        </w:tc>
        <w:tc>
          <w:tcPr>
            <w:tcW w:w="1260" w:type="dxa"/>
          </w:tcPr>
          <w:p>
            <w:pPr>
              <w:pStyle w:val="TableParagraph"/>
              <w:spacing w:before="190"/>
              <w:ind w:right="93"/>
              <w:jc w:val="right"/>
              <w:rPr>
                <w:rFonts w:ascii="Times New Roman"/>
                <w:sz w:val="21"/>
              </w:rPr>
            </w:pPr>
            <w:r>
              <w:rPr>
                <w:rFonts w:ascii="Times New Roman"/>
                <w:sz w:val="21"/>
              </w:rPr>
              <w:t>25.1460%</w:t>
            </w:r>
          </w:p>
        </w:tc>
        <w:tc>
          <w:tcPr>
            <w:tcW w:w="1440" w:type="dxa"/>
          </w:tcPr>
          <w:p>
            <w:pPr>
              <w:pStyle w:val="TableParagraph"/>
              <w:spacing w:before="190"/>
              <w:ind w:right="93"/>
              <w:jc w:val="right"/>
              <w:rPr>
                <w:rFonts w:ascii="Times New Roman"/>
                <w:sz w:val="21"/>
              </w:rPr>
            </w:pPr>
            <w:r>
              <w:rPr>
                <w:rFonts w:ascii="Times New Roman"/>
                <w:sz w:val="21"/>
              </w:rPr>
              <w:t>0.0020%</w:t>
            </w:r>
          </w:p>
        </w:tc>
        <w:tc>
          <w:tcPr>
            <w:tcW w:w="1081" w:type="dxa"/>
          </w:tcPr>
          <w:p>
            <w:pPr>
              <w:pStyle w:val="TableParagraph"/>
              <w:spacing w:before="190"/>
              <w:ind w:left="96" w:right="77"/>
              <w:jc w:val="center"/>
              <w:rPr>
                <w:rFonts w:ascii="Times New Roman"/>
                <w:sz w:val="21"/>
              </w:rPr>
            </w:pPr>
            <w:r>
              <w:rPr>
                <w:rFonts w:ascii="Times New Roman"/>
                <w:sz w:val="21"/>
              </w:rPr>
              <w:t>21.4601%</w:t>
            </w:r>
          </w:p>
        </w:tc>
        <w:tc>
          <w:tcPr>
            <w:tcW w:w="1440" w:type="dxa"/>
          </w:tcPr>
          <w:p>
            <w:pPr>
              <w:pStyle w:val="TableParagraph"/>
              <w:spacing w:before="190"/>
              <w:ind w:right="93"/>
              <w:jc w:val="right"/>
              <w:rPr>
                <w:rFonts w:ascii="Times New Roman"/>
                <w:sz w:val="21"/>
              </w:rPr>
            </w:pPr>
            <w:r>
              <w:rPr>
                <w:rFonts w:ascii="Times New Roman"/>
                <w:sz w:val="21"/>
              </w:rPr>
              <w:t>0.0043%</w:t>
            </w:r>
          </w:p>
        </w:tc>
      </w:tr>
    </w:tbl>
    <w:p>
      <w:pPr>
        <w:pStyle w:val="BodyText"/>
        <w:rPr>
          <w:rFonts w:ascii="Times New Roman"/>
          <w:b/>
          <w:sz w:val="20"/>
        </w:rPr>
      </w:pPr>
    </w:p>
    <w:p>
      <w:pPr>
        <w:pStyle w:val="BodyText"/>
        <w:spacing w:before="3"/>
        <w:rPr>
          <w:rFonts w:ascii="Times New Roman"/>
          <w:b/>
          <w:sz w:val="25"/>
        </w:rPr>
      </w:pPr>
    </w:p>
    <w:p>
      <w:pPr>
        <w:spacing w:before="78"/>
        <w:ind w:left="658" w:right="0" w:firstLine="0"/>
        <w:jc w:val="left"/>
        <w:rPr>
          <w:rFonts w:ascii="Times New Roman" w:eastAsia="Times New Roman"/>
          <w:b/>
          <w:sz w:val="21"/>
        </w:rPr>
      </w:pPr>
      <w:r>
        <w:rPr>
          <w:b/>
          <w:sz w:val="21"/>
        </w:rPr>
        <w:t>货币基金 </w:t>
      </w:r>
      <w:r>
        <w:rPr>
          <w:rFonts w:ascii="Times New Roman" w:eastAsia="Times New Roman"/>
          <w:b/>
          <w:sz w:val="21"/>
        </w:rPr>
        <w:t>B</w:t>
      </w:r>
    </w:p>
    <w:p>
      <w:pPr>
        <w:pStyle w:val="BodyText"/>
        <w:spacing w:before="7"/>
        <w:rPr>
          <w:rFonts w:ascii="Times New Roman"/>
          <w:b/>
          <w:sz w:val="8"/>
        </w:rPr>
      </w:pPr>
    </w:p>
    <w:tbl>
      <w:tblPr>
        <w:tblW w:w="0" w:type="auto"/>
        <w:jc w:val="left"/>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275"/>
        <w:gridCol w:w="1277"/>
        <w:gridCol w:w="1419"/>
        <w:gridCol w:w="1275"/>
        <w:gridCol w:w="1136"/>
        <w:gridCol w:w="1416"/>
      </w:tblGrid>
      <w:tr>
        <w:trPr>
          <w:trHeight w:val="935" w:hRule="atLeast"/>
        </w:trPr>
        <w:tc>
          <w:tcPr>
            <w:tcW w:w="1987" w:type="dxa"/>
          </w:tcPr>
          <w:p>
            <w:pPr>
              <w:pStyle w:val="TableParagraph"/>
              <w:spacing w:before="1"/>
              <w:rPr>
                <w:rFonts w:ascii="Times New Roman"/>
                <w:b/>
                <w:sz w:val="29"/>
              </w:rPr>
            </w:pPr>
          </w:p>
          <w:p>
            <w:pPr>
              <w:pStyle w:val="TableParagraph"/>
              <w:ind w:left="630" w:right="621"/>
              <w:jc w:val="center"/>
              <w:rPr>
                <w:sz w:val="21"/>
              </w:rPr>
            </w:pPr>
            <w:r>
              <w:rPr>
                <w:sz w:val="21"/>
              </w:rPr>
              <w:t>阶段</w:t>
            </w:r>
          </w:p>
        </w:tc>
        <w:tc>
          <w:tcPr>
            <w:tcW w:w="1275" w:type="dxa"/>
          </w:tcPr>
          <w:p>
            <w:pPr>
              <w:pStyle w:val="TableParagraph"/>
              <w:spacing w:line="278" w:lineRule="auto" w:before="178"/>
              <w:ind w:left="321" w:right="99" w:hanging="212"/>
              <w:rPr>
                <w:sz w:val="21"/>
              </w:rPr>
            </w:pPr>
            <w:r>
              <w:rPr>
                <w:sz w:val="21"/>
              </w:rPr>
              <w:t>份额净值收益率①</w:t>
            </w:r>
          </w:p>
        </w:tc>
        <w:tc>
          <w:tcPr>
            <w:tcW w:w="1277" w:type="dxa"/>
          </w:tcPr>
          <w:p>
            <w:pPr>
              <w:pStyle w:val="TableParagraph"/>
              <w:spacing w:line="278" w:lineRule="auto" w:before="22"/>
              <w:ind w:left="112" w:right="98"/>
              <w:jc w:val="center"/>
              <w:rPr>
                <w:sz w:val="21"/>
              </w:rPr>
            </w:pPr>
            <w:r>
              <w:rPr>
                <w:sz w:val="21"/>
              </w:rPr>
              <w:t>份额净值收益率标准差</w:t>
            </w:r>
          </w:p>
          <w:p>
            <w:pPr>
              <w:pStyle w:val="TableParagraph"/>
              <w:spacing w:line="269" w:lineRule="exact"/>
              <w:ind w:left="9"/>
              <w:jc w:val="center"/>
              <w:rPr>
                <w:sz w:val="21"/>
              </w:rPr>
            </w:pPr>
            <w:r>
              <w:rPr>
                <w:w w:val="100"/>
                <w:sz w:val="21"/>
              </w:rPr>
              <w:t>②</w:t>
            </w:r>
          </w:p>
        </w:tc>
        <w:tc>
          <w:tcPr>
            <w:tcW w:w="1419" w:type="dxa"/>
          </w:tcPr>
          <w:p>
            <w:pPr>
              <w:pStyle w:val="TableParagraph"/>
              <w:spacing w:line="278" w:lineRule="auto" w:before="178"/>
              <w:ind w:left="182" w:right="171"/>
              <w:rPr>
                <w:sz w:val="21"/>
              </w:rPr>
            </w:pPr>
            <w:r>
              <w:rPr>
                <w:sz w:val="21"/>
              </w:rPr>
              <w:t>业绩比较基准收益率③</w:t>
            </w:r>
          </w:p>
        </w:tc>
        <w:tc>
          <w:tcPr>
            <w:tcW w:w="1275" w:type="dxa"/>
          </w:tcPr>
          <w:p>
            <w:pPr>
              <w:pStyle w:val="TableParagraph"/>
              <w:spacing w:line="278" w:lineRule="auto" w:before="22"/>
              <w:ind w:left="107" w:right="101"/>
              <w:jc w:val="center"/>
              <w:rPr>
                <w:sz w:val="21"/>
              </w:rPr>
            </w:pPr>
            <w:r>
              <w:rPr>
                <w:sz w:val="21"/>
              </w:rPr>
              <w:t>业绩比较基准收益率标</w:t>
            </w:r>
          </w:p>
          <w:p>
            <w:pPr>
              <w:pStyle w:val="TableParagraph"/>
              <w:spacing w:line="269" w:lineRule="exact"/>
              <w:ind w:left="107" w:right="101"/>
              <w:jc w:val="center"/>
              <w:rPr>
                <w:sz w:val="21"/>
              </w:rPr>
            </w:pPr>
            <w:r>
              <w:rPr>
                <w:sz w:val="21"/>
              </w:rPr>
              <w:t>准差④</w:t>
            </w:r>
          </w:p>
        </w:tc>
        <w:tc>
          <w:tcPr>
            <w:tcW w:w="1136" w:type="dxa"/>
          </w:tcPr>
          <w:p>
            <w:pPr>
              <w:pStyle w:val="TableParagraph"/>
              <w:spacing w:before="1"/>
              <w:rPr>
                <w:rFonts w:ascii="Times New Roman"/>
                <w:b/>
                <w:sz w:val="29"/>
              </w:rPr>
            </w:pPr>
          </w:p>
          <w:p>
            <w:pPr>
              <w:pStyle w:val="TableParagraph"/>
              <w:ind w:left="84" w:right="80"/>
              <w:jc w:val="center"/>
              <w:rPr>
                <w:sz w:val="21"/>
              </w:rPr>
            </w:pPr>
            <w:r>
              <w:rPr>
                <w:sz w:val="21"/>
              </w:rPr>
              <w:t>①－③</w:t>
            </w:r>
          </w:p>
        </w:tc>
        <w:tc>
          <w:tcPr>
            <w:tcW w:w="1416" w:type="dxa"/>
          </w:tcPr>
          <w:p>
            <w:pPr>
              <w:pStyle w:val="TableParagraph"/>
              <w:spacing w:before="1"/>
              <w:rPr>
                <w:rFonts w:ascii="Times New Roman"/>
                <w:b/>
                <w:sz w:val="29"/>
              </w:rPr>
            </w:pPr>
          </w:p>
          <w:p>
            <w:pPr>
              <w:pStyle w:val="TableParagraph"/>
              <w:ind w:left="389"/>
              <w:rPr>
                <w:sz w:val="21"/>
              </w:rPr>
            </w:pPr>
            <w:r>
              <w:rPr>
                <w:sz w:val="21"/>
              </w:rPr>
              <w:t>②－④</w:t>
            </w:r>
          </w:p>
        </w:tc>
      </w:tr>
      <w:tr>
        <w:trPr>
          <w:trHeight w:val="623" w:hRule="atLeast"/>
        </w:trPr>
        <w:tc>
          <w:tcPr>
            <w:tcW w:w="1987" w:type="dxa"/>
          </w:tcPr>
          <w:p>
            <w:pPr>
              <w:pStyle w:val="TableParagraph"/>
              <w:spacing w:before="22"/>
              <w:ind w:left="107"/>
              <w:rPr>
                <w:sz w:val="21"/>
              </w:rPr>
            </w:pPr>
            <w:r>
              <w:rPr>
                <w:rFonts w:ascii="Times New Roman" w:eastAsia="Times New Roman"/>
                <w:sz w:val="21"/>
              </w:rPr>
              <w:t>2010</w:t>
            </w:r>
            <w:r>
              <w:rPr>
                <w:rFonts w:ascii="Times New Roman" w:eastAsia="Times New Roman"/>
                <w:spacing w:val="-14"/>
                <w:sz w:val="21"/>
              </w:rPr>
              <w:t> </w:t>
            </w:r>
            <w:r>
              <w:rPr>
                <w:spacing w:val="-33"/>
                <w:sz w:val="21"/>
              </w:rPr>
              <w:t>年 </w:t>
            </w:r>
            <w:r>
              <w:rPr>
                <w:rFonts w:ascii="Times New Roman" w:eastAsia="Times New Roman"/>
                <w:sz w:val="21"/>
              </w:rPr>
              <w:t>4</w:t>
            </w:r>
            <w:r>
              <w:rPr>
                <w:rFonts w:ascii="Times New Roman" w:eastAsia="Times New Roman"/>
                <w:spacing w:val="-13"/>
                <w:sz w:val="21"/>
              </w:rPr>
              <w:t> </w:t>
            </w:r>
            <w:r>
              <w:rPr>
                <w:spacing w:val="-33"/>
                <w:sz w:val="21"/>
              </w:rPr>
              <w:t>月 </w:t>
            </w:r>
            <w:r>
              <w:rPr>
                <w:rFonts w:ascii="Times New Roman" w:eastAsia="Times New Roman"/>
                <w:sz w:val="21"/>
              </w:rPr>
              <w:t>30</w:t>
            </w:r>
            <w:r>
              <w:rPr>
                <w:rFonts w:ascii="Times New Roman" w:eastAsia="Times New Roman"/>
                <w:spacing w:val="-15"/>
                <w:sz w:val="21"/>
              </w:rPr>
              <w:t> </w:t>
            </w:r>
            <w:r>
              <w:rPr>
                <w:sz w:val="21"/>
              </w:rPr>
              <w:t>日－</w:t>
            </w:r>
          </w:p>
          <w:p>
            <w:pPr>
              <w:pStyle w:val="TableParagraph"/>
              <w:spacing w:before="44"/>
              <w:ind w:left="126"/>
              <w:rPr>
                <w:sz w:val="21"/>
              </w:rPr>
            </w:pPr>
            <w:r>
              <w:rPr>
                <w:rFonts w:ascii="Times New Roman" w:eastAsia="Times New Roman"/>
                <w:sz w:val="21"/>
              </w:rPr>
              <w:t>2010</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275" w:type="dxa"/>
          </w:tcPr>
          <w:p>
            <w:pPr>
              <w:pStyle w:val="TableParagraph"/>
              <w:spacing w:before="187"/>
              <w:ind w:right="93"/>
              <w:jc w:val="right"/>
              <w:rPr>
                <w:rFonts w:ascii="Times New Roman"/>
                <w:sz w:val="21"/>
              </w:rPr>
            </w:pPr>
            <w:r>
              <w:rPr>
                <w:rFonts w:ascii="Times New Roman"/>
                <w:sz w:val="21"/>
              </w:rPr>
              <w:t>1.0445%</w:t>
            </w:r>
          </w:p>
        </w:tc>
        <w:tc>
          <w:tcPr>
            <w:tcW w:w="1277" w:type="dxa"/>
          </w:tcPr>
          <w:p>
            <w:pPr>
              <w:pStyle w:val="TableParagraph"/>
              <w:spacing w:before="187"/>
              <w:ind w:right="93"/>
              <w:jc w:val="right"/>
              <w:rPr>
                <w:rFonts w:ascii="Times New Roman"/>
                <w:sz w:val="21"/>
              </w:rPr>
            </w:pPr>
            <w:r>
              <w:rPr>
                <w:rFonts w:ascii="Times New Roman"/>
                <w:sz w:val="21"/>
              </w:rPr>
              <w:t>0.0047%</w:t>
            </w:r>
          </w:p>
        </w:tc>
        <w:tc>
          <w:tcPr>
            <w:tcW w:w="1419" w:type="dxa"/>
          </w:tcPr>
          <w:p>
            <w:pPr>
              <w:pStyle w:val="TableParagraph"/>
              <w:spacing w:before="187"/>
              <w:ind w:right="93"/>
              <w:jc w:val="right"/>
              <w:rPr>
                <w:rFonts w:ascii="Times New Roman"/>
                <w:sz w:val="21"/>
              </w:rPr>
            </w:pPr>
            <w:r>
              <w:rPr>
                <w:rFonts w:ascii="Times New Roman"/>
                <w:sz w:val="21"/>
              </w:rPr>
              <w:t>0.9099%</w:t>
            </w:r>
          </w:p>
        </w:tc>
        <w:tc>
          <w:tcPr>
            <w:tcW w:w="1275" w:type="dxa"/>
          </w:tcPr>
          <w:p>
            <w:pPr>
              <w:pStyle w:val="TableParagraph"/>
              <w:spacing w:before="187"/>
              <w:ind w:right="96"/>
              <w:jc w:val="right"/>
              <w:rPr>
                <w:rFonts w:ascii="Times New Roman"/>
                <w:sz w:val="21"/>
              </w:rPr>
            </w:pPr>
            <w:r>
              <w:rPr>
                <w:rFonts w:ascii="Times New Roman"/>
                <w:sz w:val="21"/>
              </w:rPr>
              <w:t>0.0000%</w:t>
            </w:r>
          </w:p>
        </w:tc>
        <w:tc>
          <w:tcPr>
            <w:tcW w:w="1136" w:type="dxa"/>
          </w:tcPr>
          <w:p>
            <w:pPr>
              <w:pStyle w:val="TableParagraph"/>
              <w:spacing w:before="187"/>
              <w:ind w:left="230" w:right="60"/>
              <w:jc w:val="center"/>
              <w:rPr>
                <w:rFonts w:ascii="Times New Roman"/>
                <w:sz w:val="21"/>
              </w:rPr>
            </w:pPr>
            <w:r>
              <w:rPr>
                <w:rFonts w:ascii="Times New Roman"/>
                <w:sz w:val="21"/>
              </w:rPr>
              <w:t>0.1346%</w:t>
            </w:r>
          </w:p>
        </w:tc>
        <w:tc>
          <w:tcPr>
            <w:tcW w:w="1416" w:type="dxa"/>
          </w:tcPr>
          <w:p>
            <w:pPr>
              <w:pStyle w:val="TableParagraph"/>
              <w:spacing w:before="187"/>
              <w:ind w:right="94"/>
              <w:jc w:val="right"/>
              <w:rPr>
                <w:rFonts w:ascii="Times New Roman"/>
                <w:sz w:val="21"/>
              </w:rPr>
            </w:pPr>
            <w:r>
              <w:rPr>
                <w:rFonts w:ascii="Times New Roman"/>
                <w:sz w:val="21"/>
              </w:rPr>
              <w:t>0.0047%</w:t>
            </w:r>
          </w:p>
        </w:tc>
      </w:tr>
      <w:tr>
        <w:trPr>
          <w:trHeight w:val="467" w:hRule="atLeast"/>
        </w:trPr>
        <w:tc>
          <w:tcPr>
            <w:tcW w:w="1987" w:type="dxa"/>
          </w:tcPr>
          <w:p>
            <w:pPr>
              <w:pStyle w:val="TableParagraph"/>
              <w:spacing w:before="99"/>
              <w:ind w:left="633" w:right="621"/>
              <w:jc w:val="center"/>
              <w:rPr>
                <w:sz w:val="21"/>
              </w:rPr>
            </w:pPr>
            <w:r>
              <w:rPr>
                <w:rFonts w:ascii="Times New Roman" w:eastAsia="Times New Roman"/>
                <w:sz w:val="21"/>
              </w:rPr>
              <w:t>2011 </w:t>
            </w:r>
            <w:r>
              <w:rPr>
                <w:sz w:val="21"/>
              </w:rPr>
              <w:t>年</w:t>
            </w:r>
          </w:p>
        </w:tc>
        <w:tc>
          <w:tcPr>
            <w:tcW w:w="1275" w:type="dxa"/>
          </w:tcPr>
          <w:p>
            <w:pPr>
              <w:pStyle w:val="TableParagraph"/>
              <w:spacing w:before="111"/>
              <w:ind w:right="93"/>
              <w:jc w:val="right"/>
              <w:rPr>
                <w:rFonts w:ascii="Times New Roman"/>
                <w:sz w:val="21"/>
              </w:rPr>
            </w:pPr>
            <w:r>
              <w:rPr>
                <w:rFonts w:ascii="Times New Roman"/>
                <w:sz w:val="21"/>
              </w:rPr>
              <w:t>2.5092%</w:t>
            </w:r>
          </w:p>
        </w:tc>
        <w:tc>
          <w:tcPr>
            <w:tcW w:w="1277" w:type="dxa"/>
          </w:tcPr>
          <w:p>
            <w:pPr>
              <w:pStyle w:val="TableParagraph"/>
              <w:spacing w:before="111"/>
              <w:ind w:right="93"/>
              <w:jc w:val="right"/>
              <w:rPr>
                <w:rFonts w:ascii="Times New Roman"/>
                <w:sz w:val="21"/>
              </w:rPr>
            </w:pPr>
            <w:r>
              <w:rPr>
                <w:rFonts w:ascii="Times New Roman"/>
                <w:sz w:val="21"/>
              </w:rPr>
              <w:t>0.0042%</w:t>
            </w:r>
          </w:p>
        </w:tc>
        <w:tc>
          <w:tcPr>
            <w:tcW w:w="1419" w:type="dxa"/>
          </w:tcPr>
          <w:p>
            <w:pPr>
              <w:pStyle w:val="TableParagraph"/>
              <w:spacing w:before="111"/>
              <w:ind w:right="93"/>
              <w:jc w:val="right"/>
              <w:rPr>
                <w:rFonts w:ascii="Times New Roman"/>
                <w:sz w:val="21"/>
              </w:rPr>
            </w:pPr>
            <w:r>
              <w:rPr>
                <w:rFonts w:ascii="Times New Roman"/>
                <w:sz w:val="21"/>
              </w:rPr>
              <w:t>1.4597%</w:t>
            </w:r>
          </w:p>
        </w:tc>
        <w:tc>
          <w:tcPr>
            <w:tcW w:w="1275" w:type="dxa"/>
          </w:tcPr>
          <w:p>
            <w:pPr>
              <w:pStyle w:val="TableParagraph"/>
              <w:spacing w:before="111"/>
              <w:ind w:right="96"/>
              <w:jc w:val="right"/>
              <w:rPr>
                <w:rFonts w:ascii="Times New Roman"/>
                <w:sz w:val="21"/>
              </w:rPr>
            </w:pPr>
            <w:r>
              <w:rPr>
                <w:rFonts w:ascii="Times New Roman"/>
                <w:sz w:val="21"/>
              </w:rPr>
              <w:t>0.0001%</w:t>
            </w:r>
          </w:p>
        </w:tc>
        <w:tc>
          <w:tcPr>
            <w:tcW w:w="1136" w:type="dxa"/>
          </w:tcPr>
          <w:p>
            <w:pPr>
              <w:pStyle w:val="TableParagraph"/>
              <w:spacing w:before="111"/>
              <w:ind w:left="230" w:right="60"/>
              <w:jc w:val="center"/>
              <w:rPr>
                <w:rFonts w:ascii="Times New Roman"/>
                <w:sz w:val="21"/>
              </w:rPr>
            </w:pPr>
            <w:r>
              <w:rPr>
                <w:rFonts w:ascii="Times New Roman"/>
                <w:sz w:val="21"/>
              </w:rPr>
              <w:t>1.0495%</w:t>
            </w:r>
          </w:p>
        </w:tc>
        <w:tc>
          <w:tcPr>
            <w:tcW w:w="1416" w:type="dxa"/>
          </w:tcPr>
          <w:p>
            <w:pPr>
              <w:pStyle w:val="TableParagraph"/>
              <w:spacing w:before="111"/>
              <w:ind w:right="94"/>
              <w:jc w:val="right"/>
              <w:rPr>
                <w:rFonts w:ascii="Times New Roman"/>
                <w:sz w:val="21"/>
              </w:rPr>
            </w:pPr>
            <w:r>
              <w:rPr>
                <w:rFonts w:ascii="Times New Roman"/>
                <w:sz w:val="21"/>
              </w:rPr>
              <w:t>0.0041%</w:t>
            </w:r>
          </w:p>
        </w:tc>
      </w:tr>
      <w:tr>
        <w:trPr>
          <w:trHeight w:val="467" w:hRule="atLeast"/>
        </w:trPr>
        <w:tc>
          <w:tcPr>
            <w:tcW w:w="1987" w:type="dxa"/>
          </w:tcPr>
          <w:p>
            <w:pPr>
              <w:pStyle w:val="TableParagraph"/>
              <w:spacing w:before="99"/>
              <w:ind w:left="633" w:right="621"/>
              <w:jc w:val="center"/>
              <w:rPr>
                <w:sz w:val="21"/>
              </w:rPr>
            </w:pPr>
            <w:r>
              <w:rPr>
                <w:rFonts w:ascii="Times New Roman" w:eastAsia="Times New Roman"/>
                <w:sz w:val="21"/>
              </w:rPr>
              <w:t>2012 </w:t>
            </w:r>
            <w:r>
              <w:rPr>
                <w:sz w:val="21"/>
              </w:rPr>
              <w:t>年</w:t>
            </w:r>
          </w:p>
        </w:tc>
        <w:tc>
          <w:tcPr>
            <w:tcW w:w="1275" w:type="dxa"/>
          </w:tcPr>
          <w:p>
            <w:pPr>
              <w:pStyle w:val="TableParagraph"/>
              <w:spacing w:before="111"/>
              <w:ind w:right="92"/>
              <w:jc w:val="right"/>
              <w:rPr>
                <w:rFonts w:ascii="Times New Roman"/>
                <w:sz w:val="21"/>
              </w:rPr>
            </w:pPr>
            <w:r>
              <w:rPr>
                <w:rFonts w:ascii="Times New Roman"/>
                <w:sz w:val="21"/>
              </w:rPr>
              <w:t>3.5922%</w:t>
            </w:r>
          </w:p>
        </w:tc>
        <w:tc>
          <w:tcPr>
            <w:tcW w:w="1277" w:type="dxa"/>
          </w:tcPr>
          <w:p>
            <w:pPr>
              <w:pStyle w:val="TableParagraph"/>
              <w:spacing w:before="111"/>
              <w:ind w:right="93"/>
              <w:jc w:val="right"/>
              <w:rPr>
                <w:rFonts w:ascii="Times New Roman"/>
                <w:sz w:val="21"/>
              </w:rPr>
            </w:pPr>
            <w:r>
              <w:rPr>
                <w:rFonts w:ascii="Times New Roman"/>
                <w:sz w:val="21"/>
              </w:rPr>
              <w:t>0.0037%</w:t>
            </w:r>
          </w:p>
        </w:tc>
        <w:tc>
          <w:tcPr>
            <w:tcW w:w="1419" w:type="dxa"/>
          </w:tcPr>
          <w:p>
            <w:pPr>
              <w:pStyle w:val="TableParagraph"/>
              <w:spacing w:before="111"/>
              <w:ind w:right="93"/>
              <w:jc w:val="right"/>
              <w:rPr>
                <w:rFonts w:ascii="Times New Roman"/>
                <w:sz w:val="21"/>
              </w:rPr>
            </w:pPr>
            <w:r>
              <w:rPr>
                <w:rFonts w:ascii="Times New Roman"/>
                <w:sz w:val="21"/>
              </w:rPr>
              <w:t>1.4178%</w:t>
            </w:r>
          </w:p>
        </w:tc>
        <w:tc>
          <w:tcPr>
            <w:tcW w:w="1275" w:type="dxa"/>
          </w:tcPr>
          <w:p>
            <w:pPr>
              <w:pStyle w:val="TableParagraph"/>
              <w:spacing w:before="111"/>
              <w:ind w:right="96"/>
              <w:jc w:val="right"/>
              <w:rPr>
                <w:rFonts w:ascii="Times New Roman"/>
                <w:sz w:val="21"/>
              </w:rPr>
            </w:pPr>
            <w:r>
              <w:rPr>
                <w:rFonts w:ascii="Times New Roman"/>
                <w:sz w:val="21"/>
              </w:rPr>
              <w:t>0.0002%</w:t>
            </w:r>
          </w:p>
        </w:tc>
        <w:tc>
          <w:tcPr>
            <w:tcW w:w="1136" w:type="dxa"/>
          </w:tcPr>
          <w:p>
            <w:pPr>
              <w:pStyle w:val="TableParagraph"/>
              <w:spacing w:before="111"/>
              <w:ind w:left="230" w:right="60"/>
              <w:jc w:val="center"/>
              <w:rPr>
                <w:rFonts w:ascii="Times New Roman"/>
                <w:sz w:val="21"/>
              </w:rPr>
            </w:pPr>
            <w:r>
              <w:rPr>
                <w:rFonts w:ascii="Times New Roman"/>
                <w:sz w:val="21"/>
              </w:rPr>
              <w:t>2.1744%</w:t>
            </w:r>
          </w:p>
        </w:tc>
        <w:tc>
          <w:tcPr>
            <w:tcW w:w="1416" w:type="dxa"/>
          </w:tcPr>
          <w:p>
            <w:pPr>
              <w:pStyle w:val="TableParagraph"/>
              <w:spacing w:before="111"/>
              <w:ind w:right="94"/>
              <w:jc w:val="right"/>
              <w:rPr>
                <w:rFonts w:ascii="Times New Roman"/>
                <w:sz w:val="21"/>
              </w:rPr>
            </w:pPr>
            <w:r>
              <w:rPr>
                <w:rFonts w:ascii="Times New Roman"/>
                <w:sz w:val="21"/>
              </w:rPr>
              <w:t>0.0035%</w:t>
            </w:r>
          </w:p>
        </w:tc>
      </w:tr>
      <w:tr>
        <w:trPr>
          <w:trHeight w:val="467" w:hRule="atLeast"/>
        </w:trPr>
        <w:tc>
          <w:tcPr>
            <w:tcW w:w="1987" w:type="dxa"/>
          </w:tcPr>
          <w:p>
            <w:pPr>
              <w:pStyle w:val="TableParagraph"/>
              <w:spacing w:before="99"/>
              <w:ind w:left="633" w:right="621"/>
              <w:jc w:val="center"/>
              <w:rPr>
                <w:sz w:val="21"/>
              </w:rPr>
            </w:pPr>
            <w:r>
              <w:rPr>
                <w:rFonts w:ascii="Times New Roman" w:eastAsia="Times New Roman"/>
                <w:sz w:val="21"/>
              </w:rPr>
              <w:t>2013 </w:t>
            </w:r>
            <w:r>
              <w:rPr>
                <w:sz w:val="21"/>
              </w:rPr>
              <w:t>年</w:t>
            </w:r>
          </w:p>
        </w:tc>
        <w:tc>
          <w:tcPr>
            <w:tcW w:w="1275" w:type="dxa"/>
          </w:tcPr>
          <w:p>
            <w:pPr>
              <w:pStyle w:val="TableParagraph"/>
              <w:spacing w:before="111"/>
              <w:ind w:right="93"/>
              <w:jc w:val="right"/>
              <w:rPr>
                <w:rFonts w:ascii="Times New Roman"/>
                <w:sz w:val="21"/>
              </w:rPr>
            </w:pPr>
            <w:r>
              <w:rPr>
                <w:rFonts w:ascii="Times New Roman"/>
                <w:sz w:val="21"/>
              </w:rPr>
              <w:t>3.7712%</w:t>
            </w:r>
          </w:p>
        </w:tc>
        <w:tc>
          <w:tcPr>
            <w:tcW w:w="1277" w:type="dxa"/>
          </w:tcPr>
          <w:p>
            <w:pPr>
              <w:pStyle w:val="TableParagraph"/>
              <w:spacing w:before="111"/>
              <w:ind w:right="93"/>
              <w:jc w:val="right"/>
              <w:rPr>
                <w:rFonts w:ascii="Times New Roman"/>
                <w:sz w:val="21"/>
              </w:rPr>
            </w:pPr>
            <w:r>
              <w:rPr>
                <w:rFonts w:ascii="Times New Roman"/>
                <w:sz w:val="21"/>
              </w:rPr>
              <w:t>0.0047%</w:t>
            </w:r>
          </w:p>
        </w:tc>
        <w:tc>
          <w:tcPr>
            <w:tcW w:w="1419" w:type="dxa"/>
          </w:tcPr>
          <w:p>
            <w:pPr>
              <w:pStyle w:val="TableParagraph"/>
              <w:spacing w:before="111"/>
              <w:ind w:right="93"/>
              <w:jc w:val="right"/>
              <w:rPr>
                <w:rFonts w:ascii="Times New Roman"/>
                <w:sz w:val="21"/>
              </w:rPr>
            </w:pPr>
            <w:r>
              <w:rPr>
                <w:rFonts w:ascii="Times New Roman"/>
                <w:sz w:val="21"/>
              </w:rPr>
              <w:t>1.3500%</w:t>
            </w:r>
          </w:p>
        </w:tc>
        <w:tc>
          <w:tcPr>
            <w:tcW w:w="1275" w:type="dxa"/>
          </w:tcPr>
          <w:p>
            <w:pPr>
              <w:pStyle w:val="TableParagraph"/>
              <w:spacing w:before="111"/>
              <w:ind w:right="96"/>
              <w:jc w:val="right"/>
              <w:rPr>
                <w:rFonts w:ascii="Times New Roman"/>
                <w:sz w:val="21"/>
              </w:rPr>
            </w:pPr>
            <w:r>
              <w:rPr>
                <w:rFonts w:ascii="Times New Roman"/>
                <w:sz w:val="21"/>
              </w:rPr>
              <w:t>0.0000%</w:t>
            </w:r>
          </w:p>
        </w:tc>
        <w:tc>
          <w:tcPr>
            <w:tcW w:w="1136" w:type="dxa"/>
          </w:tcPr>
          <w:p>
            <w:pPr>
              <w:pStyle w:val="TableParagraph"/>
              <w:spacing w:before="111"/>
              <w:ind w:left="230" w:right="59"/>
              <w:jc w:val="center"/>
              <w:rPr>
                <w:rFonts w:ascii="Times New Roman"/>
                <w:sz w:val="21"/>
              </w:rPr>
            </w:pPr>
            <w:r>
              <w:rPr>
                <w:rFonts w:ascii="Times New Roman"/>
                <w:sz w:val="21"/>
              </w:rPr>
              <w:t>2.4212%</w:t>
            </w:r>
          </w:p>
        </w:tc>
        <w:tc>
          <w:tcPr>
            <w:tcW w:w="1416" w:type="dxa"/>
          </w:tcPr>
          <w:p>
            <w:pPr>
              <w:pStyle w:val="TableParagraph"/>
              <w:spacing w:before="111"/>
              <w:ind w:right="94"/>
              <w:jc w:val="right"/>
              <w:rPr>
                <w:rFonts w:ascii="Times New Roman"/>
                <w:sz w:val="21"/>
              </w:rPr>
            </w:pPr>
            <w:r>
              <w:rPr>
                <w:rFonts w:ascii="Times New Roman"/>
                <w:sz w:val="21"/>
              </w:rPr>
              <w:t>0.0047%</w:t>
            </w:r>
          </w:p>
        </w:tc>
      </w:tr>
      <w:tr>
        <w:trPr>
          <w:trHeight w:val="470" w:hRule="atLeast"/>
        </w:trPr>
        <w:tc>
          <w:tcPr>
            <w:tcW w:w="1987" w:type="dxa"/>
          </w:tcPr>
          <w:p>
            <w:pPr>
              <w:pStyle w:val="TableParagraph"/>
              <w:spacing w:before="102"/>
              <w:ind w:left="633" w:right="621"/>
              <w:jc w:val="center"/>
              <w:rPr>
                <w:sz w:val="21"/>
              </w:rPr>
            </w:pPr>
            <w:r>
              <w:rPr>
                <w:rFonts w:ascii="Times New Roman" w:eastAsia="Times New Roman"/>
                <w:sz w:val="21"/>
              </w:rPr>
              <w:t>2014 </w:t>
            </w:r>
            <w:r>
              <w:rPr>
                <w:sz w:val="21"/>
              </w:rPr>
              <w:t>年</w:t>
            </w:r>
          </w:p>
        </w:tc>
        <w:tc>
          <w:tcPr>
            <w:tcW w:w="1275" w:type="dxa"/>
          </w:tcPr>
          <w:p>
            <w:pPr>
              <w:pStyle w:val="TableParagraph"/>
              <w:spacing w:before="113"/>
              <w:ind w:right="93"/>
              <w:jc w:val="right"/>
              <w:rPr>
                <w:rFonts w:ascii="Times New Roman"/>
                <w:sz w:val="21"/>
              </w:rPr>
            </w:pPr>
            <w:r>
              <w:rPr>
                <w:rFonts w:ascii="Times New Roman"/>
                <w:sz w:val="21"/>
              </w:rPr>
              <w:t>4.4489%</w:t>
            </w:r>
          </w:p>
        </w:tc>
        <w:tc>
          <w:tcPr>
            <w:tcW w:w="1277" w:type="dxa"/>
          </w:tcPr>
          <w:p>
            <w:pPr>
              <w:pStyle w:val="TableParagraph"/>
              <w:spacing w:before="113"/>
              <w:ind w:right="93"/>
              <w:jc w:val="right"/>
              <w:rPr>
                <w:rFonts w:ascii="Times New Roman"/>
                <w:sz w:val="21"/>
              </w:rPr>
            </w:pPr>
            <w:r>
              <w:rPr>
                <w:rFonts w:ascii="Times New Roman"/>
                <w:sz w:val="21"/>
              </w:rPr>
              <w:t>0.0051%</w:t>
            </w:r>
          </w:p>
        </w:tc>
        <w:tc>
          <w:tcPr>
            <w:tcW w:w="1419" w:type="dxa"/>
          </w:tcPr>
          <w:p>
            <w:pPr>
              <w:pStyle w:val="TableParagraph"/>
              <w:spacing w:before="113"/>
              <w:ind w:right="93"/>
              <w:jc w:val="right"/>
              <w:rPr>
                <w:rFonts w:ascii="Times New Roman"/>
                <w:sz w:val="21"/>
              </w:rPr>
            </w:pPr>
            <w:r>
              <w:rPr>
                <w:rFonts w:ascii="Times New Roman"/>
                <w:sz w:val="21"/>
              </w:rPr>
              <w:t>1.3500%</w:t>
            </w:r>
          </w:p>
        </w:tc>
        <w:tc>
          <w:tcPr>
            <w:tcW w:w="1275" w:type="dxa"/>
          </w:tcPr>
          <w:p>
            <w:pPr>
              <w:pStyle w:val="TableParagraph"/>
              <w:spacing w:before="113"/>
              <w:ind w:right="96"/>
              <w:jc w:val="right"/>
              <w:rPr>
                <w:rFonts w:ascii="Times New Roman"/>
                <w:sz w:val="21"/>
              </w:rPr>
            </w:pPr>
            <w:r>
              <w:rPr>
                <w:rFonts w:ascii="Times New Roman"/>
                <w:sz w:val="21"/>
              </w:rPr>
              <w:t>0.0000%</w:t>
            </w:r>
          </w:p>
        </w:tc>
        <w:tc>
          <w:tcPr>
            <w:tcW w:w="1136" w:type="dxa"/>
          </w:tcPr>
          <w:p>
            <w:pPr>
              <w:pStyle w:val="TableParagraph"/>
              <w:spacing w:before="113"/>
              <w:ind w:left="230" w:right="60"/>
              <w:jc w:val="center"/>
              <w:rPr>
                <w:rFonts w:ascii="Times New Roman"/>
                <w:sz w:val="21"/>
              </w:rPr>
            </w:pPr>
            <w:r>
              <w:rPr>
                <w:rFonts w:ascii="Times New Roman"/>
                <w:sz w:val="21"/>
              </w:rPr>
              <w:t>3.0989%</w:t>
            </w:r>
          </w:p>
        </w:tc>
        <w:tc>
          <w:tcPr>
            <w:tcW w:w="1416" w:type="dxa"/>
          </w:tcPr>
          <w:p>
            <w:pPr>
              <w:pStyle w:val="TableParagraph"/>
              <w:spacing w:before="113"/>
              <w:ind w:right="94"/>
              <w:jc w:val="right"/>
              <w:rPr>
                <w:rFonts w:ascii="Times New Roman"/>
                <w:sz w:val="21"/>
              </w:rPr>
            </w:pPr>
            <w:r>
              <w:rPr>
                <w:rFonts w:ascii="Times New Roman"/>
                <w:sz w:val="21"/>
              </w:rPr>
              <w:t>0.0051%</w:t>
            </w:r>
          </w:p>
        </w:tc>
      </w:tr>
      <w:tr>
        <w:trPr>
          <w:trHeight w:val="467" w:hRule="atLeast"/>
        </w:trPr>
        <w:tc>
          <w:tcPr>
            <w:tcW w:w="1987" w:type="dxa"/>
          </w:tcPr>
          <w:p>
            <w:pPr>
              <w:pStyle w:val="TableParagraph"/>
              <w:spacing w:before="99"/>
              <w:ind w:left="633" w:right="621"/>
              <w:jc w:val="center"/>
              <w:rPr>
                <w:sz w:val="21"/>
              </w:rPr>
            </w:pPr>
            <w:r>
              <w:rPr>
                <w:rFonts w:ascii="Times New Roman" w:eastAsia="Times New Roman"/>
                <w:sz w:val="21"/>
              </w:rPr>
              <w:t>2015 </w:t>
            </w:r>
            <w:r>
              <w:rPr>
                <w:sz w:val="21"/>
              </w:rPr>
              <w:t>年</w:t>
            </w:r>
          </w:p>
        </w:tc>
        <w:tc>
          <w:tcPr>
            <w:tcW w:w="1275" w:type="dxa"/>
          </w:tcPr>
          <w:p>
            <w:pPr>
              <w:pStyle w:val="TableParagraph"/>
              <w:spacing w:before="111"/>
              <w:ind w:right="93"/>
              <w:jc w:val="right"/>
              <w:rPr>
                <w:rFonts w:ascii="Times New Roman"/>
                <w:sz w:val="21"/>
              </w:rPr>
            </w:pPr>
            <w:r>
              <w:rPr>
                <w:rFonts w:ascii="Times New Roman"/>
                <w:sz w:val="21"/>
              </w:rPr>
              <w:t>3.3953%</w:t>
            </w:r>
          </w:p>
        </w:tc>
        <w:tc>
          <w:tcPr>
            <w:tcW w:w="1277" w:type="dxa"/>
          </w:tcPr>
          <w:p>
            <w:pPr>
              <w:pStyle w:val="TableParagraph"/>
              <w:spacing w:before="111"/>
              <w:ind w:right="93"/>
              <w:jc w:val="right"/>
              <w:rPr>
                <w:rFonts w:ascii="Times New Roman"/>
                <w:sz w:val="21"/>
              </w:rPr>
            </w:pPr>
            <w:r>
              <w:rPr>
                <w:rFonts w:ascii="Times New Roman"/>
                <w:sz w:val="21"/>
              </w:rPr>
              <w:t>0.0084%</w:t>
            </w:r>
          </w:p>
        </w:tc>
        <w:tc>
          <w:tcPr>
            <w:tcW w:w="1419" w:type="dxa"/>
          </w:tcPr>
          <w:p>
            <w:pPr>
              <w:pStyle w:val="TableParagraph"/>
              <w:spacing w:before="111"/>
              <w:ind w:right="93"/>
              <w:jc w:val="right"/>
              <w:rPr>
                <w:rFonts w:ascii="Times New Roman"/>
                <w:sz w:val="21"/>
              </w:rPr>
            </w:pPr>
            <w:r>
              <w:rPr>
                <w:rFonts w:ascii="Times New Roman"/>
                <w:sz w:val="21"/>
              </w:rPr>
              <w:t>1.3500%</w:t>
            </w:r>
          </w:p>
        </w:tc>
        <w:tc>
          <w:tcPr>
            <w:tcW w:w="1275" w:type="dxa"/>
          </w:tcPr>
          <w:p>
            <w:pPr>
              <w:pStyle w:val="TableParagraph"/>
              <w:spacing w:before="111"/>
              <w:ind w:right="96"/>
              <w:jc w:val="right"/>
              <w:rPr>
                <w:rFonts w:ascii="Times New Roman"/>
                <w:sz w:val="21"/>
              </w:rPr>
            </w:pPr>
            <w:r>
              <w:rPr>
                <w:rFonts w:ascii="Times New Roman"/>
                <w:sz w:val="21"/>
              </w:rPr>
              <w:t>0.0000%</w:t>
            </w:r>
          </w:p>
        </w:tc>
        <w:tc>
          <w:tcPr>
            <w:tcW w:w="1136" w:type="dxa"/>
          </w:tcPr>
          <w:p>
            <w:pPr>
              <w:pStyle w:val="TableParagraph"/>
              <w:spacing w:before="111"/>
              <w:ind w:left="230" w:right="60"/>
              <w:jc w:val="center"/>
              <w:rPr>
                <w:rFonts w:ascii="Times New Roman"/>
                <w:sz w:val="21"/>
              </w:rPr>
            </w:pPr>
            <w:r>
              <w:rPr>
                <w:rFonts w:ascii="Times New Roman"/>
                <w:sz w:val="21"/>
              </w:rPr>
              <w:t>2.0453%</w:t>
            </w:r>
          </w:p>
        </w:tc>
        <w:tc>
          <w:tcPr>
            <w:tcW w:w="1416" w:type="dxa"/>
          </w:tcPr>
          <w:p>
            <w:pPr>
              <w:pStyle w:val="TableParagraph"/>
              <w:spacing w:before="111"/>
              <w:ind w:right="94"/>
              <w:jc w:val="right"/>
              <w:rPr>
                <w:rFonts w:ascii="Times New Roman"/>
                <w:sz w:val="21"/>
              </w:rPr>
            </w:pPr>
            <w:r>
              <w:rPr>
                <w:rFonts w:ascii="Times New Roman"/>
                <w:sz w:val="21"/>
              </w:rPr>
              <w:t>0.0084%</w:t>
            </w:r>
          </w:p>
        </w:tc>
      </w:tr>
      <w:tr>
        <w:trPr>
          <w:trHeight w:val="467" w:hRule="atLeast"/>
        </w:trPr>
        <w:tc>
          <w:tcPr>
            <w:tcW w:w="1987" w:type="dxa"/>
          </w:tcPr>
          <w:p>
            <w:pPr>
              <w:pStyle w:val="TableParagraph"/>
              <w:spacing w:before="99"/>
              <w:ind w:left="633" w:right="621"/>
              <w:jc w:val="center"/>
              <w:rPr>
                <w:sz w:val="21"/>
              </w:rPr>
            </w:pPr>
            <w:r>
              <w:rPr>
                <w:rFonts w:ascii="Times New Roman" w:eastAsia="Times New Roman"/>
                <w:sz w:val="21"/>
              </w:rPr>
              <w:t>2016 </w:t>
            </w:r>
            <w:r>
              <w:rPr>
                <w:sz w:val="21"/>
              </w:rPr>
              <w:t>年</w:t>
            </w:r>
          </w:p>
        </w:tc>
        <w:tc>
          <w:tcPr>
            <w:tcW w:w="1275" w:type="dxa"/>
          </w:tcPr>
          <w:p>
            <w:pPr>
              <w:pStyle w:val="TableParagraph"/>
              <w:spacing w:before="111"/>
              <w:ind w:right="93"/>
              <w:jc w:val="right"/>
              <w:rPr>
                <w:rFonts w:ascii="Times New Roman"/>
                <w:sz w:val="21"/>
              </w:rPr>
            </w:pPr>
            <w:r>
              <w:rPr>
                <w:rFonts w:ascii="Times New Roman"/>
                <w:sz w:val="21"/>
              </w:rPr>
              <w:t>2.3802%</w:t>
            </w:r>
          </w:p>
        </w:tc>
        <w:tc>
          <w:tcPr>
            <w:tcW w:w="1277" w:type="dxa"/>
          </w:tcPr>
          <w:p>
            <w:pPr>
              <w:pStyle w:val="TableParagraph"/>
              <w:spacing w:before="111"/>
              <w:ind w:right="93"/>
              <w:jc w:val="right"/>
              <w:rPr>
                <w:rFonts w:ascii="Times New Roman"/>
                <w:sz w:val="21"/>
              </w:rPr>
            </w:pPr>
            <w:r>
              <w:rPr>
                <w:rFonts w:ascii="Times New Roman"/>
                <w:sz w:val="21"/>
              </w:rPr>
              <w:t>0.0029%</w:t>
            </w:r>
          </w:p>
        </w:tc>
        <w:tc>
          <w:tcPr>
            <w:tcW w:w="1419" w:type="dxa"/>
          </w:tcPr>
          <w:p>
            <w:pPr>
              <w:pStyle w:val="TableParagraph"/>
              <w:spacing w:before="111"/>
              <w:ind w:right="93"/>
              <w:jc w:val="right"/>
              <w:rPr>
                <w:rFonts w:ascii="Times New Roman"/>
                <w:sz w:val="21"/>
              </w:rPr>
            </w:pPr>
            <w:r>
              <w:rPr>
                <w:rFonts w:ascii="Times New Roman"/>
                <w:sz w:val="21"/>
              </w:rPr>
              <w:t>1.3500%</w:t>
            </w:r>
          </w:p>
        </w:tc>
        <w:tc>
          <w:tcPr>
            <w:tcW w:w="1275" w:type="dxa"/>
          </w:tcPr>
          <w:p>
            <w:pPr>
              <w:pStyle w:val="TableParagraph"/>
              <w:spacing w:before="111"/>
              <w:ind w:right="96"/>
              <w:jc w:val="right"/>
              <w:rPr>
                <w:rFonts w:ascii="Times New Roman"/>
                <w:sz w:val="21"/>
              </w:rPr>
            </w:pPr>
            <w:r>
              <w:rPr>
                <w:rFonts w:ascii="Times New Roman"/>
                <w:sz w:val="21"/>
              </w:rPr>
              <w:t>0.0000%</w:t>
            </w:r>
          </w:p>
        </w:tc>
        <w:tc>
          <w:tcPr>
            <w:tcW w:w="1136" w:type="dxa"/>
          </w:tcPr>
          <w:p>
            <w:pPr>
              <w:pStyle w:val="TableParagraph"/>
              <w:spacing w:before="111"/>
              <w:ind w:left="230" w:right="60"/>
              <w:jc w:val="center"/>
              <w:rPr>
                <w:rFonts w:ascii="Times New Roman"/>
                <w:sz w:val="21"/>
              </w:rPr>
            </w:pPr>
            <w:r>
              <w:rPr>
                <w:rFonts w:ascii="Times New Roman"/>
                <w:sz w:val="21"/>
              </w:rPr>
              <w:t>1.0302%</w:t>
            </w:r>
          </w:p>
        </w:tc>
        <w:tc>
          <w:tcPr>
            <w:tcW w:w="1416" w:type="dxa"/>
          </w:tcPr>
          <w:p>
            <w:pPr>
              <w:pStyle w:val="TableParagraph"/>
              <w:spacing w:before="111"/>
              <w:ind w:right="94"/>
              <w:jc w:val="right"/>
              <w:rPr>
                <w:rFonts w:ascii="Times New Roman"/>
                <w:sz w:val="21"/>
              </w:rPr>
            </w:pPr>
            <w:r>
              <w:rPr>
                <w:rFonts w:ascii="Times New Roman"/>
                <w:sz w:val="21"/>
              </w:rPr>
              <w:t>0.0029%</w:t>
            </w:r>
          </w:p>
        </w:tc>
      </w:tr>
      <w:tr>
        <w:trPr>
          <w:trHeight w:val="468" w:hRule="atLeast"/>
        </w:trPr>
        <w:tc>
          <w:tcPr>
            <w:tcW w:w="1987" w:type="dxa"/>
          </w:tcPr>
          <w:p>
            <w:pPr>
              <w:pStyle w:val="TableParagraph"/>
              <w:spacing w:before="102"/>
              <w:ind w:left="633" w:right="621"/>
              <w:jc w:val="center"/>
              <w:rPr>
                <w:sz w:val="21"/>
              </w:rPr>
            </w:pPr>
            <w:r>
              <w:rPr>
                <w:rFonts w:ascii="Times New Roman" w:eastAsia="Times New Roman"/>
                <w:sz w:val="21"/>
              </w:rPr>
              <w:t>2017 </w:t>
            </w:r>
            <w:r>
              <w:rPr>
                <w:sz w:val="21"/>
              </w:rPr>
              <w:t>年</w:t>
            </w:r>
          </w:p>
        </w:tc>
        <w:tc>
          <w:tcPr>
            <w:tcW w:w="1275" w:type="dxa"/>
          </w:tcPr>
          <w:p>
            <w:pPr>
              <w:pStyle w:val="TableParagraph"/>
              <w:spacing w:before="111"/>
              <w:ind w:right="93"/>
              <w:jc w:val="right"/>
              <w:rPr>
                <w:rFonts w:ascii="Times New Roman"/>
                <w:sz w:val="21"/>
              </w:rPr>
            </w:pPr>
            <w:r>
              <w:rPr>
                <w:rFonts w:ascii="Times New Roman"/>
                <w:sz w:val="21"/>
              </w:rPr>
              <w:t>3.9653%</w:t>
            </w:r>
          </w:p>
        </w:tc>
        <w:tc>
          <w:tcPr>
            <w:tcW w:w="1277" w:type="dxa"/>
          </w:tcPr>
          <w:p>
            <w:pPr>
              <w:pStyle w:val="TableParagraph"/>
              <w:spacing w:before="111"/>
              <w:ind w:right="93"/>
              <w:jc w:val="right"/>
              <w:rPr>
                <w:rFonts w:ascii="Times New Roman"/>
                <w:sz w:val="21"/>
              </w:rPr>
            </w:pPr>
            <w:r>
              <w:rPr>
                <w:rFonts w:ascii="Times New Roman"/>
                <w:sz w:val="21"/>
              </w:rPr>
              <w:t>0.0026%</w:t>
            </w:r>
          </w:p>
        </w:tc>
        <w:tc>
          <w:tcPr>
            <w:tcW w:w="1419" w:type="dxa"/>
          </w:tcPr>
          <w:p>
            <w:pPr>
              <w:pStyle w:val="TableParagraph"/>
              <w:spacing w:before="111"/>
              <w:ind w:right="93"/>
              <w:jc w:val="right"/>
              <w:rPr>
                <w:rFonts w:ascii="Times New Roman"/>
                <w:sz w:val="21"/>
              </w:rPr>
            </w:pPr>
            <w:r>
              <w:rPr>
                <w:rFonts w:ascii="Times New Roman"/>
                <w:sz w:val="21"/>
              </w:rPr>
              <w:t>1.3500%</w:t>
            </w:r>
          </w:p>
        </w:tc>
        <w:tc>
          <w:tcPr>
            <w:tcW w:w="1275" w:type="dxa"/>
          </w:tcPr>
          <w:p>
            <w:pPr>
              <w:pStyle w:val="TableParagraph"/>
              <w:spacing w:before="111"/>
              <w:ind w:right="96"/>
              <w:jc w:val="right"/>
              <w:rPr>
                <w:rFonts w:ascii="Times New Roman"/>
                <w:sz w:val="21"/>
              </w:rPr>
            </w:pPr>
            <w:r>
              <w:rPr>
                <w:rFonts w:ascii="Times New Roman"/>
                <w:sz w:val="21"/>
              </w:rPr>
              <w:t>0.0000%</w:t>
            </w:r>
          </w:p>
        </w:tc>
        <w:tc>
          <w:tcPr>
            <w:tcW w:w="1136" w:type="dxa"/>
          </w:tcPr>
          <w:p>
            <w:pPr>
              <w:pStyle w:val="TableParagraph"/>
              <w:spacing w:before="111"/>
              <w:ind w:left="230" w:right="60"/>
              <w:jc w:val="center"/>
              <w:rPr>
                <w:rFonts w:ascii="Times New Roman"/>
                <w:sz w:val="21"/>
              </w:rPr>
            </w:pPr>
            <w:r>
              <w:rPr>
                <w:rFonts w:ascii="Times New Roman"/>
                <w:sz w:val="21"/>
              </w:rPr>
              <w:t>2.6153%</w:t>
            </w:r>
          </w:p>
        </w:tc>
        <w:tc>
          <w:tcPr>
            <w:tcW w:w="1416" w:type="dxa"/>
          </w:tcPr>
          <w:p>
            <w:pPr>
              <w:pStyle w:val="TableParagraph"/>
              <w:spacing w:before="111"/>
              <w:ind w:right="94"/>
              <w:jc w:val="right"/>
              <w:rPr>
                <w:rFonts w:ascii="Times New Roman"/>
                <w:sz w:val="21"/>
              </w:rPr>
            </w:pPr>
            <w:r>
              <w:rPr>
                <w:rFonts w:ascii="Times New Roman"/>
                <w:sz w:val="21"/>
              </w:rPr>
              <w:t>0.0026%</w:t>
            </w:r>
          </w:p>
        </w:tc>
      </w:tr>
      <w:tr>
        <w:trPr>
          <w:trHeight w:val="467" w:hRule="atLeast"/>
        </w:trPr>
        <w:tc>
          <w:tcPr>
            <w:tcW w:w="1987" w:type="dxa"/>
          </w:tcPr>
          <w:p>
            <w:pPr>
              <w:pStyle w:val="TableParagraph"/>
              <w:spacing w:before="101"/>
              <w:ind w:left="633" w:right="621"/>
              <w:jc w:val="center"/>
              <w:rPr>
                <w:sz w:val="21"/>
              </w:rPr>
            </w:pPr>
            <w:r>
              <w:rPr>
                <w:rFonts w:ascii="Times New Roman" w:eastAsia="Times New Roman"/>
                <w:sz w:val="21"/>
              </w:rPr>
              <w:t>2018 </w:t>
            </w:r>
            <w:r>
              <w:rPr>
                <w:sz w:val="21"/>
              </w:rPr>
              <w:t>年</w:t>
            </w:r>
          </w:p>
        </w:tc>
        <w:tc>
          <w:tcPr>
            <w:tcW w:w="1275" w:type="dxa"/>
          </w:tcPr>
          <w:p>
            <w:pPr>
              <w:pStyle w:val="TableParagraph"/>
              <w:spacing w:before="111"/>
              <w:ind w:right="93"/>
              <w:jc w:val="right"/>
              <w:rPr>
                <w:rFonts w:ascii="Times New Roman"/>
                <w:sz w:val="21"/>
              </w:rPr>
            </w:pPr>
            <w:r>
              <w:rPr>
                <w:rFonts w:ascii="Times New Roman"/>
                <w:sz w:val="21"/>
              </w:rPr>
              <w:t>3.4020%</w:t>
            </w:r>
          </w:p>
        </w:tc>
        <w:tc>
          <w:tcPr>
            <w:tcW w:w="1277" w:type="dxa"/>
          </w:tcPr>
          <w:p>
            <w:pPr>
              <w:pStyle w:val="TableParagraph"/>
              <w:spacing w:before="111"/>
              <w:ind w:right="93"/>
              <w:jc w:val="right"/>
              <w:rPr>
                <w:rFonts w:ascii="Times New Roman"/>
                <w:sz w:val="21"/>
              </w:rPr>
            </w:pPr>
            <w:r>
              <w:rPr>
                <w:rFonts w:ascii="Times New Roman"/>
                <w:sz w:val="21"/>
              </w:rPr>
              <w:t>0.0025%</w:t>
            </w:r>
          </w:p>
        </w:tc>
        <w:tc>
          <w:tcPr>
            <w:tcW w:w="1419" w:type="dxa"/>
          </w:tcPr>
          <w:p>
            <w:pPr>
              <w:pStyle w:val="TableParagraph"/>
              <w:spacing w:before="111"/>
              <w:ind w:right="93"/>
              <w:jc w:val="right"/>
              <w:rPr>
                <w:rFonts w:ascii="Times New Roman"/>
                <w:sz w:val="21"/>
              </w:rPr>
            </w:pPr>
            <w:r>
              <w:rPr>
                <w:rFonts w:ascii="Times New Roman"/>
                <w:sz w:val="21"/>
              </w:rPr>
              <w:t>1.3500%</w:t>
            </w:r>
          </w:p>
        </w:tc>
        <w:tc>
          <w:tcPr>
            <w:tcW w:w="1275" w:type="dxa"/>
          </w:tcPr>
          <w:p>
            <w:pPr>
              <w:pStyle w:val="TableParagraph"/>
              <w:spacing w:before="111"/>
              <w:ind w:right="96"/>
              <w:jc w:val="right"/>
              <w:rPr>
                <w:rFonts w:ascii="Times New Roman"/>
                <w:sz w:val="21"/>
              </w:rPr>
            </w:pPr>
            <w:r>
              <w:rPr>
                <w:rFonts w:ascii="Times New Roman"/>
                <w:sz w:val="21"/>
              </w:rPr>
              <w:t>0.0000%</w:t>
            </w:r>
          </w:p>
        </w:tc>
        <w:tc>
          <w:tcPr>
            <w:tcW w:w="1136" w:type="dxa"/>
          </w:tcPr>
          <w:p>
            <w:pPr>
              <w:pStyle w:val="TableParagraph"/>
              <w:spacing w:before="111"/>
              <w:ind w:left="230" w:right="60"/>
              <w:jc w:val="center"/>
              <w:rPr>
                <w:rFonts w:ascii="Times New Roman"/>
                <w:sz w:val="21"/>
              </w:rPr>
            </w:pPr>
            <w:r>
              <w:rPr>
                <w:rFonts w:ascii="Times New Roman"/>
                <w:sz w:val="21"/>
              </w:rPr>
              <w:t>2.0520%</w:t>
            </w:r>
          </w:p>
        </w:tc>
        <w:tc>
          <w:tcPr>
            <w:tcW w:w="1416" w:type="dxa"/>
          </w:tcPr>
          <w:p>
            <w:pPr>
              <w:pStyle w:val="TableParagraph"/>
              <w:spacing w:before="111"/>
              <w:ind w:right="94"/>
              <w:jc w:val="right"/>
              <w:rPr>
                <w:rFonts w:ascii="Times New Roman"/>
                <w:sz w:val="21"/>
              </w:rPr>
            </w:pPr>
            <w:r>
              <w:rPr>
                <w:rFonts w:ascii="Times New Roman"/>
                <w:sz w:val="21"/>
              </w:rPr>
              <w:t>0.0025%</w:t>
            </w:r>
          </w:p>
        </w:tc>
      </w:tr>
      <w:tr>
        <w:trPr>
          <w:trHeight w:val="623" w:hRule="atLeast"/>
        </w:trPr>
        <w:tc>
          <w:tcPr>
            <w:tcW w:w="1987" w:type="dxa"/>
          </w:tcPr>
          <w:p>
            <w:pPr>
              <w:pStyle w:val="TableParagraph"/>
              <w:spacing w:before="22"/>
              <w:ind w:left="126"/>
              <w:rPr>
                <w:sz w:val="21"/>
              </w:rPr>
            </w:pPr>
            <w:r>
              <w:rPr>
                <w:rFonts w:ascii="Times New Roman" w:eastAsia="Times New Roman"/>
                <w:sz w:val="21"/>
              </w:rPr>
              <w:t>2019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w:t>
            </w:r>
          </w:p>
          <w:p>
            <w:pPr>
              <w:pStyle w:val="TableParagraph"/>
              <w:spacing w:before="43"/>
              <w:ind w:left="179"/>
              <w:rPr>
                <w:sz w:val="21"/>
              </w:rPr>
            </w:pPr>
            <w:r>
              <w:rPr>
                <w:rFonts w:ascii="Times New Roman" w:eastAsia="Times New Roman"/>
                <w:sz w:val="21"/>
              </w:rPr>
              <w:t>2019 </w:t>
            </w:r>
            <w:r>
              <w:rPr>
                <w:sz w:val="21"/>
              </w:rPr>
              <w:t>年 </w:t>
            </w:r>
            <w:r>
              <w:rPr>
                <w:rFonts w:ascii="Times New Roman" w:eastAsia="Times New Roman"/>
                <w:sz w:val="21"/>
              </w:rPr>
              <w:t>6 </w:t>
            </w:r>
            <w:r>
              <w:rPr>
                <w:sz w:val="21"/>
              </w:rPr>
              <w:t>月 </w:t>
            </w:r>
            <w:r>
              <w:rPr>
                <w:rFonts w:ascii="Times New Roman" w:eastAsia="Times New Roman"/>
                <w:sz w:val="21"/>
              </w:rPr>
              <w:t>30 </w:t>
            </w:r>
            <w:r>
              <w:rPr>
                <w:sz w:val="21"/>
              </w:rPr>
              <w:t>日</w:t>
            </w:r>
          </w:p>
        </w:tc>
        <w:tc>
          <w:tcPr>
            <w:tcW w:w="1275" w:type="dxa"/>
          </w:tcPr>
          <w:p>
            <w:pPr>
              <w:pStyle w:val="TableParagraph"/>
              <w:spacing w:before="190"/>
              <w:ind w:right="93"/>
              <w:jc w:val="right"/>
              <w:rPr>
                <w:rFonts w:ascii="Times New Roman"/>
                <w:sz w:val="21"/>
              </w:rPr>
            </w:pPr>
            <w:r>
              <w:rPr>
                <w:rFonts w:ascii="Times New Roman"/>
                <w:sz w:val="21"/>
              </w:rPr>
              <w:t>1.2388%</w:t>
            </w:r>
          </w:p>
        </w:tc>
        <w:tc>
          <w:tcPr>
            <w:tcW w:w="1277" w:type="dxa"/>
          </w:tcPr>
          <w:p>
            <w:pPr>
              <w:pStyle w:val="TableParagraph"/>
              <w:spacing w:before="190"/>
              <w:ind w:right="93"/>
              <w:jc w:val="right"/>
              <w:rPr>
                <w:rFonts w:ascii="Times New Roman"/>
                <w:sz w:val="21"/>
              </w:rPr>
            </w:pPr>
            <w:r>
              <w:rPr>
                <w:rFonts w:ascii="Times New Roman"/>
                <w:sz w:val="21"/>
              </w:rPr>
              <w:t>0.0032%</w:t>
            </w:r>
          </w:p>
        </w:tc>
        <w:tc>
          <w:tcPr>
            <w:tcW w:w="1419" w:type="dxa"/>
          </w:tcPr>
          <w:p>
            <w:pPr>
              <w:pStyle w:val="TableParagraph"/>
              <w:spacing w:before="190"/>
              <w:ind w:right="93"/>
              <w:jc w:val="right"/>
              <w:rPr>
                <w:rFonts w:ascii="Times New Roman"/>
                <w:sz w:val="21"/>
              </w:rPr>
            </w:pPr>
            <w:r>
              <w:rPr>
                <w:rFonts w:ascii="Times New Roman"/>
                <w:sz w:val="21"/>
              </w:rPr>
              <w:t>0.6695%</w:t>
            </w:r>
          </w:p>
        </w:tc>
        <w:tc>
          <w:tcPr>
            <w:tcW w:w="1275" w:type="dxa"/>
          </w:tcPr>
          <w:p>
            <w:pPr>
              <w:pStyle w:val="TableParagraph"/>
              <w:spacing w:before="190"/>
              <w:ind w:right="96"/>
              <w:jc w:val="right"/>
              <w:rPr>
                <w:rFonts w:ascii="Times New Roman"/>
                <w:sz w:val="21"/>
              </w:rPr>
            </w:pPr>
            <w:r>
              <w:rPr>
                <w:rFonts w:ascii="Times New Roman"/>
                <w:sz w:val="21"/>
              </w:rPr>
              <w:t>0.0000%</w:t>
            </w:r>
          </w:p>
        </w:tc>
        <w:tc>
          <w:tcPr>
            <w:tcW w:w="1136" w:type="dxa"/>
          </w:tcPr>
          <w:p>
            <w:pPr>
              <w:pStyle w:val="TableParagraph"/>
              <w:spacing w:before="190"/>
              <w:ind w:left="230" w:right="60"/>
              <w:jc w:val="center"/>
              <w:rPr>
                <w:rFonts w:ascii="Times New Roman"/>
                <w:sz w:val="21"/>
              </w:rPr>
            </w:pPr>
            <w:r>
              <w:rPr>
                <w:rFonts w:ascii="Times New Roman"/>
                <w:sz w:val="21"/>
              </w:rPr>
              <w:t>0.5693%</w:t>
            </w:r>
          </w:p>
        </w:tc>
        <w:tc>
          <w:tcPr>
            <w:tcW w:w="1416" w:type="dxa"/>
          </w:tcPr>
          <w:p>
            <w:pPr>
              <w:pStyle w:val="TableParagraph"/>
              <w:spacing w:before="190"/>
              <w:ind w:right="94"/>
              <w:jc w:val="right"/>
              <w:rPr>
                <w:rFonts w:ascii="Times New Roman"/>
                <w:sz w:val="21"/>
              </w:rPr>
            </w:pPr>
            <w:r>
              <w:rPr>
                <w:rFonts w:ascii="Times New Roman"/>
                <w:sz w:val="21"/>
              </w:rPr>
              <w:t>0.0032%</w:t>
            </w:r>
          </w:p>
        </w:tc>
      </w:tr>
      <w:tr>
        <w:trPr>
          <w:trHeight w:val="625" w:hRule="atLeast"/>
        </w:trPr>
        <w:tc>
          <w:tcPr>
            <w:tcW w:w="1987" w:type="dxa"/>
          </w:tcPr>
          <w:p>
            <w:pPr>
              <w:pStyle w:val="TableParagraph"/>
              <w:spacing w:before="25"/>
              <w:ind w:left="126"/>
              <w:rPr>
                <w:sz w:val="21"/>
              </w:rPr>
            </w:pPr>
            <w:r>
              <w:rPr>
                <w:rFonts w:ascii="Times New Roman" w:eastAsia="Times New Roman"/>
                <w:sz w:val="21"/>
              </w:rPr>
              <w:t>2019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w:t>
            </w:r>
          </w:p>
          <w:p>
            <w:pPr>
              <w:pStyle w:val="TableParagraph"/>
              <w:spacing w:before="43"/>
              <w:ind w:left="179"/>
              <w:rPr>
                <w:sz w:val="21"/>
              </w:rPr>
            </w:pPr>
            <w:r>
              <w:rPr>
                <w:rFonts w:ascii="Times New Roman" w:eastAsia="Times New Roman"/>
                <w:sz w:val="21"/>
              </w:rPr>
              <w:t>2019 </w:t>
            </w:r>
            <w:r>
              <w:rPr>
                <w:sz w:val="21"/>
              </w:rPr>
              <w:t>年 </w:t>
            </w:r>
            <w:r>
              <w:rPr>
                <w:rFonts w:ascii="Times New Roman" w:eastAsia="Times New Roman"/>
                <w:sz w:val="21"/>
              </w:rPr>
              <w:t>9 </w:t>
            </w:r>
            <w:r>
              <w:rPr>
                <w:sz w:val="21"/>
              </w:rPr>
              <w:t>月 </w:t>
            </w:r>
            <w:r>
              <w:rPr>
                <w:rFonts w:ascii="Times New Roman" w:eastAsia="Times New Roman"/>
                <w:sz w:val="21"/>
              </w:rPr>
              <w:t>30 </w:t>
            </w:r>
            <w:r>
              <w:rPr>
                <w:sz w:val="21"/>
              </w:rPr>
              <w:t>日</w:t>
            </w:r>
          </w:p>
        </w:tc>
        <w:tc>
          <w:tcPr>
            <w:tcW w:w="1275" w:type="dxa"/>
          </w:tcPr>
          <w:p>
            <w:pPr>
              <w:pStyle w:val="TableParagraph"/>
              <w:spacing w:before="190"/>
              <w:ind w:right="92"/>
              <w:jc w:val="right"/>
              <w:rPr>
                <w:rFonts w:ascii="Times New Roman"/>
                <w:sz w:val="21"/>
              </w:rPr>
            </w:pPr>
            <w:r>
              <w:rPr>
                <w:rFonts w:ascii="Times New Roman"/>
                <w:sz w:val="21"/>
              </w:rPr>
              <w:t>1.8875%</w:t>
            </w:r>
          </w:p>
        </w:tc>
        <w:tc>
          <w:tcPr>
            <w:tcW w:w="1277" w:type="dxa"/>
          </w:tcPr>
          <w:p>
            <w:pPr>
              <w:pStyle w:val="TableParagraph"/>
              <w:spacing w:before="190"/>
              <w:ind w:right="93"/>
              <w:jc w:val="right"/>
              <w:rPr>
                <w:rFonts w:ascii="Times New Roman"/>
                <w:sz w:val="21"/>
              </w:rPr>
            </w:pPr>
            <w:r>
              <w:rPr>
                <w:rFonts w:ascii="Times New Roman"/>
                <w:sz w:val="21"/>
              </w:rPr>
              <w:t>0.0037%</w:t>
            </w:r>
          </w:p>
        </w:tc>
        <w:tc>
          <w:tcPr>
            <w:tcW w:w="1419" w:type="dxa"/>
          </w:tcPr>
          <w:p>
            <w:pPr>
              <w:pStyle w:val="TableParagraph"/>
              <w:spacing w:before="190"/>
              <w:ind w:right="93"/>
              <w:jc w:val="right"/>
              <w:rPr>
                <w:rFonts w:ascii="Times New Roman"/>
                <w:sz w:val="21"/>
              </w:rPr>
            </w:pPr>
            <w:r>
              <w:rPr>
                <w:rFonts w:ascii="Times New Roman"/>
                <w:sz w:val="21"/>
              </w:rPr>
              <w:t>1.0097%</w:t>
            </w:r>
          </w:p>
        </w:tc>
        <w:tc>
          <w:tcPr>
            <w:tcW w:w="1275" w:type="dxa"/>
          </w:tcPr>
          <w:p>
            <w:pPr>
              <w:pStyle w:val="TableParagraph"/>
              <w:spacing w:before="190"/>
              <w:ind w:right="96"/>
              <w:jc w:val="right"/>
              <w:rPr>
                <w:rFonts w:ascii="Times New Roman"/>
                <w:sz w:val="21"/>
              </w:rPr>
            </w:pPr>
            <w:r>
              <w:rPr>
                <w:rFonts w:ascii="Times New Roman"/>
                <w:sz w:val="21"/>
              </w:rPr>
              <w:t>0.0000%</w:t>
            </w:r>
          </w:p>
        </w:tc>
        <w:tc>
          <w:tcPr>
            <w:tcW w:w="1136" w:type="dxa"/>
          </w:tcPr>
          <w:p>
            <w:pPr>
              <w:pStyle w:val="TableParagraph"/>
              <w:spacing w:before="190"/>
              <w:ind w:left="230" w:right="59"/>
              <w:jc w:val="center"/>
              <w:rPr>
                <w:rFonts w:ascii="Times New Roman"/>
                <w:sz w:val="21"/>
              </w:rPr>
            </w:pPr>
            <w:r>
              <w:rPr>
                <w:rFonts w:ascii="Times New Roman"/>
                <w:sz w:val="21"/>
              </w:rPr>
              <w:t>0.8778%</w:t>
            </w:r>
          </w:p>
        </w:tc>
        <w:tc>
          <w:tcPr>
            <w:tcW w:w="1416" w:type="dxa"/>
          </w:tcPr>
          <w:p>
            <w:pPr>
              <w:pStyle w:val="TableParagraph"/>
              <w:spacing w:before="190"/>
              <w:ind w:right="94"/>
              <w:jc w:val="right"/>
              <w:rPr>
                <w:rFonts w:ascii="Times New Roman"/>
                <w:sz w:val="21"/>
              </w:rPr>
            </w:pPr>
            <w:r>
              <w:rPr>
                <w:rFonts w:ascii="Times New Roman"/>
                <w:sz w:val="21"/>
              </w:rPr>
              <w:t>0.0037%</w:t>
            </w:r>
          </w:p>
        </w:tc>
      </w:tr>
      <w:tr>
        <w:trPr>
          <w:trHeight w:val="623" w:hRule="atLeast"/>
        </w:trPr>
        <w:tc>
          <w:tcPr>
            <w:tcW w:w="1987" w:type="dxa"/>
          </w:tcPr>
          <w:p>
            <w:pPr>
              <w:pStyle w:val="TableParagraph"/>
              <w:spacing w:before="22"/>
              <w:ind w:left="107"/>
              <w:rPr>
                <w:sz w:val="21"/>
              </w:rPr>
            </w:pPr>
            <w:r>
              <w:rPr>
                <w:rFonts w:ascii="Times New Roman" w:eastAsia="Times New Roman"/>
                <w:sz w:val="21"/>
              </w:rPr>
              <w:t>2010 </w:t>
            </w:r>
            <w:r>
              <w:rPr>
                <w:spacing w:val="-33"/>
                <w:sz w:val="21"/>
              </w:rPr>
              <w:t>年 </w:t>
            </w:r>
            <w:r>
              <w:rPr>
                <w:rFonts w:ascii="Times New Roman" w:eastAsia="Times New Roman"/>
                <w:sz w:val="21"/>
              </w:rPr>
              <w:t>4 </w:t>
            </w:r>
            <w:r>
              <w:rPr>
                <w:spacing w:val="-33"/>
                <w:sz w:val="21"/>
              </w:rPr>
              <w:t>月 </w:t>
            </w:r>
            <w:r>
              <w:rPr>
                <w:rFonts w:ascii="Times New Roman" w:eastAsia="Times New Roman"/>
                <w:sz w:val="21"/>
              </w:rPr>
              <w:t>30 </w:t>
            </w:r>
            <w:r>
              <w:rPr>
                <w:sz w:val="21"/>
              </w:rPr>
              <w:t>日－</w:t>
            </w:r>
          </w:p>
          <w:p>
            <w:pPr>
              <w:pStyle w:val="TableParagraph"/>
              <w:spacing w:before="43"/>
              <w:ind w:left="179"/>
              <w:rPr>
                <w:sz w:val="21"/>
              </w:rPr>
            </w:pPr>
            <w:r>
              <w:rPr>
                <w:rFonts w:ascii="Times New Roman" w:eastAsia="Times New Roman"/>
                <w:sz w:val="21"/>
              </w:rPr>
              <w:t>2019 </w:t>
            </w:r>
            <w:r>
              <w:rPr>
                <w:sz w:val="21"/>
              </w:rPr>
              <w:t>年 </w:t>
            </w:r>
            <w:r>
              <w:rPr>
                <w:rFonts w:ascii="Times New Roman" w:eastAsia="Times New Roman"/>
                <w:sz w:val="21"/>
              </w:rPr>
              <w:t>9 </w:t>
            </w:r>
            <w:r>
              <w:rPr>
                <w:sz w:val="21"/>
              </w:rPr>
              <w:t>月 </w:t>
            </w:r>
            <w:r>
              <w:rPr>
                <w:rFonts w:ascii="Times New Roman" w:eastAsia="Times New Roman"/>
                <w:sz w:val="21"/>
              </w:rPr>
              <w:t>30 </w:t>
            </w:r>
            <w:r>
              <w:rPr>
                <w:sz w:val="21"/>
              </w:rPr>
              <w:t>日</w:t>
            </w:r>
          </w:p>
        </w:tc>
        <w:tc>
          <w:tcPr>
            <w:tcW w:w="1275" w:type="dxa"/>
          </w:tcPr>
          <w:p>
            <w:pPr>
              <w:pStyle w:val="TableParagraph"/>
              <w:spacing w:before="187"/>
              <w:ind w:right="92"/>
              <w:jc w:val="right"/>
              <w:rPr>
                <w:rFonts w:ascii="Times New Roman"/>
                <w:sz w:val="21"/>
              </w:rPr>
            </w:pPr>
            <w:r>
              <w:rPr>
                <w:rFonts w:ascii="Times New Roman"/>
                <w:sz w:val="21"/>
              </w:rPr>
              <w:t>34.8430%</w:t>
            </w:r>
          </w:p>
        </w:tc>
        <w:tc>
          <w:tcPr>
            <w:tcW w:w="1277" w:type="dxa"/>
          </w:tcPr>
          <w:p>
            <w:pPr>
              <w:pStyle w:val="TableParagraph"/>
              <w:spacing w:before="187"/>
              <w:ind w:right="93"/>
              <w:jc w:val="right"/>
              <w:rPr>
                <w:rFonts w:ascii="Times New Roman"/>
                <w:sz w:val="21"/>
              </w:rPr>
            </w:pPr>
            <w:r>
              <w:rPr>
                <w:rFonts w:ascii="Times New Roman"/>
                <w:sz w:val="21"/>
              </w:rPr>
              <w:t>0.0058%</w:t>
            </w:r>
          </w:p>
        </w:tc>
        <w:tc>
          <w:tcPr>
            <w:tcW w:w="1419" w:type="dxa"/>
          </w:tcPr>
          <w:p>
            <w:pPr>
              <w:pStyle w:val="TableParagraph"/>
              <w:spacing w:before="187"/>
              <w:ind w:right="93"/>
              <w:jc w:val="right"/>
              <w:rPr>
                <w:rFonts w:ascii="Times New Roman"/>
                <w:sz w:val="21"/>
              </w:rPr>
            </w:pPr>
            <w:r>
              <w:rPr>
                <w:rFonts w:ascii="Times New Roman"/>
                <w:sz w:val="21"/>
              </w:rPr>
              <w:t>12.8970%</w:t>
            </w:r>
          </w:p>
        </w:tc>
        <w:tc>
          <w:tcPr>
            <w:tcW w:w="1275" w:type="dxa"/>
          </w:tcPr>
          <w:p>
            <w:pPr>
              <w:pStyle w:val="TableParagraph"/>
              <w:spacing w:before="187"/>
              <w:ind w:right="96"/>
              <w:jc w:val="right"/>
              <w:rPr>
                <w:rFonts w:ascii="Times New Roman"/>
                <w:sz w:val="21"/>
              </w:rPr>
            </w:pPr>
            <w:r>
              <w:rPr>
                <w:rFonts w:ascii="Times New Roman"/>
                <w:sz w:val="21"/>
              </w:rPr>
              <w:t>0.0001%</w:t>
            </w:r>
          </w:p>
        </w:tc>
        <w:tc>
          <w:tcPr>
            <w:tcW w:w="1136" w:type="dxa"/>
          </w:tcPr>
          <w:p>
            <w:pPr>
              <w:pStyle w:val="TableParagraph"/>
              <w:spacing w:before="187"/>
              <w:ind w:left="148" w:right="80"/>
              <w:jc w:val="center"/>
              <w:rPr>
                <w:rFonts w:ascii="Times New Roman"/>
                <w:sz w:val="21"/>
              </w:rPr>
            </w:pPr>
            <w:r>
              <w:rPr>
                <w:rFonts w:ascii="Times New Roman"/>
                <w:sz w:val="21"/>
              </w:rPr>
              <w:t>21.9460%</w:t>
            </w:r>
          </w:p>
        </w:tc>
        <w:tc>
          <w:tcPr>
            <w:tcW w:w="1416" w:type="dxa"/>
          </w:tcPr>
          <w:p>
            <w:pPr>
              <w:pStyle w:val="TableParagraph"/>
              <w:spacing w:before="187"/>
              <w:ind w:right="94"/>
              <w:jc w:val="right"/>
              <w:rPr>
                <w:rFonts w:ascii="Times New Roman"/>
                <w:sz w:val="21"/>
              </w:rPr>
            </w:pPr>
            <w:r>
              <w:rPr>
                <w:rFonts w:ascii="Times New Roman"/>
                <w:sz w:val="21"/>
              </w:rPr>
              <w:t>0.0057%</w:t>
            </w:r>
          </w:p>
        </w:tc>
      </w:tr>
    </w:tbl>
    <w:p>
      <w:pPr>
        <w:pStyle w:val="BodyText"/>
        <w:spacing w:line="415" w:lineRule="auto" w:before="131"/>
        <w:ind w:left="658" w:right="1309"/>
      </w:pPr>
      <w:r>
        <w:rPr>
          <w:spacing w:val="-24"/>
        </w:rPr>
        <w:t>注：自</w:t>
      </w:r>
      <w:r>
        <w:rPr/>
        <w:t>2019</w:t>
      </w:r>
      <w:r>
        <w:rPr>
          <w:spacing w:val="-11"/>
        </w:rPr>
        <w:t> 年</w:t>
      </w:r>
      <w:r>
        <w:rPr/>
        <w:t>6</w:t>
      </w:r>
      <w:r>
        <w:rPr>
          <w:spacing w:val="-39"/>
        </w:rPr>
        <w:t> 月 </w:t>
      </w:r>
      <w:r>
        <w:rPr/>
        <w:t>17</w:t>
      </w:r>
      <w:r>
        <w:rPr>
          <w:spacing w:val="-15"/>
        </w:rPr>
        <w:t> 日起本基金的收益分配方式由每日分配，按月结转份额改为每日分配， </w:t>
      </w:r>
      <w:r>
        <w:rPr>
          <w:spacing w:val="-6"/>
        </w:rPr>
        <w:t>按日结转份额。</w:t>
      </w:r>
    </w:p>
    <w:p>
      <w:pPr>
        <w:spacing w:after="0" w:line="415" w:lineRule="auto"/>
        <w:sectPr>
          <w:footerReference w:type="default" r:id="rId178"/>
          <w:pgSz w:w="11910" w:h="16840"/>
          <w:pgMar w:footer="992" w:header="852" w:top="1220" w:bottom="1180" w:left="1140" w:right="480"/>
          <w:pgNumType w:start="111"/>
        </w:sectPr>
      </w:pPr>
    </w:p>
    <w:p>
      <w:pPr>
        <w:pStyle w:val="BodyText"/>
        <w:spacing w:before="5"/>
        <w:rPr>
          <w:sz w:val="11"/>
        </w:rPr>
      </w:pPr>
    </w:p>
    <w:p>
      <w:pPr>
        <w:spacing w:before="71"/>
        <w:ind w:left="658" w:right="0" w:firstLine="0"/>
        <w:jc w:val="left"/>
        <w:rPr>
          <w:b/>
          <w:sz w:val="21"/>
        </w:rPr>
      </w:pPr>
      <w:r>
        <w:rPr>
          <w:b/>
          <w:sz w:val="21"/>
        </w:rPr>
        <w:t>2、自基金转型以来基金累计净值收益率变动情况及与同期业绩比较基准的变动的比较</w:t>
      </w:r>
    </w:p>
    <w:p>
      <w:pPr>
        <w:pStyle w:val="BodyText"/>
        <w:rPr>
          <w:b/>
          <w:sz w:val="20"/>
        </w:rPr>
      </w:pPr>
    </w:p>
    <w:p>
      <w:pPr>
        <w:pStyle w:val="BodyText"/>
        <w:rPr>
          <w:b/>
          <w:sz w:val="20"/>
        </w:rPr>
      </w:pPr>
    </w:p>
    <w:p>
      <w:pPr>
        <w:pStyle w:val="BodyText"/>
        <w:spacing w:before="1"/>
        <w:rPr>
          <w:b/>
          <w:sz w:val="14"/>
        </w:rPr>
      </w:pPr>
      <w:r>
        <w:rPr/>
        <w:drawing>
          <wp:anchor distT="0" distB="0" distL="0" distR="0" allowOverlap="1" layoutInCell="1" locked="0" behindDoc="0" simplePos="0" relativeHeight="3">
            <wp:simplePos x="0" y="0"/>
            <wp:positionH relativeFrom="page">
              <wp:posOffset>1214474</wp:posOffset>
            </wp:positionH>
            <wp:positionV relativeFrom="paragraph">
              <wp:posOffset>139636</wp:posOffset>
            </wp:positionV>
            <wp:extent cx="5150113" cy="2999422"/>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79" cstate="print"/>
                    <a:stretch>
                      <a:fillRect/>
                    </a:stretch>
                  </pic:blipFill>
                  <pic:spPr>
                    <a:xfrm>
                      <a:off x="0" y="0"/>
                      <a:ext cx="5150113" cy="2999422"/>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1214474</wp:posOffset>
            </wp:positionH>
            <wp:positionV relativeFrom="paragraph">
              <wp:posOffset>3309556</wp:posOffset>
            </wp:positionV>
            <wp:extent cx="5150113" cy="2999422"/>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80" cstate="print"/>
                    <a:stretch>
                      <a:fillRect/>
                    </a:stretch>
                  </pic:blipFill>
                  <pic:spPr>
                    <a:xfrm>
                      <a:off x="0" y="0"/>
                      <a:ext cx="5150113" cy="2999422"/>
                    </a:xfrm>
                    <a:prstGeom prst="rect">
                      <a:avLst/>
                    </a:prstGeom>
                  </pic:spPr>
                </pic:pic>
              </a:graphicData>
            </a:graphic>
          </wp:anchor>
        </w:drawing>
      </w:r>
    </w:p>
    <w:p>
      <w:pPr>
        <w:pStyle w:val="BodyText"/>
        <w:spacing w:before="8"/>
        <w:rPr>
          <w:b/>
          <w:sz w:val="15"/>
        </w:rPr>
      </w:pPr>
    </w:p>
    <w:p>
      <w:pPr>
        <w:pStyle w:val="BodyText"/>
        <w:spacing w:before="9"/>
        <w:rPr>
          <w:b/>
          <w:sz w:val="16"/>
        </w:rPr>
      </w:pPr>
    </w:p>
    <w:p>
      <w:pPr>
        <w:pStyle w:val="BodyText"/>
        <w:spacing w:line="417" w:lineRule="auto"/>
        <w:ind w:left="658" w:right="1308"/>
      </w:pPr>
      <w:r>
        <w:rPr>
          <w:spacing w:val="-5"/>
        </w:rPr>
        <w:t>注：经景顺长城恒丰债券证券投资基金基金份额持有人大会表决通过，并于 </w:t>
      </w:r>
      <w:r>
        <w:rPr/>
        <w:t>2005</w:t>
      </w:r>
      <w:r>
        <w:rPr>
          <w:spacing w:val="-32"/>
        </w:rPr>
        <w:t> 年 </w:t>
      </w:r>
      <w:r>
        <w:rPr/>
        <w:t>7</w:t>
      </w:r>
      <w:r>
        <w:rPr>
          <w:spacing w:val="-32"/>
        </w:rPr>
        <w:t> 月 </w:t>
      </w:r>
      <w:r>
        <w:rPr/>
        <w:t>7 </w:t>
      </w:r>
      <w:r>
        <w:rPr>
          <w:spacing w:val="-5"/>
        </w:rPr>
        <w:t>日获中国证券监督管理委员会证监基金字 </w:t>
      </w:r>
      <w:r>
        <w:rPr/>
        <w:t>2005[121</w:t>
      </w:r>
      <w:r>
        <w:rPr>
          <w:spacing w:val="-7"/>
        </w:rPr>
        <w:t>]号文核准，景顺长城恒丰债券证券投资</w:t>
      </w:r>
      <w:r>
        <w:rPr>
          <w:spacing w:val="-15"/>
        </w:rPr>
        <w:t>基金以 </w:t>
      </w:r>
      <w:r>
        <w:rPr/>
        <w:t>2005</w:t>
      </w:r>
      <w:r>
        <w:rPr>
          <w:spacing w:val="-32"/>
        </w:rPr>
        <w:t> 年 </w:t>
      </w:r>
      <w:r>
        <w:rPr/>
        <w:t>7</w:t>
      </w:r>
      <w:r>
        <w:rPr>
          <w:spacing w:val="-32"/>
        </w:rPr>
        <w:t> 月 </w:t>
      </w:r>
      <w:r>
        <w:rPr/>
        <w:t>14</w:t>
      </w:r>
      <w:r>
        <w:rPr>
          <w:spacing w:val="-12"/>
        </w:rPr>
        <w:t> 日为转变基准日转变成为景顺长城货币市场证券投资基金。本基金自</w:t>
      </w:r>
    </w:p>
    <w:p>
      <w:pPr>
        <w:pStyle w:val="BodyText"/>
        <w:spacing w:line="269" w:lineRule="exact"/>
        <w:ind w:left="658"/>
      </w:pPr>
      <w:r>
        <w:rPr/>
        <w:t>2010 年 4 月 30 日起实行基金份额分级。</w:t>
      </w:r>
    </w:p>
    <w:p>
      <w:pPr>
        <w:pStyle w:val="BodyText"/>
        <w:rPr>
          <w:sz w:val="20"/>
        </w:rPr>
      </w:pPr>
    </w:p>
    <w:p>
      <w:pPr>
        <w:pStyle w:val="BodyText"/>
        <w:spacing w:before="3"/>
        <w:rPr>
          <w:sz w:val="22"/>
        </w:rPr>
      </w:pPr>
    </w:p>
    <w:p>
      <w:pPr>
        <w:spacing w:before="1"/>
        <w:ind w:left="658" w:right="0" w:firstLine="0"/>
        <w:jc w:val="left"/>
        <w:rPr>
          <w:b/>
          <w:sz w:val="24"/>
        </w:rPr>
      </w:pPr>
      <w:r>
        <w:rPr>
          <w:b/>
          <w:sz w:val="24"/>
        </w:rPr>
        <w:t>动力平衡基金的净值表现</w:t>
      </w:r>
    </w:p>
    <w:p>
      <w:pPr>
        <w:spacing w:after="0"/>
        <w:jc w:val="left"/>
        <w:rPr>
          <w:sz w:val="24"/>
        </w:rPr>
        <w:sectPr>
          <w:pgSz w:w="11910" w:h="16840"/>
          <w:pgMar w:header="852" w:footer="992" w:top="1220" w:bottom="1180" w:left="1140" w:right="480"/>
        </w:sectPr>
      </w:pPr>
    </w:p>
    <w:p>
      <w:pPr>
        <w:pStyle w:val="BodyText"/>
        <w:spacing w:before="7"/>
        <w:rPr>
          <w:b/>
          <w:sz w:val="18"/>
        </w:rPr>
      </w:pPr>
    </w:p>
    <w:p>
      <w:pPr>
        <w:spacing w:before="78"/>
        <w:ind w:left="658" w:right="0" w:firstLine="0"/>
        <w:jc w:val="left"/>
        <w:rPr>
          <w:b/>
          <w:sz w:val="21"/>
        </w:rPr>
      </w:pPr>
      <w:r>
        <w:rPr>
          <w:rFonts w:ascii="Times New Roman" w:eastAsia="Times New Roman"/>
          <w:b/>
          <w:sz w:val="21"/>
        </w:rPr>
        <w:t>1</w:t>
      </w:r>
      <w:r>
        <w:rPr>
          <w:b/>
          <w:sz w:val="21"/>
        </w:rPr>
        <w:t>、 基金份额净值增长率及其与同期业绩比较基准收益率比较表</w:t>
      </w:r>
    </w:p>
    <w:p>
      <w:pPr>
        <w:pStyle w:val="BodyText"/>
        <w:spacing w:before="10"/>
        <w:rPr>
          <w:b/>
          <w:sz w:val="7"/>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1277"/>
        <w:gridCol w:w="1277"/>
        <w:gridCol w:w="1260"/>
        <w:gridCol w:w="1261"/>
        <w:gridCol w:w="1164"/>
        <w:gridCol w:w="1135"/>
      </w:tblGrid>
      <w:tr>
        <w:trPr>
          <w:trHeight w:val="1247" w:hRule="atLeast"/>
        </w:trPr>
        <w:tc>
          <w:tcPr>
            <w:tcW w:w="2132" w:type="dxa"/>
          </w:tcPr>
          <w:p>
            <w:pPr>
              <w:pStyle w:val="TableParagraph"/>
              <w:rPr>
                <w:b/>
                <w:sz w:val="20"/>
              </w:rPr>
            </w:pPr>
          </w:p>
          <w:p>
            <w:pPr>
              <w:pStyle w:val="TableParagraph"/>
              <w:spacing w:before="3"/>
              <w:rPr>
                <w:b/>
                <w:sz w:val="18"/>
              </w:rPr>
            </w:pPr>
          </w:p>
          <w:p>
            <w:pPr>
              <w:pStyle w:val="TableParagraph"/>
              <w:ind w:left="19" w:right="11"/>
              <w:jc w:val="center"/>
              <w:rPr>
                <w:sz w:val="21"/>
              </w:rPr>
            </w:pPr>
            <w:r>
              <w:rPr>
                <w:sz w:val="21"/>
              </w:rPr>
              <w:t>阶段</w:t>
            </w:r>
          </w:p>
        </w:tc>
        <w:tc>
          <w:tcPr>
            <w:tcW w:w="1277" w:type="dxa"/>
          </w:tcPr>
          <w:p>
            <w:pPr>
              <w:pStyle w:val="TableParagraph"/>
              <w:spacing w:before="1"/>
              <w:rPr>
                <w:b/>
                <w:sz w:val="26"/>
              </w:rPr>
            </w:pPr>
          </w:p>
          <w:p>
            <w:pPr>
              <w:pStyle w:val="TableParagraph"/>
              <w:ind w:left="91" w:right="85"/>
              <w:jc w:val="center"/>
              <w:rPr>
                <w:sz w:val="21"/>
              </w:rPr>
            </w:pPr>
            <w:r>
              <w:rPr>
                <w:sz w:val="21"/>
              </w:rPr>
              <w:t>净值增长率</w:t>
            </w:r>
          </w:p>
          <w:p>
            <w:pPr>
              <w:pStyle w:val="TableParagraph"/>
              <w:spacing w:before="55"/>
              <w:ind w:left="102" w:right="98"/>
              <w:jc w:val="center"/>
              <w:rPr>
                <w:rFonts w:ascii="Times New Roman"/>
                <w:sz w:val="21"/>
              </w:rPr>
            </w:pPr>
            <w:r>
              <w:rPr>
                <w:rFonts w:ascii="Times New Roman"/>
                <w:sz w:val="21"/>
              </w:rPr>
              <w:t>(1)</w:t>
            </w:r>
          </w:p>
        </w:tc>
        <w:tc>
          <w:tcPr>
            <w:tcW w:w="1277" w:type="dxa"/>
          </w:tcPr>
          <w:p>
            <w:pPr>
              <w:pStyle w:val="TableParagraph"/>
              <w:spacing w:before="1"/>
              <w:rPr>
                <w:b/>
                <w:sz w:val="26"/>
              </w:rPr>
            </w:pPr>
          </w:p>
          <w:p>
            <w:pPr>
              <w:pStyle w:val="TableParagraph"/>
              <w:spacing w:line="278" w:lineRule="auto"/>
              <w:ind w:left="198" w:right="101" w:hanging="89"/>
              <w:rPr>
                <w:rFonts w:ascii="Times New Roman" w:eastAsia="Times New Roman"/>
                <w:sz w:val="21"/>
              </w:rPr>
            </w:pPr>
            <w:r>
              <w:rPr>
                <w:sz w:val="21"/>
              </w:rPr>
              <w:t>净值增长率标准差</w:t>
            </w:r>
            <w:r>
              <w:rPr>
                <w:rFonts w:ascii="Times New Roman" w:eastAsia="Times New Roman"/>
                <w:sz w:val="21"/>
              </w:rPr>
              <w:t>(2)</w:t>
            </w:r>
          </w:p>
        </w:tc>
        <w:tc>
          <w:tcPr>
            <w:tcW w:w="1260" w:type="dxa"/>
          </w:tcPr>
          <w:p>
            <w:pPr>
              <w:pStyle w:val="TableParagraph"/>
              <w:spacing w:line="278" w:lineRule="auto" w:before="178"/>
              <w:ind w:left="208" w:right="197"/>
              <w:jc w:val="center"/>
              <w:rPr>
                <w:rFonts w:ascii="Times New Roman" w:eastAsia="Times New Roman"/>
                <w:sz w:val="21"/>
              </w:rPr>
            </w:pPr>
            <w:r>
              <w:rPr>
                <w:sz w:val="21"/>
              </w:rPr>
              <w:t>业绩比较基准收益率</w:t>
            </w:r>
            <w:r>
              <w:rPr>
                <w:rFonts w:ascii="Times New Roman" w:eastAsia="Times New Roman"/>
                <w:sz w:val="21"/>
              </w:rPr>
              <w:t>(3)</w:t>
            </w:r>
          </w:p>
        </w:tc>
        <w:tc>
          <w:tcPr>
            <w:tcW w:w="1261" w:type="dxa"/>
          </w:tcPr>
          <w:p>
            <w:pPr>
              <w:pStyle w:val="TableParagraph"/>
              <w:spacing w:line="278" w:lineRule="auto" w:before="22"/>
              <w:ind w:left="208" w:right="198"/>
              <w:jc w:val="both"/>
              <w:rPr>
                <w:sz w:val="21"/>
              </w:rPr>
            </w:pPr>
            <w:r>
              <w:rPr>
                <w:sz w:val="21"/>
              </w:rPr>
              <w:t>业绩比较基准收益率标准差</w:t>
            </w:r>
          </w:p>
          <w:p>
            <w:pPr>
              <w:pStyle w:val="TableParagraph"/>
              <w:spacing w:before="12"/>
              <w:ind w:left="486" w:right="480"/>
              <w:jc w:val="center"/>
              <w:rPr>
                <w:rFonts w:ascii="Times New Roman"/>
                <w:sz w:val="21"/>
              </w:rPr>
            </w:pPr>
            <w:r>
              <w:rPr>
                <w:rFonts w:ascii="Times New Roman"/>
                <w:sz w:val="21"/>
              </w:rPr>
              <w:t>(4)</w:t>
            </w:r>
          </w:p>
        </w:tc>
        <w:tc>
          <w:tcPr>
            <w:tcW w:w="1164" w:type="dxa"/>
          </w:tcPr>
          <w:p>
            <w:pPr>
              <w:pStyle w:val="TableParagraph"/>
              <w:rPr>
                <w:b/>
                <w:sz w:val="22"/>
              </w:rPr>
            </w:pPr>
          </w:p>
          <w:p>
            <w:pPr>
              <w:pStyle w:val="TableParagraph"/>
              <w:spacing w:before="2"/>
              <w:rPr>
                <w:b/>
                <w:sz w:val="17"/>
              </w:rPr>
            </w:pPr>
          </w:p>
          <w:p>
            <w:pPr>
              <w:pStyle w:val="TableParagraph"/>
              <w:ind w:left="301"/>
              <w:rPr>
                <w:rFonts w:ascii="Times New Roman"/>
                <w:sz w:val="21"/>
              </w:rPr>
            </w:pPr>
            <w:r>
              <w:rPr>
                <w:rFonts w:ascii="Times New Roman"/>
                <w:sz w:val="21"/>
              </w:rPr>
              <w:t>(1)-(3)</w:t>
            </w:r>
          </w:p>
        </w:tc>
        <w:tc>
          <w:tcPr>
            <w:tcW w:w="1135" w:type="dxa"/>
          </w:tcPr>
          <w:p>
            <w:pPr>
              <w:pStyle w:val="TableParagraph"/>
              <w:rPr>
                <w:b/>
                <w:sz w:val="22"/>
              </w:rPr>
            </w:pPr>
          </w:p>
          <w:p>
            <w:pPr>
              <w:pStyle w:val="TableParagraph"/>
              <w:spacing w:before="2"/>
              <w:rPr>
                <w:b/>
                <w:sz w:val="17"/>
              </w:rPr>
            </w:pPr>
          </w:p>
          <w:p>
            <w:pPr>
              <w:pStyle w:val="TableParagraph"/>
              <w:ind w:left="284"/>
              <w:rPr>
                <w:rFonts w:ascii="Times New Roman"/>
                <w:sz w:val="21"/>
              </w:rPr>
            </w:pPr>
            <w:r>
              <w:rPr>
                <w:rFonts w:ascii="Times New Roman"/>
                <w:sz w:val="21"/>
              </w:rPr>
              <w:t>(2)-(4)</w:t>
            </w:r>
          </w:p>
        </w:tc>
      </w:tr>
      <w:tr>
        <w:trPr>
          <w:trHeight w:val="467" w:hRule="atLeast"/>
        </w:trPr>
        <w:tc>
          <w:tcPr>
            <w:tcW w:w="2132" w:type="dxa"/>
          </w:tcPr>
          <w:p>
            <w:pPr>
              <w:pStyle w:val="TableParagraph"/>
              <w:spacing w:before="99"/>
              <w:ind w:left="22" w:right="11"/>
              <w:jc w:val="center"/>
              <w:rPr>
                <w:sz w:val="21"/>
              </w:rPr>
            </w:pPr>
            <w:r>
              <w:rPr>
                <w:rFonts w:ascii="Times New Roman" w:eastAsia="Times New Roman"/>
                <w:sz w:val="21"/>
              </w:rPr>
              <w:t>2009 </w:t>
            </w:r>
            <w:r>
              <w:rPr>
                <w:sz w:val="21"/>
              </w:rPr>
              <w:t>年</w:t>
            </w:r>
          </w:p>
        </w:tc>
        <w:tc>
          <w:tcPr>
            <w:tcW w:w="1277" w:type="dxa"/>
          </w:tcPr>
          <w:p>
            <w:pPr>
              <w:pStyle w:val="TableParagraph"/>
              <w:spacing w:before="111"/>
              <w:ind w:right="95"/>
              <w:jc w:val="right"/>
              <w:rPr>
                <w:rFonts w:ascii="Times New Roman"/>
                <w:sz w:val="21"/>
              </w:rPr>
            </w:pPr>
            <w:r>
              <w:rPr>
                <w:rFonts w:ascii="Times New Roman"/>
                <w:sz w:val="21"/>
              </w:rPr>
              <w:t>41.27%</w:t>
            </w:r>
          </w:p>
        </w:tc>
        <w:tc>
          <w:tcPr>
            <w:tcW w:w="1277" w:type="dxa"/>
          </w:tcPr>
          <w:p>
            <w:pPr>
              <w:pStyle w:val="TableParagraph"/>
              <w:spacing w:before="111"/>
              <w:ind w:right="93"/>
              <w:jc w:val="right"/>
              <w:rPr>
                <w:rFonts w:ascii="Times New Roman"/>
                <w:sz w:val="21"/>
              </w:rPr>
            </w:pPr>
            <w:r>
              <w:rPr>
                <w:rFonts w:ascii="Times New Roman"/>
                <w:sz w:val="21"/>
              </w:rPr>
              <w:t>1.12%</w:t>
            </w:r>
          </w:p>
        </w:tc>
        <w:tc>
          <w:tcPr>
            <w:tcW w:w="1260" w:type="dxa"/>
          </w:tcPr>
          <w:p>
            <w:pPr>
              <w:pStyle w:val="TableParagraph"/>
              <w:spacing w:before="111"/>
              <w:ind w:right="93"/>
              <w:jc w:val="right"/>
              <w:rPr>
                <w:rFonts w:ascii="Times New Roman"/>
                <w:sz w:val="21"/>
              </w:rPr>
            </w:pPr>
            <w:r>
              <w:rPr>
                <w:rFonts w:ascii="Times New Roman"/>
                <w:sz w:val="21"/>
              </w:rPr>
              <w:t>3.51%</w:t>
            </w:r>
          </w:p>
        </w:tc>
        <w:tc>
          <w:tcPr>
            <w:tcW w:w="1261" w:type="dxa"/>
          </w:tcPr>
          <w:p>
            <w:pPr>
              <w:pStyle w:val="TableParagraph"/>
              <w:spacing w:before="111"/>
              <w:ind w:right="94"/>
              <w:jc w:val="right"/>
              <w:rPr>
                <w:rFonts w:ascii="Times New Roman"/>
                <w:sz w:val="21"/>
              </w:rPr>
            </w:pPr>
            <w:r>
              <w:rPr>
                <w:rFonts w:ascii="Times New Roman"/>
                <w:sz w:val="21"/>
              </w:rPr>
              <w:t>0.01%</w:t>
            </w:r>
          </w:p>
        </w:tc>
        <w:tc>
          <w:tcPr>
            <w:tcW w:w="1164" w:type="dxa"/>
          </w:tcPr>
          <w:p>
            <w:pPr>
              <w:pStyle w:val="TableParagraph"/>
              <w:spacing w:before="111"/>
              <w:ind w:right="93"/>
              <w:jc w:val="right"/>
              <w:rPr>
                <w:rFonts w:ascii="Times New Roman"/>
                <w:sz w:val="21"/>
              </w:rPr>
            </w:pPr>
            <w:r>
              <w:rPr>
                <w:rFonts w:ascii="Times New Roman"/>
                <w:sz w:val="21"/>
              </w:rPr>
              <w:t>37.76%</w:t>
            </w:r>
          </w:p>
        </w:tc>
        <w:tc>
          <w:tcPr>
            <w:tcW w:w="1135" w:type="dxa"/>
          </w:tcPr>
          <w:p>
            <w:pPr>
              <w:pStyle w:val="TableParagraph"/>
              <w:spacing w:before="111"/>
              <w:ind w:right="95"/>
              <w:jc w:val="right"/>
              <w:rPr>
                <w:rFonts w:ascii="Times New Roman"/>
                <w:sz w:val="21"/>
              </w:rPr>
            </w:pPr>
            <w:r>
              <w:rPr>
                <w:rFonts w:ascii="Times New Roman"/>
                <w:sz w:val="21"/>
              </w:rPr>
              <w:t>1.11%</w:t>
            </w:r>
          </w:p>
        </w:tc>
      </w:tr>
      <w:tr>
        <w:trPr>
          <w:trHeight w:val="467" w:hRule="atLeast"/>
        </w:trPr>
        <w:tc>
          <w:tcPr>
            <w:tcW w:w="2132" w:type="dxa"/>
          </w:tcPr>
          <w:p>
            <w:pPr>
              <w:pStyle w:val="TableParagraph"/>
              <w:spacing w:before="99"/>
              <w:ind w:left="22" w:right="11"/>
              <w:jc w:val="center"/>
              <w:rPr>
                <w:sz w:val="21"/>
              </w:rPr>
            </w:pPr>
            <w:r>
              <w:rPr>
                <w:rFonts w:ascii="Times New Roman" w:eastAsia="Times New Roman"/>
                <w:sz w:val="21"/>
              </w:rPr>
              <w:t>2010 </w:t>
            </w:r>
            <w:r>
              <w:rPr>
                <w:sz w:val="21"/>
              </w:rPr>
              <w:t>年</w:t>
            </w:r>
          </w:p>
        </w:tc>
        <w:tc>
          <w:tcPr>
            <w:tcW w:w="1277" w:type="dxa"/>
          </w:tcPr>
          <w:p>
            <w:pPr>
              <w:pStyle w:val="TableParagraph"/>
              <w:spacing w:before="111"/>
              <w:ind w:right="98"/>
              <w:jc w:val="right"/>
              <w:rPr>
                <w:rFonts w:ascii="Times New Roman"/>
                <w:sz w:val="21"/>
              </w:rPr>
            </w:pPr>
            <w:r>
              <w:rPr>
                <w:rFonts w:ascii="Times New Roman"/>
                <w:sz w:val="21"/>
              </w:rPr>
              <w:t>-7.25%</w:t>
            </w:r>
          </w:p>
        </w:tc>
        <w:tc>
          <w:tcPr>
            <w:tcW w:w="1277" w:type="dxa"/>
          </w:tcPr>
          <w:p>
            <w:pPr>
              <w:pStyle w:val="TableParagraph"/>
              <w:spacing w:before="111"/>
              <w:ind w:right="93"/>
              <w:jc w:val="right"/>
              <w:rPr>
                <w:rFonts w:ascii="Times New Roman"/>
                <w:sz w:val="21"/>
              </w:rPr>
            </w:pPr>
            <w:r>
              <w:rPr>
                <w:rFonts w:ascii="Times New Roman"/>
                <w:sz w:val="21"/>
              </w:rPr>
              <w:t>1.19%</w:t>
            </w:r>
          </w:p>
        </w:tc>
        <w:tc>
          <w:tcPr>
            <w:tcW w:w="1260" w:type="dxa"/>
          </w:tcPr>
          <w:p>
            <w:pPr>
              <w:pStyle w:val="TableParagraph"/>
              <w:spacing w:before="111"/>
              <w:ind w:right="93"/>
              <w:jc w:val="right"/>
              <w:rPr>
                <w:rFonts w:ascii="Times New Roman"/>
                <w:sz w:val="21"/>
              </w:rPr>
            </w:pPr>
            <w:r>
              <w:rPr>
                <w:rFonts w:ascii="Times New Roman"/>
                <w:sz w:val="21"/>
              </w:rPr>
              <w:t>0.45%</w:t>
            </w:r>
          </w:p>
        </w:tc>
        <w:tc>
          <w:tcPr>
            <w:tcW w:w="1261" w:type="dxa"/>
          </w:tcPr>
          <w:p>
            <w:pPr>
              <w:pStyle w:val="TableParagraph"/>
              <w:spacing w:before="111"/>
              <w:ind w:right="94"/>
              <w:jc w:val="right"/>
              <w:rPr>
                <w:rFonts w:ascii="Times New Roman"/>
                <w:sz w:val="21"/>
              </w:rPr>
            </w:pPr>
            <w:r>
              <w:rPr>
                <w:rFonts w:ascii="Times New Roman"/>
                <w:sz w:val="21"/>
              </w:rPr>
              <w:t>0.76%</w:t>
            </w:r>
          </w:p>
        </w:tc>
        <w:tc>
          <w:tcPr>
            <w:tcW w:w="1164" w:type="dxa"/>
          </w:tcPr>
          <w:p>
            <w:pPr>
              <w:pStyle w:val="TableParagraph"/>
              <w:spacing w:before="111"/>
              <w:ind w:right="96"/>
              <w:jc w:val="right"/>
              <w:rPr>
                <w:rFonts w:ascii="Times New Roman"/>
                <w:sz w:val="21"/>
              </w:rPr>
            </w:pPr>
            <w:r>
              <w:rPr>
                <w:rFonts w:ascii="Times New Roman"/>
                <w:sz w:val="21"/>
              </w:rPr>
              <w:t>-7.70%</w:t>
            </w:r>
          </w:p>
        </w:tc>
        <w:tc>
          <w:tcPr>
            <w:tcW w:w="1135" w:type="dxa"/>
          </w:tcPr>
          <w:p>
            <w:pPr>
              <w:pStyle w:val="TableParagraph"/>
              <w:spacing w:before="111"/>
              <w:ind w:right="95"/>
              <w:jc w:val="right"/>
              <w:rPr>
                <w:rFonts w:ascii="Times New Roman"/>
                <w:sz w:val="21"/>
              </w:rPr>
            </w:pPr>
            <w:r>
              <w:rPr>
                <w:rFonts w:ascii="Times New Roman"/>
                <w:sz w:val="21"/>
              </w:rPr>
              <w:t>0.43%</w:t>
            </w:r>
          </w:p>
        </w:tc>
      </w:tr>
      <w:tr>
        <w:trPr>
          <w:trHeight w:val="470" w:hRule="atLeast"/>
        </w:trPr>
        <w:tc>
          <w:tcPr>
            <w:tcW w:w="2132" w:type="dxa"/>
          </w:tcPr>
          <w:p>
            <w:pPr>
              <w:pStyle w:val="TableParagraph"/>
              <w:spacing w:before="101"/>
              <w:ind w:left="22" w:right="11"/>
              <w:jc w:val="center"/>
              <w:rPr>
                <w:sz w:val="21"/>
              </w:rPr>
            </w:pPr>
            <w:r>
              <w:rPr>
                <w:rFonts w:ascii="Times New Roman" w:eastAsia="Times New Roman"/>
                <w:sz w:val="21"/>
              </w:rPr>
              <w:t>2011 </w:t>
            </w:r>
            <w:r>
              <w:rPr>
                <w:sz w:val="21"/>
              </w:rPr>
              <w:t>年</w:t>
            </w:r>
          </w:p>
        </w:tc>
        <w:tc>
          <w:tcPr>
            <w:tcW w:w="1277" w:type="dxa"/>
          </w:tcPr>
          <w:p>
            <w:pPr>
              <w:pStyle w:val="TableParagraph"/>
              <w:spacing w:before="113"/>
              <w:ind w:right="98"/>
              <w:jc w:val="right"/>
              <w:rPr>
                <w:rFonts w:ascii="Times New Roman"/>
                <w:sz w:val="21"/>
              </w:rPr>
            </w:pPr>
            <w:r>
              <w:rPr>
                <w:rFonts w:ascii="Times New Roman"/>
                <w:sz w:val="21"/>
              </w:rPr>
              <w:t>-22.69%</w:t>
            </w:r>
          </w:p>
        </w:tc>
        <w:tc>
          <w:tcPr>
            <w:tcW w:w="1277" w:type="dxa"/>
          </w:tcPr>
          <w:p>
            <w:pPr>
              <w:pStyle w:val="TableParagraph"/>
              <w:spacing w:before="113"/>
              <w:ind w:right="93"/>
              <w:jc w:val="right"/>
              <w:rPr>
                <w:rFonts w:ascii="Times New Roman"/>
                <w:sz w:val="21"/>
              </w:rPr>
            </w:pPr>
            <w:r>
              <w:rPr>
                <w:rFonts w:ascii="Times New Roman"/>
                <w:sz w:val="21"/>
              </w:rPr>
              <w:t>0.99%</w:t>
            </w:r>
          </w:p>
        </w:tc>
        <w:tc>
          <w:tcPr>
            <w:tcW w:w="1260" w:type="dxa"/>
          </w:tcPr>
          <w:p>
            <w:pPr>
              <w:pStyle w:val="TableParagraph"/>
              <w:spacing w:before="113"/>
              <w:ind w:right="95"/>
              <w:jc w:val="right"/>
              <w:rPr>
                <w:rFonts w:ascii="Times New Roman"/>
                <w:sz w:val="21"/>
              </w:rPr>
            </w:pPr>
            <w:r>
              <w:rPr>
                <w:rFonts w:ascii="Times New Roman"/>
                <w:sz w:val="21"/>
              </w:rPr>
              <w:t>-10.71%</w:t>
            </w:r>
          </w:p>
        </w:tc>
        <w:tc>
          <w:tcPr>
            <w:tcW w:w="1261" w:type="dxa"/>
          </w:tcPr>
          <w:p>
            <w:pPr>
              <w:pStyle w:val="TableParagraph"/>
              <w:spacing w:before="113"/>
              <w:ind w:right="94"/>
              <w:jc w:val="right"/>
              <w:rPr>
                <w:rFonts w:ascii="Times New Roman"/>
                <w:sz w:val="21"/>
              </w:rPr>
            </w:pPr>
            <w:r>
              <w:rPr>
                <w:rFonts w:ascii="Times New Roman"/>
                <w:sz w:val="21"/>
              </w:rPr>
              <w:t>0.65%</w:t>
            </w:r>
          </w:p>
        </w:tc>
        <w:tc>
          <w:tcPr>
            <w:tcW w:w="1164" w:type="dxa"/>
          </w:tcPr>
          <w:p>
            <w:pPr>
              <w:pStyle w:val="TableParagraph"/>
              <w:spacing w:before="113"/>
              <w:ind w:right="96"/>
              <w:jc w:val="right"/>
              <w:rPr>
                <w:rFonts w:ascii="Times New Roman"/>
                <w:sz w:val="21"/>
              </w:rPr>
            </w:pPr>
            <w:r>
              <w:rPr>
                <w:rFonts w:ascii="Times New Roman"/>
                <w:sz w:val="21"/>
              </w:rPr>
              <w:t>-11.98%</w:t>
            </w:r>
          </w:p>
        </w:tc>
        <w:tc>
          <w:tcPr>
            <w:tcW w:w="1135" w:type="dxa"/>
          </w:tcPr>
          <w:p>
            <w:pPr>
              <w:pStyle w:val="TableParagraph"/>
              <w:spacing w:before="113"/>
              <w:ind w:right="95"/>
              <w:jc w:val="right"/>
              <w:rPr>
                <w:rFonts w:ascii="Times New Roman"/>
                <w:sz w:val="21"/>
              </w:rPr>
            </w:pPr>
            <w:r>
              <w:rPr>
                <w:rFonts w:ascii="Times New Roman"/>
                <w:sz w:val="21"/>
              </w:rPr>
              <w:t>0.34%</w:t>
            </w:r>
          </w:p>
        </w:tc>
      </w:tr>
      <w:tr>
        <w:trPr>
          <w:trHeight w:val="468" w:hRule="atLeast"/>
        </w:trPr>
        <w:tc>
          <w:tcPr>
            <w:tcW w:w="2132" w:type="dxa"/>
          </w:tcPr>
          <w:p>
            <w:pPr>
              <w:pStyle w:val="TableParagraph"/>
              <w:spacing w:before="100"/>
              <w:ind w:left="22" w:right="11"/>
              <w:jc w:val="center"/>
              <w:rPr>
                <w:sz w:val="21"/>
              </w:rPr>
            </w:pPr>
            <w:r>
              <w:rPr>
                <w:rFonts w:ascii="Times New Roman" w:eastAsia="Times New Roman"/>
                <w:sz w:val="21"/>
              </w:rPr>
              <w:t>2012 </w:t>
            </w:r>
            <w:r>
              <w:rPr>
                <w:sz w:val="21"/>
              </w:rPr>
              <w:t>年</w:t>
            </w:r>
          </w:p>
        </w:tc>
        <w:tc>
          <w:tcPr>
            <w:tcW w:w="1277" w:type="dxa"/>
          </w:tcPr>
          <w:p>
            <w:pPr>
              <w:pStyle w:val="TableParagraph"/>
              <w:spacing w:before="111"/>
              <w:ind w:right="95"/>
              <w:jc w:val="right"/>
              <w:rPr>
                <w:rFonts w:ascii="Times New Roman"/>
                <w:sz w:val="21"/>
              </w:rPr>
            </w:pPr>
            <w:r>
              <w:rPr>
                <w:rFonts w:ascii="Times New Roman"/>
                <w:sz w:val="21"/>
              </w:rPr>
              <w:t>5.66%</w:t>
            </w:r>
          </w:p>
        </w:tc>
        <w:tc>
          <w:tcPr>
            <w:tcW w:w="1277" w:type="dxa"/>
          </w:tcPr>
          <w:p>
            <w:pPr>
              <w:pStyle w:val="TableParagraph"/>
              <w:spacing w:before="111"/>
              <w:ind w:right="93"/>
              <w:jc w:val="right"/>
              <w:rPr>
                <w:rFonts w:ascii="Times New Roman"/>
                <w:sz w:val="21"/>
              </w:rPr>
            </w:pPr>
            <w:r>
              <w:rPr>
                <w:rFonts w:ascii="Times New Roman"/>
                <w:sz w:val="21"/>
              </w:rPr>
              <w:t>1.00%</w:t>
            </w:r>
          </w:p>
        </w:tc>
        <w:tc>
          <w:tcPr>
            <w:tcW w:w="1260" w:type="dxa"/>
          </w:tcPr>
          <w:p>
            <w:pPr>
              <w:pStyle w:val="TableParagraph"/>
              <w:spacing w:before="111"/>
              <w:ind w:right="93"/>
              <w:jc w:val="right"/>
              <w:rPr>
                <w:rFonts w:ascii="Times New Roman"/>
                <w:sz w:val="21"/>
              </w:rPr>
            </w:pPr>
            <w:r>
              <w:rPr>
                <w:rFonts w:ascii="Times New Roman"/>
                <w:sz w:val="21"/>
              </w:rPr>
              <w:t>5.44%</w:t>
            </w:r>
          </w:p>
        </w:tc>
        <w:tc>
          <w:tcPr>
            <w:tcW w:w="1261" w:type="dxa"/>
          </w:tcPr>
          <w:p>
            <w:pPr>
              <w:pStyle w:val="TableParagraph"/>
              <w:spacing w:before="111"/>
              <w:ind w:right="94"/>
              <w:jc w:val="right"/>
              <w:rPr>
                <w:rFonts w:ascii="Times New Roman"/>
                <w:sz w:val="21"/>
              </w:rPr>
            </w:pPr>
            <w:r>
              <w:rPr>
                <w:rFonts w:ascii="Times New Roman"/>
                <w:sz w:val="21"/>
              </w:rPr>
              <w:t>0.64%</w:t>
            </w:r>
          </w:p>
        </w:tc>
        <w:tc>
          <w:tcPr>
            <w:tcW w:w="1164" w:type="dxa"/>
          </w:tcPr>
          <w:p>
            <w:pPr>
              <w:pStyle w:val="TableParagraph"/>
              <w:spacing w:before="111"/>
              <w:ind w:right="93"/>
              <w:jc w:val="right"/>
              <w:rPr>
                <w:rFonts w:ascii="Times New Roman"/>
                <w:sz w:val="21"/>
              </w:rPr>
            </w:pPr>
            <w:r>
              <w:rPr>
                <w:rFonts w:ascii="Times New Roman"/>
                <w:sz w:val="21"/>
              </w:rPr>
              <w:t>0.22%</w:t>
            </w:r>
          </w:p>
        </w:tc>
        <w:tc>
          <w:tcPr>
            <w:tcW w:w="1135" w:type="dxa"/>
          </w:tcPr>
          <w:p>
            <w:pPr>
              <w:pStyle w:val="TableParagraph"/>
              <w:spacing w:before="111"/>
              <w:ind w:right="95"/>
              <w:jc w:val="right"/>
              <w:rPr>
                <w:rFonts w:ascii="Times New Roman"/>
                <w:sz w:val="21"/>
              </w:rPr>
            </w:pPr>
            <w:r>
              <w:rPr>
                <w:rFonts w:ascii="Times New Roman"/>
                <w:sz w:val="21"/>
              </w:rPr>
              <w:t>0.36%</w:t>
            </w:r>
          </w:p>
        </w:tc>
      </w:tr>
      <w:tr>
        <w:trPr>
          <w:trHeight w:val="467" w:hRule="atLeast"/>
        </w:trPr>
        <w:tc>
          <w:tcPr>
            <w:tcW w:w="2132" w:type="dxa"/>
          </w:tcPr>
          <w:p>
            <w:pPr>
              <w:pStyle w:val="TableParagraph"/>
              <w:spacing w:before="99"/>
              <w:ind w:left="22" w:right="11"/>
              <w:jc w:val="center"/>
              <w:rPr>
                <w:sz w:val="21"/>
              </w:rPr>
            </w:pPr>
            <w:r>
              <w:rPr>
                <w:rFonts w:ascii="Times New Roman" w:eastAsia="Times New Roman"/>
                <w:sz w:val="21"/>
              </w:rPr>
              <w:t>2013 </w:t>
            </w:r>
            <w:r>
              <w:rPr>
                <w:sz w:val="21"/>
              </w:rPr>
              <w:t>年</w:t>
            </w:r>
          </w:p>
        </w:tc>
        <w:tc>
          <w:tcPr>
            <w:tcW w:w="1277" w:type="dxa"/>
          </w:tcPr>
          <w:p>
            <w:pPr>
              <w:pStyle w:val="TableParagraph"/>
              <w:spacing w:before="111"/>
              <w:ind w:right="95"/>
              <w:jc w:val="right"/>
              <w:rPr>
                <w:rFonts w:ascii="Times New Roman"/>
                <w:sz w:val="21"/>
              </w:rPr>
            </w:pPr>
            <w:r>
              <w:rPr>
                <w:rFonts w:ascii="Times New Roman"/>
                <w:sz w:val="21"/>
              </w:rPr>
              <w:t>10.55%</w:t>
            </w:r>
          </w:p>
        </w:tc>
        <w:tc>
          <w:tcPr>
            <w:tcW w:w="1277" w:type="dxa"/>
          </w:tcPr>
          <w:p>
            <w:pPr>
              <w:pStyle w:val="TableParagraph"/>
              <w:spacing w:before="111"/>
              <w:ind w:right="93"/>
              <w:jc w:val="right"/>
              <w:rPr>
                <w:rFonts w:ascii="Times New Roman"/>
                <w:sz w:val="21"/>
              </w:rPr>
            </w:pPr>
            <w:r>
              <w:rPr>
                <w:rFonts w:ascii="Times New Roman"/>
                <w:sz w:val="21"/>
              </w:rPr>
              <w:t>1.24%</w:t>
            </w:r>
          </w:p>
        </w:tc>
        <w:tc>
          <w:tcPr>
            <w:tcW w:w="1260" w:type="dxa"/>
          </w:tcPr>
          <w:p>
            <w:pPr>
              <w:pStyle w:val="TableParagraph"/>
              <w:spacing w:before="111"/>
              <w:ind w:right="95"/>
              <w:jc w:val="right"/>
              <w:rPr>
                <w:rFonts w:ascii="Times New Roman"/>
                <w:sz w:val="21"/>
              </w:rPr>
            </w:pPr>
            <w:r>
              <w:rPr>
                <w:rFonts w:ascii="Times New Roman"/>
                <w:sz w:val="21"/>
              </w:rPr>
              <w:t>-4.23%</w:t>
            </w:r>
          </w:p>
        </w:tc>
        <w:tc>
          <w:tcPr>
            <w:tcW w:w="1261" w:type="dxa"/>
          </w:tcPr>
          <w:p>
            <w:pPr>
              <w:pStyle w:val="TableParagraph"/>
              <w:spacing w:before="111"/>
              <w:ind w:right="94"/>
              <w:jc w:val="right"/>
              <w:rPr>
                <w:rFonts w:ascii="Times New Roman"/>
                <w:sz w:val="21"/>
              </w:rPr>
            </w:pPr>
            <w:r>
              <w:rPr>
                <w:rFonts w:ascii="Times New Roman"/>
                <w:sz w:val="21"/>
              </w:rPr>
              <w:t>0.70%</w:t>
            </w:r>
          </w:p>
        </w:tc>
        <w:tc>
          <w:tcPr>
            <w:tcW w:w="1164" w:type="dxa"/>
          </w:tcPr>
          <w:p>
            <w:pPr>
              <w:pStyle w:val="TableParagraph"/>
              <w:spacing w:before="111"/>
              <w:ind w:right="93"/>
              <w:jc w:val="right"/>
              <w:rPr>
                <w:rFonts w:ascii="Times New Roman"/>
                <w:sz w:val="21"/>
              </w:rPr>
            </w:pPr>
            <w:r>
              <w:rPr>
                <w:rFonts w:ascii="Times New Roman"/>
                <w:sz w:val="21"/>
              </w:rPr>
              <w:t>14.28%</w:t>
            </w:r>
          </w:p>
        </w:tc>
        <w:tc>
          <w:tcPr>
            <w:tcW w:w="1135" w:type="dxa"/>
          </w:tcPr>
          <w:p>
            <w:pPr>
              <w:pStyle w:val="TableParagraph"/>
              <w:spacing w:before="111"/>
              <w:ind w:right="95"/>
              <w:jc w:val="right"/>
              <w:rPr>
                <w:rFonts w:ascii="Times New Roman"/>
                <w:sz w:val="21"/>
              </w:rPr>
            </w:pPr>
            <w:r>
              <w:rPr>
                <w:rFonts w:ascii="Times New Roman"/>
                <w:sz w:val="21"/>
              </w:rPr>
              <w:t>0.54%</w:t>
            </w:r>
          </w:p>
        </w:tc>
      </w:tr>
      <w:tr>
        <w:trPr>
          <w:trHeight w:val="467" w:hRule="atLeast"/>
        </w:trPr>
        <w:tc>
          <w:tcPr>
            <w:tcW w:w="2132" w:type="dxa"/>
          </w:tcPr>
          <w:p>
            <w:pPr>
              <w:pStyle w:val="TableParagraph"/>
              <w:spacing w:before="102"/>
              <w:ind w:left="22" w:right="11"/>
              <w:jc w:val="center"/>
              <w:rPr>
                <w:sz w:val="21"/>
              </w:rPr>
            </w:pPr>
            <w:r>
              <w:rPr>
                <w:rFonts w:ascii="Times New Roman" w:eastAsia="Times New Roman"/>
                <w:sz w:val="21"/>
              </w:rPr>
              <w:t>2014 </w:t>
            </w:r>
            <w:r>
              <w:rPr>
                <w:sz w:val="21"/>
              </w:rPr>
              <w:t>年</w:t>
            </w:r>
          </w:p>
        </w:tc>
        <w:tc>
          <w:tcPr>
            <w:tcW w:w="1277" w:type="dxa"/>
          </w:tcPr>
          <w:p>
            <w:pPr>
              <w:pStyle w:val="TableParagraph"/>
              <w:spacing w:before="111"/>
              <w:ind w:right="95"/>
              <w:jc w:val="right"/>
              <w:rPr>
                <w:rFonts w:ascii="Times New Roman"/>
                <w:sz w:val="21"/>
              </w:rPr>
            </w:pPr>
            <w:r>
              <w:rPr>
                <w:rFonts w:ascii="Times New Roman"/>
                <w:sz w:val="21"/>
              </w:rPr>
              <w:t>8.55%</w:t>
            </w:r>
          </w:p>
        </w:tc>
        <w:tc>
          <w:tcPr>
            <w:tcW w:w="1277" w:type="dxa"/>
          </w:tcPr>
          <w:p>
            <w:pPr>
              <w:pStyle w:val="TableParagraph"/>
              <w:spacing w:before="111"/>
              <w:ind w:right="93"/>
              <w:jc w:val="right"/>
              <w:rPr>
                <w:rFonts w:ascii="Times New Roman"/>
                <w:sz w:val="21"/>
              </w:rPr>
            </w:pPr>
            <w:r>
              <w:rPr>
                <w:rFonts w:ascii="Times New Roman"/>
                <w:sz w:val="21"/>
              </w:rPr>
              <w:t>1.00%</w:t>
            </w:r>
          </w:p>
        </w:tc>
        <w:tc>
          <w:tcPr>
            <w:tcW w:w="1260" w:type="dxa"/>
          </w:tcPr>
          <w:p>
            <w:pPr>
              <w:pStyle w:val="TableParagraph"/>
              <w:spacing w:before="111"/>
              <w:ind w:right="93"/>
              <w:jc w:val="right"/>
              <w:rPr>
                <w:rFonts w:ascii="Times New Roman"/>
                <w:sz w:val="21"/>
              </w:rPr>
            </w:pPr>
            <w:r>
              <w:rPr>
                <w:rFonts w:ascii="Times New Roman"/>
                <w:sz w:val="21"/>
              </w:rPr>
              <w:t>29.83%</w:t>
            </w:r>
          </w:p>
        </w:tc>
        <w:tc>
          <w:tcPr>
            <w:tcW w:w="1261" w:type="dxa"/>
          </w:tcPr>
          <w:p>
            <w:pPr>
              <w:pStyle w:val="TableParagraph"/>
              <w:spacing w:before="111"/>
              <w:ind w:right="94"/>
              <w:jc w:val="right"/>
              <w:rPr>
                <w:rFonts w:ascii="Times New Roman"/>
                <w:sz w:val="21"/>
              </w:rPr>
            </w:pPr>
            <w:r>
              <w:rPr>
                <w:rFonts w:ascii="Times New Roman"/>
                <w:sz w:val="21"/>
              </w:rPr>
              <w:t>0.61%</w:t>
            </w:r>
          </w:p>
        </w:tc>
        <w:tc>
          <w:tcPr>
            <w:tcW w:w="1164" w:type="dxa"/>
          </w:tcPr>
          <w:p>
            <w:pPr>
              <w:pStyle w:val="TableParagraph"/>
              <w:spacing w:before="111"/>
              <w:ind w:right="96"/>
              <w:jc w:val="right"/>
              <w:rPr>
                <w:rFonts w:ascii="Times New Roman"/>
                <w:sz w:val="21"/>
              </w:rPr>
            </w:pPr>
            <w:r>
              <w:rPr>
                <w:rFonts w:ascii="Times New Roman"/>
                <w:sz w:val="21"/>
              </w:rPr>
              <w:t>-21.28%</w:t>
            </w:r>
          </w:p>
        </w:tc>
        <w:tc>
          <w:tcPr>
            <w:tcW w:w="1135" w:type="dxa"/>
          </w:tcPr>
          <w:p>
            <w:pPr>
              <w:pStyle w:val="TableParagraph"/>
              <w:spacing w:before="111"/>
              <w:ind w:right="95"/>
              <w:jc w:val="right"/>
              <w:rPr>
                <w:rFonts w:ascii="Times New Roman"/>
                <w:sz w:val="21"/>
              </w:rPr>
            </w:pPr>
            <w:r>
              <w:rPr>
                <w:rFonts w:ascii="Times New Roman"/>
                <w:sz w:val="21"/>
              </w:rPr>
              <w:t>0.39%</w:t>
            </w:r>
          </w:p>
        </w:tc>
      </w:tr>
      <w:tr>
        <w:trPr>
          <w:trHeight w:val="467" w:hRule="atLeast"/>
        </w:trPr>
        <w:tc>
          <w:tcPr>
            <w:tcW w:w="2132" w:type="dxa"/>
          </w:tcPr>
          <w:p>
            <w:pPr>
              <w:pStyle w:val="TableParagraph"/>
              <w:spacing w:before="102"/>
              <w:ind w:left="22" w:right="11"/>
              <w:jc w:val="center"/>
              <w:rPr>
                <w:sz w:val="21"/>
              </w:rPr>
            </w:pPr>
            <w:r>
              <w:rPr>
                <w:rFonts w:ascii="Times New Roman" w:eastAsia="Times New Roman"/>
                <w:sz w:val="21"/>
              </w:rPr>
              <w:t>2015 </w:t>
            </w:r>
            <w:r>
              <w:rPr>
                <w:sz w:val="21"/>
              </w:rPr>
              <w:t>年</w:t>
            </w:r>
          </w:p>
        </w:tc>
        <w:tc>
          <w:tcPr>
            <w:tcW w:w="1277" w:type="dxa"/>
          </w:tcPr>
          <w:p>
            <w:pPr>
              <w:pStyle w:val="TableParagraph"/>
              <w:spacing w:before="111"/>
              <w:ind w:right="95"/>
              <w:jc w:val="right"/>
              <w:rPr>
                <w:rFonts w:ascii="Times New Roman"/>
                <w:sz w:val="21"/>
              </w:rPr>
            </w:pPr>
            <w:r>
              <w:rPr>
                <w:rFonts w:ascii="Times New Roman"/>
                <w:sz w:val="21"/>
              </w:rPr>
              <w:t>20.27%</w:t>
            </w:r>
          </w:p>
        </w:tc>
        <w:tc>
          <w:tcPr>
            <w:tcW w:w="1277" w:type="dxa"/>
          </w:tcPr>
          <w:p>
            <w:pPr>
              <w:pStyle w:val="TableParagraph"/>
              <w:spacing w:before="111"/>
              <w:ind w:right="93"/>
              <w:jc w:val="right"/>
              <w:rPr>
                <w:rFonts w:ascii="Times New Roman"/>
                <w:sz w:val="21"/>
              </w:rPr>
            </w:pPr>
            <w:r>
              <w:rPr>
                <w:rFonts w:ascii="Times New Roman"/>
                <w:sz w:val="21"/>
              </w:rPr>
              <w:t>2.41%</w:t>
            </w:r>
          </w:p>
        </w:tc>
        <w:tc>
          <w:tcPr>
            <w:tcW w:w="1260" w:type="dxa"/>
          </w:tcPr>
          <w:p>
            <w:pPr>
              <w:pStyle w:val="TableParagraph"/>
              <w:spacing w:before="111"/>
              <w:ind w:right="93"/>
              <w:jc w:val="right"/>
              <w:rPr>
                <w:rFonts w:ascii="Times New Roman"/>
                <w:sz w:val="21"/>
              </w:rPr>
            </w:pPr>
            <w:r>
              <w:rPr>
                <w:rFonts w:ascii="Times New Roman"/>
                <w:sz w:val="21"/>
              </w:rPr>
              <w:t>8.49%</w:t>
            </w:r>
          </w:p>
        </w:tc>
        <w:tc>
          <w:tcPr>
            <w:tcW w:w="1261" w:type="dxa"/>
          </w:tcPr>
          <w:p>
            <w:pPr>
              <w:pStyle w:val="TableParagraph"/>
              <w:spacing w:before="111"/>
              <w:ind w:right="94"/>
              <w:jc w:val="right"/>
              <w:rPr>
                <w:rFonts w:ascii="Times New Roman"/>
                <w:sz w:val="21"/>
              </w:rPr>
            </w:pPr>
            <w:r>
              <w:rPr>
                <w:rFonts w:ascii="Times New Roman"/>
                <w:sz w:val="21"/>
              </w:rPr>
              <w:t>1.24%</w:t>
            </w:r>
          </w:p>
        </w:tc>
        <w:tc>
          <w:tcPr>
            <w:tcW w:w="1164" w:type="dxa"/>
          </w:tcPr>
          <w:p>
            <w:pPr>
              <w:pStyle w:val="TableParagraph"/>
              <w:spacing w:before="111"/>
              <w:ind w:right="93"/>
              <w:jc w:val="right"/>
              <w:rPr>
                <w:rFonts w:ascii="Times New Roman"/>
                <w:sz w:val="21"/>
              </w:rPr>
            </w:pPr>
            <w:r>
              <w:rPr>
                <w:rFonts w:ascii="Times New Roman"/>
                <w:sz w:val="21"/>
              </w:rPr>
              <w:t>11.78%</w:t>
            </w:r>
          </w:p>
        </w:tc>
        <w:tc>
          <w:tcPr>
            <w:tcW w:w="1135" w:type="dxa"/>
          </w:tcPr>
          <w:p>
            <w:pPr>
              <w:pStyle w:val="TableParagraph"/>
              <w:spacing w:before="111"/>
              <w:ind w:right="95"/>
              <w:jc w:val="right"/>
              <w:rPr>
                <w:rFonts w:ascii="Times New Roman"/>
                <w:sz w:val="21"/>
              </w:rPr>
            </w:pPr>
            <w:r>
              <w:rPr>
                <w:rFonts w:ascii="Times New Roman"/>
                <w:sz w:val="21"/>
              </w:rPr>
              <w:t>1.17%</w:t>
            </w:r>
          </w:p>
        </w:tc>
      </w:tr>
      <w:tr>
        <w:trPr>
          <w:trHeight w:val="467" w:hRule="atLeast"/>
        </w:trPr>
        <w:tc>
          <w:tcPr>
            <w:tcW w:w="2132" w:type="dxa"/>
          </w:tcPr>
          <w:p>
            <w:pPr>
              <w:pStyle w:val="TableParagraph"/>
              <w:spacing w:before="101"/>
              <w:ind w:left="22" w:right="11"/>
              <w:jc w:val="center"/>
              <w:rPr>
                <w:sz w:val="21"/>
              </w:rPr>
            </w:pPr>
            <w:r>
              <w:rPr>
                <w:rFonts w:ascii="Times New Roman" w:eastAsia="Times New Roman"/>
                <w:sz w:val="21"/>
              </w:rPr>
              <w:t>2016 </w:t>
            </w:r>
            <w:r>
              <w:rPr>
                <w:sz w:val="21"/>
              </w:rPr>
              <w:t>年</w:t>
            </w:r>
          </w:p>
        </w:tc>
        <w:tc>
          <w:tcPr>
            <w:tcW w:w="1277" w:type="dxa"/>
          </w:tcPr>
          <w:p>
            <w:pPr>
              <w:pStyle w:val="TableParagraph"/>
              <w:spacing w:before="111"/>
              <w:ind w:right="98"/>
              <w:jc w:val="right"/>
              <w:rPr>
                <w:rFonts w:ascii="Times New Roman"/>
                <w:sz w:val="21"/>
              </w:rPr>
            </w:pPr>
            <w:r>
              <w:rPr>
                <w:rFonts w:ascii="Times New Roman"/>
                <w:sz w:val="21"/>
              </w:rPr>
              <w:t>-0.32%</w:t>
            </w:r>
          </w:p>
        </w:tc>
        <w:tc>
          <w:tcPr>
            <w:tcW w:w="1277" w:type="dxa"/>
          </w:tcPr>
          <w:p>
            <w:pPr>
              <w:pStyle w:val="TableParagraph"/>
              <w:spacing w:before="111"/>
              <w:ind w:right="93"/>
              <w:jc w:val="right"/>
              <w:rPr>
                <w:rFonts w:ascii="Times New Roman"/>
                <w:sz w:val="21"/>
              </w:rPr>
            </w:pPr>
            <w:r>
              <w:rPr>
                <w:rFonts w:ascii="Times New Roman"/>
                <w:sz w:val="21"/>
              </w:rPr>
              <w:t>1.34%</w:t>
            </w:r>
          </w:p>
        </w:tc>
        <w:tc>
          <w:tcPr>
            <w:tcW w:w="1260" w:type="dxa"/>
          </w:tcPr>
          <w:p>
            <w:pPr>
              <w:pStyle w:val="TableParagraph"/>
              <w:spacing w:before="111"/>
              <w:ind w:right="95"/>
              <w:jc w:val="right"/>
              <w:rPr>
                <w:rFonts w:ascii="Times New Roman"/>
                <w:sz w:val="21"/>
              </w:rPr>
            </w:pPr>
            <w:r>
              <w:rPr>
                <w:rFonts w:ascii="Times New Roman"/>
                <w:sz w:val="21"/>
              </w:rPr>
              <w:t>-4.65%</w:t>
            </w:r>
          </w:p>
        </w:tc>
        <w:tc>
          <w:tcPr>
            <w:tcW w:w="1261" w:type="dxa"/>
          </w:tcPr>
          <w:p>
            <w:pPr>
              <w:pStyle w:val="TableParagraph"/>
              <w:spacing w:before="111"/>
              <w:ind w:right="94"/>
              <w:jc w:val="right"/>
              <w:rPr>
                <w:rFonts w:ascii="Times New Roman"/>
                <w:sz w:val="21"/>
              </w:rPr>
            </w:pPr>
            <w:r>
              <w:rPr>
                <w:rFonts w:ascii="Times New Roman"/>
                <w:sz w:val="21"/>
              </w:rPr>
              <w:t>0.71%</w:t>
            </w:r>
          </w:p>
        </w:tc>
        <w:tc>
          <w:tcPr>
            <w:tcW w:w="1164" w:type="dxa"/>
          </w:tcPr>
          <w:p>
            <w:pPr>
              <w:pStyle w:val="TableParagraph"/>
              <w:spacing w:before="111"/>
              <w:ind w:right="93"/>
              <w:jc w:val="right"/>
              <w:rPr>
                <w:rFonts w:ascii="Times New Roman"/>
                <w:sz w:val="21"/>
              </w:rPr>
            </w:pPr>
            <w:r>
              <w:rPr>
                <w:rFonts w:ascii="Times New Roman"/>
                <w:sz w:val="21"/>
              </w:rPr>
              <w:t>4.33%</w:t>
            </w:r>
          </w:p>
        </w:tc>
        <w:tc>
          <w:tcPr>
            <w:tcW w:w="1135" w:type="dxa"/>
          </w:tcPr>
          <w:p>
            <w:pPr>
              <w:pStyle w:val="TableParagraph"/>
              <w:spacing w:before="111"/>
              <w:ind w:right="95"/>
              <w:jc w:val="right"/>
              <w:rPr>
                <w:rFonts w:ascii="Times New Roman"/>
                <w:sz w:val="21"/>
              </w:rPr>
            </w:pPr>
            <w:r>
              <w:rPr>
                <w:rFonts w:ascii="Times New Roman"/>
                <w:sz w:val="21"/>
              </w:rPr>
              <w:t>0.63%</w:t>
            </w:r>
          </w:p>
        </w:tc>
      </w:tr>
      <w:tr>
        <w:trPr>
          <w:trHeight w:val="470" w:hRule="atLeast"/>
        </w:trPr>
        <w:tc>
          <w:tcPr>
            <w:tcW w:w="2132" w:type="dxa"/>
          </w:tcPr>
          <w:p>
            <w:pPr>
              <w:pStyle w:val="TableParagraph"/>
              <w:spacing w:before="101"/>
              <w:ind w:left="22" w:right="11"/>
              <w:jc w:val="center"/>
              <w:rPr>
                <w:sz w:val="21"/>
              </w:rPr>
            </w:pPr>
            <w:r>
              <w:rPr>
                <w:rFonts w:ascii="Times New Roman" w:eastAsia="Times New Roman"/>
                <w:sz w:val="21"/>
              </w:rPr>
              <w:t>2017 </w:t>
            </w:r>
            <w:r>
              <w:rPr>
                <w:sz w:val="21"/>
              </w:rPr>
              <w:t>年</w:t>
            </w:r>
          </w:p>
        </w:tc>
        <w:tc>
          <w:tcPr>
            <w:tcW w:w="1277" w:type="dxa"/>
          </w:tcPr>
          <w:p>
            <w:pPr>
              <w:pStyle w:val="TableParagraph"/>
              <w:spacing w:before="106"/>
              <w:ind w:right="97"/>
              <w:jc w:val="right"/>
              <w:rPr>
                <w:rFonts w:ascii="Times New Roman"/>
                <w:sz w:val="22"/>
              </w:rPr>
            </w:pPr>
            <w:r>
              <w:rPr>
                <w:rFonts w:ascii="Times New Roman"/>
                <w:sz w:val="22"/>
              </w:rPr>
              <w:t>36.53%</w:t>
            </w:r>
          </w:p>
        </w:tc>
        <w:tc>
          <w:tcPr>
            <w:tcW w:w="1277" w:type="dxa"/>
          </w:tcPr>
          <w:p>
            <w:pPr>
              <w:pStyle w:val="TableParagraph"/>
              <w:spacing w:before="106"/>
              <w:ind w:right="95"/>
              <w:jc w:val="right"/>
              <w:rPr>
                <w:rFonts w:ascii="Times New Roman"/>
                <w:sz w:val="22"/>
              </w:rPr>
            </w:pPr>
            <w:r>
              <w:rPr>
                <w:rFonts w:ascii="Times New Roman"/>
                <w:sz w:val="22"/>
              </w:rPr>
              <w:t>0.68%</w:t>
            </w:r>
          </w:p>
        </w:tc>
        <w:tc>
          <w:tcPr>
            <w:tcW w:w="1260" w:type="dxa"/>
          </w:tcPr>
          <w:p>
            <w:pPr>
              <w:pStyle w:val="TableParagraph"/>
              <w:spacing w:before="106"/>
              <w:ind w:right="94"/>
              <w:jc w:val="right"/>
              <w:rPr>
                <w:rFonts w:ascii="Times New Roman"/>
                <w:sz w:val="22"/>
              </w:rPr>
            </w:pPr>
            <w:r>
              <w:rPr>
                <w:rFonts w:ascii="Times New Roman"/>
                <w:sz w:val="22"/>
              </w:rPr>
              <w:t>9.94%</w:t>
            </w:r>
          </w:p>
        </w:tc>
        <w:tc>
          <w:tcPr>
            <w:tcW w:w="1261" w:type="dxa"/>
          </w:tcPr>
          <w:p>
            <w:pPr>
              <w:pStyle w:val="TableParagraph"/>
              <w:spacing w:before="106"/>
              <w:ind w:right="95"/>
              <w:jc w:val="right"/>
              <w:rPr>
                <w:rFonts w:ascii="Times New Roman"/>
                <w:sz w:val="22"/>
              </w:rPr>
            </w:pPr>
            <w:r>
              <w:rPr>
                <w:rFonts w:ascii="Times New Roman"/>
                <w:sz w:val="22"/>
              </w:rPr>
              <w:t>0.32%</w:t>
            </w:r>
          </w:p>
        </w:tc>
        <w:tc>
          <w:tcPr>
            <w:tcW w:w="1164" w:type="dxa"/>
          </w:tcPr>
          <w:p>
            <w:pPr>
              <w:pStyle w:val="TableParagraph"/>
              <w:spacing w:before="106"/>
              <w:ind w:right="95"/>
              <w:jc w:val="right"/>
              <w:rPr>
                <w:rFonts w:ascii="Times New Roman"/>
                <w:sz w:val="22"/>
              </w:rPr>
            </w:pPr>
            <w:r>
              <w:rPr>
                <w:rFonts w:ascii="Times New Roman"/>
                <w:sz w:val="22"/>
              </w:rPr>
              <w:t>26.59%</w:t>
            </w:r>
          </w:p>
        </w:tc>
        <w:tc>
          <w:tcPr>
            <w:tcW w:w="1135" w:type="dxa"/>
          </w:tcPr>
          <w:p>
            <w:pPr>
              <w:pStyle w:val="TableParagraph"/>
              <w:spacing w:before="113"/>
              <w:ind w:right="95"/>
              <w:jc w:val="right"/>
              <w:rPr>
                <w:rFonts w:ascii="Times New Roman"/>
                <w:sz w:val="21"/>
              </w:rPr>
            </w:pPr>
            <w:r>
              <w:rPr>
                <w:rFonts w:ascii="Times New Roman"/>
                <w:sz w:val="21"/>
              </w:rPr>
              <w:t>0.36%</w:t>
            </w:r>
          </w:p>
        </w:tc>
      </w:tr>
      <w:tr>
        <w:trPr>
          <w:trHeight w:val="467" w:hRule="atLeast"/>
        </w:trPr>
        <w:tc>
          <w:tcPr>
            <w:tcW w:w="2132" w:type="dxa"/>
          </w:tcPr>
          <w:p>
            <w:pPr>
              <w:pStyle w:val="TableParagraph"/>
              <w:spacing w:before="99"/>
              <w:ind w:left="22" w:right="11"/>
              <w:jc w:val="center"/>
              <w:rPr>
                <w:sz w:val="21"/>
              </w:rPr>
            </w:pPr>
            <w:r>
              <w:rPr>
                <w:rFonts w:ascii="Times New Roman" w:eastAsia="Times New Roman"/>
                <w:sz w:val="21"/>
              </w:rPr>
              <w:t>2018 </w:t>
            </w:r>
            <w:r>
              <w:rPr>
                <w:sz w:val="21"/>
              </w:rPr>
              <w:t>年</w:t>
            </w:r>
          </w:p>
        </w:tc>
        <w:tc>
          <w:tcPr>
            <w:tcW w:w="1277" w:type="dxa"/>
          </w:tcPr>
          <w:p>
            <w:pPr>
              <w:pStyle w:val="TableParagraph"/>
              <w:spacing w:before="104"/>
              <w:ind w:right="99"/>
              <w:jc w:val="right"/>
              <w:rPr>
                <w:rFonts w:ascii="Times New Roman"/>
                <w:sz w:val="22"/>
              </w:rPr>
            </w:pPr>
            <w:r>
              <w:rPr>
                <w:rFonts w:ascii="Times New Roman"/>
                <w:sz w:val="22"/>
              </w:rPr>
              <w:t>-21.90%</w:t>
            </w:r>
          </w:p>
        </w:tc>
        <w:tc>
          <w:tcPr>
            <w:tcW w:w="1277" w:type="dxa"/>
          </w:tcPr>
          <w:p>
            <w:pPr>
              <w:pStyle w:val="TableParagraph"/>
              <w:spacing w:before="104"/>
              <w:ind w:right="95"/>
              <w:jc w:val="right"/>
              <w:rPr>
                <w:rFonts w:ascii="Times New Roman"/>
                <w:sz w:val="22"/>
              </w:rPr>
            </w:pPr>
            <w:r>
              <w:rPr>
                <w:rFonts w:ascii="Times New Roman"/>
                <w:sz w:val="22"/>
              </w:rPr>
              <w:t>1.34%</w:t>
            </w:r>
          </w:p>
        </w:tc>
        <w:tc>
          <w:tcPr>
            <w:tcW w:w="1260" w:type="dxa"/>
          </w:tcPr>
          <w:p>
            <w:pPr>
              <w:pStyle w:val="TableParagraph"/>
              <w:spacing w:before="104"/>
              <w:ind w:right="97"/>
              <w:jc w:val="right"/>
              <w:rPr>
                <w:rFonts w:ascii="Times New Roman"/>
                <w:sz w:val="22"/>
              </w:rPr>
            </w:pPr>
            <w:r>
              <w:rPr>
                <w:rFonts w:ascii="Times New Roman"/>
                <w:sz w:val="22"/>
              </w:rPr>
              <w:t>-9.37%</w:t>
            </w:r>
          </w:p>
        </w:tc>
        <w:tc>
          <w:tcPr>
            <w:tcW w:w="1261" w:type="dxa"/>
          </w:tcPr>
          <w:p>
            <w:pPr>
              <w:pStyle w:val="TableParagraph"/>
              <w:spacing w:before="104"/>
              <w:ind w:right="95"/>
              <w:jc w:val="right"/>
              <w:rPr>
                <w:rFonts w:ascii="Times New Roman"/>
                <w:sz w:val="22"/>
              </w:rPr>
            </w:pPr>
            <w:r>
              <w:rPr>
                <w:rFonts w:ascii="Times New Roman"/>
                <w:sz w:val="22"/>
              </w:rPr>
              <w:t>0.66%</w:t>
            </w:r>
          </w:p>
        </w:tc>
        <w:tc>
          <w:tcPr>
            <w:tcW w:w="1164" w:type="dxa"/>
          </w:tcPr>
          <w:p>
            <w:pPr>
              <w:pStyle w:val="TableParagraph"/>
              <w:spacing w:before="104"/>
              <w:ind w:right="97"/>
              <w:jc w:val="right"/>
              <w:rPr>
                <w:rFonts w:ascii="Times New Roman"/>
                <w:sz w:val="22"/>
              </w:rPr>
            </w:pPr>
            <w:r>
              <w:rPr>
                <w:rFonts w:ascii="Times New Roman"/>
                <w:sz w:val="22"/>
              </w:rPr>
              <w:t>-12.53%</w:t>
            </w:r>
          </w:p>
        </w:tc>
        <w:tc>
          <w:tcPr>
            <w:tcW w:w="1135" w:type="dxa"/>
          </w:tcPr>
          <w:p>
            <w:pPr>
              <w:pStyle w:val="TableParagraph"/>
              <w:spacing w:before="104"/>
              <w:ind w:right="97"/>
              <w:jc w:val="right"/>
              <w:rPr>
                <w:rFonts w:ascii="Times New Roman"/>
                <w:sz w:val="22"/>
              </w:rPr>
            </w:pPr>
            <w:r>
              <w:rPr>
                <w:rFonts w:ascii="Times New Roman"/>
                <w:sz w:val="22"/>
              </w:rPr>
              <w:t>0.68%</w:t>
            </w:r>
          </w:p>
        </w:tc>
      </w:tr>
      <w:tr>
        <w:trPr>
          <w:trHeight w:val="623" w:hRule="atLeast"/>
        </w:trPr>
        <w:tc>
          <w:tcPr>
            <w:tcW w:w="2132" w:type="dxa"/>
          </w:tcPr>
          <w:p>
            <w:pPr>
              <w:pStyle w:val="TableParagraph"/>
              <w:spacing w:before="23"/>
              <w:ind w:left="198"/>
              <w:rPr>
                <w:sz w:val="21"/>
              </w:rPr>
            </w:pPr>
            <w:r>
              <w:rPr>
                <w:rFonts w:ascii="Times New Roman" w:eastAsia="Times New Roman"/>
                <w:sz w:val="21"/>
              </w:rPr>
              <w:t>2019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w:t>
            </w:r>
          </w:p>
          <w:p>
            <w:pPr>
              <w:pStyle w:val="TableParagraph"/>
              <w:spacing w:before="43"/>
              <w:ind w:left="251"/>
              <w:rPr>
                <w:sz w:val="21"/>
              </w:rPr>
            </w:pPr>
            <w:r>
              <w:rPr>
                <w:rFonts w:ascii="Times New Roman" w:eastAsia="Times New Roman"/>
                <w:sz w:val="21"/>
              </w:rPr>
              <w:t>2019 </w:t>
            </w:r>
            <w:r>
              <w:rPr>
                <w:sz w:val="21"/>
              </w:rPr>
              <w:t>年 </w:t>
            </w:r>
            <w:r>
              <w:rPr>
                <w:rFonts w:ascii="Times New Roman" w:eastAsia="Times New Roman"/>
                <w:sz w:val="21"/>
              </w:rPr>
              <w:t>6 </w:t>
            </w:r>
            <w:r>
              <w:rPr>
                <w:sz w:val="21"/>
              </w:rPr>
              <w:t>月 </w:t>
            </w:r>
            <w:r>
              <w:rPr>
                <w:rFonts w:ascii="Times New Roman" w:eastAsia="Times New Roman"/>
                <w:sz w:val="21"/>
              </w:rPr>
              <w:t>30 </w:t>
            </w:r>
            <w:r>
              <w:rPr>
                <w:sz w:val="21"/>
              </w:rPr>
              <w:t>日</w:t>
            </w:r>
          </w:p>
        </w:tc>
        <w:tc>
          <w:tcPr>
            <w:tcW w:w="1277" w:type="dxa"/>
          </w:tcPr>
          <w:p>
            <w:pPr>
              <w:pStyle w:val="TableParagraph"/>
              <w:spacing w:before="181"/>
              <w:ind w:right="97"/>
              <w:jc w:val="right"/>
              <w:rPr>
                <w:rFonts w:ascii="Times New Roman"/>
                <w:sz w:val="22"/>
              </w:rPr>
            </w:pPr>
            <w:r>
              <w:rPr>
                <w:rFonts w:ascii="Times New Roman"/>
                <w:sz w:val="22"/>
              </w:rPr>
              <w:t>35.02%</w:t>
            </w:r>
          </w:p>
        </w:tc>
        <w:tc>
          <w:tcPr>
            <w:tcW w:w="1277" w:type="dxa"/>
          </w:tcPr>
          <w:p>
            <w:pPr>
              <w:pStyle w:val="TableParagraph"/>
              <w:spacing w:before="181"/>
              <w:ind w:right="95"/>
              <w:jc w:val="right"/>
              <w:rPr>
                <w:rFonts w:ascii="Times New Roman"/>
                <w:sz w:val="22"/>
              </w:rPr>
            </w:pPr>
            <w:r>
              <w:rPr>
                <w:rFonts w:ascii="Times New Roman"/>
                <w:sz w:val="22"/>
              </w:rPr>
              <w:t>1.31%</w:t>
            </w:r>
          </w:p>
        </w:tc>
        <w:tc>
          <w:tcPr>
            <w:tcW w:w="1260" w:type="dxa"/>
          </w:tcPr>
          <w:p>
            <w:pPr>
              <w:pStyle w:val="TableParagraph"/>
              <w:spacing w:before="181"/>
              <w:ind w:right="94"/>
              <w:jc w:val="right"/>
              <w:rPr>
                <w:rFonts w:ascii="Times New Roman"/>
                <w:sz w:val="22"/>
              </w:rPr>
            </w:pPr>
            <w:r>
              <w:rPr>
                <w:rFonts w:ascii="Times New Roman"/>
                <w:sz w:val="22"/>
              </w:rPr>
              <w:t>13.93%</w:t>
            </w:r>
          </w:p>
        </w:tc>
        <w:tc>
          <w:tcPr>
            <w:tcW w:w="1261" w:type="dxa"/>
          </w:tcPr>
          <w:p>
            <w:pPr>
              <w:pStyle w:val="TableParagraph"/>
              <w:spacing w:before="181"/>
              <w:ind w:right="95"/>
              <w:jc w:val="right"/>
              <w:rPr>
                <w:rFonts w:ascii="Times New Roman"/>
                <w:sz w:val="22"/>
              </w:rPr>
            </w:pPr>
            <w:r>
              <w:rPr>
                <w:rFonts w:ascii="Times New Roman"/>
                <w:sz w:val="22"/>
              </w:rPr>
              <w:t>0.76%</w:t>
            </w:r>
          </w:p>
        </w:tc>
        <w:tc>
          <w:tcPr>
            <w:tcW w:w="1164" w:type="dxa"/>
          </w:tcPr>
          <w:p>
            <w:pPr>
              <w:pStyle w:val="TableParagraph"/>
              <w:spacing w:before="181"/>
              <w:ind w:right="95"/>
              <w:jc w:val="right"/>
              <w:rPr>
                <w:rFonts w:ascii="Times New Roman"/>
                <w:sz w:val="22"/>
              </w:rPr>
            </w:pPr>
            <w:r>
              <w:rPr>
                <w:rFonts w:ascii="Times New Roman"/>
                <w:sz w:val="22"/>
              </w:rPr>
              <w:t>21.09%</w:t>
            </w:r>
          </w:p>
        </w:tc>
        <w:tc>
          <w:tcPr>
            <w:tcW w:w="1135" w:type="dxa"/>
          </w:tcPr>
          <w:p>
            <w:pPr>
              <w:pStyle w:val="TableParagraph"/>
              <w:spacing w:before="181"/>
              <w:ind w:right="97"/>
              <w:jc w:val="right"/>
              <w:rPr>
                <w:rFonts w:ascii="Times New Roman"/>
                <w:sz w:val="22"/>
              </w:rPr>
            </w:pPr>
            <w:r>
              <w:rPr>
                <w:rFonts w:ascii="Times New Roman"/>
                <w:sz w:val="22"/>
              </w:rPr>
              <w:t>0.55%</w:t>
            </w:r>
          </w:p>
        </w:tc>
      </w:tr>
      <w:tr>
        <w:trPr>
          <w:trHeight w:val="623" w:hRule="atLeast"/>
        </w:trPr>
        <w:tc>
          <w:tcPr>
            <w:tcW w:w="2132" w:type="dxa"/>
          </w:tcPr>
          <w:p>
            <w:pPr>
              <w:pStyle w:val="TableParagraph"/>
              <w:spacing w:before="22"/>
              <w:ind w:left="198"/>
              <w:rPr>
                <w:sz w:val="21"/>
              </w:rPr>
            </w:pPr>
            <w:r>
              <w:rPr>
                <w:rFonts w:ascii="Times New Roman" w:eastAsia="Times New Roman"/>
                <w:sz w:val="21"/>
              </w:rPr>
              <w:t>2019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w:t>
            </w:r>
          </w:p>
          <w:p>
            <w:pPr>
              <w:pStyle w:val="TableParagraph"/>
              <w:spacing w:before="43"/>
              <w:ind w:left="251"/>
              <w:rPr>
                <w:sz w:val="21"/>
              </w:rPr>
            </w:pPr>
            <w:r>
              <w:rPr>
                <w:rFonts w:ascii="Times New Roman" w:eastAsia="Times New Roman"/>
                <w:sz w:val="21"/>
              </w:rPr>
              <w:t>2019 </w:t>
            </w:r>
            <w:r>
              <w:rPr>
                <w:sz w:val="21"/>
              </w:rPr>
              <w:t>年 </w:t>
            </w:r>
            <w:r>
              <w:rPr>
                <w:rFonts w:ascii="Times New Roman" w:eastAsia="Times New Roman"/>
                <w:sz w:val="21"/>
              </w:rPr>
              <w:t>9 </w:t>
            </w:r>
            <w:r>
              <w:rPr>
                <w:sz w:val="21"/>
              </w:rPr>
              <w:t>月 </w:t>
            </w:r>
            <w:r>
              <w:rPr>
                <w:rFonts w:ascii="Times New Roman" w:eastAsia="Times New Roman"/>
                <w:sz w:val="21"/>
              </w:rPr>
              <w:t>30 </w:t>
            </w:r>
            <w:r>
              <w:rPr>
                <w:sz w:val="21"/>
              </w:rPr>
              <w:t>日</w:t>
            </w:r>
          </w:p>
        </w:tc>
        <w:tc>
          <w:tcPr>
            <w:tcW w:w="1277" w:type="dxa"/>
          </w:tcPr>
          <w:p>
            <w:pPr>
              <w:pStyle w:val="TableParagraph"/>
              <w:spacing w:before="183"/>
              <w:ind w:right="97"/>
              <w:jc w:val="right"/>
              <w:rPr>
                <w:rFonts w:ascii="Times New Roman"/>
                <w:sz w:val="22"/>
              </w:rPr>
            </w:pPr>
            <w:r>
              <w:rPr>
                <w:rFonts w:ascii="Times New Roman"/>
                <w:sz w:val="22"/>
              </w:rPr>
              <w:t>35.93%</w:t>
            </w:r>
          </w:p>
        </w:tc>
        <w:tc>
          <w:tcPr>
            <w:tcW w:w="1277" w:type="dxa"/>
          </w:tcPr>
          <w:p>
            <w:pPr>
              <w:pStyle w:val="TableParagraph"/>
              <w:spacing w:before="183"/>
              <w:ind w:right="95"/>
              <w:jc w:val="right"/>
              <w:rPr>
                <w:rFonts w:ascii="Times New Roman"/>
                <w:sz w:val="22"/>
              </w:rPr>
            </w:pPr>
            <w:r>
              <w:rPr>
                <w:rFonts w:ascii="Times New Roman"/>
                <w:sz w:val="22"/>
              </w:rPr>
              <w:t>1.17%</w:t>
            </w:r>
          </w:p>
        </w:tc>
        <w:tc>
          <w:tcPr>
            <w:tcW w:w="1260" w:type="dxa"/>
          </w:tcPr>
          <w:p>
            <w:pPr>
              <w:pStyle w:val="TableParagraph"/>
              <w:spacing w:before="183"/>
              <w:ind w:right="94"/>
              <w:jc w:val="right"/>
              <w:rPr>
                <w:rFonts w:ascii="Times New Roman"/>
                <w:sz w:val="22"/>
              </w:rPr>
            </w:pPr>
            <w:r>
              <w:rPr>
                <w:rFonts w:ascii="Times New Roman"/>
                <w:sz w:val="22"/>
              </w:rPr>
              <w:t>14.57%</w:t>
            </w:r>
          </w:p>
        </w:tc>
        <w:tc>
          <w:tcPr>
            <w:tcW w:w="1261" w:type="dxa"/>
          </w:tcPr>
          <w:p>
            <w:pPr>
              <w:pStyle w:val="TableParagraph"/>
              <w:spacing w:before="183"/>
              <w:ind w:right="95"/>
              <w:jc w:val="right"/>
              <w:rPr>
                <w:rFonts w:ascii="Times New Roman"/>
                <w:sz w:val="22"/>
              </w:rPr>
            </w:pPr>
            <w:r>
              <w:rPr>
                <w:rFonts w:ascii="Times New Roman"/>
                <w:sz w:val="22"/>
              </w:rPr>
              <w:t>0.67%</w:t>
            </w:r>
          </w:p>
        </w:tc>
        <w:tc>
          <w:tcPr>
            <w:tcW w:w="1164" w:type="dxa"/>
          </w:tcPr>
          <w:p>
            <w:pPr>
              <w:pStyle w:val="TableParagraph"/>
              <w:spacing w:before="183"/>
              <w:ind w:right="95"/>
              <w:jc w:val="right"/>
              <w:rPr>
                <w:rFonts w:ascii="Times New Roman"/>
                <w:sz w:val="22"/>
              </w:rPr>
            </w:pPr>
            <w:r>
              <w:rPr>
                <w:rFonts w:ascii="Times New Roman"/>
                <w:sz w:val="22"/>
              </w:rPr>
              <w:t>21.36%</w:t>
            </w:r>
          </w:p>
        </w:tc>
        <w:tc>
          <w:tcPr>
            <w:tcW w:w="1135" w:type="dxa"/>
          </w:tcPr>
          <w:p>
            <w:pPr>
              <w:pStyle w:val="TableParagraph"/>
              <w:spacing w:before="183"/>
              <w:ind w:right="97"/>
              <w:jc w:val="right"/>
              <w:rPr>
                <w:rFonts w:ascii="Times New Roman"/>
                <w:sz w:val="22"/>
              </w:rPr>
            </w:pPr>
            <w:r>
              <w:rPr>
                <w:rFonts w:ascii="Times New Roman"/>
                <w:sz w:val="22"/>
              </w:rPr>
              <w:t>0.50%</w:t>
            </w:r>
          </w:p>
        </w:tc>
      </w:tr>
      <w:tr>
        <w:trPr>
          <w:trHeight w:val="623" w:hRule="atLeast"/>
        </w:trPr>
        <w:tc>
          <w:tcPr>
            <w:tcW w:w="2132" w:type="dxa"/>
          </w:tcPr>
          <w:p>
            <w:pPr>
              <w:pStyle w:val="TableParagraph"/>
              <w:spacing w:before="22"/>
              <w:ind w:left="22" w:right="11"/>
              <w:jc w:val="center"/>
              <w:rPr>
                <w:sz w:val="21"/>
              </w:rPr>
            </w:pPr>
            <w:r>
              <w:rPr>
                <w:rFonts w:ascii="Times New Roman" w:eastAsia="Times New Roman"/>
                <w:sz w:val="21"/>
              </w:rPr>
              <w:t>2003 </w:t>
            </w:r>
            <w:r>
              <w:rPr>
                <w:sz w:val="21"/>
              </w:rPr>
              <w:t>年 </w:t>
            </w:r>
            <w:r>
              <w:rPr>
                <w:rFonts w:ascii="Times New Roman" w:eastAsia="Times New Roman"/>
                <w:sz w:val="21"/>
              </w:rPr>
              <w:t>10 </w:t>
            </w:r>
            <w:r>
              <w:rPr>
                <w:sz w:val="21"/>
              </w:rPr>
              <w:t>月 </w:t>
            </w:r>
            <w:r>
              <w:rPr>
                <w:rFonts w:ascii="Times New Roman" w:eastAsia="Times New Roman"/>
                <w:sz w:val="21"/>
              </w:rPr>
              <w:t>24 </w:t>
            </w:r>
            <w:r>
              <w:rPr>
                <w:sz w:val="21"/>
              </w:rPr>
              <w:t>日－</w:t>
            </w:r>
          </w:p>
          <w:p>
            <w:pPr>
              <w:pStyle w:val="TableParagraph"/>
              <w:spacing w:before="43"/>
              <w:ind w:left="22" w:right="11"/>
              <w:jc w:val="center"/>
              <w:rPr>
                <w:sz w:val="21"/>
              </w:rPr>
            </w:pPr>
            <w:r>
              <w:rPr>
                <w:rFonts w:ascii="Times New Roman" w:eastAsia="Times New Roman"/>
                <w:sz w:val="21"/>
              </w:rPr>
              <w:t>2019 </w:t>
            </w:r>
            <w:r>
              <w:rPr>
                <w:sz w:val="21"/>
              </w:rPr>
              <w:t>年 </w:t>
            </w:r>
            <w:r>
              <w:rPr>
                <w:rFonts w:ascii="Times New Roman" w:eastAsia="Times New Roman"/>
                <w:sz w:val="21"/>
              </w:rPr>
              <w:t>9 </w:t>
            </w:r>
            <w:r>
              <w:rPr>
                <w:sz w:val="21"/>
              </w:rPr>
              <w:t>月 </w:t>
            </w:r>
            <w:r>
              <w:rPr>
                <w:rFonts w:ascii="Times New Roman" w:eastAsia="Times New Roman"/>
                <w:sz w:val="21"/>
              </w:rPr>
              <w:t>30 </w:t>
            </w:r>
            <w:r>
              <w:rPr>
                <w:sz w:val="21"/>
              </w:rPr>
              <w:t>日</w:t>
            </w:r>
          </w:p>
        </w:tc>
        <w:tc>
          <w:tcPr>
            <w:tcW w:w="1277" w:type="dxa"/>
          </w:tcPr>
          <w:p>
            <w:pPr>
              <w:pStyle w:val="TableParagraph"/>
              <w:spacing w:before="183"/>
              <w:ind w:right="97"/>
              <w:jc w:val="right"/>
              <w:rPr>
                <w:rFonts w:ascii="Times New Roman"/>
                <w:sz w:val="22"/>
              </w:rPr>
            </w:pPr>
            <w:r>
              <w:rPr>
                <w:rFonts w:ascii="Times New Roman"/>
                <w:sz w:val="22"/>
              </w:rPr>
              <w:t>498.63%</w:t>
            </w:r>
          </w:p>
        </w:tc>
        <w:tc>
          <w:tcPr>
            <w:tcW w:w="1277" w:type="dxa"/>
          </w:tcPr>
          <w:p>
            <w:pPr>
              <w:pStyle w:val="TableParagraph"/>
              <w:spacing w:before="183"/>
              <w:ind w:right="95"/>
              <w:jc w:val="right"/>
              <w:rPr>
                <w:rFonts w:ascii="Times New Roman"/>
                <w:sz w:val="22"/>
              </w:rPr>
            </w:pPr>
            <w:r>
              <w:rPr>
                <w:rFonts w:ascii="Times New Roman"/>
                <w:sz w:val="22"/>
              </w:rPr>
              <w:t>1.28%</w:t>
            </w:r>
          </w:p>
        </w:tc>
        <w:tc>
          <w:tcPr>
            <w:tcW w:w="1260" w:type="dxa"/>
          </w:tcPr>
          <w:p>
            <w:pPr>
              <w:pStyle w:val="TableParagraph"/>
              <w:spacing w:before="183"/>
              <w:ind w:right="94"/>
              <w:jc w:val="right"/>
              <w:rPr>
                <w:rFonts w:ascii="Times New Roman"/>
                <w:sz w:val="22"/>
              </w:rPr>
            </w:pPr>
            <w:r>
              <w:rPr>
                <w:rFonts w:ascii="Times New Roman"/>
                <w:sz w:val="22"/>
              </w:rPr>
              <w:t>84.41%</w:t>
            </w:r>
          </w:p>
        </w:tc>
        <w:tc>
          <w:tcPr>
            <w:tcW w:w="1261" w:type="dxa"/>
          </w:tcPr>
          <w:p>
            <w:pPr>
              <w:pStyle w:val="TableParagraph"/>
              <w:spacing w:before="183"/>
              <w:ind w:right="95"/>
              <w:jc w:val="right"/>
              <w:rPr>
                <w:rFonts w:ascii="Times New Roman"/>
                <w:sz w:val="22"/>
              </w:rPr>
            </w:pPr>
            <w:r>
              <w:rPr>
                <w:rFonts w:ascii="Times New Roman"/>
                <w:sz w:val="22"/>
              </w:rPr>
              <w:t>0.57%</w:t>
            </w:r>
          </w:p>
        </w:tc>
        <w:tc>
          <w:tcPr>
            <w:tcW w:w="1164" w:type="dxa"/>
          </w:tcPr>
          <w:p>
            <w:pPr>
              <w:pStyle w:val="TableParagraph"/>
              <w:spacing w:before="183"/>
              <w:ind w:right="95"/>
              <w:jc w:val="right"/>
              <w:rPr>
                <w:rFonts w:ascii="Times New Roman"/>
                <w:sz w:val="22"/>
              </w:rPr>
            </w:pPr>
            <w:r>
              <w:rPr>
                <w:rFonts w:ascii="Times New Roman"/>
                <w:sz w:val="22"/>
              </w:rPr>
              <w:t>414.22%</w:t>
            </w:r>
          </w:p>
        </w:tc>
        <w:tc>
          <w:tcPr>
            <w:tcW w:w="1135" w:type="dxa"/>
          </w:tcPr>
          <w:p>
            <w:pPr>
              <w:pStyle w:val="TableParagraph"/>
              <w:spacing w:before="183"/>
              <w:ind w:right="97"/>
              <w:jc w:val="right"/>
              <w:rPr>
                <w:rFonts w:ascii="Times New Roman"/>
                <w:sz w:val="22"/>
              </w:rPr>
            </w:pPr>
            <w:r>
              <w:rPr>
                <w:rFonts w:ascii="Times New Roman"/>
                <w:sz w:val="22"/>
              </w:rPr>
              <w:t>0.71%</w:t>
            </w:r>
          </w:p>
        </w:tc>
      </w:tr>
    </w:tbl>
    <w:p>
      <w:pPr>
        <w:pStyle w:val="BodyText"/>
        <w:rPr>
          <w:b/>
          <w:sz w:val="22"/>
        </w:rPr>
      </w:pPr>
    </w:p>
    <w:p>
      <w:pPr>
        <w:pStyle w:val="BodyText"/>
        <w:spacing w:before="3"/>
        <w:rPr>
          <w:b/>
          <w:sz w:val="22"/>
        </w:rPr>
      </w:pPr>
    </w:p>
    <w:p>
      <w:pPr>
        <w:spacing w:line="417" w:lineRule="auto" w:before="1"/>
        <w:ind w:left="658" w:right="1298" w:firstLine="0"/>
        <w:jc w:val="left"/>
        <w:rPr>
          <w:b/>
          <w:sz w:val="21"/>
        </w:rPr>
      </w:pPr>
      <w:r>
        <w:rPr>
          <w:rFonts w:ascii="Times New Roman" w:eastAsia="Times New Roman"/>
          <w:b/>
          <w:sz w:val="21"/>
        </w:rPr>
        <w:t>2</w:t>
      </w:r>
      <w:r>
        <w:rPr>
          <w:b/>
          <w:sz w:val="21"/>
        </w:rPr>
        <w:t>、自基金合同生效以来基金累计份额净值增长率变动及其与同期业绩比较基准收益率变动的比较</w:t>
      </w:r>
    </w:p>
    <w:p>
      <w:pPr>
        <w:spacing w:after="0" w:line="417" w:lineRule="auto"/>
        <w:jc w:val="left"/>
        <w:rPr>
          <w:sz w:val="21"/>
        </w:rPr>
        <w:sectPr>
          <w:pgSz w:w="11910" w:h="16840"/>
          <w:pgMar w:header="852" w:footer="992" w:top="1220" w:bottom="1180" w:left="1140" w:right="480"/>
        </w:sectPr>
      </w:pPr>
    </w:p>
    <w:p>
      <w:pPr>
        <w:pStyle w:val="BodyText"/>
        <w:spacing w:before="8" w:after="1"/>
        <w:rPr>
          <w:b/>
          <w:sz w:val="26"/>
        </w:rPr>
      </w:pPr>
    </w:p>
    <w:p>
      <w:pPr>
        <w:pStyle w:val="BodyText"/>
        <w:ind w:left="772"/>
        <w:rPr>
          <w:sz w:val="20"/>
        </w:rPr>
      </w:pPr>
      <w:r>
        <w:rPr>
          <w:sz w:val="20"/>
        </w:rPr>
        <w:drawing>
          <wp:inline distT="0" distB="0" distL="0" distR="0">
            <wp:extent cx="5150113" cy="2999422"/>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81" cstate="print"/>
                    <a:stretch>
                      <a:fillRect/>
                    </a:stretch>
                  </pic:blipFill>
                  <pic:spPr>
                    <a:xfrm>
                      <a:off x="0" y="0"/>
                      <a:ext cx="5150113" cy="2999422"/>
                    </a:xfrm>
                    <a:prstGeom prst="rect">
                      <a:avLst/>
                    </a:prstGeom>
                  </pic:spPr>
                </pic:pic>
              </a:graphicData>
            </a:graphic>
          </wp:inline>
        </w:drawing>
      </w:r>
      <w:r>
        <w:rPr>
          <w:sz w:val="20"/>
        </w:rPr>
      </w:r>
    </w:p>
    <w:p>
      <w:pPr>
        <w:pStyle w:val="BodyText"/>
        <w:spacing w:before="4"/>
        <w:rPr>
          <w:b/>
          <w:sz w:val="13"/>
        </w:rPr>
      </w:pPr>
    </w:p>
    <w:p>
      <w:pPr>
        <w:pStyle w:val="BodyText"/>
        <w:spacing w:line="417" w:lineRule="auto" w:before="72"/>
        <w:ind w:left="658" w:right="1308"/>
        <w:jc w:val="both"/>
      </w:pPr>
      <w:r>
        <w:rPr>
          <w:spacing w:val="-4"/>
        </w:rPr>
        <w:t>注：本基金的资产配置比例为：股票投资的比例为基金资产净值的 </w:t>
      </w:r>
      <w:r>
        <w:rPr/>
        <w:t>20</w:t>
      </w:r>
      <w:r>
        <w:rPr>
          <w:spacing w:val="-10"/>
        </w:rPr>
        <w:t>%至 </w:t>
      </w:r>
      <w:r>
        <w:rPr/>
        <w:t>80%</w:t>
      </w:r>
      <w:r>
        <w:rPr>
          <w:spacing w:val="-2"/>
        </w:rPr>
        <w:t>；债券投资的</w:t>
      </w:r>
      <w:r>
        <w:rPr>
          <w:spacing w:val="-6"/>
        </w:rPr>
        <w:t>比例为基金资产净值的 </w:t>
      </w:r>
      <w:r>
        <w:rPr/>
        <w:t>20</w:t>
      </w:r>
      <w:r>
        <w:rPr>
          <w:spacing w:val="-11"/>
        </w:rPr>
        <w:t>%至 </w:t>
      </w:r>
      <w:r>
        <w:rPr/>
        <w:t>80</w:t>
      </w:r>
      <w:r>
        <w:rPr>
          <w:spacing w:val="-5"/>
        </w:rPr>
        <w:t>%。按照本系列基金基金合同的规定，本基金自 </w:t>
      </w:r>
      <w:r>
        <w:rPr/>
        <w:t>2003</w:t>
      </w:r>
      <w:r>
        <w:rPr>
          <w:spacing w:val="-22"/>
        </w:rPr>
        <w:t> 年 </w:t>
      </w:r>
      <w:r>
        <w:rPr/>
        <w:t>10</w:t>
      </w:r>
    </w:p>
    <w:p>
      <w:pPr>
        <w:pStyle w:val="BodyText"/>
        <w:spacing w:line="417" w:lineRule="auto"/>
        <w:ind w:left="658" w:right="1309"/>
        <w:jc w:val="both"/>
      </w:pPr>
      <w:r>
        <w:rPr>
          <w:spacing w:val="-29"/>
        </w:rPr>
        <w:t>月 </w:t>
      </w:r>
      <w:r>
        <w:rPr/>
        <w:t>24</w:t>
      </w:r>
      <w:r>
        <w:rPr>
          <w:spacing w:val="-14"/>
        </w:rPr>
        <w:t> 日合同生效日起至 </w:t>
      </w:r>
      <w:r>
        <w:rPr/>
        <w:t>2004</w:t>
      </w:r>
      <w:r>
        <w:rPr>
          <w:spacing w:val="-39"/>
        </w:rPr>
        <w:t> 年 </w:t>
      </w:r>
      <w:r>
        <w:rPr/>
        <w:t>1</w:t>
      </w:r>
      <w:r>
        <w:rPr>
          <w:spacing w:val="-39"/>
        </w:rPr>
        <w:t> 月 </w:t>
      </w:r>
      <w:r>
        <w:rPr/>
        <w:t>23</w:t>
      </w:r>
      <w:r>
        <w:rPr>
          <w:spacing w:val="-23"/>
        </w:rPr>
        <w:t> 日为建仓期。本基金于 </w:t>
      </w:r>
      <w:r>
        <w:rPr/>
        <w:t>2007</w:t>
      </w:r>
      <w:r>
        <w:rPr>
          <w:spacing w:val="-39"/>
        </w:rPr>
        <w:t> 年 </w:t>
      </w:r>
      <w:r>
        <w:rPr/>
        <w:t>9</w:t>
      </w:r>
      <w:r>
        <w:rPr>
          <w:spacing w:val="-39"/>
        </w:rPr>
        <w:t> 月 </w:t>
      </w:r>
      <w:r>
        <w:rPr/>
        <w:t>10</w:t>
      </w:r>
      <w:r>
        <w:rPr>
          <w:spacing w:val="-11"/>
        </w:rPr>
        <w:t> 日实施分红， </w:t>
      </w:r>
      <w:r>
        <w:rPr>
          <w:spacing w:val="-8"/>
        </w:rPr>
        <w:t>此后基金资产规模持续增长，根据基金部函</w:t>
      </w:r>
      <w:r>
        <w:rPr/>
        <w:t>[2007]91</w:t>
      </w:r>
      <w:r>
        <w:rPr>
          <w:spacing w:val="-2"/>
        </w:rPr>
        <w:t> 号《关于实施基金份额拆分后调整基</w:t>
      </w:r>
      <w:r>
        <w:rPr>
          <w:spacing w:val="-7"/>
        </w:rPr>
        <w:t>金建仓期有关问题的复函》的有关规定，本基金证券投资比例的调整期限延长至 </w:t>
      </w:r>
      <w:r>
        <w:rPr/>
        <w:t>2007</w:t>
      </w:r>
      <w:r>
        <w:rPr>
          <w:spacing w:val="-27"/>
        </w:rPr>
        <w:t> 年 </w:t>
      </w:r>
      <w:r>
        <w:rPr>
          <w:spacing w:val="-3"/>
        </w:rPr>
        <w:t>10</w:t>
      </w:r>
    </w:p>
    <w:p>
      <w:pPr>
        <w:pStyle w:val="BodyText"/>
        <w:ind w:left="658"/>
        <w:jc w:val="both"/>
      </w:pPr>
      <w:r>
        <w:rPr/>
        <w:t>月 9 日止。建仓期结束时，本基金投资组合均达到上述投资组合比例的要求。</w:t>
      </w:r>
    </w:p>
    <w:p>
      <w:pPr>
        <w:spacing w:after="0"/>
        <w:jc w:val="both"/>
        <w:sectPr>
          <w:pgSz w:w="11910" w:h="16840"/>
          <w:pgMar w:header="852" w:footer="992" w:top="1220" w:bottom="1180" w:left="1140" w:right="480"/>
        </w:sectPr>
      </w:pPr>
    </w:p>
    <w:p>
      <w:pPr>
        <w:pStyle w:val="BodyText"/>
        <w:spacing w:before="11"/>
        <w:rPr>
          <w:sz w:val="17"/>
        </w:rPr>
      </w:pPr>
    </w:p>
    <w:p>
      <w:pPr>
        <w:pStyle w:val="Heading1"/>
        <w:spacing w:before="66"/>
        <w:ind w:left="1902" w:right="2558"/>
        <w:jc w:val="center"/>
      </w:pPr>
      <w:bookmarkStart w:name="_bookmark16" w:id="17"/>
      <w:bookmarkEnd w:id="17"/>
      <w:r>
        <w:rPr>
          <w:b w:val="0"/>
        </w:rPr>
      </w:r>
      <w:r>
        <w:rPr/>
        <w:t>十三、基金的财产</w:t>
      </w:r>
    </w:p>
    <w:p>
      <w:pPr>
        <w:pStyle w:val="BodyText"/>
        <w:rPr>
          <w:b/>
          <w:sz w:val="24"/>
        </w:rPr>
      </w:pPr>
    </w:p>
    <w:p>
      <w:pPr>
        <w:pStyle w:val="BodyText"/>
        <w:spacing w:before="9"/>
        <w:rPr>
          <w:b/>
          <w:sz w:val="26"/>
        </w:rPr>
      </w:pPr>
    </w:p>
    <w:p>
      <w:pPr>
        <w:pStyle w:val="BodyText"/>
        <w:ind w:left="1078"/>
      </w:pPr>
      <w:r>
        <w:rPr/>
        <w:t>本系列基金下各基金财产相互完全独立，分别建立账户，独立核算。</w:t>
      </w:r>
    </w:p>
    <w:p>
      <w:pPr>
        <w:pStyle w:val="BodyText"/>
        <w:spacing w:before="6"/>
        <w:rPr>
          <w:sz w:val="15"/>
        </w:rPr>
      </w:pPr>
    </w:p>
    <w:p>
      <w:pPr>
        <w:spacing w:before="1"/>
        <w:ind w:left="658" w:right="0" w:firstLine="0"/>
        <w:jc w:val="left"/>
        <w:rPr>
          <w:b/>
          <w:sz w:val="21"/>
        </w:rPr>
      </w:pPr>
      <w:r>
        <w:rPr>
          <w:b/>
          <w:sz w:val="21"/>
        </w:rPr>
        <w:t>（一）基金财产的构成</w:t>
      </w:r>
    </w:p>
    <w:p>
      <w:pPr>
        <w:pStyle w:val="BodyText"/>
        <w:spacing w:before="6"/>
        <w:rPr>
          <w:b/>
          <w:sz w:val="15"/>
        </w:rPr>
      </w:pPr>
    </w:p>
    <w:p>
      <w:pPr>
        <w:pStyle w:val="BodyText"/>
        <w:ind w:left="1078"/>
      </w:pPr>
      <w:r>
        <w:rPr/>
        <w:t>基金财产是由基金所拥有的各类有价证券、银行存款本息、应收款项和其它投资构成。</w:t>
      </w:r>
    </w:p>
    <w:p>
      <w:pPr>
        <w:pStyle w:val="BodyText"/>
        <w:rPr>
          <w:sz w:val="20"/>
        </w:rPr>
      </w:pPr>
    </w:p>
    <w:p>
      <w:pPr>
        <w:pStyle w:val="BodyText"/>
        <w:rPr>
          <w:sz w:val="20"/>
        </w:rPr>
      </w:pPr>
    </w:p>
    <w:p>
      <w:pPr>
        <w:spacing w:before="155"/>
        <w:ind w:left="658" w:right="0" w:firstLine="0"/>
        <w:jc w:val="left"/>
        <w:rPr>
          <w:b/>
          <w:sz w:val="21"/>
        </w:rPr>
      </w:pPr>
      <w:r>
        <w:rPr>
          <w:b/>
          <w:sz w:val="21"/>
        </w:rPr>
        <w:t>（二）基金资产总值</w:t>
      </w:r>
    </w:p>
    <w:p>
      <w:pPr>
        <w:pStyle w:val="BodyText"/>
        <w:spacing w:before="7"/>
        <w:rPr>
          <w:b/>
          <w:sz w:val="15"/>
        </w:rPr>
      </w:pPr>
    </w:p>
    <w:p>
      <w:pPr>
        <w:pStyle w:val="BodyText"/>
        <w:spacing w:line="417" w:lineRule="auto"/>
        <w:ind w:left="658" w:right="1309" w:firstLine="419"/>
      </w:pPr>
      <w:r>
        <w:rPr>
          <w:spacing w:val="-8"/>
        </w:rPr>
        <w:t>基金资产总值是指基金购买的各类证券价值、银行存款本息和基金应收的申购基金款以</w:t>
      </w:r>
      <w:r>
        <w:rPr>
          <w:spacing w:val="-5"/>
        </w:rPr>
        <w:t>及其他投资所形成的价值总和。</w:t>
      </w:r>
    </w:p>
    <w:p>
      <w:pPr>
        <w:pStyle w:val="BodyText"/>
        <w:spacing w:line="269" w:lineRule="exact"/>
        <w:ind w:left="1078"/>
      </w:pPr>
      <w:r>
        <w:rPr/>
        <w:t>其构成主要有：</w:t>
      </w:r>
    </w:p>
    <w:p>
      <w:pPr>
        <w:pStyle w:val="BodyText"/>
        <w:spacing w:before="7"/>
        <w:rPr>
          <w:sz w:val="15"/>
        </w:rPr>
      </w:pPr>
    </w:p>
    <w:p>
      <w:pPr>
        <w:pStyle w:val="BodyText"/>
        <w:ind w:left="1078"/>
      </w:pPr>
      <w:r>
        <w:rPr/>
        <w:t>1、银行存款及其应计利息；</w:t>
      </w:r>
    </w:p>
    <w:p>
      <w:pPr>
        <w:pStyle w:val="BodyText"/>
        <w:spacing w:before="6"/>
        <w:rPr>
          <w:sz w:val="15"/>
        </w:rPr>
      </w:pPr>
    </w:p>
    <w:p>
      <w:pPr>
        <w:pStyle w:val="BodyText"/>
        <w:spacing w:before="1"/>
        <w:ind w:left="1078"/>
      </w:pPr>
      <w:r>
        <w:rPr/>
        <w:t>2、清算备付金及其应计利息；</w:t>
      </w:r>
    </w:p>
    <w:p>
      <w:pPr>
        <w:pStyle w:val="BodyText"/>
        <w:spacing w:before="6"/>
        <w:rPr>
          <w:sz w:val="15"/>
        </w:rPr>
      </w:pPr>
    </w:p>
    <w:p>
      <w:pPr>
        <w:pStyle w:val="BodyText"/>
        <w:ind w:left="1078"/>
      </w:pPr>
      <w:r>
        <w:rPr/>
        <w:t>3、根据有关规定缴纳的保证金；</w:t>
      </w:r>
    </w:p>
    <w:p>
      <w:pPr>
        <w:pStyle w:val="BodyText"/>
        <w:spacing w:before="7"/>
        <w:rPr>
          <w:sz w:val="15"/>
        </w:rPr>
      </w:pPr>
    </w:p>
    <w:p>
      <w:pPr>
        <w:pStyle w:val="BodyText"/>
        <w:ind w:left="1078"/>
      </w:pPr>
      <w:r>
        <w:rPr/>
        <w:t>4、应收证券交易清算款；</w:t>
      </w:r>
    </w:p>
    <w:p>
      <w:pPr>
        <w:pStyle w:val="BodyText"/>
        <w:spacing w:before="7"/>
        <w:rPr>
          <w:sz w:val="15"/>
        </w:rPr>
      </w:pPr>
    </w:p>
    <w:p>
      <w:pPr>
        <w:pStyle w:val="BodyText"/>
        <w:ind w:left="1078"/>
      </w:pPr>
      <w:r>
        <w:rPr/>
        <w:t>5、应收申购款；</w:t>
      </w:r>
    </w:p>
    <w:p>
      <w:pPr>
        <w:pStyle w:val="BodyText"/>
        <w:spacing w:before="7"/>
        <w:rPr>
          <w:sz w:val="15"/>
        </w:rPr>
      </w:pPr>
    </w:p>
    <w:p>
      <w:pPr>
        <w:pStyle w:val="BodyText"/>
        <w:ind w:left="1078"/>
      </w:pPr>
      <w:r>
        <w:rPr/>
        <w:t>6、股票投资及其估值调整；</w:t>
      </w:r>
    </w:p>
    <w:p>
      <w:pPr>
        <w:pStyle w:val="BodyText"/>
        <w:spacing w:before="7"/>
        <w:rPr>
          <w:sz w:val="15"/>
        </w:rPr>
      </w:pPr>
    </w:p>
    <w:p>
      <w:pPr>
        <w:pStyle w:val="BodyText"/>
        <w:ind w:left="1078"/>
      </w:pPr>
      <w:r>
        <w:rPr/>
        <w:t>7、债券投资及其估值调整和应计利息；</w:t>
      </w:r>
    </w:p>
    <w:p>
      <w:pPr>
        <w:pStyle w:val="BodyText"/>
        <w:spacing w:before="6"/>
        <w:rPr>
          <w:sz w:val="15"/>
        </w:rPr>
      </w:pPr>
    </w:p>
    <w:p>
      <w:pPr>
        <w:pStyle w:val="BodyText"/>
        <w:ind w:left="1078"/>
      </w:pPr>
      <w:r>
        <w:rPr/>
        <w:t>8、其他投资及其估值调整；</w:t>
      </w:r>
    </w:p>
    <w:p>
      <w:pPr>
        <w:pStyle w:val="BodyText"/>
        <w:spacing w:before="7"/>
        <w:rPr>
          <w:sz w:val="15"/>
        </w:rPr>
      </w:pPr>
    </w:p>
    <w:p>
      <w:pPr>
        <w:pStyle w:val="BodyText"/>
        <w:ind w:left="1078"/>
      </w:pPr>
      <w:r>
        <w:rPr/>
        <w:t>9、其他资产等。</w:t>
      </w:r>
    </w:p>
    <w:p>
      <w:pPr>
        <w:pStyle w:val="BodyText"/>
        <w:rPr>
          <w:sz w:val="20"/>
        </w:rPr>
      </w:pPr>
    </w:p>
    <w:p>
      <w:pPr>
        <w:pStyle w:val="BodyText"/>
        <w:rPr>
          <w:sz w:val="20"/>
        </w:rPr>
      </w:pPr>
    </w:p>
    <w:p>
      <w:pPr>
        <w:spacing w:before="155"/>
        <w:ind w:left="658" w:right="0" w:firstLine="0"/>
        <w:jc w:val="left"/>
        <w:rPr>
          <w:b/>
          <w:sz w:val="21"/>
        </w:rPr>
      </w:pPr>
      <w:r>
        <w:rPr>
          <w:b/>
          <w:sz w:val="21"/>
        </w:rPr>
        <w:t>（三）基金资产净值</w:t>
      </w:r>
    </w:p>
    <w:p>
      <w:pPr>
        <w:pStyle w:val="BodyText"/>
        <w:spacing w:before="7"/>
        <w:rPr>
          <w:b/>
          <w:sz w:val="15"/>
        </w:rPr>
      </w:pPr>
    </w:p>
    <w:p>
      <w:pPr>
        <w:pStyle w:val="BodyText"/>
        <w:spacing w:line="417" w:lineRule="auto"/>
        <w:ind w:left="658" w:right="1309" w:firstLine="419"/>
      </w:pPr>
      <w:r>
        <w:rPr>
          <w:spacing w:val="-7"/>
        </w:rPr>
        <w:t>基金资产净值是指基金资产总值减去基金负债后的价值。基金份额净值是指开放日闭市</w:t>
      </w:r>
      <w:r>
        <w:rPr>
          <w:spacing w:val="-5"/>
        </w:rPr>
        <w:t>之后基金资产净值除以当日基金份额的余额。</w:t>
      </w:r>
    </w:p>
    <w:p>
      <w:pPr>
        <w:pStyle w:val="BodyText"/>
        <w:spacing w:line="417" w:lineRule="auto"/>
        <w:ind w:left="658" w:right="1310" w:firstLine="419"/>
      </w:pPr>
      <w:r>
        <w:rPr/>
        <w:t>货币市场基金的各级基金份额净值是指指开放日闭市之后各级基金资产净值除以当日</w:t>
      </w:r>
      <w:r>
        <w:rPr>
          <w:spacing w:val="-3"/>
        </w:rPr>
        <w:t>该级基金份额的余额。</w:t>
      </w:r>
    </w:p>
    <w:p>
      <w:pPr>
        <w:pStyle w:val="BodyText"/>
        <w:rPr>
          <w:sz w:val="20"/>
        </w:rPr>
      </w:pPr>
    </w:p>
    <w:p>
      <w:pPr>
        <w:pStyle w:val="BodyText"/>
        <w:spacing w:before="6"/>
        <w:rPr>
          <w:sz w:val="16"/>
        </w:rPr>
      </w:pPr>
    </w:p>
    <w:p>
      <w:pPr>
        <w:spacing w:before="0"/>
        <w:ind w:left="658" w:right="0" w:firstLine="0"/>
        <w:jc w:val="left"/>
        <w:rPr>
          <w:b/>
          <w:sz w:val="21"/>
        </w:rPr>
      </w:pPr>
      <w:r>
        <w:rPr>
          <w:b/>
          <w:sz w:val="21"/>
        </w:rPr>
        <w:t>（四）</w:t>
      </w:r>
      <w:r>
        <w:rPr>
          <w:b/>
          <w:spacing w:val="-1"/>
          <w:sz w:val="21"/>
        </w:rPr>
        <w:t>基金财产的账户</w:t>
      </w:r>
    </w:p>
    <w:p>
      <w:pPr>
        <w:pStyle w:val="BodyText"/>
        <w:spacing w:before="7"/>
        <w:rPr>
          <w:b/>
          <w:sz w:val="15"/>
        </w:rPr>
      </w:pPr>
    </w:p>
    <w:p>
      <w:pPr>
        <w:pStyle w:val="BodyText"/>
        <w:spacing w:line="417" w:lineRule="auto"/>
        <w:ind w:left="658" w:right="1308" w:firstLine="419"/>
        <w:jc w:val="both"/>
      </w:pPr>
      <w:r>
        <w:rPr/>
        <w:t>本系列基金下各基金财产分别以基金托管人名义开立基金托管专户和证券交易资金账</w:t>
      </w:r>
      <w:r>
        <w:rPr>
          <w:spacing w:val="-10"/>
        </w:rPr>
        <w:t>户，以基金托管人和基金联名的方式开立基金证券账户、以基金的名义开立银行间债券托管</w:t>
      </w:r>
      <w:r>
        <w:rPr>
          <w:spacing w:val="-21"/>
        </w:rPr>
        <w:t>账户，并报中国证监会及人民银行备案。开立的各基金专用账户相互独立，并与基金管理人、</w:t>
      </w:r>
    </w:p>
    <w:p>
      <w:pPr>
        <w:spacing w:after="0" w:line="417" w:lineRule="auto"/>
        <w:jc w:val="both"/>
        <w:sectPr>
          <w:pgSz w:w="11910" w:h="16840"/>
          <w:pgMar w:header="852" w:footer="992" w:top="1220" w:bottom="1180" w:left="1140" w:right="480"/>
        </w:sectPr>
      </w:pPr>
    </w:p>
    <w:p>
      <w:pPr>
        <w:pStyle w:val="BodyText"/>
        <w:spacing w:before="1"/>
        <w:rPr>
          <w:sz w:val="19"/>
        </w:rPr>
      </w:pPr>
    </w:p>
    <w:p>
      <w:pPr>
        <w:pStyle w:val="BodyText"/>
        <w:spacing w:before="71"/>
        <w:ind w:left="658"/>
      </w:pPr>
      <w:r>
        <w:rPr/>
        <w:t>基金托管人、基金代销机构、注册登记人自有的资产账户以及其他基金财产账户相独立。</w:t>
      </w:r>
    </w:p>
    <w:p>
      <w:pPr>
        <w:pStyle w:val="BodyText"/>
        <w:rPr>
          <w:sz w:val="20"/>
        </w:rPr>
      </w:pPr>
    </w:p>
    <w:p>
      <w:pPr>
        <w:pStyle w:val="BodyText"/>
        <w:rPr>
          <w:sz w:val="20"/>
        </w:rPr>
      </w:pPr>
    </w:p>
    <w:p>
      <w:pPr>
        <w:spacing w:before="155"/>
        <w:ind w:left="658" w:right="0" w:firstLine="0"/>
        <w:jc w:val="left"/>
        <w:rPr>
          <w:b/>
          <w:sz w:val="21"/>
        </w:rPr>
      </w:pPr>
      <w:r>
        <w:rPr>
          <w:b/>
          <w:sz w:val="21"/>
        </w:rPr>
        <w:t>（五）基金财产的保管与处分</w:t>
      </w:r>
    </w:p>
    <w:p>
      <w:pPr>
        <w:pStyle w:val="BodyText"/>
        <w:spacing w:before="6"/>
        <w:rPr>
          <w:b/>
          <w:sz w:val="15"/>
        </w:rPr>
      </w:pPr>
    </w:p>
    <w:p>
      <w:pPr>
        <w:pStyle w:val="BodyText"/>
        <w:spacing w:line="417" w:lineRule="auto"/>
        <w:ind w:left="658" w:right="1308" w:firstLine="419"/>
        <w:jc w:val="both"/>
      </w:pPr>
      <w:r>
        <w:rPr>
          <w:spacing w:val="-7"/>
        </w:rPr>
        <w:t>基金财产应独立于基金管理人、基金托管人的固有资产。基金管理人、基金托管人不得</w:t>
      </w:r>
      <w:r>
        <w:rPr>
          <w:spacing w:val="-11"/>
        </w:rPr>
        <w:t>将基金财产归入其固有资产。基金管理人、基金托管人因基金财产的管理、运用或者其他情形而取得的资产和收益，归入基金财产。基金管理人、基金托管人因依法解散、被依法撤销或者被依法宣告破产等原因进行清算的，基金财产不属于其清算资产。非因基金财产本身承</w:t>
      </w:r>
      <w:r>
        <w:rPr>
          <w:spacing w:val="-6"/>
        </w:rPr>
        <w:t>担的债务，不得对基金财产强制执行。</w:t>
      </w:r>
    </w:p>
    <w:p>
      <w:pPr>
        <w:pStyle w:val="BodyText"/>
        <w:spacing w:line="269" w:lineRule="exact"/>
        <w:ind w:left="1078"/>
      </w:pPr>
      <w:r>
        <w:rPr/>
        <w:t>除依法律法规和《基金合同》的规定处分外，基金财产不得被处分。</w:t>
      </w:r>
    </w:p>
    <w:p>
      <w:pPr>
        <w:spacing w:after="0" w:line="269" w:lineRule="exact"/>
        <w:sectPr>
          <w:pgSz w:w="11910" w:h="16840"/>
          <w:pgMar w:header="852" w:footer="992" w:top="1220" w:bottom="1180" w:left="1140" w:right="480"/>
        </w:sectPr>
      </w:pPr>
    </w:p>
    <w:p>
      <w:pPr>
        <w:pStyle w:val="BodyText"/>
        <w:spacing w:before="11"/>
        <w:rPr>
          <w:sz w:val="17"/>
        </w:rPr>
      </w:pPr>
    </w:p>
    <w:p>
      <w:pPr>
        <w:pStyle w:val="Heading1"/>
        <w:spacing w:before="66"/>
        <w:ind w:left="1902" w:right="2561"/>
        <w:jc w:val="center"/>
      </w:pPr>
      <w:bookmarkStart w:name="_bookmark17" w:id="18"/>
      <w:bookmarkEnd w:id="18"/>
      <w:r>
        <w:rPr>
          <w:b w:val="0"/>
        </w:rPr>
      </w:r>
      <w:r>
        <w:rPr/>
        <w:t>十四、基金财产估值</w:t>
      </w:r>
    </w:p>
    <w:p>
      <w:pPr>
        <w:pStyle w:val="BodyText"/>
        <w:rPr>
          <w:b/>
          <w:sz w:val="20"/>
        </w:rPr>
      </w:pPr>
    </w:p>
    <w:p>
      <w:pPr>
        <w:pStyle w:val="BodyText"/>
        <w:spacing w:before="11"/>
        <w:rPr>
          <w:b/>
          <w:sz w:val="16"/>
        </w:rPr>
      </w:pPr>
    </w:p>
    <w:p>
      <w:pPr>
        <w:pStyle w:val="BodyText"/>
        <w:spacing w:before="72"/>
        <w:ind w:left="1078"/>
      </w:pPr>
      <w:r>
        <w:rPr/>
        <w:t>（一</w:t>
      </w:r>
      <w:r>
        <w:rPr>
          <w:spacing w:val="-108"/>
        </w:rPr>
        <w:t>）</w:t>
      </w:r>
      <w:r>
        <w:rPr>
          <w:spacing w:val="-3"/>
        </w:rPr>
        <w:t>、估值目的</w:t>
      </w:r>
    </w:p>
    <w:p>
      <w:pPr>
        <w:pStyle w:val="BodyText"/>
        <w:spacing w:before="6"/>
        <w:rPr>
          <w:sz w:val="15"/>
        </w:rPr>
      </w:pPr>
    </w:p>
    <w:p>
      <w:pPr>
        <w:pStyle w:val="BodyText"/>
        <w:spacing w:line="417" w:lineRule="auto"/>
        <w:ind w:left="658" w:right="1309" w:firstLine="419"/>
      </w:pPr>
      <w:r>
        <w:rPr>
          <w:spacing w:val="-8"/>
        </w:rPr>
        <w:t>基金资产估值的目的是客观、准确地反映基金资产是否保值、增值，依据经基金资产估</w:t>
      </w:r>
      <w:r>
        <w:rPr>
          <w:spacing w:val="-5"/>
        </w:rPr>
        <w:t>值后确定的基金资产净值而计算出的基金份额净值，是计算基金申购与赎回价格的基础。</w:t>
      </w:r>
    </w:p>
    <w:p>
      <w:pPr>
        <w:pStyle w:val="BodyText"/>
        <w:rPr>
          <w:sz w:val="20"/>
        </w:rPr>
      </w:pPr>
    </w:p>
    <w:p>
      <w:pPr>
        <w:pStyle w:val="BodyText"/>
        <w:spacing w:before="7"/>
        <w:rPr>
          <w:sz w:val="16"/>
        </w:rPr>
      </w:pPr>
    </w:p>
    <w:p>
      <w:pPr>
        <w:pStyle w:val="BodyText"/>
        <w:ind w:left="1078"/>
      </w:pPr>
      <w:r>
        <w:rPr/>
        <w:t>（二</w:t>
      </w:r>
      <w:r>
        <w:rPr>
          <w:spacing w:val="-108"/>
        </w:rPr>
        <w:t>）</w:t>
      </w:r>
      <w:r>
        <w:rPr>
          <w:spacing w:val="-2"/>
        </w:rPr>
        <w:t>、估值日</w:t>
      </w:r>
    </w:p>
    <w:p>
      <w:pPr>
        <w:pStyle w:val="BodyText"/>
        <w:spacing w:before="7"/>
        <w:rPr>
          <w:sz w:val="15"/>
        </w:rPr>
      </w:pPr>
    </w:p>
    <w:p>
      <w:pPr>
        <w:pStyle w:val="BodyText"/>
        <w:spacing w:line="417" w:lineRule="auto"/>
        <w:ind w:left="658" w:right="1310" w:firstLine="419"/>
      </w:pPr>
      <w:r>
        <w:rPr/>
        <w:t>本基金的估值日为相关的证券交易场所的正常营业日以及国家法律法规规定需要对外披露基金净值的非营业日。</w:t>
      </w:r>
    </w:p>
    <w:p>
      <w:pPr>
        <w:pStyle w:val="BodyText"/>
        <w:rPr>
          <w:sz w:val="20"/>
        </w:rPr>
      </w:pPr>
    </w:p>
    <w:p>
      <w:pPr>
        <w:pStyle w:val="BodyText"/>
        <w:spacing w:before="6"/>
        <w:rPr>
          <w:sz w:val="16"/>
        </w:rPr>
      </w:pPr>
    </w:p>
    <w:p>
      <w:pPr>
        <w:pStyle w:val="BodyText"/>
        <w:ind w:left="1078"/>
      </w:pPr>
      <w:r>
        <w:rPr/>
        <w:t>（三</w:t>
      </w:r>
      <w:r>
        <w:rPr>
          <w:spacing w:val="-108"/>
        </w:rPr>
        <w:t>）</w:t>
      </w:r>
      <w:r>
        <w:rPr>
          <w:spacing w:val="-3"/>
        </w:rPr>
        <w:t>、估值对象</w:t>
      </w:r>
    </w:p>
    <w:p>
      <w:pPr>
        <w:pStyle w:val="BodyText"/>
        <w:spacing w:before="7"/>
        <w:rPr>
          <w:sz w:val="15"/>
        </w:rPr>
      </w:pPr>
    </w:p>
    <w:p>
      <w:pPr>
        <w:pStyle w:val="BodyText"/>
        <w:ind w:left="1078"/>
      </w:pPr>
      <w:r>
        <w:rPr/>
        <w:t>基金所拥有的股票、债券、权证和银行存款本息等资产和负债。</w:t>
      </w:r>
    </w:p>
    <w:p>
      <w:pPr>
        <w:pStyle w:val="BodyText"/>
        <w:rPr>
          <w:sz w:val="20"/>
        </w:rPr>
      </w:pPr>
    </w:p>
    <w:p>
      <w:pPr>
        <w:pStyle w:val="BodyText"/>
        <w:rPr>
          <w:sz w:val="20"/>
        </w:rPr>
      </w:pPr>
    </w:p>
    <w:p>
      <w:pPr>
        <w:pStyle w:val="BodyText"/>
        <w:spacing w:before="155"/>
        <w:ind w:left="1078"/>
      </w:pPr>
      <w:r>
        <w:rPr/>
        <w:t>（四</w:t>
      </w:r>
      <w:r>
        <w:rPr>
          <w:spacing w:val="-108"/>
        </w:rPr>
        <w:t>）</w:t>
      </w:r>
      <w:r>
        <w:rPr>
          <w:spacing w:val="-3"/>
        </w:rPr>
        <w:t>、估值方法</w:t>
      </w:r>
    </w:p>
    <w:p>
      <w:pPr>
        <w:pStyle w:val="BodyText"/>
        <w:spacing w:before="7"/>
        <w:rPr>
          <w:sz w:val="15"/>
        </w:rPr>
      </w:pPr>
    </w:p>
    <w:p>
      <w:pPr>
        <w:pStyle w:val="BodyText"/>
        <w:spacing w:line="417" w:lineRule="auto"/>
        <w:ind w:left="1078" w:right="4160"/>
      </w:pPr>
      <w:r>
        <w:rPr>
          <w:spacing w:val="-4"/>
        </w:rPr>
        <w:t>优选混合型基金和动力平衡基金按以下方式进行估值： </w:t>
      </w:r>
      <w:r>
        <w:rPr/>
        <w:t>1</w:t>
      </w:r>
      <w:r>
        <w:rPr>
          <w:spacing w:val="-3"/>
        </w:rPr>
        <w:t>、证券交易所上市的有价证券的估值</w:t>
      </w:r>
    </w:p>
    <w:p>
      <w:pPr>
        <w:pStyle w:val="ListParagraph"/>
        <w:numPr>
          <w:ilvl w:val="2"/>
          <w:numId w:val="28"/>
        </w:numPr>
        <w:tabs>
          <w:tab w:pos="1607" w:val="left" w:leader="none"/>
        </w:tabs>
        <w:spacing w:line="417" w:lineRule="auto" w:before="0" w:after="0"/>
        <w:ind w:left="658" w:right="1309" w:firstLine="419"/>
        <w:jc w:val="both"/>
        <w:rPr>
          <w:sz w:val="21"/>
        </w:rPr>
      </w:pPr>
      <w:r>
        <w:rPr>
          <w:spacing w:val="-5"/>
          <w:sz w:val="21"/>
        </w:rPr>
        <w:t>交易所上市的有价证券</w:t>
      </w:r>
      <w:r>
        <w:rPr>
          <w:spacing w:val="-3"/>
          <w:sz w:val="21"/>
        </w:rPr>
        <w:t>（</w:t>
      </w:r>
      <w:r>
        <w:rPr>
          <w:spacing w:val="-6"/>
          <w:sz w:val="21"/>
        </w:rPr>
        <w:t>包括股票、权证等</w:t>
      </w:r>
      <w:r>
        <w:rPr>
          <w:spacing w:val="-66"/>
          <w:sz w:val="21"/>
        </w:rPr>
        <w:t>）</w:t>
      </w:r>
      <w:r>
        <w:rPr>
          <w:spacing w:val="-10"/>
          <w:sz w:val="21"/>
        </w:rPr>
        <w:t>，以其估值日在证券交易所挂牌的 </w:t>
      </w:r>
      <w:r>
        <w:rPr>
          <w:spacing w:val="-9"/>
          <w:sz w:val="21"/>
        </w:rPr>
        <w:t>市价</w:t>
      </w:r>
      <w:r>
        <w:rPr>
          <w:spacing w:val="-3"/>
          <w:sz w:val="21"/>
        </w:rPr>
        <w:t>（收盘价</w:t>
      </w:r>
      <w:r>
        <w:rPr>
          <w:spacing w:val="-17"/>
          <w:sz w:val="21"/>
        </w:rPr>
        <w:t>）</w:t>
      </w:r>
      <w:r>
        <w:rPr>
          <w:spacing w:val="-8"/>
          <w:sz w:val="21"/>
        </w:rPr>
        <w:t>估值；估值日无交易的，且最近交易日后经济环境未发生重大变化，以最近</w:t>
      </w:r>
      <w:r>
        <w:rPr>
          <w:spacing w:val="-5"/>
          <w:sz w:val="21"/>
        </w:rPr>
        <w:t>交易日的市价</w:t>
      </w:r>
      <w:r>
        <w:rPr>
          <w:spacing w:val="-3"/>
          <w:sz w:val="21"/>
        </w:rPr>
        <w:t>（</w:t>
      </w:r>
      <w:r>
        <w:rPr>
          <w:spacing w:val="-2"/>
          <w:sz w:val="21"/>
        </w:rPr>
        <w:t>收盘价</w:t>
      </w:r>
      <w:r>
        <w:rPr>
          <w:spacing w:val="-25"/>
          <w:sz w:val="21"/>
        </w:rPr>
        <w:t>）</w:t>
      </w:r>
      <w:r>
        <w:rPr>
          <w:spacing w:val="-7"/>
          <w:sz w:val="21"/>
        </w:rPr>
        <w:t>估值；如最近交易日后经济环境发生了重大变化的，可参考类似投</w:t>
      </w:r>
      <w:r>
        <w:rPr>
          <w:spacing w:val="-5"/>
          <w:sz w:val="21"/>
        </w:rPr>
        <w:t>资品种的现行市价及重大变化因素，调整最近交易市价，确定公允价格。</w:t>
      </w:r>
    </w:p>
    <w:p>
      <w:pPr>
        <w:pStyle w:val="ListParagraph"/>
        <w:numPr>
          <w:ilvl w:val="2"/>
          <w:numId w:val="28"/>
        </w:numPr>
        <w:tabs>
          <w:tab w:pos="1607" w:val="left" w:leader="none"/>
        </w:tabs>
        <w:spacing w:line="417" w:lineRule="auto" w:before="0" w:after="0"/>
        <w:ind w:left="658" w:right="1203" w:firstLine="419"/>
        <w:jc w:val="left"/>
        <w:rPr>
          <w:sz w:val="21"/>
        </w:rPr>
      </w:pPr>
      <w:r>
        <w:rPr>
          <w:spacing w:val="-3"/>
          <w:sz w:val="21"/>
        </w:rPr>
        <w:t>交易所上市实行净价交易的债券按估值日收盘价估值，估值日没有交易的，且最</w:t>
      </w:r>
      <w:r>
        <w:rPr>
          <w:spacing w:val="-8"/>
          <w:sz w:val="21"/>
        </w:rPr>
        <w:t>近交易日后经济环境未发生重大变化，按最近交易日的收盘价估值。如最近交易日后经济环</w:t>
      </w:r>
      <w:r>
        <w:rPr>
          <w:spacing w:val="-16"/>
          <w:sz w:val="21"/>
        </w:rPr>
        <w:t>境发生了重大变化的，可参考类似投资品种的现行市价及重大变化因素，调整最近交易市价， </w:t>
      </w:r>
      <w:r>
        <w:rPr>
          <w:spacing w:val="-6"/>
          <w:sz w:val="21"/>
        </w:rPr>
        <w:t>确定公允价格；</w:t>
      </w:r>
    </w:p>
    <w:p>
      <w:pPr>
        <w:pStyle w:val="ListParagraph"/>
        <w:numPr>
          <w:ilvl w:val="2"/>
          <w:numId w:val="28"/>
        </w:numPr>
        <w:tabs>
          <w:tab w:pos="1607" w:val="left" w:leader="none"/>
        </w:tabs>
        <w:spacing w:line="417" w:lineRule="auto" w:before="0" w:after="0"/>
        <w:ind w:left="658" w:right="1203" w:firstLine="419"/>
        <w:jc w:val="left"/>
        <w:rPr>
          <w:sz w:val="21"/>
        </w:rPr>
      </w:pPr>
      <w:r>
        <w:rPr>
          <w:spacing w:val="-3"/>
          <w:sz w:val="21"/>
        </w:rPr>
        <w:t>交易所上市未实行净价交易的债券按估值日收盘价减去债券收盘价中所含的债券</w:t>
      </w:r>
      <w:r>
        <w:rPr>
          <w:spacing w:val="-8"/>
          <w:sz w:val="21"/>
        </w:rPr>
        <w:t>应收利息得到的净价进行估值；估值日没有交易的，且最近交易日后经济环境未发生重大变</w:t>
      </w:r>
      <w:r>
        <w:rPr>
          <w:spacing w:val="-5"/>
          <w:sz w:val="21"/>
        </w:rPr>
        <w:t>化，按最近交易日债券收盘价减去债券收盘价中所含的债券应收利息得到的净价进行估值。</w:t>
      </w:r>
      <w:r>
        <w:rPr>
          <w:spacing w:val="-9"/>
          <w:sz w:val="21"/>
        </w:rPr>
        <w:t>如最近交易日后经济环境发生了重大变化的，可参考类似投资品种的现行市价及重大变化因</w:t>
      </w:r>
      <w:r>
        <w:rPr>
          <w:spacing w:val="-5"/>
          <w:sz w:val="21"/>
        </w:rPr>
        <w:t>素，调整最近交易市价，确定公允价格；</w:t>
      </w:r>
    </w:p>
    <w:p>
      <w:pPr>
        <w:pStyle w:val="ListParagraph"/>
        <w:numPr>
          <w:ilvl w:val="2"/>
          <w:numId w:val="28"/>
        </w:numPr>
        <w:tabs>
          <w:tab w:pos="1607" w:val="left" w:leader="none"/>
        </w:tabs>
        <w:spacing w:line="269" w:lineRule="exact" w:before="0" w:after="0"/>
        <w:ind w:left="1607" w:right="0" w:hanging="529"/>
        <w:jc w:val="left"/>
        <w:rPr>
          <w:sz w:val="21"/>
        </w:rPr>
      </w:pPr>
      <w:r>
        <w:rPr>
          <w:spacing w:val="-5"/>
          <w:sz w:val="21"/>
        </w:rPr>
        <w:t>交易所上市不存在活跃市场的有价证券</w:t>
      </w:r>
      <w:r>
        <w:rPr>
          <w:sz w:val="21"/>
        </w:rPr>
        <w:t>（</w:t>
      </w:r>
      <w:r>
        <w:rPr>
          <w:spacing w:val="-3"/>
          <w:sz w:val="21"/>
        </w:rPr>
        <w:t>包括资产支持证券等</w:t>
      </w:r>
      <w:r>
        <w:rPr>
          <w:spacing w:val="-69"/>
          <w:sz w:val="21"/>
        </w:rPr>
        <w:t>）</w:t>
      </w:r>
      <w:r>
        <w:rPr>
          <w:spacing w:val="-12"/>
          <w:sz w:val="21"/>
        </w:rPr>
        <w:t>，采用估值技术确</w:t>
      </w:r>
    </w:p>
    <w:p>
      <w:pPr>
        <w:spacing w:after="0" w:line="269" w:lineRule="exact"/>
        <w:jc w:val="left"/>
        <w:rPr>
          <w:sz w:val="21"/>
        </w:rPr>
        <w:sectPr>
          <w:pgSz w:w="11910" w:h="16840"/>
          <w:pgMar w:header="852" w:footer="992" w:top="1220" w:bottom="1180" w:left="1140" w:right="480"/>
        </w:sectPr>
      </w:pPr>
    </w:p>
    <w:p>
      <w:pPr>
        <w:pStyle w:val="BodyText"/>
        <w:spacing w:before="1"/>
        <w:rPr>
          <w:sz w:val="19"/>
        </w:rPr>
      </w:pPr>
    </w:p>
    <w:p>
      <w:pPr>
        <w:pStyle w:val="BodyText"/>
        <w:spacing w:line="417" w:lineRule="auto" w:before="71"/>
        <w:ind w:left="1078" w:right="2900" w:hanging="420"/>
      </w:pPr>
      <w:r>
        <w:rPr>
          <w:spacing w:val="-3"/>
        </w:rPr>
        <w:t>定公允价值，在估值技术难以可靠计量公允价值的情况下，按成本估值。2、处于未上市期间的有价证券应区分如下情况处理：</w:t>
      </w:r>
    </w:p>
    <w:p>
      <w:pPr>
        <w:pStyle w:val="ListParagraph"/>
        <w:numPr>
          <w:ilvl w:val="0"/>
          <w:numId w:val="29"/>
        </w:numPr>
        <w:tabs>
          <w:tab w:pos="1607" w:val="left" w:leader="none"/>
        </w:tabs>
        <w:spacing w:line="417" w:lineRule="auto" w:before="0" w:after="0"/>
        <w:ind w:left="658" w:right="1309" w:firstLine="419"/>
        <w:jc w:val="left"/>
        <w:rPr>
          <w:sz w:val="21"/>
        </w:rPr>
      </w:pPr>
      <w:r>
        <w:rPr>
          <w:spacing w:val="-3"/>
          <w:sz w:val="21"/>
        </w:rPr>
        <w:t>送股、转增股、配股和公开增发的新股，按估值日在证券交易所挂牌的同一股票的市价</w:t>
      </w:r>
      <w:r>
        <w:rPr>
          <w:sz w:val="21"/>
        </w:rPr>
        <w:t>（</w:t>
      </w:r>
      <w:r>
        <w:rPr>
          <w:spacing w:val="-3"/>
          <w:sz w:val="21"/>
        </w:rPr>
        <w:t>收盘价</w:t>
      </w:r>
      <w:r>
        <w:rPr>
          <w:sz w:val="21"/>
        </w:rPr>
        <w:t>）</w:t>
      </w:r>
      <w:r>
        <w:rPr>
          <w:spacing w:val="-3"/>
          <w:sz w:val="21"/>
        </w:rPr>
        <w:t>估值；该日无交易的，以最近一日的市价（</w:t>
      </w:r>
      <w:r>
        <w:rPr>
          <w:spacing w:val="-2"/>
          <w:sz w:val="21"/>
        </w:rPr>
        <w:t>收盘价</w:t>
      </w:r>
      <w:r>
        <w:rPr>
          <w:spacing w:val="-3"/>
          <w:sz w:val="21"/>
        </w:rPr>
        <w:t>）</w:t>
      </w:r>
      <w:r>
        <w:rPr>
          <w:spacing w:val="-2"/>
          <w:sz w:val="21"/>
        </w:rPr>
        <w:t>估值；</w:t>
      </w:r>
    </w:p>
    <w:p>
      <w:pPr>
        <w:pStyle w:val="ListParagraph"/>
        <w:numPr>
          <w:ilvl w:val="0"/>
          <w:numId w:val="29"/>
        </w:numPr>
        <w:tabs>
          <w:tab w:pos="1607" w:val="left" w:leader="none"/>
        </w:tabs>
        <w:spacing w:line="417" w:lineRule="auto" w:before="0" w:after="0"/>
        <w:ind w:left="658" w:right="1309"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29"/>
        </w:numPr>
        <w:tabs>
          <w:tab w:pos="1607" w:val="left" w:leader="none"/>
        </w:tabs>
        <w:spacing w:line="417" w:lineRule="auto" w:before="0" w:after="0"/>
        <w:ind w:left="658" w:right="1309" w:firstLine="419"/>
        <w:jc w:val="both"/>
        <w:rPr>
          <w:sz w:val="21"/>
        </w:rPr>
      </w:pPr>
      <w:r>
        <w:rPr>
          <w:spacing w:val="-3"/>
          <w:sz w:val="21"/>
        </w:rPr>
        <w:t>首次公开发行有明确锁定期的股票，同一股票在交易所上市后，按交易所上市的</w:t>
      </w:r>
      <w:r>
        <w:rPr>
          <w:spacing w:val="-7"/>
          <w:sz w:val="21"/>
        </w:rPr>
        <w:t>同一股票的市价</w:t>
      </w:r>
      <w:r>
        <w:rPr>
          <w:spacing w:val="-3"/>
          <w:sz w:val="21"/>
        </w:rPr>
        <w:t>（收盘价</w:t>
      </w:r>
      <w:r>
        <w:rPr>
          <w:spacing w:val="-22"/>
          <w:sz w:val="21"/>
        </w:rPr>
        <w:t>）</w:t>
      </w:r>
      <w:r>
        <w:rPr>
          <w:spacing w:val="-8"/>
          <w:sz w:val="21"/>
        </w:rPr>
        <w:t>估值；非公开发行有明确锁定期的股票，按监管机构或行业协会</w:t>
      </w:r>
      <w:r>
        <w:rPr>
          <w:spacing w:val="-5"/>
          <w:sz w:val="21"/>
        </w:rPr>
        <w:t>有关规定确定公允价值。</w:t>
      </w:r>
    </w:p>
    <w:p>
      <w:pPr>
        <w:pStyle w:val="ListParagraph"/>
        <w:numPr>
          <w:ilvl w:val="0"/>
          <w:numId w:val="29"/>
        </w:numPr>
        <w:tabs>
          <w:tab w:pos="1607" w:val="left" w:leader="none"/>
        </w:tabs>
        <w:spacing w:line="417" w:lineRule="auto" w:before="0" w:after="0"/>
        <w:ind w:left="658" w:right="1309" w:firstLine="419"/>
        <w:jc w:val="left"/>
        <w:rPr>
          <w:sz w:val="21"/>
        </w:rPr>
      </w:pPr>
      <w:r>
        <w:rPr>
          <w:spacing w:val="-3"/>
          <w:sz w:val="21"/>
        </w:rPr>
        <w:t>因持有股票而享有的配股权，从配股除权日起到配股确认日止，如果收盘价高于配股价，按收盘价高于配股价的差额估值。收盘价等于或低于配股价，则估值为零。</w:t>
      </w:r>
    </w:p>
    <w:p>
      <w:pPr>
        <w:pStyle w:val="BodyText"/>
        <w:spacing w:line="417" w:lineRule="auto"/>
        <w:ind w:left="658" w:right="1309" w:firstLine="419"/>
      </w:pPr>
      <w:r>
        <w:rPr/>
        <w:t>3、全国银行间债券市场交易的债券、资产支持证券等固定收益品种，采用估值技术确定公允价值。</w:t>
      </w:r>
    </w:p>
    <w:p>
      <w:pPr>
        <w:pStyle w:val="BodyText"/>
        <w:spacing w:line="269" w:lineRule="exact"/>
        <w:ind w:left="1078"/>
      </w:pPr>
      <w:r>
        <w:rPr/>
        <w:t>4、同一债券同时在两个或两个以上市场交易的，按债券所处的市场分别估值。</w:t>
      </w:r>
    </w:p>
    <w:p>
      <w:pPr>
        <w:pStyle w:val="BodyText"/>
        <w:spacing w:before="6"/>
        <w:rPr>
          <w:sz w:val="15"/>
        </w:rPr>
      </w:pPr>
    </w:p>
    <w:p>
      <w:pPr>
        <w:pStyle w:val="BodyText"/>
        <w:spacing w:line="417" w:lineRule="auto"/>
        <w:ind w:left="658" w:right="1309" w:firstLine="419"/>
      </w:pPr>
      <w:r>
        <w:rPr/>
        <w:t>5</w:t>
      </w:r>
      <w:r>
        <w:rPr>
          <w:spacing w:val="-3"/>
        </w:rPr>
        <w:t>、如有确凿证据表明按上述方法进行估值不能客观反映其公允价值的，基金管理人可根据具体情况与基金托管人商定后，按最能反映公允价值的价格估值。</w:t>
      </w:r>
    </w:p>
    <w:p>
      <w:pPr>
        <w:pStyle w:val="BodyText"/>
        <w:spacing w:line="417" w:lineRule="auto"/>
        <w:ind w:left="658" w:right="1309" w:firstLine="419"/>
      </w:pPr>
      <w:r>
        <w:rPr/>
        <w:t>6</w:t>
      </w:r>
      <w:r>
        <w:rPr>
          <w:spacing w:val="-3"/>
        </w:rPr>
        <w:t>、对于优选混合型基金和动力平衡基金，当发生大额申购或赎回情形时，在履行适当程序后，基金管理人可以采用摆动定价机制以确保基金估值的公平性。</w:t>
      </w:r>
    </w:p>
    <w:p>
      <w:pPr>
        <w:pStyle w:val="BodyText"/>
        <w:spacing w:line="417" w:lineRule="auto"/>
        <w:ind w:left="658" w:right="1309" w:firstLine="419"/>
      </w:pPr>
      <w:r>
        <w:rPr/>
        <w:t>7、优选混合型基金和动力平衡基金投资存托凭证的估值核算，依照境内上市交易的股票进行。</w:t>
      </w:r>
    </w:p>
    <w:p>
      <w:pPr>
        <w:pStyle w:val="BodyText"/>
        <w:spacing w:line="417" w:lineRule="auto"/>
        <w:ind w:left="658" w:right="1309" w:firstLine="419"/>
      </w:pPr>
      <w:r>
        <w:rPr/>
        <w:t>8、相关法律法规以及监管部门有强制规定的，从其规定。如有新增事项，按国家最新规定估值。</w:t>
      </w:r>
    </w:p>
    <w:p>
      <w:pPr>
        <w:pStyle w:val="BodyText"/>
        <w:spacing w:line="417" w:lineRule="auto"/>
        <w:ind w:left="658" w:right="1308" w:firstLine="419"/>
        <w:jc w:val="both"/>
      </w:pPr>
      <w:r>
        <w:rPr>
          <w:spacing w:val="-11"/>
        </w:rPr>
        <w:t>根据《基金法》，基金管理人计算并公告基金资产净值，基金托管人复核、审查基金管理人计算的基金资产净值。因此，就与基金有关的会计问题，如经相关各方在平等基础上充</w:t>
      </w:r>
      <w:r>
        <w:rPr>
          <w:spacing w:val="-13"/>
        </w:rPr>
        <w:t>分讨论后，仍无法达成一致的意见，按照基金管理人对基金资产净值的计算结果对外予以公布。</w:t>
      </w:r>
    </w:p>
    <w:p>
      <w:pPr>
        <w:pStyle w:val="BodyText"/>
        <w:rPr>
          <w:sz w:val="20"/>
        </w:rPr>
      </w:pPr>
    </w:p>
    <w:p>
      <w:pPr>
        <w:pStyle w:val="BodyText"/>
        <w:spacing w:before="5"/>
        <w:rPr>
          <w:sz w:val="16"/>
        </w:rPr>
      </w:pPr>
    </w:p>
    <w:p>
      <w:pPr>
        <w:pStyle w:val="BodyText"/>
        <w:ind w:left="1078"/>
      </w:pPr>
      <w:r>
        <w:rPr/>
        <w:t>货币市场基金按以下方式进行估值：</w:t>
      </w:r>
    </w:p>
    <w:p>
      <w:pPr>
        <w:pStyle w:val="BodyText"/>
        <w:spacing w:before="7"/>
        <w:rPr>
          <w:sz w:val="15"/>
        </w:rPr>
      </w:pPr>
    </w:p>
    <w:p>
      <w:pPr>
        <w:pStyle w:val="ListParagraph"/>
        <w:numPr>
          <w:ilvl w:val="0"/>
          <w:numId w:val="30"/>
        </w:numPr>
        <w:tabs>
          <w:tab w:pos="1291" w:val="left" w:leader="none"/>
        </w:tabs>
        <w:spacing w:line="417" w:lineRule="auto" w:before="1" w:after="0"/>
        <w:ind w:left="658" w:right="1309" w:firstLine="419"/>
        <w:jc w:val="left"/>
        <w:rPr>
          <w:sz w:val="21"/>
        </w:rPr>
      </w:pPr>
      <w:r>
        <w:rPr>
          <w:spacing w:val="-11"/>
          <w:w w:val="100"/>
          <w:sz w:val="21"/>
        </w:rPr>
        <w:t>基金估值采用“摊余成本法”，即债券投资以买入成本列示，按照票面利率或商定利</w:t>
      </w:r>
      <w:r>
        <w:rPr>
          <w:spacing w:val="-10"/>
          <w:sz w:val="21"/>
        </w:rPr>
        <w:t>率并考虑其买入时的溢价与折价，在剩余存续期内平均摊销，每日计提收益。基金不采用市</w:t>
      </w:r>
    </w:p>
    <w:p>
      <w:pPr>
        <w:spacing w:after="0" w:line="417" w:lineRule="auto"/>
        <w:jc w:val="left"/>
        <w:rPr>
          <w:sz w:val="21"/>
        </w:rPr>
        <w:sectPr>
          <w:pgSz w:w="11910" w:h="16840"/>
          <w:pgMar w:header="852" w:footer="992" w:top="1220" w:bottom="1180" w:left="1140" w:right="480"/>
        </w:sectPr>
      </w:pPr>
    </w:p>
    <w:p>
      <w:pPr>
        <w:pStyle w:val="BodyText"/>
        <w:spacing w:before="1"/>
        <w:rPr>
          <w:sz w:val="19"/>
        </w:rPr>
      </w:pPr>
    </w:p>
    <w:p>
      <w:pPr>
        <w:pStyle w:val="BodyText"/>
        <w:spacing w:before="71"/>
        <w:ind w:left="658"/>
      </w:pPr>
      <w:r>
        <w:rPr/>
        <w:t>场利率和上市交易的债券和票据的市价计算基金资产净值。</w:t>
      </w:r>
    </w:p>
    <w:p>
      <w:pPr>
        <w:pStyle w:val="BodyText"/>
        <w:spacing w:before="7"/>
        <w:rPr>
          <w:sz w:val="15"/>
        </w:rPr>
      </w:pPr>
    </w:p>
    <w:p>
      <w:pPr>
        <w:pStyle w:val="ListParagraph"/>
        <w:numPr>
          <w:ilvl w:val="0"/>
          <w:numId w:val="30"/>
        </w:numPr>
        <w:tabs>
          <w:tab w:pos="1291" w:val="left" w:leader="none"/>
        </w:tabs>
        <w:spacing w:line="417" w:lineRule="auto" w:before="0" w:after="0"/>
        <w:ind w:left="658" w:right="1308" w:firstLine="419"/>
        <w:jc w:val="both"/>
        <w:rPr>
          <w:sz w:val="21"/>
        </w:rPr>
      </w:pPr>
      <w:r>
        <w:rPr>
          <w:spacing w:val="-12"/>
          <w:sz w:val="21"/>
        </w:rPr>
        <w:t>为了避免采用“摊余成本法”计算的基金资产净值与按市场利率和交易市价计算的基</w:t>
      </w:r>
      <w:r>
        <w:rPr>
          <w:spacing w:val="-11"/>
          <w:sz w:val="21"/>
        </w:rPr>
        <w:t>金资产净值发生重大偏离，从而对基金份额持有人的利益产生稀释和不公平的结果，基金管</w:t>
      </w:r>
      <w:r>
        <w:rPr>
          <w:spacing w:val="-20"/>
          <w:sz w:val="21"/>
        </w:rPr>
        <w:t>理人于每一估值日，采用估值技术，对基金持有的估值对象进行重新评估，即“影子定价”。</w:t>
      </w:r>
      <w:r>
        <w:rPr>
          <w:spacing w:val="-10"/>
          <w:sz w:val="21"/>
        </w:rPr>
        <w:t>当“摊余成本法”计算的基金资产净值与“影子定价”确定的基金资产净值偏离达到或超过0.25</w:t>
      </w:r>
      <w:r>
        <w:rPr>
          <w:spacing w:val="-20"/>
          <w:sz w:val="21"/>
        </w:rPr>
        <w:t>%时，基金管理人应根据风险控制的需要调整组合，其中，对于偏离程度达到或超过 </w:t>
      </w:r>
      <w:r>
        <w:rPr>
          <w:sz w:val="21"/>
        </w:rPr>
        <w:t>0.5% </w:t>
      </w:r>
      <w:r>
        <w:rPr>
          <w:spacing w:val="-10"/>
          <w:sz w:val="21"/>
        </w:rPr>
        <w:t>的情形，基金管理人应与基金托管人协商一致后进行调整，使基金资产净值更能公允地反映</w:t>
      </w:r>
      <w:r>
        <w:rPr>
          <w:spacing w:val="-5"/>
          <w:sz w:val="21"/>
        </w:rPr>
        <w:t>基金资产价值。</w:t>
      </w:r>
    </w:p>
    <w:p>
      <w:pPr>
        <w:pStyle w:val="BodyText"/>
        <w:spacing w:line="417" w:lineRule="auto"/>
        <w:ind w:left="658" w:right="1309" w:firstLine="419"/>
      </w:pPr>
      <w:r>
        <w:rPr/>
        <w:t>3、如有确凿证据表明按上述方法进行估值不能客观反映其公允价值的，基金管理人可根据具体情况与基金托管人商定后，按最能反映公允价值的价格估值。</w:t>
      </w:r>
    </w:p>
    <w:p>
      <w:pPr>
        <w:pStyle w:val="BodyText"/>
        <w:spacing w:line="417" w:lineRule="auto"/>
        <w:ind w:left="658" w:right="1309" w:firstLine="419"/>
      </w:pPr>
      <w:r>
        <w:rPr/>
        <w:t>4、相关法律法规以及监管部门有强制规定的，从其规定。如有新增事项，按国家最新规定估值。</w:t>
      </w:r>
    </w:p>
    <w:p>
      <w:pPr>
        <w:pStyle w:val="BodyText"/>
        <w:spacing w:line="417" w:lineRule="auto"/>
        <w:ind w:left="658" w:right="1203" w:firstLine="419"/>
      </w:pPr>
      <w:r>
        <w:rPr>
          <w:spacing w:val="-6"/>
        </w:rPr>
        <w:t>如基金管理人或基金托管人发现基金估值违反基金合同订明的估值方法、程序及相关法</w:t>
      </w:r>
      <w:r>
        <w:rPr>
          <w:spacing w:val="-5"/>
        </w:rPr>
        <w:t>律法规的规定或者未能充分维护基金份额持有人利益时，应立即通知对方，共同查明原因， </w:t>
      </w:r>
      <w:r>
        <w:rPr>
          <w:spacing w:val="-4"/>
        </w:rPr>
        <w:t>双方协商解决。</w:t>
      </w:r>
    </w:p>
    <w:p>
      <w:pPr>
        <w:pStyle w:val="BodyText"/>
        <w:rPr>
          <w:sz w:val="20"/>
        </w:rPr>
      </w:pPr>
    </w:p>
    <w:p>
      <w:pPr>
        <w:pStyle w:val="BodyText"/>
        <w:spacing w:before="5"/>
        <w:rPr>
          <w:sz w:val="16"/>
        </w:rPr>
      </w:pPr>
    </w:p>
    <w:p>
      <w:pPr>
        <w:pStyle w:val="BodyText"/>
        <w:spacing w:line="417" w:lineRule="auto"/>
        <w:ind w:left="658" w:right="1309" w:firstLine="419"/>
        <w:jc w:val="both"/>
      </w:pPr>
      <w:r>
        <w:rPr>
          <w:spacing w:val="-9"/>
        </w:rPr>
        <w:t>根据有关法律法规，基金资产净值计算和基金会计核算的义务由基金管理人承担。基金</w:t>
      </w:r>
      <w:r>
        <w:rPr>
          <w:spacing w:val="-10"/>
        </w:rPr>
        <w:t>的基金会计责任方由基金管理人担任，因此，就与基金有关的会计问题，如经相关各方在平</w:t>
      </w:r>
      <w:r>
        <w:rPr>
          <w:spacing w:val="-12"/>
        </w:rPr>
        <w:t>等基础上充分讨论后，仍无法达成一致的意见，按照基金管理人对基金资产净值的计算结果</w:t>
      </w:r>
      <w:r>
        <w:rPr>
          <w:spacing w:val="-6"/>
        </w:rPr>
        <w:t>对外予以公布。</w:t>
      </w:r>
    </w:p>
    <w:p>
      <w:pPr>
        <w:pStyle w:val="BodyText"/>
        <w:rPr>
          <w:sz w:val="20"/>
        </w:rPr>
      </w:pPr>
    </w:p>
    <w:p>
      <w:pPr>
        <w:pStyle w:val="BodyText"/>
        <w:spacing w:before="7"/>
        <w:rPr>
          <w:sz w:val="16"/>
        </w:rPr>
      </w:pPr>
    </w:p>
    <w:p>
      <w:pPr>
        <w:pStyle w:val="BodyText"/>
        <w:ind w:left="1078"/>
      </w:pPr>
      <w:r>
        <w:rPr/>
        <w:t>（五</w:t>
      </w:r>
      <w:r>
        <w:rPr>
          <w:spacing w:val="-108"/>
        </w:rPr>
        <w:t>）</w:t>
      </w:r>
      <w:r>
        <w:rPr>
          <w:spacing w:val="-3"/>
        </w:rPr>
        <w:t>、估值程序</w:t>
      </w:r>
    </w:p>
    <w:p>
      <w:pPr>
        <w:pStyle w:val="BodyText"/>
        <w:spacing w:before="7"/>
        <w:rPr>
          <w:sz w:val="15"/>
        </w:rPr>
      </w:pPr>
    </w:p>
    <w:p>
      <w:pPr>
        <w:pStyle w:val="BodyText"/>
        <w:spacing w:line="417" w:lineRule="auto"/>
        <w:ind w:left="658" w:right="1309" w:firstLine="419"/>
        <w:jc w:val="both"/>
      </w:pPr>
      <w:r>
        <w:rPr>
          <w:spacing w:val="-8"/>
        </w:rPr>
        <w:t>基金日常估值由基金管理人进行。基金管理人完成估值后，将估值结果加盖业务公章以</w:t>
      </w:r>
      <w:r>
        <w:rPr>
          <w:spacing w:val="-9"/>
        </w:rPr>
        <w:t>书面形式加密传真至基金托管人，基金托管人按法律法规、《基金合同》规定的估值方法、</w:t>
      </w:r>
      <w:r>
        <w:rPr>
          <w:spacing w:val="-12"/>
        </w:rPr>
        <w:t>时间、程序进行复核，复核无误后在基金管理人传真的书面估值结果上加盖业务公章返回给</w:t>
      </w:r>
      <w:r>
        <w:rPr>
          <w:spacing w:val="-6"/>
        </w:rPr>
        <w:t>基金管理人；月末、年中和年末估值复核与基金会计账目的核对同时进行。</w:t>
      </w:r>
    </w:p>
    <w:p>
      <w:pPr>
        <w:pStyle w:val="BodyText"/>
        <w:rPr>
          <w:sz w:val="20"/>
        </w:rPr>
      </w:pPr>
    </w:p>
    <w:p>
      <w:pPr>
        <w:pStyle w:val="BodyText"/>
        <w:spacing w:before="6"/>
        <w:rPr>
          <w:sz w:val="16"/>
        </w:rPr>
      </w:pPr>
    </w:p>
    <w:p>
      <w:pPr>
        <w:pStyle w:val="BodyText"/>
        <w:ind w:left="1078"/>
      </w:pPr>
      <w:r>
        <w:rPr/>
        <w:t>（六</w:t>
      </w:r>
      <w:r>
        <w:rPr>
          <w:spacing w:val="-108"/>
        </w:rPr>
        <w:t>）</w:t>
      </w:r>
      <w:r>
        <w:rPr>
          <w:spacing w:val="-3"/>
        </w:rPr>
        <w:t>、基金份额净值的确认和估值错误的处理</w:t>
      </w:r>
    </w:p>
    <w:p>
      <w:pPr>
        <w:pStyle w:val="BodyText"/>
        <w:spacing w:before="7"/>
        <w:rPr>
          <w:sz w:val="15"/>
        </w:rPr>
      </w:pPr>
    </w:p>
    <w:p>
      <w:pPr>
        <w:pStyle w:val="BodyText"/>
        <w:ind w:left="1078"/>
      </w:pPr>
      <w:r>
        <w:rPr/>
        <w:t>优选混合型基金和动力平衡基金按以下方式处理：</w:t>
      </w:r>
    </w:p>
    <w:p>
      <w:pPr>
        <w:pStyle w:val="BodyText"/>
        <w:spacing w:before="7"/>
        <w:rPr>
          <w:sz w:val="15"/>
        </w:rPr>
      </w:pPr>
    </w:p>
    <w:p>
      <w:pPr>
        <w:pStyle w:val="BodyText"/>
        <w:ind w:left="1078"/>
      </w:pPr>
      <w:r>
        <w:rPr/>
        <w:t>基金份额净值的计算精确到小数点后四位，小数点后第五位四舍五入，舍去部分归基金</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8"/>
        <w:jc w:val="both"/>
      </w:pPr>
      <w:r>
        <w:rPr>
          <w:spacing w:val="-10"/>
        </w:rPr>
        <w:t>财产。国家另有规定的，从其规定。当基金资产的估值导致基金份额净值小数点后四位</w:t>
      </w:r>
      <w:r>
        <w:rPr>
          <w:spacing w:val="-3"/>
        </w:rPr>
        <w:t>（</w:t>
      </w:r>
      <w:r>
        <w:rPr/>
        <w:t>含</w:t>
      </w:r>
      <w:r>
        <w:rPr>
          <w:spacing w:val="-1"/>
        </w:rPr>
        <w:t>第四位</w:t>
      </w:r>
      <w:r>
        <w:rPr>
          <w:spacing w:val="-32"/>
        </w:rPr>
        <w:t>）</w:t>
      </w:r>
      <w:r>
        <w:rPr>
          <w:spacing w:val="-9"/>
        </w:rPr>
        <w:t>内发生差错时，视为基金份额净值估值错误。当估值或份额净值计价错误实际发生</w:t>
      </w:r>
      <w:r>
        <w:rPr>
          <w:spacing w:val="-11"/>
        </w:rPr>
        <w:t>时，基金管理人应当立即纠正，并采取合理的措施防止损失进一步扩大。当错误达到或超过</w:t>
      </w:r>
      <w:r>
        <w:rPr>
          <w:spacing w:val="-8"/>
        </w:rPr>
        <w:t>基金资产净值的 </w:t>
      </w:r>
      <w:r>
        <w:rPr/>
        <w:t>0.25%</w:t>
      </w:r>
      <w:r>
        <w:rPr>
          <w:spacing w:val="-6"/>
        </w:rPr>
        <w:t>时，基金管理人应报中国证监会备案；当估值错误偏差达到基金份额</w:t>
      </w:r>
      <w:r>
        <w:rPr>
          <w:spacing w:val="4"/>
        </w:rPr>
        <w:t>净值的 </w:t>
      </w:r>
      <w:r>
        <w:rPr/>
        <w:t>0.5</w:t>
      </w:r>
      <w:r>
        <w:rPr>
          <w:spacing w:val="-3"/>
        </w:rPr>
        <w:t>%时，基金管理人应当公告，并报中国证监会备案。因基金估值错误给投资者造</w:t>
      </w:r>
      <w:r>
        <w:rPr>
          <w:spacing w:val="-21"/>
        </w:rPr>
        <w:t>成损失的，应先由基金管理人承担，基金管理人对不应由其承担的责任，有权向过错人追偿。</w:t>
      </w:r>
    </w:p>
    <w:p>
      <w:pPr>
        <w:pStyle w:val="BodyText"/>
        <w:spacing w:line="417" w:lineRule="auto"/>
        <w:ind w:left="1078" w:right="4372"/>
      </w:pPr>
      <w:r>
        <w:rPr/>
        <w:t>关于差错处理，本合同的当事人按照以下约定处理： 1、差错类型</w:t>
      </w:r>
    </w:p>
    <w:p>
      <w:pPr>
        <w:pStyle w:val="BodyText"/>
        <w:spacing w:line="417" w:lineRule="auto"/>
        <w:ind w:left="658" w:right="1310" w:firstLine="419"/>
        <w:jc w:val="both"/>
      </w:pPr>
      <w:r>
        <w:rPr>
          <w:spacing w:val="-8"/>
        </w:rPr>
        <w:t>本基金运作过程中，如果由于基金管理人或基金托管人、或注册登记人、或代理销售机</w:t>
      </w:r>
      <w:r>
        <w:rPr>
          <w:spacing w:val="-11"/>
        </w:rPr>
        <w:t>构、或投资者自身的过错造成差错，导致其他当事人遭受损失的，过错的责任人应当对由于</w:t>
      </w:r>
      <w:r>
        <w:rPr>
          <w:spacing w:val="-6"/>
          <w:w w:val="100"/>
        </w:rPr>
        <w:t>该差错遭受损失的当事人</w:t>
      </w:r>
      <w:r>
        <w:rPr>
          <w:spacing w:val="-106"/>
          <w:w w:val="100"/>
        </w:rPr>
        <w:t>（</w:t>
      </w:r>
      <w:r>
        <w:rPr>
          <w:spacing w:val="-24"/>
          <w:w w:val="100"/>
        </w:rPr>
        <w:t>“受损方”</w:t>
      </w:r>
      <w:r>
        <w:rPr>
          <w:w w:val="100"/>
        </w:rPr>
        <w:t>）</w:t>
      </w:r>
      <w:r>
        <w:rPr>
          <w:spacing w:val="-3"/>
          <w:w w:val="100"/>
        </w:rPr>
        <w:t>按下述“差错处理原则”给予赔偿承担赔偿责任。</w:t>
      </w:r>
    </w:p>
    <w:p>
      <w:pPr>
        <w:pStyle w:val="BodyText"/>
        <w:spacing w:line="417" w:lineRule="auto"/>
        <w:ind w:left="658" w:right="1311" w:firstLine="419"/>
        <w:jc w:val="both"/>
      </w:pPr>
      <w:r>
        <w:rPr>
          <w:spacing w:val="-8"/>
        </w:rPr>
        <w:t>上述差错的主要类型包括但不限于：资料申报差错、数据传输差错、数据计算差错、系</w:t>
      </w:r>
      <w:r>
        <w:rPr>
          <w:spacing w:val="-12"/>
        </w:rPr>
        <w:t>统故障差错、下达指令差错等；对于因技术原因引起的差错，若系同行业现有技术水平无法</w:t>
      </w:r>
      <w:r>
        <w:rPr>
          <w:spacing w:val="-6"/>
        </w:rPr>
        <w:t>预见、无法避免、无法抗拒，则属不可抗力，按照下述规定执行。</w:t>
      </w:r>
    </w:p>
    <w:p>
      <w:pPr>
        <w:pStyle w:val="BodyText"/>
        <w:spacing w:line="417" w:lineRule="auto"/>
        <w:ind w:left="658" w:right="1309" w:firstLine="419"/>
        <w:jc w:val="both"/>
      </w:pPr>
      <w:r>
        <w:rPr>
          <w:spacing w:val="-6"/>
        </w:rPr>
        <w:t>由于不可抗力原因造成投资者的交易资料灭失或被错误处理或造成其他差错，因不可抗</w:t>
      </w:r>
      <w:r>
        <w:rPr>
          <w:spacing w:val="-8"/>
        </w:rPr>
        <w:t>力原因出现差错的当事人不对其他当事人承担赔偿责任，但因该差错取得不当得利的当事人</w:t>
      </w:r>
      <w:r>
        <w:rPr>
          <w:spacing w:val="-5"/>
        </w:rPr>
        <w:t>仍应负有返还不当得利的义务。</w:t>
      </w:r>
    </w:p>
    <w:p>
      <w:pPr>
        <w:pStyle w:val="BodyText"/>
        <w:spacing w:line="269" w:lineRule="exact"/>
        <w:ind w:left="1078"/>
      </w:pPr>
      <w:r>
        <w:rPr/>
        <w:t>2、差错处理原则</w:t>
      </w:r>
    </w:p>
    <w:p>
      <w:pPr>
        <w:pStyle w:val="BodyText"/>
        <w:spacing w:before="5"/>
        <w:rPr>
          <w:sz w:val="15"/>
        </w:rPr>
      </w:pPr>
    </w:p>
    <w:p>
      <w:pPr>
        <w:pStyle w:val="ListParagraph"/>
        <w:numPr>
          <w:ilvl w:val="0"/>
          <w:numId w:val="31"/>
        </w:numPr>
        <w:tabs>
          <w:tab w:pos="1607" w:val="left" w:leader="none"/>
        </w:tabs>
        <w:spacing w:line="417" w:lineRule="auto" w:before="1" w:after="0"/>
        <w:ind w:left="658" w:right="1309" w:firstLine="419"/>
        <w:jc w:val="both"/>
        <w:rPr>
          <w:sz w:val="21"/>
        </w:rPr>
      </w:pPr>
      <w:r>
        <w:rPr>
          <w:spacing w:val="-3"/>
          <w:sz w:val="21"/>
        </w:rPr>
        <w:t>差错已发生，但尚未给当事人造成损失时，差错责任方应及时协调各方，及时进</w:t>
      </w:r>
      <w:r>
        <w:rPr>
          <w:spacing w:val="-11"/>
          <w:sz w:val="21"/>
        </w:rPr>
        <w:t>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w:t>
      </w:r>
      <w:r>
        <w:rPr>
          <w:spacing w:val="-6"/>
          <w:sz w:val="21"/>
        </w:rPr>
        <w:t>正的情况向有关当事人进行确认，确保差错已得到更正。</w:t>
      </w:r>
    </w:p>
    <w:p>
      <w:pPr>
        <w:pStyle w:val="ListParagraph"/>
        <w:numPr>
          <w:ilvl w:val="0"/>
          <w:numId w:val="31"/>
        </w:numPr>
        <w:tabs>
          <w:tab w:pos="1607" w:val="left" w:leader="none"/>
        </w:tabs>
        <w:spacing w:line="417" w:lineRule="auto" w:before="0" w:after="0"/>
        <w:ind w:left="658" w:right="1309" w:firstLine="419"/>
        <w:jc w:val="left"/>
        <w:rPr>
          <w:sz w:val="21"/>
        </w:rPr>
      </w:pPr>
      <w:r>
        <w:rPr>
          <w:spacing w:val="-3"/>
          <w:sz w:val="21"/>
        </w:rPr>
        <w:t>差错的责任方对可能导致有关当事人的直接损失负责，不对间接损失负责，并且仅对差错的有关直接当事人负责，不对第三方负责。</w:t>
      </w:r>
    </w:p>
    <w:p>
      <w:pPr>
        <w:pStyle w:val="ListParagraph"/>
        <w:numPr>
          <w:ilvl w:val="0"/>
          <w:numId w:val="31"/>
        </w:numPr>
        <w:tabs>
          <w:tab w:pos="1607" w:val="left" w:leader="none"/>
        </w:tabs>
        <w:spacing w:line="417" w:lineRule="auto" w:before="0" w:after="0"/>
        <w:ind w:left="658" w:right="1308" w:firstLine="419"/>
        <w:jc w:val="both"/>
        <w:rPr>
          <w:sz w:val="21"/>
        </w:rPr>
      </w:pPr>
      <w:r>
        <w:rPr>
          <w:spacing w:val="-3"/>
          <w:sz w:val="21"/>
        </w:rPr>
        <w:t>因差错而获得不当得利的当事人负有及时返还不当得利的义务。但差错责任方仍</w:t>
      </w:r>
      <w:r>
        <w:rPr>
          <w:spacing w:val="-12"/>
          <w:sz w:val="21"/>
        </w:rPr>
        <w:t>应对差错负责，如果由于获得不当得利的当事人不返还或不全部返还不当得利造成其他当事</w:t>
      </w:r>
      <w:r>
        <w:rPr>
          <w:spacing w:val="-7"/>
          <w:w w:val="100"/>
          <w:sz w:val="21"/>
        </w:rPr>
        <w:t>人的利益损失</w:t>
      </w:r>
      <w:r>
        <w:rPr>
          <w:spacing w:val="-106"/>
          <w:w w:val="100"/>
          <w:sz w:val="21"/>
        </w:rPr>
        <w:t>（</w:t>
      </w:r>
      <w:r>
        <w:rPr>
          <w:spacing w:val="-23"/>
          <w:w w:val="100"/>
          <w:sz w:val="21"/>
        </w:rPr>
        <w:t>“受损方”</w:t>
      </w:r>
      <w:r>
        <w:rPr>
          <w:spacing w:val="-108"/>
          <w:w w:val="100"/>
          <w:sz w:val="21"/>
        </w:rPr>
        <w:t>）</w:t>
      </w:r>
      <w:r>
        <w:rPr>
          <w:spacing w:val="-3"/>
          <w:w w:val="100"/>
          <w:sz w:val="21"/>
        </w:rPr>
        <w:t>，则差错责任方应赔偿受损方的损失，并在其支付的赔偿金额的</w:t>
      </w:r>
      <w:r>
        <w:rPr>
          <w:spacing w:val="-7"/>
          <w:sz w:val="21"/>
        </w:rPr>
        <w:t>范围内对获得不当得利的当事人享有要求交付不当得利的权利；如果获得不当得利的当事人</w:t>
      </w:r>
      <w:r>
        <w:rPr>
          <w:spacing w:val="-10"/>
          <w:sz w:val="21"/>
        </w:rPr>
        <w:t>已经将此部分不当得利返还给受损方，则受损方应当将其已经获得的赔偿额加上已经获得的</w:t>
      </w:r>
    </w:p>
    <w:p>
      <w:pPr>
        <w:spacing w:after="0" w:line="417" w:lineRule="auto"/>
        <w:jc w:val="both"/>
        <w:rPr>
          <w:sz w:val="21"/>
        </w:rPr>
        <w:sectPr>
          <w:footerReference w:type="default" r:id="rId182"/>
          <w:pgSz w:w="11910" w:h="16840"/>
          <w:pgMar w:footer="992" w:header="852" w:top="1220" w:bottom="1180" w:left="1140" w:right="480"/>
        </w:sectPr>
      </w:pPr>
    </w:p>
    <w:p>
      <w:pPr>
        <w:pStyle w:val="BodyText"/>
        <w:spacing w:before="1"/>
        <w:rPr>
          <w:sz w:val="19"/>
        </w:rPr>
      </w:pPr>
    </w:p>
    <w:p>
      <w:pPr>
        <w:pStyle w:val="BodyText"/>
        <w:spacing w:before="71"/>
        <w:ind w:left="658"/>
      </w:pPr>
      <w:r>
        <w:rPr/>
        <w:t>不当得利返还的总和超过其实际损失的差额部分支付给差错责任方。</w:t>
      </w:r>
    </w:p>
    <w:p>
      <w:pPr>
        <w:pStyle w:val="BodyText"/>
        <w:spacing w:before="7"/>
        <w:rPr>
          <w:sz w:val="15"/>
        </w:rPr>
      </w:pPr>
    </w:p>
    <w:p>
      <w:pPr>
        <w:pStyle w:val="ListParagraph"/>
        <w:numPr>
          <w:ilvl w:val="0"/>
          <w:numId w:val="31"/>
        </w:numPr>
        <w:tabs>
          <w:tab w:pos="1607" w:val="left" w:leader="none"/>
        </w:tabs>
        <w:spacing w:line="240" w:lineRule="auto" w:before="0" w:after="0"/>
        <w:ind w:left="1607" w:right="0" w:hanging="529"/>
        <w:jc w:val="left"/>
        <w:rPr>
          <w:sz w:val="21"/>
        </w:rPr>
      </w:pPr>
      <w:r>
        <w:rPr>
          <w:spacing w:val="-3"/>
          <w:sz w:val="21"/>
        </w:rPr>
        <w:t>差错调整采用尽量恢复至假设未发生差错的正确情形的方式。</w:t>
      </w:r>
    </w:p>
    <w:p>
      <w:pPr>
        <w:pStyle w:val="BodyText"/>
        <w:spacing w:before="7"/>
        <w:rPr>
          <w:sz w:val="15"/>
        </w:rPr>
      </w:pPr>
    </w:p>
    <w:p>
      <w:pPr>
        <w:pStyle w:val="ListParagraph"/>
        <w:numPr>
          <w:ilvl w:val="0"/>
          <w:numId w:val="31"/>
        </w:numPr>
        <w:tabs>
          <w:tab w:pos="1607" w:val="left" w:leader="none"/>
        </w:tabs>
        <w:spacing w:line="417" w:lineRule="auto" w:before="0" w:after="0"/>
        <w:ind w:left="658" w:right="1309" w:firstLine="419"/>
        <w:jc w:val="both"/>
        <w:rPr>
          <w:sz w:val="21"/>
        </w:rPr>
      </w:pPr>
      <w:r>
        <w:rPr>
          <w:spacing w:val="-3"/>
          <w:sz w:val="21"/>
        </w:rPr>
        <w:t>差错责任方拒绝进行赔偿时，如果因基金管理人过错造成基金资产损失时，基金</w:t>
      </w:r>
      <w:r>
        <w:rPr>
          <w:spacing w:val="-8"/>
          <w:sz w:val="21"/>
        </w:rPr>
        <w:t>托管人应为基金的利益向基金管理人追偿，如果因基金托管人过错造成基金资产损失时，基</w:t>
      </w:r>
      <w:r>
        <w:rPr>
          <w:spacing w:val="-10"/>
          <w:sz w:val="21"/>
        </w:rPr>
        <w:t>金管理人应为基金的利益向基金托管人追偿。除基金管理人和托管人之外的第三方造成基金</w:t>
      </w:r>
      <w:r>
        <w:rPr>
          <w:spacing w:val="-5"/>
          <w:sz w:val="21"/>
        </w:rPr>
        <w:t>资产的损失，并拒绝进行赔偿时，由基金管理人负责向差错方追偿。</w:t>
      </w:r>
    </w:p>
    <w:p>
      <w:pPr>
        <w:pStyle w:val="ListParagraph"/>
        <w:numPr>
          <w:ilvl w:val="0"/>
          <w:numId w:val="31"/>
        </w:numPr>
        <w:tabs>
          <w:tab w:pos="1614" w:val="left" w:leader="none"/>
        </w:tabs>
        <w:spacing w:line="268" w:lineRule="exact" w:before="0" w:after="0"/>
        <w:ind w:left="1613" w:right="0" w:hanging="536"/>
        <w:jc w:val="left"/>
        <w:rPr>
          <w:sz w:val="21"/>
        </w:rPr>
      </w:pPr>
      <w:r>
        <w:rPr>
          <w:sz w:val="21"/>
        </w:rPr>
        <w:t>如果出现差错的当事人未按规定对受损方进行赔偿，并且依据法律、行政法规、</w:t>
      </w:r>
    </w:p>
    <w:p>
      <w:pPr>
        <w:pStyle w:val="BodyText"/>
        <w:spacing w:before="7"/>
        <w:rPr>
          <w:sz w:val="15"/>
        </w:rPr>
      </w:pPr>
    </w:p>
    <w:p>
      <w:pPr>
        <w:pStyle w:val="BodyText"/>
        <w:spacing w:line="417" w:lineRule="auto"/>
        <w:ind w:left="658" w:right="1309"/>
        <w:jc w:val="both"/>
      </w:pPr>
      <w:r>
        <w:rPr>
          <w:spacing w:val="-9"/>
        </w:rPr>
        <w:t>《基金合同》或其他规定，基金管理人自行或依据法院判决、仲裁裁决对受损方承担了赔偿</w:t>
      </w:r>
      <w:r>
        <w:rPr>
          <w:spacing w:val="-11"/>
        </w:rPr>
        <w:t>责任，则基金管理人有权向出现过错的当事人进行追索，并有权要求其赔偿或补偿由此发生</w:t>
      </w:r>
      <w:r>
        <w:rPr>
          <w:spacing w:val="-6"/>
        </w:rPr>
        <w:t>的费用和遭受的损失。</w:t>
      </w:r>
    </w:p>
    <w:p>
      <w:pPr>
        <w:pStyle w:val="ListParagraph"/>
        <w:numPr>
          <w:ilvl w:val="0"/>
          <w:numId w:val="31"/>
        </w:numPr>
        <w:tabs>
          <w:tab w:pos="1607" w:val="left" w:leader="none"/>
        </w:tabs>
        <w:spacing w:line="417" w:lineRule="auto" w:before="0" w:after="0"/>
        <w:ind w:left="1078" w:right="5108" w:firstLine="0"/>
        <w:jc w:val="left"/>
        <w:rPr>
          <w:sz w:val="21"/>
        </w:rPr>
      </w:pPr>
      <w:r>
        <w:rPr>
          <w:spacing w:val="-4"/>
          <w:sz w:val="21"/>
        </w:rPr>
        <w:t>按法律法规规定的其他原则处理差错。</w:t>
      </w:r>
      <w:r>
        <w:rPr>
          <w:sz w:val="21"/>
        </w:rPr>
        <w:t>3</w:t>
      </w:r>
      <w:r>
        <w:rPr>
          <w:spacing w:val="-3"/>
          <w:sz w:val="21"/>
        </w:rPr>
        <w:t>、差错处理程序</w:t>
      </w:r>
    </w:p>
    <w:p>
      <w:pPr>
        <w:pStyle w:val="BodyText"/>
        <w:spacing w:line="269" w:lineRule="exact"/>
        <w:ind w:left="1078"/>
      </w:pPr>
      <w:r>
        <w:rPr/>
        <w:t>差错被发现后，有关的当事人应当及时进行处理，处理的程序如下：</w:t>
      </w:r>
    </w:p>
    <w:p>
      <w:pPr>
        <w:pStyle w:val="BodyText"/>
        <w:spacing w:before="6"/>
        <w:rPr>
          <w:sz w:val="15"/>
        </w:rPr>
      </w:pPr>
    </w:p>
    <w:p>
      <w:pPr>
        <w:pStyle w:val="ListParagraph"/>
        <w:numPr>
          <w:ilvl w:val="0"/>
          <w:numId w:val="32"/>
        </w:numPr>
        <w:tabs>
          <w:tab w:pos="1607" w:val="left" w:leader="none"/>
        </w:tabs>
        <w:spacing w:line="417" w:lineRule="auto" w:before="0" w:after="0"/>
        <w:ind w:left="658" w:right="1309" w:firstLine="419"/>
        <w:jc w:val="left"/>
        <w:rPr>
          <w:sz w:val="21"/>
        </w:rPr>
      </w:pPr>
      <w:r>
        <w:rPr>
          <w:spacing w:val="-3"/>
          <w:sz w:val="21"/>
        </w:rPr>
        <w:t>查明差错发生的原因，列明所有的当事人，并根据差错发生的原因确定差错的责任方；</w:t>
      </w:r>
    </w:p>
    <w:p>
      <w:pPr>
        <w:pStyle w:val="ListParagraph"/>
        <w:numPr>
          <w:ilvl w:val="0"/>
          <w:numId w:val="32"/>
        </w:numPr>
        <w:tabs>
          <w:tab w:pos="1607" w:val="left" w:leader="none"/>
        </w:tabs>
        <w:spacing w:line="240" w:lineRule="auto" w:before="0" w:after="0"/>
        <w:ind w:left="1607" w:right="0" w:hanging="529"/>
        <w:jc w:val="left"/>
        <w:rPr>
          <w:sz w:val="21"/>
        </w:rPr>
      </w:pPr>
      <w:r>
        <w:rPr>
          <w:spacing w:val="-3"/>
          <w:sz w:val="21"/>
        </w:rPr>
        <w:t>根据差错处理原则或当事人协商的方法对因差错造成的损失进行评估；</w:t>
      </w:r>
    </w:p>
    <w:p>
      <w:pPr>
        <w:pStyle w:val="BodyText"/>
        <w:spacing w:before="7"/>
        <w:rPr>
          <w:sz w:val="15"/>
        </w:rPr>
      </w:pPr>
    </w:p>
    <w:p>
      <w:pPr>
        <w:pStyle w:val="ListParagraph"/>
        <w:numPr>
          <w:ilvl w:val="0"/>
          <w:numId w:val="32"/>
        </w:numPr>
        <w:tabs>
          <w:tab w:pos="1607" w:val="left" w:leader="none"/>
        </w:tabs>
        <w:spacing w:line="240" w:lineRule="auto" w:before="0" w:after="0"/>
        <w:ind w:left="1607" w:right="0" w:hanging="529"/>
        <w:jc w:val="left"/>
        <w:rPr>
          <w:sz w:val="21"/>
        </w:rPr>
      </w:pPr>
      <w:r>
        <w:rPr>
          <w:spacing w:val="-3"/>
          <w:sz w:val="21"/>
        </w:rPr>
        <w:t>根据差错处理原则或当事人协商的方法由差错的责任方进行更正和赔偿损失；</w:t>
      </w:r>
    </w:p>
    <w:p>
      <w:pPr>
        <w:pStyle w:val="BodyText"/>
        <w:spacing w:before="7"/>
        <w:rPr>
          <w:sz w:val="15"/>
        </w:rPr>
      </w:pPr>
    </w:p>
    <w:p>
      <w:pPr>
        <w:pStyle w:val="ListParagraph"/>
        <w:numPr>
          <w:ilvl w:val="0"/>
          <w:numId w:val="32"/>
        </w:numPr>
        <w:tabs>
          <w:tab w:pos="1607" w:val="left" w:leader="none"/>
        </w:tabs>
        <w:spacing w:line="417" w:lineRule="auto" w:before="0" w:after="0"/>
        <w:ind w:left="658" w:right="1309" w:firstLine="419"/>
        <w:jc w:val="left"/>
        <w:rPr>
          <w:sz w:val="21"/>
        </w:rPr>
      </w:pPr>
      <w:r>
        <w:rPr>
          <w:spacing w:val="-3"/>
          <w:sz w:val="21"/>
        </w:rPr>
        <w:t>根据差错处理的方法，需要修改基金注册登记人的交易数据的，由基金注册登记人进行更正，并就差错的更正向有关当事人进行确认；</w:t>
      </w:r>
    </w:p>
    <w:p>
      <w:pPr>
        <w:pStyle w:val="ListParagraph"/>
        <w:numPr>
          <w:ilvl w:val="0"/>
          <w:numId w:val="32"/>
        </w:numPr>
        <w:tabs>
          <w:tab w:pos="1607" w:val="left" w:leader="none"/>
        </w:tabs>
        <w:spacing w:line="417" w:lineRule="auto" w:before="0" w:after="0"/>
        <w:ind w:left="658" w:right="1308" w:firstLine="419"/>
        <w:jc w:val="both"/>
        <w:rPr>
          <w:sz w:val="21"/>
        </w:rPr>
      </w:pPr>
      <w:r>
        <w:rPr>
          <w:spacing w:val="-2"/>
          <w:sz w:val="21"/>
        </w:rPr>
        <w:t>基金管理人及基金托管人基金份额净值计算错误偏差达到基金份额净值的 </w:t>
      </w:r>
      <w:r>
        <w:rPr>
          <w:sz w:val="21"/>
        </w:rPr>
        <w:t>0.25% </w:t>
      </w:r>
      <w:r>
        <w:rPr>
          <w:spacing w:val="-11"/>
          <w:sz w:val="21"/>
        </w:rPr>
        <w:t>时，基金管理人应当报告中国证监会；基金管理人及基金托管人基金份额净值计算错误偏差达到基金份额净值的 </w:t>
      </w:r>
      <w:r>
        <w:rPr>
          <w:sz w:val="21"/>
        </w:rPr>
        <w:t>0.5</w:t>
      </w:r>
      <w:r>
        <w:rPr>
          <w:spacing w:val="-3"/>
          <w:sz w:val="21"/>
        </w:rPr>
        <w:t>%时，基金管理人应当公告并报中国证监会备案。</w:t>
      </w:r>
    </w:p>
    <w:p>
      <w:pPr>
        <w:pStyle w:val="BodyText"/>
        <w:rPr>
          <w:sz w:val="20"/>
        </w:rPr>
      </w:pPr>
    </w:p>
    <w:p>
      <w:pPr>
        <w:pStyle w:val="BodyText"/>
        <w:spacing w:before="6"/>
        <w:rPr>
          <w:sz w:val="16"/>
        </w:rPr>
      </w:pPr>
    </w:p>
    <w:p>
      <w:pPr>
        <w:pStyle w:val="BodyText"/>
        <w:ind w:left="1078"/>
      </w:pPr>
      <w:r>
        <w:rPr/>
        <w:t>货币市场基金按以下方式处理：</w:t>
      </w:r>
    </w:p>
    <w:p>
      <w:pPr>
        <w:pStyle w:val="BodyText"/>
        <w:spacing w:before="7"/>
        <w:rPr>
          <w:sz w:val="15"/>
        </w:rPr>
      </w:pPr>
    </w:p>
    <w:p>
      <w:pPr>
        <w:pStyle w:val="BodyText"/>
        <w:spacing w:line="417" w:lineRule="auto"/>
        <w:ind w:left="658" w:right="1309" w:firstLine="419"/>
      </w:pPr>
      <w:r>
        <w:rPr>
          <w:spacing w:val="-9"/>
        </w:rPr>
        <w:t>基金采用四舍五入的方法，每万份基金净收益保留小数点后四位，基金七日年化收益率</w:t>
      </w:r>
      <w:r>
        <w:rPr>
          <w:spacing w:val="-5"/>
        </w:rPr>
        <w:t>保留小数点后三位，国家另有规定的从其规定。</w:t>
      </w:r>
    </w:p>
    <w:p>
      <w:pPr>
        <w:pStyle w:val="BodyText"/>
        <w:spacing w:line="417" w:lineRule="auto"/>
        <w:ind w:left="658" w:right="1310" w:firstLine="419"/>
      </w:pPr>
      <w:r>
        <w:rPr/>
        <w:t>当基金资产的估值导致基金日收益小数点后四位或基金七日年化收益率小数点后三位以内发生差错时，视为估值错误。国家另有规定的从其规定。</w:t>
      </w:r>
    </w:p>
    <w:p>
      <w:pPr>
        <w:pStyle w:val="BodyText"/>
        <w:spacing w:line="417" w:lineRule="auto"/>
        <w:ind w:left="658" w:right="1309" w:firstLine="419"/>
      </w:pPr>
      <w:r>
        <w:rPr/>
        <w:t>1、基金管理人和基金托管人应采取必要、适当、合理的措施确保基金资产估值的准确性和及时性。当基金资产估值出现差错时，基金管理人应当予以纠正,尽快采取合理的措施</w:t>
      </w:r>
    </w:p>
    <w:p>
      <w:pPr>
        <w:spacing w:after="0" w:line="417" w:lineRule="auto"/>
        <w:sectPr>
          <w:footerReference w:type="default" r:id="rId183"/>
          <w:pgSz w:w="11910" w:h="16840"/>
          <w:pgMar w:footer="992" w:header="852" w:top="1220" w:bottom="1180" w:left="1140" w:right="480"/>
          <w:pgNumType w:start="121"/>
        </w:sectPr>
      </w:pPr>
    </w:p>
    <w:p>
      <w:pPr>
        <w:pStyle w:val="BodyText"/>
        <w:spacing w:before="1"/>
        <w:rPr>
          <w:sz w:val="19"/>
        </w:rPr>
      </w:pPr>
    </w:p>
    <w:p>
      <w:pPr>
        <w:pStyle w:val="BodyText"/>
        <w:spacing w:line="417" w:lineRule="auto" w:before="71"/>
        <w:ind w:left="658" w:right="1309"/>
        <w:jc w:val="both"/>
      </w:pPr>
      <w:r>
        <w:rPr>
          <w:spacing w:val="-7"/>
        </w:rPr>
        <w:t>防止损失进一步扩大。当计价错误达到或超过基金份额净值的 </w:t>
      </w:r>
      <w:r>
        <w:rPr/>
        <w:t>0.25</w:t>
      </w:r>
      <w:r>
        <w:rPr>
          <w:spacing w:val="-8"/>
        </w:rPr>
        <w:t>%时，基金管理人应当报</w:t>
      </w:r>
      <w:r>
        <w:rPr>
          <w:spacing w:val="-4"/>
        </w:rPr>
        <w:t>中国证监会备案；当计价错误达到或超过基金份额净值的 </w:t>
      </w:r>
      <w:r>
        <w:rPr/>
        <w:t>0.5</w:t>
      </w:r>
      <w:r>
        <w:rPr>
          <w:spacing w:val="-3"/>
        </w:rPr>
        <w:t>%时，基金管理人应当公告， 并同时报中国证监会备案。</w:t>
      </w:r>
    </w:p>
    <w:p>
      <w:pPr>
        <w:pStyle w:val="BodyText"/>
        <w:spacing w:line="417" w:lineRule="auto"/>
        <w:ind w:left="658" w:right="1309" w:firstLine="419"/>
      </w:pPr>
      <w:r>
        <w:rPr/>
        <w:t>2、基金管理人按上述货币市场基金估值方法的第 2、3 条方法进行计价时，所造成的误差不作为基金资产估值错误处理；</w:t>
      </w:r>
    </w:p>
    <w:p>
      <w:pPr>
        <w:pStyle w:val="BodyText"/>
        <w:spacing w:line="417" w:lineRule="auto"/>
        <w:ind w:left="658" w:right="1203" w:firstLine="419"/>
      </w:pPr>
      <w:r>
        <w:rPr/>
        <w:t>3</w:t>
      </w:r>
      <w:r>
        <w:rPr>
          <w:spacing w:val="-3"/>
        </w:rPr>
        <w:t>、由于本基金所投资的各个市场及其登记结算机构发送的数据错误，国家会计政策变</w:t>
      </w:r>
      <w:r>
        <w:rPr>
          <w:spacing w:val="-11"/>
        </w:rPr>
        <w:t>更、市场规则变更等，或由于其他不可抗力原因，基金管理人和基金托管人虽然已经采取必</w:t>
      </w:r>
      <w:r>
        <w:rPr>
          <w:spacing w:val="-6"/>
        </w:rPr>
        <w:t>要、适当、合理的措施进行检查，但是未能发现该错误的，由此造成的基金资产估值错误， </w:t>
      </w:r>
      <w:r>
        <w:rPr>
          <w:spacing w:val="-9"/>
        </w:rPr>
        <w:t>基金管理人和基金托管人可以免除赔偿责任。但基金管理人和基金托管人应当积极采取必要</w:t>
      </w:r>
      <w:r>
        <w:rPr>
          <w:spacing w:val="-5"/>
        </w:rPr>
        <w:t>的措施消除由此造成的影响。</w:t>
      </w:r>
    </w:p>
    <w:p>
      <w:pPr>
        <w:pStyle w:val="BodyText"/>
        <w:spacing w:line="269" w:lineRule="exact"/>
        <w:ind w:left="1078"/>
      </w:pPr>
      <w:r>
        <w:rPr/>
        <w:t>4、如果法律、法规、规章及中国证监会另有规定的，从其规定。</w:t>
      </w:r>
    </w:p>
    <w:p>
      <w:pPr>
        <w:pStyle w:val="BodyText"/>
        <w:rPr>
          <w:sz w:val="20"/>
        </w:rPr>
      </w:pPr>
    </w:p>
    <w:p>
      <w:pPr>
        <w:pStyle w:val="BodyText"/>
        <w:rPr>
          <w:sz w:val="20"/>
        </w:rPr>
      </w:pPr>
    </w:p>
    <w:p>
      <w:pPr>
        <w:pStyle w:val="BodyText"/>
        <w:spacing w:before="154"/>
        <w:ind w:left="1078"/>
      </w:pPr>
      <w:r>
        <w:rPr/>
        <w:t>（七</w:t>
      </w:r>
      <w:r>
        <w:rPr>
          <w:spacing w:val="-108"/>
        </w:rPr>
        <w:t>）</w:t>
      </w:r>
      <w:r>
        <w:rPr>
          <w:spacing w:val="-3"/>
        </w:rPr>
        <w:t>、暂停估值的情形</w:t>
      </w:r>
    </w:p>
    <w:p>
      <w:pPr>
        <w:pStyle w:val="BodyText"/>
        <w:spacing w:before="6"/>
        <w:rPr>
          <w:sz w:val="15"/>
        </w:rPr>
      </w:pPr>
    </w:p>
    <w:p>
      <w:pPr>
        <w:pStyle w:val="BodyText"/>
        <w:spacing w:before="1"/>
        <w:ind w:left="1078"/>
      </w:pPr>
      <w:r>
        <w:rPr/>
        <w:t>1、与本基金投资有关的证券交易场所遇法定节假日或因其他原因暂停营业时；</w:t>
      </w:r>
    </w:p>
    <w:p>
      <w:pPr>
        <w:pStyle w:val="BodyText"/>
        <w:spacing w:before="7"/>
        <w:rPr>
          <w:sz w:val="15"/>
        </w:rPr>
      </w:pPr>
    </w:p>
    <w:p>
      <w:pPr>
        <w:pStyle w:val="BodyText"/>
        <w:ind w:left="1078"/>
      </w:pPr>
      <w:r>
        <w:rPr/>
        <w:t>2、因不可抗力或其他情形致使基金管理人无法准确评估基金资产价值时；</w:t>
      </w:r>
    </w:p>
    <w:p>
      <w:pPr>
        <w:pStyle w:val="BodyText"/>
        <w:spacing w:before="6"/>
        <w:rPr>
          <w:sz w:val="15"/>
        </w:rPr>
      </w:pPr>
    </w:p>
    <w:p>
      <w:pPr>
        <w:pStyle w:val="BodyText"/>
        <w:spacing w:line="417" w:lineRule="auto" w:before="1"/>
        <w:ind w:left="658" w:right="1309" w:firstLine="419"/>
        <w:jc w:val="both"/>
      </w:pPr>
      <w:r>
        <w:rPr/>
        <w:t>3</w:t>
      </w:r>
      <w:r>
        <w:rPr>
          <w:spacing w:val="-2"/>
        </w:rPr>
        <w:t>、前一估值日本系列基金中任一基金的基金资产净值 </w:t>
      </w:r>
      <w:r>
        <w:rPr/>
        <w:t>50%</w:t>
      </w:r>
      <w:r>
        <w:rPr>
          <w:spacing w:val="-3"/>
        </w:rPr>
        <w:t>以上的资产出现无可参考的</w:t>
      </w:r>
      <w:r>
        <w:rPr>
          <w:spacing w:val="-7"/>
        </w:rPr>
        <w:t>活跃市场价格且采用估值技术仍导致公允价值存在重大不确定时，经与基金托管人协商确认</w:t>
      </w:r>
      <w:r>
        <w:rPr>
          <w:spacing w:val="-5"/>
        </w:rPr>
        <w:t>后，应当暂停该基金的估值；</w:t>
      </w:r>
    </w:p>
    <w:p>
      <w:pPr>
        <w:pStyle w:val="BodyText"/>
        <w:spacing w:line="269" w:lineRule="exact"/>
        <w:ind w:left="1078"/>
      </w:pPr>
      <w:r>
        <w:rPr/>
        <w:t>4、中国证监会认定的其他情形。</w:t>
      </w:r>
    </w:p>
    <w:p>
      <w:pPr>
        <w:pStyle w:val="BodyText"/>
        <w:rPr>
          <w:sz w:val="20"/>
        </w:rPr>
      </w:pPr>
    </w:p>
    <w:p>
      <w:pPr>
        <w:pStyle w:val="BodyText"/>
        <w:rPr>
          <w:sz w:val="20"/>
        </w:rPr>
      </w:pPr>
    </w:p>
    <w:p>
      <w:pPr>
        <w:pStyle w:val="BodyText"/>
        <w:spacing w:before="154"/>
        <w:ind w:left="1078"/>
      </w:pPr>
      <w:r>
        <w:rPr/>
        <w:t>（八</w:t>
      </w:r>
      <w:r>
        <w:rPr>
          <w:spacing w:val="-108"/>
        </w:rPr>
        <w:t>）</w:t>
      </w:r>
      <w:r>
        <w:rPr>
          <w:spacing w:val="-3"/>
        </w:rPr>
        <w:t>、特殊情形的处理</w:t>
      </w:r>
    </w:p>
    <w:p>
      <w:pPr>
        <w:pStyle w:val="BodyText"/>
        <w:spacing w:before="7"/>
        <w:rPr>
          <w:sz w:val="15"/>
        </w:rPr>
      </w:pPr>
    </w:p>
    <w:p>
      <w:pPr>
        <w:pStyle w:val="BodyText"/>
        <w:spacing w:line="417" w:lineRule="auto"/>
        <w:ind w:left="658" w:right="1309" w:firstLine="419"/>
        <w:jc w:val="both"/>
      </w:pPr>
      <w:r>
        <w:rPr/>
        <w:t>1</w:t>
      </w:r>
      <w:r>
        <w:rPr>
          <w:spacing w:val="-3"/>
        </w:rPr>
        <w:t>、如有确凿证据表明按上述方法进行估值不能客观反映其公允价值的，基金管理人可</w:t>
      </w:r>
      <w:r>
        <w:rPr>
          <w:spacing w:val="-8"/>
        </w:rPr>
        <w:t>根据具体情况与基金托管人商定后，按最能反映公允价值的价格估值。该情形下所造成的误</w:t>
      </w:r>
      <w:r>
        <w:rPr>
          <w:spacing w:val="-5"/>
        </w:rPr>
        <w:t>差不作为基金资产估值错误处理；</w:t>
      </w:r>
    </w:p>
    <w:p>
      <w:pPr>
        <w:pStyle w:val="BodyText"/>
        <w:spacing w:line="417" w:lineRule="auto"/>
        <w:ind w:left="658" w:right="1309" w:firstLine="419"/>
        <w:jc w:val="both"/>
      </w:pPr>
      <w:r>
        <w:rPr/>
        <w:t>2</w:t>
      </w:r>
      <w:r>
        <w:rPr>
          <w:spacing w:val="-3"/>
        </w:rPr>
        <w:t>、由于证券交易所及其登记结算公司发送的数据错误，或由于其他不可抗力原因，基</w:t>
      </w:r>
      <w:r>
        <w:rPr>
          <w:spacing w:val="-8"/>
        </w:rPr>
        <w:t>金管理人和基金托管人虽然已经采取必要、适当、合理的措施进行检查，但是未能发现该错</w:t>
      </w:r>
      <w:r>
        <w:rPr>
          <w:spacing w:val="-11"/>
        </w:rPr>
        <w:t>误的，由此造成的基金资产估值错误，基金管理人和基金托管人可以免除赔偿责任。但基金</w:t>
      </w:r>
      <w:r>
        <w:rPr>
          <w:spacing w:val="-6"/>
        </w:rPr>
        <w:t>管理人、基金托管人应当积极采取必要的措施消除由此造成的影响。</w:t>
      </w:r>
    </w:p>
    <w:p>
      <w:pPr>
        <w:spacing w:after="0" w:line="417" w:lineRule="auto"/>
        <w:jc w:val="both"/>
        <w:sectPr>
          <w:pgSz w:w="11910" w:h="16840"/>
          <w:pgMar w:header="852" w:footer="992" w:top="1220" w:bottom="1180" w:left="1140" w:right="480"/>
        </w:sectPr>
      </w:pPr>
    </w:p>
    <w:p>
      <w:pPr>
        <w:pStyle w:val="BodyText"/>
        <w:spacing w:before="4"/>
        <w:rPr>
          <w:rFonts w:ascii="Times New Roman"/>
          <w:sz w:val="17"/>
        </w:rPr>
      </w:pPr>
    </w:p>
    <w:p>
      <w:pPr>
        <w:spacing w:after="0"/>
        <w:rPr>
          <w:rFonts w:ascii="Times New Roman"/>
          <w:sz w:val="17"/>
        </w:rPr>
        <w:sectPr>
          <w:pgSz w:w="11910" w:h="16840"/>
          <w:pgMar w:header="852" w:footer="992" w:top="1220" w:bottom="1180" w:left="1140" w:right="480"/>
        </w:sectPr>
      </w:pPr>
    </w:p>
    <w:p>
      <w:pPr>
        <w:pStyle w:val="BodyText"/>
        <w:spacing w:before="10"/>
        <w:rPr>
          <w:rFonts w:ascii="Times New Roman"/>
          <w:sz w:val="19"/>
        </w:rPr>
      </w:pPr>
    </w:p>
    <w:p>
      <w:pPr>
        <w:pStyle w:val="Heading1"/>
        <w:spacing w:before="67"/>
        <w:ind w:left="1902" w:right="2561"/>
        <w:jc w:val="center"/>
      </w:pPr>
      <w:bookmarkStart w:name="_bookmark18" w:id="19"/>
      <w:bookmarkEnd w:id="19"/>
      <w:r>
        <w:rPr>
          <w:b w:val="0"/>
        </w:rPr>
      </w:r>
      <w:r>
        <w:rPr/>
        <w:t>十五、基金收益与分配</w:t>
      </w:r>
    </w:p>
    <w:p>
      <w:pPr>
        <w:pStyle w:val="BodyText"/>
        <w:spacing w:before="9"/>
        <w:rPr>
          <w:b/>
          <w:sz w:val="34"/>
        </w:rPr>
      </w:pPr>
    </w:p>
    <w:p>
      <w:pPr>
        <w:pStyle w:val="BodyText"/>
        <w:spacing w:line="364" w:lineRule="auto"/>
        <w:ind w:left="658" w:right="1309" w:firstLine="419"/>
      </w:pPr>
      <w:r>
        <w:rPr>
          <w:spacing w:val="-14"/>
        </w:rPr>
        <w:t>本章中第</w:t>
      </w:r>
      <w:r>
        <w:rPr>
          <w:spacing w:val="-3"/>
        </w:rPr>
        <w:t>（</w:t>
      </w:r>
      <w:r>
        <w:rPr/>
        <w:t>一</w:t>
      </w:r>
      <w:r>
        <w:rPr>
          <w:spacing w:val="-51"/>
        </w:rPr>
        <w:t>）</w:t>
      </w:r>
      <w:r>
        <w:rPr>
          <w:spacing w:val="-19"/>
        </w:rPr>
        <w:t>节至第</w:t>
      </w:r>
      <w:r>
        <w:rPr/>
        <w:t>（</w:t>
      </w:r>
      <w:r>
        <w:rPr>
          <w:spacing w:val="-3"/>
        </w:rPr>
        <w:t>六</w:t>
      </w:r>
      <w:r>
        <w:rPr>
          <w:spacing w:val="-51"/>
        </w:rPr>
        <w:t>）</w:t>
      </w:r>
      <w:r>
        <w:rPr>
          <w:spacing w:val="-8"/>
        </w:rPr>
        <w:t>节的内容适用于优选混合型基金和动力平衡基金，第</w:t>
      </w:r>
      <w:r>
        <w:rPr/>
        <w:t>（</w:t>
      </w:r>
      <w:r>
        <w:rPr>
          <w:spacing w:val="-3"/>
        </w:rPr>
        <w:t>一</w:t>
      </w:r>
      <w:r>
        <w:rPr/>
        <w:t>） </w:t>
      </w:r>
      <w:r>
        <w:rPr>
          <w:spacing w:val="-1"/>
        </w:rPr>
        <w:t>节、第</w:t>
      </w:r>
      <w:r>
        <w:rPr/>
        <w:t>（</w:t>
      </w:r>
      <w:r>
        <w:rPr>
          <w:spacing w:val="-3"/>
        </w:rPr>
        <w:t>二</w:t>
      </w:r>
      <w:r>
        <w:rPr/>
        <w:t>）</w:t>
      </w:r>
      <w:r>
        <w:rPr>
          <w:spacing w:val="-3"/>
        </w:rPr>
        <w:t>节、第</w:t>
      </w:r>
      <w:r>
        <w:rPr/>
        <w:t>（</w:t>
      </w:r>
      <w:r>
        <w:rPr>
          <w:spacing w:val="-3"/>
        </w:rPr>
        <w:t>四</w:t>
      </w:r>
      <w:r>
        <w:rPr/>
        <w:t>）</w:t>
      </w:r>
      <w:r>
        <w:rPr>
          <w:spacing w:val="-2"/>
        </w:rPr>
        <w:t>节、第</w:t>
      </w:r>
      <w:r>
        <w:rPr>
          <w:spacing w:val="-3"/>
        </w:rPr>
        <w:t>（</w:t>
      </w:r>
      <w:r>
        <w:rPr/>
        <w:t>六</w:t>
      </w:r>
      <w:r>
        <w:rPr>
          <w:spacing w:val="-3"/>
        </w:rPr>
        <w:t>）</w:t>
      </w:r>
      <w:r>
        <w:rPr>
          <w:spacing w:val="-2"/>
        </w:rPr>
        <w:t>节至第</w:t>
      </w:r>
      <w:r>
        <w:rPr>
          <w:spacing w:val="-3"/>
        </w:rPr>
        <w:t>（</w:t>
      </w:r>
      <w:r>
        <w:rPr/>
        <w:t>八）</w:t>
      </w:r>
      <w:r>
        <w:rPr>
          <w:spacing w:val="-3"/>
        </w:rPr>
        <w:t>节的内容适用于货币市场基金。</w:t>
      </w:r>
    </w:p>
    <w:p>
      <w:pPr>
        <w:pStyle w:val="BodyText"/>
        <w:spacing w:before="2"/>
        <w:rPr>
          <w:sz w:val="28"/>
        </w:rPr>
      </w:pPr>
    </w:p>
    <w:p>
      <w:pPr>
        <w:spacing w:before="0"/>
        <w:ind w:left="658" w:right="0" w:firstLine="0"/>
        <w:jc w:val="left"/>
        <w:rPr>
          <w:b/>
          <w:sz w:val="21"/>
        </w:rPr>
      </w:pPr>
      <w:r>
        <w:rPr>
          <w:b/>
          <w:sz w:val="21"/>
        </w:rPr>
        <w:t>（一）基金收益的构成</w:t>
      </w:r>
    </w:p>
    <w:p>
      <w:pPr>
        <w:pStyle w:val="BodyText"/>
        <w:spacing w:before="139"/>
        <w:ind w:left="1078"/>
      </w:pPr>
      <w:r>
        <w:rPr>
          <w:rFonts w:ascii="Times New Roman" w:eastAsia="Times New Roman"/>
        </w:rPr>
        <w:t>1</w:t>
      </w:r>
      <w:r>
        <w:rPr/>
        <w:t>、各基金投资所得红利、股息、债券利息；</w:t>
      </w:r>
    </w:p>
    <w:p>
      <w:pPr>
        <w:pStyle w:val="BodyText"/>
        <w:spacing w:before="141"/>
        <w:ind w:left="1078"/>
      </w:pPr>
      <w:r>
        <w:rPr>
          <w:rFonts w:ascii="Times New Roman" w:eastAsia="Times New Roman"/>
        </w:rPr>
        <w:t>2</w:t>
      </w:r>
      <w:r>
        <w:rPr>
          <w:spacing w:val="-3"/>
        </w:rPr>
        <w:t>、各基金买卖证券价差；</w:t>
      </w:r>
    </w:p>
    <w:p>
      <w:pPr>
        <w:pStyle w:val="BodyText"/>
        <w:spacing w:before="140"/>
        <w:ind w:left="1078"/>
      </w:pPr>
      <w:r>
        <w:rPr>
          <w:rFonts w:ascii="Times New Roman" w:eastAsia="Times New Roman"/>
        </w:rPr>
        <w:t>3</w:t>
      </w:r>
      <w:r>
        <w:rPr>
          <w:spacing w:val="-3"/>
        </w:rPr>
        <w:t>、各基金银行存款利息；</w:t>
      </w:r>
    </w:p>
    <w:p>
      <w:pPr>
        <w:pStyle w:val="BodyText"/>
        <w:spacing w:before="139"/>
        <w:ind w:left="1078"/>
      </w:pPr>
      <w:r>
        <w:rPr>
          <w:rFonts w:ascii="Times New Roman" w:eastAsia="Times New Roman"/>
        </w:rPr>
        <w:t>4</w:t>
      </w:r>
      <w:r>
        <w:rPr/>
        <w:t>、因运用基金财产带来的成本或费用的节约；</w:t>
      </w:r>
    </w:p>
    <w:p>
      <w:pPr>
        <w:pStyle w:val="BodyText"/>
        <w:spacing w:before="138"/>
        <w:ind w:left="1078"/>
      </w:pPr>
      <w:r>
        <w:rPr>
          <w:rFonts w:ascii="Times New Roman" w:eastAsia="Times New Roman"/>
        </w:rPr>
        <w:t>5</w:t>
      </w:r>
      <w:r>
        <w:rPr/>
        <w:t>、其他收入。</w:t>
      </w:r>
    </w:p>
    <w:p>
      <w:pPr>
        <w:pStyle w:val="BodyText"/>
        <w:rPr>
          <w:sz w:val="22"/>
        </w:rPr>
      </w:pPr>
    </w:p>
    <w:p>
      <w:pPr>
        <w:pStyle w:val="BodyText"/>
        <w:spacing w:before="2"/>
        <w:rPr>
          <w:sz w:val="17"/>
        </w:rPr>
      </w:pPr>
    </w:p>
    <w:p>
      <w:pPr>
        <w:spacing w:before="0"/>
        <w:ind w:left="658" w:right="0" w:firstLine="0"/>
        <w:jc w:val="left"/>
        <w:rPr>
          <w:b/>
          <w:sz w:val="21"/>
        </w:rPr>
      </w:pPr>
      <w:r>
        <w:rPr>
          <w:b/>
          <w:sz w:val="21"/>
        </w:rPr>
        <w:t>（二）基金净收益</w:t>
      </w:r>
    </w:p>
    <w:p>
      <w:pPr>
        <w:pStyle w:val="BodyText"/>
        <w:spacing w:before="141"/>
        <w:ind w:left="1078"/>
      </w:pPr>
      <w:r>
        <w:rPr/>
        <w:t>基金净收益为基金收益扣除按照国家有关规定可以在基金收益中扣除的费用后的余额。</w:t>
      </w:r>
    </w:p>
    <w:p>
      <w:pPr>
        <w:pStyle w:val="BodyText"/>
        <w:rPr>
          <w:sz w:val="20"/>
        </w:rPr>
      </w:pPr>
    </w:p>
    <w:p>
      <w:pPr>
        <w:pStyle w:val="BodyText"/>
        <w:spacing w:before="2"/>
        <w:rPr>
          <w:sz w:val="19"/>
        </w:rPr>
      </w:pPr>
    </w:p>
    <w:p>
      <w:pPr>
        <w:spacing w:before="0"/>
        <w:ind w:left="658" w:right="0" w:firstLine="0"/>
        <w:jc w:val="left"/>
        <w:rPr>
          <w:b/>
          <w:sz w:val="21"/>
        </w:rPr>
      </w:pPr>
      <w:r>
        <w:rPr>
          <w:b/>
          <w:sz w:val="21"/>
        </w:rPr>
        <w:t>（三）基金收益分配原则</w:t>
      </w:r>
    </w:p>
    <w:p>
      <w:pPr>
        <w:pStyle w:val="BodyText"/>
        <w:spacing w:before="139"/>
        <w:ind w:left="1078"/>
      </w:pPr>
      <w:r>
        <w:rPr/>
        <w:t>本系列基金下各基金独立进行收益分配。</w:t>
      </w:r>
    </w:p>
    <w:p>
      <w:pPr>
        <w:pStyle w:val="BodyText"/>
        <w:spacing w:before="7"/>
        <w:rPr>
          <w:sz w:val="18"/>
        </w:rPr>
      </w:pPr>
    </w:p>
    <w:p>
      <w:pPr>
        <w:pStyle w:val="BodyText"/>
        <w:ind w:left="1078"/>
      </w:pPr>
      <w:r>
        <w:rPr>
          <w:rFonts w:ascii="Times New Roman" w:eastAsia="Times New Roman"/>
        </w:rPr>
        <w:t>1</w:t>
      </w:r>
      <w:r>
        <w:rPr/>
        <w:t>、基金收益分配比例按有关规定制定；</w:t>
      </w:r>
    </w:p>
    <w:p>
      <w:pPr>
        <w:pStyle w:val="BodyText"/>
        <w:spacing w:before="7"/>
        <w:rPr>
          <w:sz w:val="15"/>
        </w:rPr>
      </w:pPr>
    </w:p>
    <w:p>
      <w:pPr>
        <w:pStyle w:val="BodyText"/>
        <w:spacing w:line="417" w:lineRule="auto"/>
        <w:ind w:left="658" w:right="1309" w:firstLine="419"/>
      </w:pPr>
      <w:r>
        <w:rPr>
          <w:rFonts w:ascii="Times New Roman" w:eastAsia="Times New Roman"/>
        </w:rPr>
        <w:t>2</w:t>
      </w:r>
      <w:r>
        <w:rPr/>
        <w:t>、投资者可以选择现金分红方式或分红再投资的分红方式，以投资者在分红权益登记日前的最后一次选择的方式为准，投资者选择分红的默认方式为现金分红；</w:t>
      </w:r>
    </w:p>
    <w:p>
      <w:pPr>
        <w:pStyle w:val="BodyText"/>
        <w:spacing w:line="269" w:lineRule="exact"/>
        <w:ind w:left="1078"/>
      </w:pPr>
      <w:r>
        <w:rPr>
          <w:rFonts w:ascii="Times New Roman" w:eastAsia="Times New Roman"/>
        </w:rPr>
        <w:t>3</w:t>
      </w:r>
      <w:r>
        <w:rPr/>
        <w:t>、基金投资当期出现净亏损，则不进行收益分配；</w:t>
      </w:r>
    </w:p>
    <w:p>
      <w:pPr>
        <w:pStyle w:val="BodyText"/>
        <w:spacing w:before="6"/>
        <w:rPr>
          <w:sz w:val="15"/>
        </w:rPr>
      </w:pPr>
    </w:p>
    <w:p>
      <w:pPr>
        <w:pStyle w:val="BodyText"/>
        <w:spacing w:before="1"/>
        <w:ind w:left="1078"/>
      </w:pPr>
      <w:r>
        <w:rPr>
          <w:rFonts w:ascii="Times New Roman" w:eastAsia="Times New Roman"/>
        </w:rPr>
        <w:t>4</w:t>
      </w:r>
      <w:r>
        <w:rPr/>
        <w:t>、基金当期收益应先弥补上期亏损后，才可进行当期收益分配；</w:t>
      </w:r>
    </w:p>
    <w:p>
      <w:pPr>
        <w:pStyle w:val="BodyText"/>
        <w:spacing w:before="6"/>
        <w:rPr>
          <w:sz w:val="15"/>
        </w:rPr>
      </w:pPr>
    </w:p>
    <w:p>
      <w:pPr>
        <w:pStyle w:val="BodyText"/>
        <w:ind w:left="1078"/>
      </w:pPr>
      <w:r>
        <w:rPr>
          <w:rFonts w:ascii="Times New Roman" w:eastAsia="Times New Roman"/>
        </w:rPr>
        <w:t>5</w:t>
      </w:r>
      <w:r>
        <w:rPr/>
        <w:t>、在符合有关基金分红条件的前提下，本基金收益每年至少分配一次，但若成立不满</w:t>
      </w:r>
    </w:p>
    <w:p>
      <w:pPr>
        <w:pStyle w:val="BodyText"/>
        <w:spacing w:before="7"/>
        <w:rPr>
          <w:sz w:val="15"/>
        </w:rPr>
      </w:pPr>
    </w:p>
    <w:p>
      <w:pPr>
        <w:pStyle w:val="BodyText"/>
        <w:ind w:left="658"/>
      </w:pPr>
      <w:r>
        <w:rPr>
          <w:rFonts w:ascii="Times New Roman" w:eastAsia="Times New Roman"/>
        </w:rPr>
        <w:t>3 </w:t>
      </w:r>
      <w:r>
        <w:rPr/>
        <w:t>个月则不进行当年收益分配，年度分配在基金会计年度结束后的 </w:t>
      </w:r>
      <w:r>
        <w:rPr>
          <w:rFonts w:ascii="Times New Roman" w:eastAsia="Times New Roman"/>
        </w:rPr>
        <w:t>4 </w:t>
      </w:r>
      <w:r>
        <w:rPr/>
        <w:t>个月内完成；</w:t>
      </w:r>
    </w:p>
    <w:p>
      <w:pPr>
        <w:pStyle w:val="BodyText"/>
        <w:spacing w:before="7"/>
        <w:rPr>
          <w:sz w:val="15"/>
        </w:rPr>
      </w:pPr>
    </w:p>
    <w:p>
      <w:pPr>
        <w:pStyle w:val="BodyText"/>
        <w:spacing w:before="1"/>
        <w:ind w:left="1078"/>
      </w:pPr>
      <w:r>
        <w:rPr>
          <w:rFonts w:ascii="Times New Roman" w:eastAsia="Times New Roman"/>
        </w:rPr>
        <w:t>6</w:t>
      </w:r>
      <w:r>
        <w:rPr/>
        <w:t>、基金收益分配后基金份额净值不能低于面值；</w:t>
      </w:r>
    </w:p>
    <w:p>
      <w:pPr>
        <w:pStyle w:val="BodyText"/>
        <w:spacing w:before="6"/>
        <w:rPr>
          <w:sz w:val="15"/>
        </w:rPr>
      </w:pPr>
    </w:p>
    <w:p>
      <w:pPr>
        <w:pStyle w:val="BodyText"/>
        <w:ind w:left="1078"/>
      </w:pPr>
      <w:r>
        <w:rPr>
          <w:rFonts w:ascii="Times New Roman" w:eastAsia="Times New Roman"/>
        </w:rPr>
        <w:t>7</w:t>
      </w:r>
      <w:r>
        <w:rPr/>
        <w:t>、每一基金份额享有同等分配权。</w:t>
      </w:r>
    </w:p>
    <w:p>
      <w:pPr>
        <w:pStyle w:val="BodyText"/>
        <w:rPr>
          <w:sz w:val="22"/>
        </w:rPr>
      </w:pPr>
    </w:p>
    <w:p>
      <w:pPr>
        <w:spacing w:before="181"/>
        <w:ind w:left="658" w:right="0" w:firstLine="0"/>
        <w:jc w:val="left"/>
        <w:rPr>
          <w:b/>
          <w:sz w:val="21"/>
        </w:rPr>
      </w:pPr>
      <w:r>
        <w:rPr>
          <w:b/>
          <w:sz w:val="21"/>
        </w:rPr>
        <w:t>（四）基金收益分配方案</w:t>
      </w:r>
    </w:p>
    <w:p>
      <w:pPr>
        <w:pStyle w:val="BodyText"/>
        <w:spacing w:line="367" w:lineRule="auto" w:before="139"/>
        <w:ind w:left="658" w:right="1311" w:firstLine="419"/>
      </w:pPr>
      <w:r>
        <w:rPr>
          <w:spacing w:val="-8"/>
        </w:rPr>
        <w:t>基金收益分配方案中应载明基金收益的范围、基金净收益、基金收益分配对象、分配原</w:t>
      </w:r>
      <w:r>
        <w:rPr>
          <w:spacing w:val="-5"/>
        </w:rPr>
        <w:t>则、分配时间、分配数额及比例、分配方式、支付方式等内容。</w:t>
      </w:r>
    </w:p>
    <w:p>
      <w:pPr>
        <w:pStyle w:val="BodyText"/>
        <w:spacing w:before="12"/>
        <w:rPr>
          <w:sz w:val="27"/>
        </w:rPr>
      </w:pPr>
    </w:p>
    <w:p>
      <w:pPr>
        <w:spacing w:before="0"/>
        <w:ind w:left="658" w:right="0" w:firstLine="0"/>
        <w:jc w:val="left"/>
        <w:rPr>
          <w:b/>
          <w:sz w:val="21"/>
        </w:rPr>
      </w:pPr>
      <w:r>
        <w:rPr>
          <w:b/>
          <w:sz w:val="21"/>
        </w:rPr>
        <w:t>（五）基金收益分配方案的确定与公告</w:t>
      </w:r>
    </w:p>
    <w:p>
      <w:pPr>
        <w:pStyle w:val="BodyText"/>
        <w:spacing w:before="139"/>
        <w:ind w:left="1078"/>
      </w:pPr>
      <w:r>
        <w:rPr/>
        <w:t>本基金收益分配方案由基金管理人拟定，并由基金托管人复核，在 </w:t>
      </w:r>
      <w:r>
        <w:rPr>
          <w:rFonts w:ascii="Times New Roman" w:eastAsia="Times New Roman"/>
        </w:rPr>
        <w:t>2 </w:t>
      </w:r>
      <w:r>
        <w:rPr/>
        <w:t>日内在指定媒介公</w:t>
      </w:r>
    </w:p>
    <w:p>
      <w:pPr>
        <w:spacing w:after="0"/>
        <w:sectPr>
          <w:pgSz w:w="11910" w:h="16840"/>
          <w:pgMar w:header="852" w:footer="992" w:top="1220" w:bottom="1180" w:left="1140" w:right="480"/>
        </w:sectPr>
      </w:pPr>
    </w:p>
    <w:p>
      <w:pPr>
        <w:pStyle w:val="BodyText"/>
        <w:spacing w:before="5"/>
        <w:rPr>
          <w:sz w:val="11"/>
        </w:rPr>
      </w:pPr>
    </w:p>
    <w:p>
      <w:pPr>
        <w:pStyle w:val="BodyText"/>
        <w:spacing w:before="71"/>
        <w:ind w:left="658"/>
      </w:pPr>
      <w:r>
        <w:rPr/>
        <w:t>告。</w:t>
      </w:r>
    </w:p>
    <w:p>
      <w:pPr>
        <w:pStyle w:val="BodyText"/>
        <w:rPr>
          <w:sz w:val="20"/>
        </w:rPr>
      </w:pPr>
    </w:p>
    <w:p>
      <w:pPr>
        <w:pStyle w:val="BodyText"/>
        <w:spacing w:before="2"/>
        <w:rPr>
          <w:sz w:val="19"/>
        </w:rPr>
      </w:pPr>
    </w:p>
    <w:p>
      <w:pPr>
        <w:spacing w:before="0"/>
        <w:ind w:left="658" w:right="0" w:firstLine="0"/>
        <w:jc w:val="left"/>
        <w:rPr>
          <w:b/>
          <w:sz w:val="21"/>
        </w:rPr>
      </w:pPr>
      <w:r>
        <w:rPr>
          <w:b/>
          <w:sz w:val="21"/>
        </w:rPr>
        <w:t>（六）收益分配中发生的费用</w:t>
      </w:r>
    </w:p>
    <w:p>
      <w:pPr>
        <w:pStyle w:val="BodyText"/>
        <w:spacing w:before="139"/>
        <w:ind w:left="1080"/>
      </w:pPr>
      <w:r>
        <w:rPr>
          <w:rFonts w:ascii="Times New Roman" w:eastAsia="Times New Roman"/>
        </w:rPr>
        <w:t>1</w:t>
      </w:r>
      <w:r>
        <w:rPr/>
        <w:t>、收益分配中采用红利再投资方式免收再投资的费用；</w:t>
      </w:r>
    </w:p>
    <w:p>
      <w:pPr>
        <w:pStyle w:val="BodyText"/>
        <w:spacing w:line="364" w:lineRule="auto" w:before="141"/>
        <w:ind w:left="658" w:right="1308" w:firstLine="422"/>
        <w:jc w:val="both"/>
      </w:pPr>
      <w:r>
        <w:rPr>
          <w:rFonts w:ascii="Times New Roman" w:eastAsia="Times New Roman"/>
        </w:rPr>
        <w:t>2</w:t>
      </w:r>
      <w:r>
        <w:rPr>
          <w:spacing w:val="-3"/>
        </w:rPr>
        <w:t>、收益分配时发生的银行转账等手续费用由基金份额持有人自行承担；如果基金份额</w:t>
      </w:r>
      <w:r>
        <w:rPr>
          <w:spacing w:val="-7"/>
        </w:rPr>
        <w:t>持有人所获现金红利不足支付前述银行转账手续费用，注册登记人自动将该持有人的现金红</w:t>
      </w:r>
      <w:r>
        <w:rPr>
          <w:spacing w:val="-5"/>
        </w:rPr>
        <w:t>利按分红实施日的基金份额净值作为相应的基金份额。</w:t>
      </w:r>
    </w:p>
    <w:p>
      <w:pPr>
        <w:pStyle w:val="BodyText"/>
        <w:rPr>
          <w:sz w:val="20"/>
        </w:rPr>
      </w:pPr>
    </w:p>
    <w:p>
      <w:pPr>
        <w:pStyle w:val="BodyText"/>
        <w:spacing w:before="5"/>
        <w:rPr>
          <w:sz w:val="16"/>
        </w:rPr>
      </w:pPr>
    </w:p>
    <w:p>
      <w:pPr>
        <w:spacing w:before="0"/>
        <w:ind w:left="658" w:right="0" w:firstLine="0"/>
        <w:jc w:val="left"/>
        <w:rPr>
          <w:b/>
          <w:sz w:val="21"/>
        </w:rPr>
      </w:pPr>
      <w:r>
        <w:rPr>
          <w:b/>
          <w:sz w:val="21"/>
        </w:rPr>
        <w:t>（七）货币市场基金收益分配的原则</w:t>
      </w:r>
    </w:p>
    <w:p>
      <w:pPr>
        <w:pStyle w:val="BodyText"/>
        <w:spacing w:before="139"/>
        <w:ind w:left="1078"/>
      </w:pPr>
      <w:r>
        <w:rPr>
          <w:rFonts w:ascii="Times New Roman" w:eastAsia="Times New Roman"/>
        </w:rPr>
        <w:t>1</w:t>
      </w:r>
      <w:r>
        <w:rPr/>
        <w:t>、本基金同一级别内的每份基金份额享有同等分配权；</w:t>
      </w:r>
    </w:p>
    <w:p>
      <w:pPr>
        <w:pStyle w:val="BodyText"/>
        <w:spacing w:before="141"/>
        <w:ind w:left="1078"/>
      </w:pPr>
      <w:r>
        <w:rPr>
          <w:rFonts w:ascii="Times New Roman" w:eastAsia="Times New Roman"/>
        </w:rPr>
        <w:t>2</w:t>
      </w:r>
      <w:r>
        <w:rPr/>
        <w:t>、本基金收益分配方式为红利再投资，免收再投资的费用；</w:t>
      </w:r>
    </w:p>
    <w:p>
      <w:pPr>
        <w:pStyle w:val="BodyText"/>
        <w:spacing w:line="364" w:lineRule="auto" w:before="139"/>
        <w:ind w:left="658" w:right="1308" w:firstLine="419"/>
        <w:jc w:val="both"/>
      </w:pPr>
      <w:r>
        <w:rPr>
          <w:rFonts w:ascii="Times New Roman" w:hAnsi="Times New Roman" w:eastAsia="Times New Roman"/>
        </w:rPr>
        <w:t>3</w:t>
      </w:r>
      <w:r>
        <w:rPr>
          <w:spacing w:val="-17"/>
        </w:rPr>
        <w:t>、“每日分配、按日支付”。货币市场基金收益根据每日基金收益情况，以各级基金份</w:t>
      </w:r>
      <w:r>
        <w:rPr>
          <w:spacing w:val="-11"/>
        </w:rPr>
        <w:t>额的每万份基金份额收益为基准，为投资者每日计算当日收益并分配，每日支付。投资者当</w:t>
      </w:r>
      <w:r>
        <w:rPr>
          <w:spacing w:val="-3"/>
        </w:rPr>
        <w:t>日收益的精度为 </w:t>
      </w:r>
      <w:r>
        <w:rPr>
          <w:rFonts w:ascii="Times New Roman" w:hAnsi="Times New Roman" w:eastAsia="Times New Roman"/>
        </w:rPr>
        <w:t>0.01 </w:t>
      </w:r>
      <w:r>
        <w:rPr>
          <w:spacing w:val="-3"/>
        </w:rPr>
        <w:t>元，第三位采用去尾的方式。因去尾形成的余额进行再次分配，直到分完为止。</w:t>
      </w:r>
    </w:p>
    <w:p>
      <w:pPr>
        <w:pStyle w:val="BodyText"/>
        <w:spacing w:line="364" w:lineRule="auto"/>
        <w:ind w:left="658" w:right="1203" w:firstLine="419"/>
      </w:pPr>
      <w:r>
        <w:rPr>
          <w:rFonts w:ascii="Times New Roman" w:eastAsia="Times New Roman"/>
        </w:rPr>
        <w:t>4</w:t>
      </w:r>
      <w:r>
        <w:rPr>
          <w:spacing w:val="-3"/>
        </w:rPr>
        <w:t>、货币市场基金根据每日收益情况，将当日收益全部分配，若当日净收益大于零时， 为投资者记正收益；若当日净收益小于零时，为投资者记负收益；若当日净收益等于零时， 为投资者不记收益。</w:t>
      </w:r>
    </w:p>
    <w:p>
      <w:pPr>
        <w:pStyle w:val="BodyText"/>
        <w:spacing w:line="364" w:lineRule="auto"/>
        <w:ind w:left="658" w:right="1308" w:firstLine="419"/>
        <w:jc w:val="both"/>
      </w:pPr>
      <w:r>
        <w:rPr>
          <w:rFonts w:ascii="Times New Roman" w:eastAsia="Times New Roman"/>
        </w:rPr>
        <w:t>5</w:t>
      </w:r>
      <w:r>
        <w:rPr>
          <w:spacing w:val="-3"/>
        </w:rPr>
        <w:t>、货币市场基金每日收益计算并分配时，以人民币元方式簿记，每日收益支付方式只采用红利再投资</w:t>
      </w:r>
      <w:r>
        <w:rPr>
          <w:rFonts w:ascii="Times New Roman" w:eastAsia="Times New Roman"/>
          <w:spacing w:val="-4"/>
        </w:rPr>
        <w:t>(</w:t>
      </w:r>
      <w:r>
        <w:rPr>
          <w:spacing w:val="-3"/>
        </w:rPr>
        <w:t>即红利转基金份额</w:t>
      </w:r>
      <w:r>
        <w:rPr>
          <w:rFonts w:ascii="Times New Roman" w:eastAsia="Times New Roman"/>
        </w:rPr>
        <w:t>)</w:t>
      </w:r>
      <w:r>
        <w:rPr>
          <w:spacing w:val="-6"/>
        </w:rPr>
        <w:t>方式，投资人可通过赎回基金份额获得现金收益；若投</w:t>
      </w:r>
      <w:r>
        <w:rPr>
          <w:spacing w:val="-10"/>
        </w:rPr>
        <w:t>资人在每日收益支付时，当日净收益大于零时，则为投资人增加相应的基金份额，其当日净</w:t>
      </w:r>
      <w:r>
        <w:rPr>
          <w:spacing w:val="-12"/>
        </w:rPr>
        <w:t>收益为零，则保持投资人基金份额不变；基金管理人将采取必要措施尽量避免基金净收益小</w:t>
      </w:r>
      <w:r>
        <w:rPr>
          <w:spacing w:val="-6"/>
        </w:rPr>
        <w:t>于零，若当日净收益小于零时，缩减投资人基金份额。</w:t>
      </w:r>
    </w:p>
    <w:p>
      <w:pPr>
        <w:pStyle w:val="BodyText"/>
        <w:spacing w:line="367" w:lineRule="auto"/>
        <w:ind w:left="658" w:right="1309" w:firstLine="419"/>
      </w:pPr>
      <w:r>
        <w:rPr>
          <w:rFonts w:ascii="Times New Roman" w:eastAsia="Times New Roman"/>
        </w:rPr>
        <w:t>6</w:t>
      </w:r>
      <w:r>
        <w:rPr/>
        <w:t>、当日申购的基金份额自下一个工作日起，享有基金的收益分配权益；当日赎回的基金份额自下一个工作日起，不享有基金的收益分配权益；</w:t>
      </w:r>
    </w:p>
    <w:p>
      <w:pPr>
        <w:pStyle w:val="BodyText"/>
        <w:spacing w:line="364" w:lineRule="auto"/>
        <w:ind w:left="658" w:right="1309" w:firstLine="419"/>
      </w:pPr>
      <w:r>
        <w:rPr>
          <w:rFonts w:ascii="Times New Roman" w:eastAsia="Times New Roman"/>
        </w:rPr>
        <w:t>7</w:t>
      </w:r>
      <w:r>
        <w:rPr/>
        <w:t>、在不影响投资者利益情况下，基金管理人可酌情调整基金收益分配方式，此项调整不需要基金份额持有人大会决议通过。</w:t>
      </w:r>
    </w:p>
    <w:p>
      <w:pPr>
        <w:pStyle w:val="BodyText"/>
        <w:spacing w:line="267" w:lineRule="exact"/>
        <w:ind w:left="1078"/>
      </w:pPr>
      <w:r>
        <w:rPr>
          <w:rFonts w:ascii="Times New Roman" w:eastAsia="Times New Roman"/>
        </w:rPr>
        <w:t>8</w:t>
      </w:r>
      <w:r>
        <w:rPr/>
        <w:t>、法律、法规或监管机构另有规定的从其规定。</w:t>
      </w:r>
    </w:p>
    <w:p>
      <w:pPr>
        <w:pStyle w:val="BodyText"/>
        <w:rPr>
          <w:sz w:val="22"/>
        </w:rPr>
      </w:pPr>
    </w:p>
    <w:p>
      <w:pPr>
        <w:pStyle w:val="BodyText"/>
        <w:spacing w:before="3"/>
        <w:rPr>
          <w:sz w:val="16"/>
        </w:rPr>
      </w:pPr>
    </w:p>
    <w:p>
      <w:pPr>
        <w:spacing w:before="1"/>
        <w:ind w:left="658" w:right="0" w:firstLine="0"/>
        <w:jc w:val="left"/>
        <w:rPr>
          <w:b/>
          <w:sz w:val="21"/>
        </w:rPr>
      </w:pPr>
      <w:r>
        <w:rPr>
          <w:b/>
          <w:sz w:val="21"/>
        </w:rPr>
        <w:t>（八）货币市场基金收益分配的时间和程序</w:t>
      </w:r>
    </w:p>
    <w:p>
      <w:pPr>
        <w:pStyle w:val="BodyText"/>
        <w:spacing w:line="364" w:lineRule="auto" w:before="141"/>
        <w:ind w:left="658" w:right="1309" w:firstLine="419"/>
        <w:jc w:val="both"/>
      </w:pPr>
      <w:r>
        <w:rPr>
          <w:rFonts w:ascii="Times New Roman" w:eastAsia="Times New Roman"/>
        </w:rPr>
        <w:t>1</w:t>
      </w:r>
      <w:r>
        <w:rPr>
          <w:spacing w:val="-3"/>
        </w:rPr>
        <w:t>、本基金每个工作日进行收益分配。每个开放日公告前一个开放日各类基金份额的每</w:t>
      </w:r>
      <w:r>
        <w:rPr>
          <w:spacing w:val="-7"/>
        </w:rPr>
        <w:t>万份基金净收益和 </w:t>
      </w:r>
      <w:r>
        <w:rPr>
          <w:rFonts w:ascii="Times New Roman" w:eastAsia="Times New Roman"/>
        </w:rPr>
        <w:t>7 </w:t>
      </w:r>
      <w:r>
        <w:rPr>
          <w:spacing w:val="-10"/>
        </w:rPr>
        <w:t>日年化收益率。若遇法定节假日，应于节假日结束后第二个自然日，披露节假日期间各类基金份额的每万份基金净收益和节假日最后一日各类基金份额的每万份基金净收益和 </w:t>
      </w:r>
      <w:r>
        <w:rPr>
          <w:rFonts w:ascii="Times New Roman" w:eastAsia="Times New Roman"/>
        </w:rPr>
        <w:t>7 </w:t>
      </w:r>
      <w:r>
        <w:rPr>
          <w:spacing w:val="-10"/>
        </w:rPr>
        <w:t>日年化收益率。经中国证监会同意，可以适当延迟计算或公告。法律法规另</w:t>
      </w:r>
    </w:p>
    <w:p>
      <w:pPr>
        <w:spacing w:after="0" w:line="364" w:lineRule="auto"/>
        <w:jc w:val="both"/>
        <w:sectPr>
          <w:pgSz w:w="11910" w:h="16840"/>
          <w:pgMar w:header="852" w:footer="992" w:top="1220" w:bottom="1180" w:left="1140" w:right="480"/>
        </w:sectPr>
      </w:pPr>
    </w:p>
    <w:p>
      <w:pPr>
        <w:pStyle w:val="BodyText"/>
        <w:spacing w:before="5"/>
        <w:rPr>
          <w:sz w:val="11"/>
        </w:rPr>
      </w:pPr>
    </w:p>
    <w:p>
      <w:pPr>
        <w:pStyle w:val="BodyText"/>
        <w:spacing w:before="71"/>
        <w:ind w:left="658"/>
      </w:pPr>
      <w:r>
        <w:rPr/>
        <w:t>有规定的，从其规定。</w:t>
      </w:r>
    </w:p>
    <w:p>
      <w:pPr>
        <w:pStyle w:val="BodyText"/>
        <w:spacing w:before="139"/>
        <w:ind w:left="1078"/>
      </w:pPr>
      <w:r>
        <w:rPr/>
        <w:t>本基金按日计算并分配收益，基金管理人不另行公告基金收益分配方案。</w:t>
      </w:r>
    </w:p>
    <w:p>
      <w:pPr>
        <w:pStyle w:val="BodyText"/>
        <w:spacing w:before="139"/>
        <w:ind w:left="1078"/>
      </w:pPr>
      <w:r>
        <w:rPr>
          <w:rFonts w:ascii="Times New Roman" w:eastAsia="Times New Roman"/>
        </w:rPr>
        <w:t>2</w:t>
      </w:r>
      <w:r>
        <w:rPr/>
        <w:t>、计算方法</w:t>
      </w:r>
    </w:p>
    <w:p>
      <w:pPr>
        <w:pStyle w:val="BodyText"/>
        <w:spacing w:line="364" w:lineRule="auto" w:before="142"/>
        <w:ind w:left="1078" w:right="2831"/>
      </w:pPr>
      <w:r>
        <w:rPr/>
        <w:t>日每万份基金净收益 </w:t>
      </w:r>
      <w:r>
        <w:rPr>
          <w:rFonts w:ascii="Times New Roman" w:hAnsi="Times New Roman" w:eastAsia="Times New Roman"/>
        </w:rPr>
        <w:t>=</w:t>
      </w:r>
      <w:r>
        <w:rPr/>
        <w:t>当日基金净收益 </w:t>
      </w:r>
      <w:r>
        <w:rPr>
          <w:rFonts w:ascii="Times New Roman" w:hAnsi="Times New Roman" w:eastAsia="Times New Roman"/>
        </w:rPr>
        <w:t>/</w:t>
      </w:r>
      <w:r>
        <w:rPr/>
        <w:t>当日基金份额总额×</w:t>
      </w:r>
      <w:r>
        <w:rPr>
          <w:rFonts w:ascii="Times New Roman" w:hAnsi="Times New Roman" w:eastAsia="Times New Roman"/>
        </w:rPr>
        <w:t>10000</w:t>
      </w:r>
      <w:r>
        <w:rPr/>
        <w:t>； 每万份基金净收益采用四舍五入的方法保留小数点后第四位。</w:t>
      </w:r>
    </w:p>
    <w:p>
      <w:pPr>
        <w:pStyle w:val="BodyText"/>
        <w:spacing w:line="267" w:lineRule="exact"/>
        <w:ind w:left="1078"/>
        <w:rPr>
          <w:rFonts w:ascii="Times New Roman" w:eastAsia="Times New Roman"/>
        </w:rPr>
      </w:pPr>
      <w:r>
        <w:rPr/>
        <w:t>基金七日年化收益率的计算方法</w:t>
      </w:r>
      <w:r>
        <w:rPr>
          <w:rFonts w:ascii="Times New Roman" w:eastAsia="Times New Roman"/>
        </w:rPr>
        <w:t>:</w:t>
      </w:r>
    </w:p>
    <w:p>
      <w:pPr>
        <w:pStyle w:val="BodyText"/>
        <w:spacing w:before="3"/>
        <w:rPr>
          <w:rFonts w:ascii="Times New Roman"/>
          <w:sz w:val="10"/>
        </w:rPr>
      </w:pPr>
    </w:p>
    <w:p>
      <w:pPr>
        <w:spacing w:after="0"/>
        <w:rPr>
          <w:rFonts w:ascii="Times New Roman"/>
          <w:sz w:val="10"/>
        </w:rPr>
        <w:sectPr>
          <w:pgSz w:w="11910" w:h="16840"/>
          <w:pgMar w:header="852" w:footer="992" w:top="1220" w:bottom="1180" w:left="1140" w:right="480"/>
        </w:sectPr>
      </w:pPr>
    </w:p>
    <w:p>
      <w:pPr>
        <w:spacing w:line="171" w:lineRule="exact" w:before="103"/>
        <w:ind w:left="0" w:right="0" w:firstLine="0"/>
        <w:jc w:val="right"/>
        <w:rPr>
          <w:rFonts w:ascii="Symbol" w:hAnsi="Symbol"/>
          <w:sz w:val="16"/>
        </w:rPr>
      </w:pPr>
      <w:r>
        <w:rPr>
          <w:rFonts w:ascii="Symbol" w:hAnsi="Symbol"/>
          <w:spacing w:val="-102"/>
          <w:w w:val="128"/>
          <w:position w:val="8"/>
          <w:sz w:val="16"/>
        </w:rPr>
        <w:t></w:t>
      </w:r>
      <w:r>
        <w:rPr>
          <w:rFonts w:ascii="Symbol" w:hAnsi="Symbol"/>
          <w:w w:val="128"/>
          <w:sz w:val="16"/>
        </w:rPr>
        <w:t></w:t>
      </w:r>
      <w:r>
        <w:rPr>
          <w:rFonts w:ascii="Times New Roman" w:hAnsi="Times New Roman"/>
          <w:spacing w:val="2"/>
          <w:sz w:val="16"/>
        </w:rPr>
        <w:t> </w:t>
      </w:r>
      <w:r>
        <w:rPr>
          <w:rFonts w:ascii="Symbol" w:hAnsi="Symbol"/>
          <w:w w:val="128"/>
          <w:position w:val="2"/>
          <w:sz w:val="16"/>
        </w:rPr>
        <w:t></w:t>
      </w:r>
      <w:r>
        <w:rPr>
          <w:rFonts w:ascii="Times New Roman" w:hAnsi="Times New Roman"/>
          <w:position w:val="2"/>
          <w:sz w:val="16"/>
        </w:rPr>
        <w:t>   </w:t>
      </w:r>
      <w:r>
        <w:rPr>
          <w:rFonts w:ascii="Times New Roman" w:hAnsi="Times New Roman"/>
          <w:spacing w:val="-4"/>
          <w:position w:val="2"/>
          <w:sz w:val="16"/>
        </w:rPr>
        <w:t> </w:t>
      </w:r>
      <w:r>
        <w:rPr>
          <w:rFonts w:ascii="Times New Roman" w:hAnsi="Times New Roman"/>
          <w:w w:val="132"/>
          <w:position w:val="10"/>
          <w:sz w:val="9"/>
        </w:rPr>
        <w:t>7</w:t>
      </w:r>
      <w:r>
        <w:rPr>
          <w:rFonts w:ascii="Times New Roman" w:hAnsi="Times New Roman"/>
          <w:position w:val="10"/>
          <w:sz w:val="9"/>
        </w:rPr>
        <w:t>       </w:t>
      </w:r>
      <w:r>
        <w:rPr>
          <w:rFonts w:ascii="Times New Roman" w:hAnsi="Times New Roman"/>
          <w:spacing w:val="-8"/>
          <w:position w:val="10"/>
          <w:sz w:val="9"/>
        </w:rPr>
        <w:t> </w:t>
      </w:r>
      <w:r>
        <w:rPr>
          <w:rFonts w:ascii="Symbol" w:hAnsi="Symbol"/>
          <w:w w:val="128"/>
          <w:sz w:val="16"/>
        </w:rPr>
        <w:t></w:t>
      </w:r>
    </w:p>
    <w:p>
      <w:pPr>
        <w:pStyle w:val="BodyText"/>
        <w:rPr>
          <w:rFonts w:ascii="Symbol" w:hAnsi="Symbol"/>
          <w:sz w:val="8"/>
        </w:rPr>
      </w:pPr>
      <w:r>
        <w:rPr/>
        <w:br w:type="column"/>
      </w:r>
      <w:r>
        <w:rPr>
          <w:rFonts w:ascii="Symbol" w:hAnsi="Symbol"/>
          <w:sz w:val="8"/>
        </w:rPr>
      </w:r>
    </w:p>
    <w:p>
      <w:pPr>
        <w:spacing w:line="84" w:lineRule="exact" w:before="0"/>
        <w:ind w:left="1290" w:right="0" w:firstLine="0"/>
        <w:jc w:val="left"/>
        <w:rPr>
          <w:rFonts w:ascii="Times New Roman"/>
          <w:sz w:val="9"/>
        </w:rPr>
      </w:pPr>
      <w:r>
        <w:rPr>
          <w:rFonts w:ascii="Times New Roman"/>
          <w:w w:val="130"/>
          <w:sz w:val="9"/>
        </w:rPr>
        <w:t>3 6 5 / 7</w:t>
      </w:r>
    </w:p>
    <w:p>
      <w:pPr>
        <w:tabs>
          <w:tab w:pos="1060" w:val="left" w:leader="none"/>
          <w:tab w:pos="2028" w:val="left" w:leader="none"/>
        </w:tabs>
        <w:spacing w:line="92" w:lineRule="exact" w:before="0"/>
        <w:ind w:left="578" w:right="0" w:firstLine="0"/>
        <w:jc w:val="left"/>
        <w:rPr>
          <w:rFonts w:ascii="Symbol" w:hAnsi="Symbol"/>
          <w:sz w:val="16"/>
        </w:rPr>
      </w:pPr>
      <w:r>
        <w:rPr/>
        <w:pict>
          <v:shape style="position:absolute;margin-left:411.873413pt;margin-top:-3.749059pt;width:.1pt;height:9.85pt;mso-position-horizontal-relative:page;mso-position-vertical-relative:paragraph;z-index:-265021440" type="#_x0000_t202" filled="false" stroked="false">
            <v:textbox inset="0,0,0,0">
              <w:txbxContent>
                <w:p>
                  <w:pPr>
                    <w:spacing w:before="0"/>
                    <w:ind w:left="0" w:right="0" w:firstLine="0"/>
                    <w:jc w:val="left"/>
                    <w:rPr>
                      <w:rFonts w:ascii="Symbol" w:hAnsi="Symbol"/>
                      <w:sz w:val="16"/>
                    </w:rPr>
                  </w:pPr>
                  <w:r>
                    <w:rPr>
                      <w:rFonts w:ascii="Symbol" w:hAnsi="Symbol"/>
                      <w:spacing w:val="-102"/>
                      <w:w w:val="128"/>
                      <w:sz w:val="16"/>
                    </w:rPr>
                    <w:t></w:t>
                  </w:r>
                </w:p>
              </w:txbxContent>
            </v:textbox>
            <w10:wrap type="none"/>
          </v:shape>
        </w:pict>
      </w:r>
      <w:r>
        <w:rPr>
          <w:rFonts w:ascii="Times New Roman" w:hAnsi="Times New Roman"/>
          <w:i/>
          <w:w w:val="130"/>
          <w:position w:val="2"/>
          <w:sz w:val="16"/>
        </w:rPr>
        <w:t>R</w:t>
        <w:tab/>
      </w:r>
      <w:r>
        <w:rPr>
          <w:rFonts w:ascii="Symbol" w:hAnsi="Symbol"/>
          <w:w w:val="130"/>
          <w:sz w:val="16"/>
        </w:rPr>
        <w:t></w:t>
      </w:r>
      <w:r>
        <w:rPr>
          <w:rFonts w:ascii="Times New Roman" w:hAnsi="Times New Roman"/>
          <w:spacing w:val="-18"/>
          <w:w w:val="130"/>
          <w:sz w:val="16"/>
        </w:rPr>
        <w:t> </w:t>
      </w:r>
      <w:r>
        <w:rPr>
          <w:rFonts w:ascii="Symbol" w:hAnsi="Symbol"/>
          <w:w w:val="130"/>
          <w:position w:val="2"/>
          <w:sz w:val="16"/>
        </w:rPr>
        <w:t></w:t>
      </w:r>
      <w:r>
        <w:rPr>
          <w:rFonts w:ascii="Times New Roman" w:hAnsi="Times New Roman"/>
          <w:w w:val="130"/>
          <w:position w:val="2"/>
          <w:sz w:val="16"/>
        </w:rPr>
        <w:tab/>
      </w:r>
      <w:r>
        <w:rPr>
          <w:rFonts w:ascii="Symbol" w:hAnsi="Symbol"/>
          <w:w w:val="130"/>
          <w:sz w:val="16"/>
        </w:rPr>
        <w:t></w:t>
      </w:r>
    </w:p>
    <w:p>
      <w:pPr>
        <w:spacing w:after="0" w:line="92" w:lineRule="exact"/>
        <w:jc w:val="left"/>
        <w:rPr>
          <w:rFonts w:ascii="Symbol" w:hAnsi="Symbol"/>
          <w:sz w:val="16"/>
        </w:rPr>
        <w:sectPr>
          <w:type w:val="continuous"/>
          <w:pgSz w:w="11910" w:h="16840"/>
          <w:pgMar w:top="1480" w:bottom="280" w:left="1140" w:right="480"/>
          <w:cols w:num="2" w:equalWidth="0">
            <w:col w:w="5029" w:space="40"/>
            <w:col w:w="5221"/>
          </w:cols>
        </w:sectPr>
      </w:pPr>
    </w:p>
    <w:p>
      <w:pPr>
        <w:spacing w:line="213" w:lineRule="exact" w:before="0"/>
        <w:ind w:left="1115" w:right="0" w:firstLine="0"/>
        <w:jc w:val="left"/>
        <w:rPr>
          <w:rFonts w:ascii="Symbol" w:hAnsi="Symbol"/>
          <w:sz w:val="24"/>
        </w:rPr>
      </w:pPr>
      <w:r>
        <w:rPr>
          <w:w w:val="128"/>
          <w:sz w:val="16"/>
        </w:rPr>
        <w:t>基</w:t>
      </w:r>
      <w:r>
        <w:rPr>
          <w:spacing w:val="-17"/>
          <w:sz w:val="16"/>
        </w:rPr>
        <w:t> </w:t>
      </w:r>
      <w:r>
        <w:rPr>
          <w:w w:val="128"/>
          <w:sz w:val="16"/>
        </w:rPr>
        <w:t>金</w:t>
      </w:r>
      <w:r>
        <w:rPr>
          <w:spacing w:val="-17"/>
          <w:sz w:val="16"/>
        </w:rPr>
        <w:t> </w:t>
      </w:r>
      <w:r>
        <w:rPr>
          <w:w w:val="128"/>
          <w:sz w:val="16"/>
        </w:rPr>
        <w:t>七</w:t>
      </w:r>
      <w:r>
        <w:rPr>
          <w:spacing w:val="-17"/>
          <w:sz w:val="16"/>
        </w:rPr>
        <w:t> </w:t>
      </w:r>
      <w:r>
        <w:rPr>
          <w:w w:val="128"/>
          <w:sz w:val="16"/>
        </w:rPr>
        <w:t>日</w:t>
      </w:r>
      <w:r>
        <w:rPr>
          <w:spacing w:val="-17"/>
          <w:sz w:val="16"/>
        </w:rPr>
        <w:t> </w:t>
      </w:r>
      <w:r>
        <w:rPr>
          <w:w w:val="128"/>
          <w:sz w:val="16"/>
        </w:rPr>
        <w:t>年</w:t>
      </w:r>
      <w:r>
        <w:rPr>
          <w:spacing w:val="-17"/>
          <w:sz w:val="16"/>
        </w:rPr>
        <w:t> </w:t>
      </w:r>
      <w:r>
        <w:rPr>
          <w:w w:val="128"/>
          <w:sz w:val="16"/>
        </w:rPr>
        <w:t>化</w:t>
      </w:r>
      <w:r>
        <w:rPr>
          <w:spacing w:val="-17"/>
          <w:sz w:val="16"/>
        </w:rPr>
        <w:t> </w:t>
      </w:r>
      <w:r>
        <w:rPr>
          <w:w w:val="128"/>
          <w:sz w:val="16"/>
        </w:rPr>
        <w:t>收</w:t>
      </w:r>
      <w:r>
        <w:rPr>
          <w:spacing w:val="-17"/>
          <w:sz w:val="16"/>
        </w:rPr>
        <w:t> </w:t>
      </w:r>
      <w:r>
        <w:rPr>
          <w:w w:val="128"/>
          <w:sz w:val="16"/>
        </w:rPr>
        <w:t>益</w:t>
      </w:r>
      <w:r>
        <w:rPr>
          <w:spacing w:val="-17"/>
          <w:sz w:val="16"/>
        </w:rPr>
        <w:t> </w:t>
      </w:r>
      <w:r>
        <w:rPr>
          <w:w w:val="128"/>
          <w:sz w:val="16"/>
        </w:rPr>
        <w:t>率</w:t>
      </w:r>
      <w:r>
        <w:rPr>
          <w:spacing w:val="-17"/>
          <w:sz w:val="16"/>
        </w:rPr>
        <w:t> </w:t>
      </w:r>
      <w:r>
        <w:rPr>
          <w:w w:val="128"/>
          <w:sz w:val="16"/>
        </w:rPr>
        <w:t>（</w:t>
      </w:r>
      <w:r>
        <w:rPr>
          <w:spacing w:val="-46"/>
          <w:sz w:val="16"/>
        </w:rPr>
        <w:t> </w:t>
      </w:r>
      <w:r>
        <w:rPr>
          <w:rFonts w:ascii="Times New Roman" w:hAnsi="Times New Roman"/>
          <w:w w:val="128"/>
          <w:sz w:val="16"/>
        </w:rPr>
        <w:t>%</w:t>
      </w:r>
      <w:r>
        <w:rPr>
          <w:rFonts w:ascii="Times New Roman" w:hAnsi="Times New Roman"/>
          <w:spacing w:val="11"/>
          <w:sz w:val="16"/>
        </w:rPr>
        <w:t> </w:t>
      </w:r>
      <w:r>
        <w:rPr>
          <w:spacing w:val="-72"/>
          <w:w w:val="128"/>
          <w:sz w:val="16"/>
        </w:rPr>
        <w:t>）</w:t>
      </w:r>
      <w:r>
        <w:rPr>
          <w:rFonts w:ascii="Times New Roman" w:hAnsi="Times New Roman"/>
          <w:w w:val="128"/>
          <w:sz w:val="16"/>
        </w:rPr>
        <w:t>=</w:t>
      </w:r>
      <w:r>
        <w:rPr>
          <w:rFonts w:ascii="Times New Roman" w:hAnsi="Times New Roman"/>
          <w:spacing w:val="-1"/>
          <w:sz w:val="16"/>
        </w:rPr>
        <w:t>  </w:t>
      </w:r>
      <w:r>
        <w:rPr>
          <w:rFonts w:ascii="Symbol" w:hAnsi="Symbol"/>
          <w:w w:val="128"/>
          <w:position w:val="-3"/>
          <w:sz w:val="16"/>
        </w:rPr>
        <w:t></w:t>
      </w:r>
      <w:r>
        <w:rPr>
          <w:rFonts w:ascii="Times New Roman" w:hAnsi="Times New Roman"/>
          <w:spacing w:val="2"/>
          <w:position w:val="-3"/>
          <w:sz w:val="16"/>
        </w:rPr>
        <w:t> </w:t>
      </w:r>
      <w:r>
        <w:rPr>
          <w:rFonts w:ascii="Symbol" w:hAnsi="Symbol"/>
          <w:w w:val="128"/>
          <w:position w:val="-6"/>
          <w:sz w:val="16"/>
        </w:rPr>
        <w:t></w:t>
      </w:r>
      <w:r>
        <w:rPr>
          <w:rFonts w:ascii="Times New Roman" w:hAnsi="Times New Roman"/>
          <w:spacing w:val="-12"/>
          <w:position w:val="-6"/>
          <w:sz w:val="16"/>
        </w:rPr>
        <w:t> </w:t>
      </w:r>
      <w:r>
        <w:rPr>
          <w:rFonts w:ascii="Symbol" w:hAnsi="Symbol"/>
          <w:spacing w:val="-12"/>
          <w:w w:val="128"/>
          <w:position w:val="-4"/>
          <w:sz w:val="24"/>
        </w:rPr>
        <w:t></w:t>
      </w:r>
    </w:p>
    <w:p>
      <w:pPr>
        <w:tabs>
          <w:tab w:pos="915" w:val="left" w:leader="none"/>
          <w:tab w:pos="1205" w:val="left" w:leader="none"/>
        </w:tabs>
        <w:spacing w:line="190" w:lineRule="exact" w:before="23"/>
        <w:ind w:left="66" w:right="0" w:firstLine="0"/>
        <w:jc w:val="left"/>
        <w:rPr>
          <w:rFonts w:ascii="Symbol" w:hAnsi="Symbol"/>
          <w:sz w:val="16"/>
        </w:rPr>
      </w:pPr>
      <w:r>
        <w:rPr/>
        <w:br w:type="column"/>
      </w:r>
      <w:r>
        <w:rPr>
          <w:rFonts w:ascii="Symbol" w:hAnsi="Symbol"/>
          <w:w w:val="130"/>
          <w:position w:val="1"/>
          <w:sz w:val="16"/>
        </w:rPr>
        <w:t></w:t>
      </w:r>
      <w:r>
        <w:rPr>
          <w:rFonts w:ascii="Times New Roman" w:hAnsi="Times New Roman"/>
          <w:spacing w:val="-22"/>
          <w:w w:val="130"/>
          <w:position w:val="1"/>
          <w:sz w:val="16"/>
        </w:rPr>
        <w:t> </w:t>
      </w:r>
      <w:r>
        <w:rPr>
          <w:rFonts w:ascii="Times New Roman" w:hAnsi="Times New Roman"/>
          <w:w w:val="130"/>
          <w:position w:val="7"/>
          <w:sz w:val="16"/>
        </w:rPr>
        <w:t>1</w:t>
      </w:r>
      <w:r>
        <w:rPr>
          <w:rFonts w:ascii="Times New Roman" w:hAnsi="Times New Roman"/>
          <w:spacing w:val="1"/>
          <w:w w:val="130"/>
          <w:position w:val="7"/>
          <w:sz w:val="16"/>
        </w:rPr>
        <w:t> </w:t>
      </w:r>
      <w:r>
        <w:rPr>
          <w:rFonts w:ascii="Symbol" w:hAnsi="Symbol"/>
          <w:w w:val="130"/>
          <w:position w:val="7"/>
          <w:sz w:val="16"/>
        </w:rPr>
        <w:t></w:t>
      </w:r>
      <w:r>
        <w:rPr>
          <w:rFonts w:ascii="Symbol" w:hAnsi="Symbol"/>
          <w:w w:val="130"/>
          <w:position w:val="15"/>
          <w:sz w:val="16"/>
          <w:u w:val="single"/>
        </w:rPr>
        <w:t></w:t>
      </w:r>
      <w:r>
        <w:rPr>
          <w:rFonts w:ascii="Times New Roman" w:hAnsi="Times New Roman"/>
          <w:i/>
          <w:w w:val="130"/>
          <w:position w:val="15"/>
          <w:sz w:val="9"/>
          <w:u w:val="single"/>
        </w:rPr>
        <w:t>i</w:t>
        <w:tab/>
      </w:r>
      <w:r>
        <w:rPr>
          <w:rFonts w:ascii="Symbol" w:hAnsi="Symbol"/>
          <w:w w:val="130"/>
          <w:position w:val="1"/>
          <w:sz w:val="16"/>
        </w:rPr>
        <w:t></w:t>
      </w:r>
      <w:r>
        <w:rPr>
          <w:rFonts w:ascii="Times New Roman" w:hAnsi="Times New Roman"/>
          <w:spacing w:val="-18"/>
          <w:w w:val="130"/>
          <w:position w:val="1"/>
          <w:sz w:val="16"/>
        </w:rPr>
        <w:t> </w:t>
      </w:r>
      <w:r>
        <w:rPr>
          <w:rFonts w:ascii="Symbol" w:hAnsi="Symbol"/>
          <w:spacing w:val="-18"/>
          <w:w w:val="130"/>
          <w:sz w:val="16"/>
        </w:rPr>
        <w:t></w:t>
      </w:r>
    </w:p>
    <w:p>
      <w:pPr>
        <w:spacing w:line="185" w:lineRule="exact" w:before="28"/>
        <w:ind w:left="446" w:right="0" w:firstLine="0"/>
        <w:jc w:val="left"/>
        <w:rPr>
          <w:rFonts w:ascii="Times New Roman" w:hAnsi="Times New Roman"/>
          <w:sz w:val="16"/>
        </w:rPr>
      </w:pPr>
      <w:r>
        <w:rPr/>
        <w:br w:type="column"/>
      </w:r>
      <w:r>
        <w:rPr>
          <w:rFonts w:ascii="Symbol" w:hAnsi="Symbol"/>
          <w:w w:val="130"/>
          <w:sz w:val="16"/>
        </w:rPr>
        <w:t></w:t>
      </w:r>
      <w:r>
        <w:rPr>
          <w:rFonts w:ascii="Times New Roman" w:hAnsi="Times New Roman"/>
          <w:w w:val="130"/>
          <w:sz w:val="16"/>
        </w:rPr>
        <w:t> 1 </w:t>
      </w:r>
      <w:r>
        <w:rPr>
          <w:rFonts w:ascii="Symbol" w:hAnsi="Symbol"/>
          <w:w w:val="130"/>
          <w:position w:val="-3"/>
          <w:sz w:val="16"/>
        </w:rPr>
        <w:t></w:t>
      </w:r>
      <w:r>
        <w:rPr>
          <w:rFonts w:ascii="Times New Roman" w:hAnsi="Times New Roman"/>
          <w:w w:val="130"/>
          <w:position w:val="-3"/>
          <w:sz w:val="16"/>
        </w:rPr>
        <w:t> </w:t>
      </w:r>
      <w:r>
        <w:rPr>
          <w:rFonts w:ascii="Symbol" w:hAnsi="Symbol"/>
          <w:w w:val="130"/>
          <w:sz w:val="16"/>
        </w:rPr>
        <w:t></w:t>
      </w:r>
      <w:r>
        <w:rPr>
          <w:rFonts w:ascii="Times New Roman" w:hAnsi="Times New Roman"/>
          <w:w w:val="130"/>
          <w:sz w:val="16"/>
        </w:rPr>
        <w:t> 1 0 0 %</w:t>
      </w:r>
    </w:p>
    <w:p>
      <w:pPr>
        <w:spacing w:after="0" w:line="185" w:lineRule="exact"/>
        <w:jc w:val="left"/>
        <w:rPr>
          <w:rFonts w:ascii="Times New Roman" w:hAnsi="Times New Roman"/>
          <w:sz w:val="16"/>
        </w:rPr>
        <w:sectPr>
          <w:type w:val="continuous"/>
          <w:pgSz w:w="11910" w:h="16840"/>
          <w:pgMar w:top="1480" w:bottom="280" w:left="1140" w:right="480"/>
          <w:cols w:num="3" w:equalWidth="0">
            <w:col w:w="4844" w:space="40"/>
            <w:col w:w="1440" w:space="39"/>
            <w:col w:w="3927"/>
          </w:cols>
        </w:sectPr>
      </w:pPr>
    </w:p>
    <w:p>
      <w:pPr>
        <w:spacing w:before="5"/>
        <w:ind w:left="0" w:right="0" w:firstLine="0"/>
        <w:jc w:val="right"/>
        <w:rPr>
          <w:rFonts w:ascii="Symbol" w:hAnsi="Symbol"/>
          <w:sz w:val="16"/>
        </w:rPr>
      </w:pPr>
      <w:r>
        <w:rPr>
          <w:rFonts w:ascii="Symbol" w:hAnsi="Symbol"/>
          <w:spacing w:val="-102"/>
          <w:w w:val="128"/>
          <w:position w:val="-2"/>
          <w:sz w:val="16"/>
        </w:rPr>
        <w:t></w:t>
      </w:r>
      <w:r>
        <w:rPr>
          <w:rFonts w:ascii="Symbol" w:hAnsi="Symbol"/>
          <w:w w:val="128"/>
          <w:position w:val="-5"/>
          <w:sz w:val="16"/>
        </w:rPr>
        <w:t></w:t>
      </w:r>
      <w:r>
        <w:rPr>
          <w:rFonts w:ascii="Times New Roman" w:hAnsi="Times New Roman"/>
          <w:spacing w:val="2"/>
          <w:position w:val="-5"/>
          <w:sz w:val="16"/>
        </w:rPr>
        <w:t> </w:t>
      </w:r>
      <w:r>
        <w:rPr>
          <w:rFonts w:ascii="Symbol" w:hAnsi="Symbol"/>
          <w:w w:val="128"/>
          <w:sz w:val="16"/>
        </w:rPr>
        <w:t></w:t>
      </w:r>
      <w:r>
        <w:rPr>
          <w:rFonts w:ascii="Times New Roman" w:hAnsi="Times New Roman"/>
          <w:sz w:val="16"/>
        </w:rPr>
        <w:t> </w:t>
      </w:r>
      <w:r>
        <w:rPr>
          <w:rFonts w:ascii="Times New Roman" w:hAnsi="Times New Roman"/>
          <w:spacing w:val="16"/>
          <w:sz w:val="16"/>
        </w:rPr>
        <w:t> </w:t>
      </w:r>
      <w:r>
        <w:rPr>
          <w:rFonts w:ascii="Times New Roman" w:hAnsi="Times New Roman"/>
          <w:i/>
          <w:w w:val="132"/>
          <w:sz w:val="9"/>
        </w:rPr>
        <w:t>i</w:t>
      </w:r>
      <w:r>
        <w:rPr>
          <w:rFonts w:ascii="Times New Roman" w:hAnsi="Times New Roman"/>
          <w:i/>
          <w:spacing w:val="-1"/>
          <w:sz w:val="9"/>
        </w:rPr>
        <w:t> </w:t>
      </w:r>
      <w:r>
        <w:rPr>
          <w:rFonts w:ascii="Symbol" w:hAnsi="Symbol"/>
          <w:w w:val="132"/>
          <w:sz w:val="9"/>
        </w:rPr>
        <w:t></w:t>
      </w:r>
      <w:r>
        <w:rPr>
          <w:rFonts w:ascii="Times New Roman" w:hAnsi="Times New Roman"/>
          <w:spacing w:val="-11"/>
          <w:sz w:val="9"/>
        </w:rPr>
        <w:t> </w:t>
      </w:r>
      <w:r>
        <w:rPr>
          <w:rFonts w:ascii="Times New Roman" w:hAnsi="Times New Roman"/>
          <w:w w:val="132"/>
          <w:sz w:val="9"/>
        </w:rPr>
        <w:t>1</w:t>
      </w:r>
      <w:r>
        <w:rPr>
          <w:rFonts w:ascii="Times New Roman" w:hAnsi="Times New Roman"/>
          <w:sz w:val="9"/>
        </w:rPr>
        <w:t>   </w:t>
      </w:r>
      <w:r>
        <w:rPr>
          <w:rFonts w:ascii="Times New Roman" w:hAnsi="Times New Roman"/>
          <w:spacing w:val="9"/>
          <w:sz w:val="9"/>
        </w:rPr>
        <w:t> </w:t>
      </w:r>
      <w:r>
        <w:rPr>
          <w:rFonts w:ascii="Symbol" w:hAnsi="Symbol"/>
          <w:w w:val="128"/>
          <w:position w:val="2"/>
          <w:sz w:val="16"/>
        </w:rPr>
        <w:t></w:t>
      </w:r>
    </w:p>
    <w:p>
      <w:pPr>
        <w:tabs>
          <w:tab w:pos="2028" w:val="left" w:leader="none"/>
        </w:tabs>
        <w:spacing w:line="211" w:lineRule="auto" w:before="0"/>
        <w:ind w:left="337" w:right="0" w:firstLine="0"/>
        <w:jc w:val="left"/>
        <w:rPr>
          <w:rFonts w:ascii="Symbol" w:hAnsi="Symbol"/>
          <w:sz w:val="16"/>
        </w:rPr>
      </w:pPr>
      <w:r>
        <w:rPr/>
        <w:br w:type="column"/>
      </w:r>
      <w:r>
        <w:rPr>
          <w:rFonts w:ascii="Times New Roman" w:hAnsi="Times New Roman"/>
          <w:spacing w:val="31"/>
          <w:w w:val="128"/>
          <w:sz w:val="16"/>
        </w:rPr>
        <w:t>1000</w:t>
      </w:r>
      <w:r>
        <w:rPr>
          <w:rFonts w:ascii="Times New Roman" w:hAnsi="Times New Roman"/>
          <w:w w:val="128"/>
          <w:sz w:val="16"/>
        </w:rPr>
        <w:t>0</w:t>
      </w:r>
      <w:r>
        <w:rPr>
          <w:rFonts w:ascii="Times New Roman" w:hAnsi="Times New Roman"/>
          <w:sz w:val="16"/>
        </w:rPr>
        <w:t> </w:t>
      </w:r>
      <w:r>
        <w:rPr>
          <w:rFonts w:ascii="Times New Roman" w:hAnsi="Times New Roman"/>
          <w:spacing w:val="1"/>
          <w:sz w:val="16"/>
        </w:rPr>
        <w:t> </w:t>
      </w:r>
      <w:r>
        <w:rPr>
          <w:rFonts w:ascii="Symbol" w:hAnsi="Symbol"/>
          <w:w w:val="128"/>
          <w:position w:val="-2"/>
          <w:sz w:val="16"/>
        </w:rPr>
        <w:t></w:t>
      </w:r>
      <w:r>
        <w:rPr>
          <w:rFonts w:ascii="Times New Roman" w:hAnsi="Times New Roman"/>
          <w:spacing w:val="-5"/>
          <w:position w:val="-2"/>
          <w:sz w:val="16"/>
        </w:rPr>
        <w:t> </w:t>
      </w:r>
      <w:r>
        <w:rPr>
          <w:rFonts w:ascii="Symbol" w:hAnsi="Symbol"/>
          <w:w w:val="128"/>
          <w:position w:val="-3"/>
          <w:sz w:val="16"/>
        </w:rPr>
        <w:t></w:t>
      </w:r>
      <w:r>
        <w:rPr>
          <w:rFonts w:ascii="Times New Roman" w:hAnsi="Times New Roman"/>
          <w:position w:val="-3"/>
          <w:sz w:val="16"/>
        </w:rPr>
        <w:tab/>
      </w:r>
      <w:r>
        <w:rPr>
          <w:rFonts w:ascii="Symbol" w:hAnsi="Symbol"/>
          <w:spacing w:val="-102"/>
          <w:w w:val="128"/>
          <w:position w:val="-6"/>
          <w:sz w:val="16"/>
        </w:rPr>
        <w:t></w:t>
      </w:r>
      <w:r>
        <w:rPr>
          <w:rFonts w:ascii="Symbol" w:hAnsi="Symbol"/>
          <w:w w:val="128"/>
          <w:position w:val="-9"/>
          <w:sz w:val="16"/>
        </w:rPr>
        <w:t></w:t>
      </w:r>
    </w:p>
    <w:p>
      <w:pPr>
        <w:spacing w:after="0" w:line="211" w:lineRule="auto"/>
        <w:jc w:val="left"/>
        <w:rPr>
          <w:rFonts w:ascii="Symbol" w:hAnsi="Symbol"/>
          <w:sz w:val="16"/>
        </w:rPr>
        <w:sectPr>
          <w:type w:val="continuous"/>
          <w:pgSz w:w="11910" w:h="16840"/>
          <w:pgMar w:top="1480" w:bottom="280" w:left="1140" w:right="480"/>
          <w:cols w:num="2" w:equalWidth="0">
            <w:col w:w="5029" w:space="40"/>
            <w:col w:w="5221"/>
          </w:cols>
        </w:sectPr>
      </w:pPr>
    </w:p>
    <w:p>
      <w:pPr>
        <w:pStyle w:val="BodyText"/>
        <w:spacing w:line="367" w:lineRule="auto" w:before="152"/>
        <w:ind w:left="1078" w:right="1250"/>
      </w:pPr>
      <w:r>
        <w:rPr/>
        <w:t>其中： </w:t>
      </w:r>
      <w:r>
        <w:rPr>
          <w:rFonts w:ascii="Times New Roman" w:hAnsi="Times New Roman" w:eastAsia="Times New Roman"/>
        </w:rPr>
        <w:t>Ri </w:t>
      </w:r>
      <w:r>
        <w:rPr/>
        <w:t>为最近第 </w:t>
      </w:r>
      <w:r>
        <w:rPr>
          <w:rFonts w:ascii="Times New Roman" w:hAnsi="Times New Roman" w:eastAsia="Times New Roman"/>
        </w:rPr>
        <w:t>i </w:t>
      </w:r>
      <w:r>
        <w:rPr/>
        <w:t>公历日（ </w:t>
      </w:r>
      <w:r>
        <w:rPr>
          <w:rFonts w:ascii="Times New Roman" w:hAnsi="Times New Roman" w:eastAsia="Times New Roman"/>
        </w:rPr>
        <w:t>i=1,2</w:t>
      </w:r>
      <w:r>
        <w:rPr/>
        <w:t>……</w:t>
      </w:r>
      <w:r>
        <w:rPr>
          <w:rFonts w:ascii="Times New Roman" w:hAnsi="Times New Roman" w:eastAsia="Times New Roman"/>
        </w:rPr>
        <w:t>7</w:t>
      </w:r>
      <w:r>
        <w:rPr/>
        <w:t>）的基金日收益，基金七日年化收益率采取四舍五入的方法保留小数点后第三位，如不足七日，则采取上述公式类似计算。</w:t>
      </w:r>
    </w:p>
    <w:p>
      <w:pPr>
        <w:spacing w:after="0" w:line="367" w:lineRule="auto"/>
        <w:sectPr>
          <w:type w:val="continuous"/>
          <w:pgSz w:w="11910" w:h="16840"/>
          <w:pgMar w:top="1480" w:bottom="280" w:left="1140" w:right="480"/>
        </w:sectPr>
      </w:pPr>
    </w:p>
    <w:p>
      <w:pPr>
        <w:pStyle w:val="BodyText"/>
        <w:spacing w:before="11"/>
        <w:rPr>
          <w:sz w:val="17"/>
        </w:rPr>
      </w:pPr>
    </w:p>
    <w:p>
      <w:pPr>
        <w:pStyle w:val="Heading1"/>
        <w:spacing w:before="66"/>
        <w:ind w:left="1902" w:right="2561"/>
        <w:jc w:val="center"/>
      </w:pPr>
      <w:bookmarkStart w:name="_bookmark19" w:id="20"/>
      <w:bookmarkEnd w:id="20"/>
      <w:r>
        <w:rPr>
          <w:b w:val="0"/>
        </w:rPr>
      </w:r>
      <w:r>
        <w:rPr/>
        <w:t>十六、基金费用与税收</w:t>
      </w:r>
    </w:p>
    <w:p>
      <w:pPr>
        <w:pStyle w:val="BodyText"/>
        <w:spacing w:before="10"/>
        <w:rPr>
          <w:b/>
          <w:sz w:val="34"/>
        </w:rPr>
      </w:pPr>
    </w:p>
    <w:p>
      <w:pPr>
        <w:pStyle w:val="BodyText"/>
        <w:spacing w:line="364" w:lineRule="auto"/>
        <w:ind w:left="658" w:right="1309" w:firstLine="419"/>
        <w:jc w:val="both"/>
      </w:pPr>
      <w:r>
        <w:rPr>
          <w:spacing w:val="-15"/>
        </w:rPr>
        <w:t>本系列基金下各基金发生的费用单独计算和计提，分别支付。本章中第</w:t>
      </w:r>
      <w:r>
        <w:rPr>
          <w:spacing w:val="-3"/>
        </w:rPr>
        <w:t>（</w:t>
      </w:r>
      <w:r>
        <w:rPr/>
        <w:t>一</w:t>
      </w:r>
      <w:r>
        <w:rPr>
          <w:spacing w:val="-104"/>
        </w:rPr>
        <w:t>）</w:t>
      </w:r>
      <w:r>
        <w:rPr>
          <w:spacing w:val="-35"/>
        </w:rPr>
        <w:t>节至第</w:t>
      </w:r>
      <w:r>
        <w:rPr>
          <w:spacing w:val="-3"/>
        </w:rPr>
        <w:t>（四</w:t>
      </w:r>
      <w:r>
        <w:rPr/>
        <w:t>） </w:t>
      </w:r>
      <w:r>
        <w:rPr>
          <w:spacing w:val="-7"/>
        </w:rPr>
        <w:t>节的内容适用于优选混合型基金和动力平衡基金，第</w:t>
      </w:r>
      <w:r>
        <w:rPr/>
        <w:t>（二</w:t>
      </w:r>
      <w:r>
        <w:rPr>
          <w:spacing w:val="-46"/>
        </w:rPr>
        <w:t>）</w:t>
      </w:r>
      <w:r>
        <w:rPr>
          <w:spacing w:val="-13"/>
        </w:rPr>
        <w:t>节第 </w:t>
      </w:r>
      <w:r>
        <w:rPr>
          <w:rFonts w:ascii="Times New Roman" w:eastAsia="Times New Roman"/>
        </w:rPr>
        <w:t>3 </w:t>
      </w:r>
      <w:r>
        <w:rPr>
          <w:spacing w:val="-31"/>
        </w:rPr>
        <w:t>点、第</w:t>
      </w:r>
      <w:r>
        <w:rPr>
          <w:spacing w:val="-3"/>
        </w:rPr>
        <w:t>（三</w:t>
      </w:r>
      <w:r>
        <w:rPr>
          <w:spacing w:val="-44"/>
        </w:rPr>
        <w:t>）</w:t>
      </w:r>
      <w:r>
        <w:rPr>
          <w:spacing w:val="-16"/>
        </w:rPr>
        <w:t>节至第</w:t>
      </w:r>
      <w:r>
        <w:rPr/>
        <w:t>（</w:t>
      </w:r>
      <w:r>
        <w:rPr>
          <w:spacing w:val="-3"/>
        </w:rPr>
        <w:t>六</w:t>
      </w:r>
      <w:r>
        <w:rPr/>
        <w:t>） </w:t>
      </w:r>
      <w:r>
        <w:rPr>
          <w:spacing w:val="-3"/>
        </w:rPr>
        <w:t>节的内容适用于货币市场基金。</w:t>
      </w:r>
    </w:p>
    <w:p>
      <w:pPr>
        <w:pStyle w:val="BodyText"/>
        <w:rPr>
          <w:sz w:val="20"/>
        </w:rPr>
      </w:pPr>
    </w:p>
    <w:p>
      <w:pPr>
        <w:pStyle w:val="BodyText"/>
        <w:spacing w:before="6"/>
        <w:rPr>
          <w:sz w:val="16"/>
        </w:rPr>
      </w:pPr>
    </w:p>
    <w:p>
      <w:pPr>
        <w:spacing w:line="451" w:lineRule="auto" w:before="0"/>
        <w:ind w:left="1075" w:right="6885" w:hanging="418"/>
        <w:jc w:val="left"/>
        <w:rPr>
          <w:b/>
          <w:sz w:val="21"/>
        </w:rPr>
      </w:pPr>
      <w:r>
        <w:rPr>
          <w:b/>
          <w:sz w:val="21"/>
        </w:rPr>
        <w:t>（一）与基金运作有关的费用1、基金费用的种类</w:t>
      </w:r>
    </w:p>
    <w:p>
      <w:pPr>
        <w:pStyle w:val="ListParagraph"/>
        <w:numPr>
          <w:ilvl w:val="0"/>
          <w:numId w:val="33"/>
        </w:numPr>
        <w:tabs>
          <w:tab w:pos="1607" w:val="left" w:leader="none"/>
        </w:tabs>
        <w:spacing w:line="232" w:lineRule="exact" w:before="0" w:after="0"/>
        <w:ind w:left="1607" w:right="0" w:hanging="529"/>
        <w:jc w:val="left"/>
        <w:rPr>
          <w:sz w:val="21"/>
        </w:rPr>
      </w:pPr>
      <w:r>
        <w:rPr>
          <w:spacing w:val="-3"/>
          <w:sz w:val="21"/>
        </w:rPr>
        <w:t>基金管理人的管理费；</w:t>
      </w:r>
    </w:p>
    <w:p>
      <w:pPr>
        <w:pStyle w:val="BodyText"/>
        <w:spacing w:before="7"/>
        <w:rPr>
          <w:sz w:val="15"/>
        </w:rPr>
      </w:pPr>
    </w:p>
    <w:p>
      <w:pPr>
        <w:pStyle w:val="ListParagraph"/>
        <w:numPr>
          <w:ilvl w:val="0"/>
          <w:numId w:val="33"/>
        </w:numPr>
        <w:tabs>
          <w:tab w:pos="1607" w:val="left" w:leader="none"/>
        </w:tabs>
        <w:spacing w:line="240" w:lineRule="auto" w:before="0" w:after="0"/>
        <w:ind w:left="1607" w:right="0" w:hanging="529"/>
        <w:jc w:val="left"/>
        <w:rPr>
          <w:sz w:val="21"/>
        </w:rPr>
      </w:pPr>
      <w:r>
        <w:rPr>
          <w:spacing w:val="-3"/>
          <w:sz w:val="21"/>
        </w:rPr>
        <w:t>基金托管人的托管费；</w:t>
      </w:r>
    </w:p>
    <w:p>
      <w:pPr>
        <w:pStyle w:val="BodyText"/>
        <w:spacing w:before="6"/>
        <w:rPr>
          <w:sz w:val="15"/>
        </w:rPr>
      </w:pPr>
    </w:p>
    <w:p>
      <w:pPr>
        <w:pStyle w:val="ListParagraph"/>
        <w:numPr>
          <w:ilvl w:val="0"/>
          <w:numId w:val="33"/>
        </w:numPr>
        <w:tabs>
          <w:tab w:pos="1607" w:val="left" w:leader="none"/>
        </w:tabs>
        <w:spacing w:line="240" w:lineRule="auto" w:before="0" w:after="0"/>
        <w:ind w:left="1607" w:right="0" w:hanging="529"/>
        <w:jc w:val="left"/>
        <w:rPr>
          <w:sz w:val="21"/>
        </w:rPr>
      </w:pPr>
      <w:r>
        <w:rPr>
          <w:spacing w:val="-3"/>
          <w:sz w:val="21"/>
        </w:rPr>
        <w:t>基金证券交易费用；</w:t>
      </w:r>
    </w:p>
    <w:p>
      <w:pPr>
        <w:pStyle w:val="BodyText"/>
        <w:spacing w:before="7"/>
        <w:rPr>
          <w:sz w:val="15"/>
        </w:rPr>
      </w:pPr>
    </w:p>
    <w:p>
      <w:pPr>
        <w:pStyle w:val="ListParagraph"/>
        <w:numPr>
          <w:ilvl w:val="0"/>
          <w:numId w:val="33"/>
        </w:numPr>
        <w:tabs>
          <w:tab w:pos="1607" w:val="left" w:leader="none"/>
        </w:tabs>
        <w:spacing w:line="240" w:lineRule="auto" w:before="0" w:after="0"/>
        <w:ind w:left="1607" w:right="0" w:hanging="529"/>
        <w:jc w:val="left"/>
        <w:rPr>
          <w:sz w:val="21"/>
        </w:rPr>
      </w:pPr>
      <w:r>
        <w:rPr>
          <w:spacing w:val="-3"/>
          <w:sz w:val="21"/>
        </w:rPr>
        <w:t>基金的信息披露费用；</w:t>
      </w:r>
    </w:p>
    <w:p>
      <w:pPr>
        <w:pStyle w:val="BodyText"/>
        <w:spacing w:before="7"/>
        <w:rPr>
          <w:sz w:val="15"/>
        </w:rPr>
      </w:pPr>
    </w:p>
    <w:p>
      <w:pPr>
        <w:pStyle w:val="ListParagraph"/>
        <w:numPr>
          <w:ilvl w:val="0"/>
          <w:numId w:val="33"/>
        </w:numPr>
        <w:tabs>
          <w:tab w:pos="1607" w:val="left" w:leader="none"/>
        </w:tabs>
        <w:spacing w:line="240" w:lineRule="auto" w:before="0" w:after="0"/>
        <w:ind w:left="1607" w:right="0" w:hanging="529"/>
        <w:jc w:val="left"/>
        <w:rPr>
          <w:sz w:val="21"/>
        </w:rPr>
      </w:pPr>
      <w:r>
        <w:rPr>
          <w:spacing w:val="-3"/>
          <w:sz w:val="21"/>
        </w:rPr>
        <w:t>基金份额持有人大会费用；</w:t>
      </w:r>
    </w:p>
    <w:p>
      <w:pPr>
        <w:pStyle w:val="BodyText"/>
        <w:spacing w:before="7"/>
        <w:rPr>
          <w:sz w:val="15"/>
        </w:rPr>
      </w:pPr>
    </w:p>
    <w:p>
      <w:pPr>
        <w:pStyle w:val="ListParagraph"/>
        <w:numPr>
          <w:ilvl w:val="0"/>
          <w:numId w:val="33"/>
        </w:numPr>
        <w:tabs>
          <w:tab w:pos="1607" w:val="left" w:leader="none"/>
        </w:tabs>
        <w:spacing w:line="240" w:lineRule="auto" w:before="0" w:after="0"/>
        <w:ind w:left="1607" w:right="0" w:hanging="529"/>
        <w:jc w:val="left"/>
        <w:rPr>
          <w:sz w:val="21"/>
        </w:rPr>
      </w:pPr>
      <w:r>
        <w:rPr>
          <w:spacing w:val="-3"/>
          <w:sz w:val="21"/>
        </w:rPr>
        <w:t>基金的会计师费和律师费；</w:t>
      </w:r>
    </w:p>
    <w:p>
      <w:pPr>
        <w:pStyle w:val="BodyText"/>
        <w:spacing w:before="6"/>
        <w:rPr>
          <w:sz w:val="15"/>
        </w:rPr>
      </w:pPr>
    </w:p>
    <w:p>
      <w:pPr>
        <w:pStyle w:val="ListParagraph"/>
        <w:numPr>
          <w:ilvl w:val="0"/>
          <w:numId w:val="33"/>
        </w:numPr>
        <w:tabs>
          <w:tab w:pos="1607" w:val="left" w:leader="none"/>
        </w:tabs>
        <w:spacing w:line="240" w:lineRule="auto" w:before="0" w:after="0"/>
        <w:ind w:left="1607" w:right="0" w:hanging="529"/>
        <w:jc w:val="left"/>
        <w:rPr>
          <w:sz w:val="21"/>
        </w:rPr>
      </w:pPr>
      <w:r>
        <w:rPr>
          <w:spacing w:val="-8"/>
          <w:sz w:val="21"/>
        </w:rPr>
        <w:t>上述费用由基金管理人按照公允的市场价格确定，法律法规另有规定时从其规定。</w:t>
      </w:r>
    </w:p>
    <w:p>
      <w:pPr>
        <w:pStyle w:val="BodyText"/>
        <w:spacing w:before="7"/>
        <w:rPr>
          <w:sz w:val="15"/>
        </w:rPr>
      </w:pPr>
    </w:p>
    <w:p>
      <w:pPr>
        <w:pStyle w:val="ListParagraph"/>
        <w:numPr>
          <w:ilvl w:val="0"/>
          <w:numId w:val="33"/>
        </w:numPr>
        <w:tabs>
          <w:tab w:pos="1605" w:val="left" w:leader="none"/>
        </w:tabs>
        <w:spacing w:line="417" w:lineRule="auto" w:before="1" w:after="0"/>
        <w:ind w:left="658" w:right="1308" w:firstLine="419"/>
        <w:jc w:val="both"/>
        <w:rPr>
          <w:sz w:val="21"/>
        </w:rPr>
      </w:pPr>
      <w:r>
        <w:rPr>
          <w:spacing w:val="-6"/>
          <w:sz w:val="21"/>
        </w:rPr>
        <w:t>本系列基金共同承担的基金费用按照 </w:t>
      </w:r>
      <w:r>
        <w:rPr>
          <w:sz w:val="21"/>
        </w:rPr>
        <w:t>1/n</w:t>
      </w:r>
      <w:r>
        <w:rPr>
          <w:spacing w:val="-8"/>
          <w:sz w:val="21"/>
        </w:rPr>
        <w:t> 的比例由各基金分摊</w:t>
      </w:r>
      <w:r>
        <w:rPr>
          <w:spacing w:val="-125"/>
          <w:sz w:val="21"/>
        </w:rPr>
        <w:t>。</w:t>
      </w:r>
      <w:r>
        <w:rPr>
          <w:sz w:val="21"/>
        </w:rPr>
        <w:t>（n</w:t>
      </w:r>
      <w:r>
        <w:rPr>
          <w:spacing w:val="-7"/>
          <w:sz w:val="21"/>
        </w:rPr>
        <w:t> = 本系列基金</w:t>
      </w:r>
      <w:r>
        <w:rPr>
          <w:spacing w:val="-16"/>
          <w:sz w:val="21"/>
        </w:rPr>
        <w:t>所包含的基金的数目。</w:t>
      </w:r>
      <w:r>
        <w:rPr>
          <w:sz w:val="21"/>
        </w:rPr>
        <w:t>）</w:t>
      </w:r>
      <w:r>
        <w:rPr>
          <w:spacing w:val="-3"/>
          <w:sz w:val="21"/>
        </w:rPr>
        <w:t>除各基金个别清算外、单独公告及其他由管理人依公允的原则决定</w:t>
      </w:r>
      <w:r>
        <w:rPr>
          <w:spacing w:val="-7"/>
          <w:sz w:val="21"/>
        </w:rPr>
        <w:t>经托管人认可的只涉及某基金所产生的费用由该基金独自承担外，其他基金费用均为本款所</w:t>
      </w:r>
      <w:r>
        <w:rPr>
          <w:spacing w:val="-5"/>
          <w:sz w:val="21"/>
        </w:rPr>
        <w:t>称之本系列基金共同承担的费用。</w:t>
      </w:r>
    </w:p>
    <w:p>
      <w:pPr>
        <w:spacing w:line="268" w:lineRule="exact" w:before="0"/>
        <w:ind w:left="972" w:right="0" w:firstLine="0"/>
        <w:jc w:val="left"/>
        <w:rPr>
          <w:b/>
          <w:sz w:val="21"/>
        </w:rPr>
      </w:pPr>
      <w:r>
        <w:rPr>
          <w:b/>
          <w:sz w:val="21"/>
        </w:rPr>
        <w:t>2、与基金运作有关的费用的费率、计提方法、计提标准、收取方式和使用方式</w:t>
      </w:r>
    </w:p>
    <w:p>
      <w:pPr>
        <w:pStyle w:val="BodyText"/>
        <w:spacing w:before="6"/>
        <w:rPr>
          <w:b/>
          <w:sz w:val="15"/>
        </w:rPr>
      </w:pPr>
    </w:p>
    <w:p>
      <w:pPr>
        <w:pStyle w:val="ListParagraph"/>
        <w:numPr>
          <w:ilvl w:val="0"/>
          <w:numId w:val="34"/>
        </w:numPr>
        <w:tabs>
          <w:tab w:pos="1607" w:val="left" w:leader="none"/>
        </w:tabs>
        <w:spacing w:line="240" w:lineRule="auto" w:before="0" w:after="0"/>
        <w:ind w:left="1607" w:right="0" w:hanging="529"/>
        <w:jc w:val="left"/>
        <w:rPr>
          <w:sz w:val="21"/>
        </w:rPr>
      </w:pPr>
      <w:r>
        <w:rPr>
          <w:spacing w:val="-3"/>
          <w:sz w:val="21"/>
        </w:rPr>
        <w:t>基金管理人的管理费</w:t>
      </w:r>
    </w:p>
    <w:p>
      <w:pPr>
        <w:pStyle w:val="BodyText"/>
        <w:spacing w:before="7"/>
        <w:rPr>
          <w:sz w:val="15"/>
        </w:rPr>
      </w:pPr>
    </w:p>
    <w:p>
      <w:pPr>
        <w:pStyle w:val="BodyText"/>
        <w:spacing w:line="417" w:lineRule="auto"/>
        <w:ind w:left="658" w:right="1203" w:firstLine="419"/>
      </w:pPr>
      <w:r>
        <w:rPr>
          <w:spacing w:val="-17"/>
        </w:rPr>
        <w:t>基金管理人的管理费，在通常情况下，按前一日的各基金资产净值乘以相应的管理年费， </w:t>
      </w:r>
      <w:r>
        <w:rPr>
          <w:spacing w:val="-7"/>
        </w:rPr>
        <w:t>计算方法如下：</w:t>
      </w:r>
    </w:p>
    <w:p>
      <w:pPr>
        <w:pStyle w:val="BodyText"/>
        <w:spacing w:line="417" w:lineRule="auto"/>
        <w:ind w:left="1078" w:right="6158"/>
      </w:pPr>
      <w:r>
        <w:rPr/>
        <w:t>H=E</w:t>
      </w:r>
      <w:r>
        <w:rPr>
          <w:spacing w:val="-3"/>
        </w:rPr>
        <w:t>×年管理费率÷当年天数  H：</w:t>
      </w:r>
      <w:r>
        <w:rPr>
          <w:spacing w:val="-4"/>
        </w:rPr>
        <w:t>为每日应计提的基金管理费； </w:t>
      </w:r>
      <w:r>
        <w:rPr/>
        <w:t>E：</w:t>
      </w:r>
      <w:r>
        <w:rPr>
          <w:spacing w:val="-3"/>
        </w:rPr>
        <w:t>为前一日基金资产净值。</w:t>
      </w:r>
    </w:p>
    <w:p>
      <w:pPr>
        <w:pStyle w:val="BodyText"/>
        <w:spacing w:line="269" w:lineRule="exact"/>
        <w:ind w:left="1078"/>
      </w:pPr>
      <w:r>
        <w:rPr/>
        <w:t>各基金管理费率如下：</w:t>
      </w:r>
    </w:p>
    <w:p>
      <w:pPr>
        <w:pStyle w:val="BodyText"/>
        <w:rPr>
          <w:sz w:val="20"/>
        </w:rPr>
      </w:pPr>
    </w:p>
    <w:p>
      <w:pPr>
        <w:pStyle w:val="BodyText"/>
        <w:spacing w:before="4"/>
        <w:rPr>
          <w:sz w:val="24"/>
        </w:rPr>
      </w:pPr>
    </w:p>
    <w:tbl>
      <w:tblPr>
        <w:tblW w:w="0" w:type="auto"/>
        <w:jc w:val="left"/>
        <w:tblInd w:w="1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2521"/>
      </w:tblGrid>
      <w:tr>
        <w:trPr>
          <w:trHeight w:val="468" w:hRule="atLeast"/>
        </w:trPr>
        <w:tc>
          <w:tcPr>
            <w:tcW w:w="2521" w:type="dxa"/>
          </w:tcPr>
          <w:p>
            <w:pPr>
              <w:pStyle w:val="TableParagraph"/>
              <w:spacing w:before="99"/>
              <w:ind w:left="739"/>
              <w:rPr>
                <w:b/>
                <w:sz w:val="21"/>
              </w:rPr>
            </w:pPr>
            <w:r>
              <w:rPr>
                <w:b/>
                <w:sz w:val="21"/>
              </w:rPr>
              <w:t>基金名称</w:t>
            </w:r>
          </w:p>
        </w:tc>
        <w:tc>
          <w:tcPr>
            <w:tcW w:w="2521" w:type="dxa"/>
          </w:tcPr>
          <w:p>
            <w:pPr>
              <w:pStyle w:val="TableParagraph"/>
              <w:spacing w:before="99"/>
              <w:ind w:left="711" w:right="704"/>
              <w:jc w:val="center"/>
              <w:rPr>
                <w:b/>
                <w:sz w:val="21"/>
              </w:rPr>
            </w:pPr>
            <w:r>
              <w:rPr>
                <w:b/>
                <w:sz w:val="21"/>
              </w:rPr>
              <w:t>管理年费率</w:t>
            </w:r>
          </w:p>
        </w:tc>
      </w:tr>
      <w:tr>
        <w:trPr>
          <w:trHeight w:val="467" w:hRule="atLeast"/>
        </w:trPr>
        <w:tc>
          <w:tcPr>
            <w:tcW w:w="2521" w:type="dxa"/>
          </w:tcPr>
          <w:p>
            <w:pPr>
              <w:pStyle w:val="TableParagraph"/>
              <w:spacing w:before="99"/>
              <w:ind w:left="527"/>
              <w:rPr>
                <w:sz w:val="21"/>
              </w:rPr>
            </w:pPr>
            <w:r>
              <w:rPr>
                <w:sz w:val="21"/>
              </w:rPr>
              <w:t>优选混合型基金</w:t>
            </w:r>
          </w:p>
        </w:tc>
        <w:tc>
          <w:tcPr>
            <w:tcW w:w="2521" w:type="dxa"/>
          </w:tcPr>
          <w:p>
            <w:pPr>
              <w:pStyle w:val="TableParagraph"/>
              <w:spacing w:before="99"/>
              <w:ind w:left="711" w:right="703"/>
              <w:jc w:val="center"/>
              <w:rPr>
                <w:sz w:val="21"/>
              </w:rPr>
            </w:pPr>
            <w:r>
              <w:rPr>
                <w:sz w:val="21"/>
              </w:rPr>
              <w:t>1.5%</w:t>
            </w:r>
          </w:p>
        </w:tc>
      </w:tr>
    </w:tbl>
    <w:p>
      <w:pPr>
        <w:spacing w:after="0"/>
        <w:jc w:val="center"/>
        <w:rPr>
          <w:sz w:val="21"/>
        </w:rPr>
        <w:sectPr>
          <w:pgSz w:w="11910" w:h="16840"/>
          <w:pgMar w:header="852" w:footer="992" w:top="1220" w:bottom="1180" w:left="1140" w:right="480"/>
        </w:sectPr>
      </w:pPr>
    </w:p>
    <w:tbl>
      <w:tblPr>
        <w:tblW w:w="0" w:type="auto"/>
        <w:jc w:val="left"/>
        <w:tblInd w:w="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2521"/>
      </w:tblGrid>
      <w:tr>
        <w:trPr>
          <w:trHeight w:val="222" w:hRule="atLeast"/>
        </w:trPr>
        <w:tc>
          <w:tcPr>
            <w:tcW w:w="2521" w:type="dxa"/>
            <w:tcBorders>
              <w:top w:val="nil"/>
              <w:left w:val="nil"/>
              <w:right w:val="nil"/>
            </w:tcBorders>
          </w:tcPr>
          <w:p>
            <w:pPr>
              <w:pStyle w:val="TableParagraph"/>
              <w:rPr>
                <w:rFonts w:ascii="Times New Roman"/>
                <w:sz w:val="14"/>
              </w:rPr>
            </w:pPr>
          </w:p>
        </w:tc>
        <w:tc>
          <w:tcPr>
            <w:tcW w:w="2521" w:type="dxa"/>
            <w:tcBorders>
              <w:top w:val="nil"/>
              <w:left w:val="nil"/>
              <w:right w:val="nil"/>
            </w:tcBorders>
          </w:tcPr>
          <w:p>
            <w:pPr>
              <w:pStyle w:val="TableParagraph"/>
              <w:rPr>
                <w:rFonts w:ascii="Times New Roman"/>
                <w:sz w:val="14"/>
              </w:rPr>
            </w:pPr>
          </w:p>
        </w:tc>
      </w:tr>
      <w:tr>
        <w:trPr>
          <w:trHeight w:val="468" w:hRule="atLeast"/>
        </w:trPr>
        <w:tc>
          <w:tcPr>
            <w:tcW w:w="2521" w:type="dxa"/>
          </w:tcPr>
          <w:p>
            <w:pPr>
              <w:pStyle w:val="TableParagraph"/>
              <w:spacing w:before="99"/>
              <w:ind w:left="527"/>
              <w:rPr>
                <w:sz w:val="21"/>
              </w:rPr>
            </w:pPr>
            <w:r>
              <w:rPr>
                <w:sz w:val="21"/>
              </w:rPr>
              <w:t>动力平衡基金</w:t>
            </w:r>
          </w:p>
        </w:tc>
        <w:tc>
          <w:tcPr>
            <w:tcW w:w="2521" w:type="dxa"/>
          </w:tcPr>
          <w:p>
            <w:pPr>
              <w:pStyle w:val="TableParagraph"/>
              <w:spacing w:before="99"/>
              <w:ind w:left="711" w:right="703"/>
              <w:jc w:val="center"/>
              <w:rPr>
                <w:sz w:val="21"/>
              </w:rPr>
            </w:pPr>
            <w:r>
              <w:rPr>
                <w:sz w:val="21"/>
              </w:rPr>
              <w:t>1.5%</w:t>
            </w:r>
          </w:p>
        </w:tc>
      </w:tr>
    </w:tbl>
    <w:p>
      <w:pPr>
        <w:pStyle w:val="BodyText"/>
        <w:rPr>
          <w:sz w:val="20"/>
        </w:rPr>
      </w:pPr>
    </w:p>
    <w:p>
      <w:pPr>
        <w:pStyle w:val="BodyText"/>
        <w:spacing w:before="9"/>
        <w:rPr>
          <w:sz w:val="18"/>
        </w:rPr>
      </w:pPr>
    </w:p>
    <w:p>
      <w:pPr>
        <w:pStyle w:val="BodyText"/>
        <w:spacing w:line="417" w:lineRule="auto" w:before="71"/>
        <w:ind w:left="658" w:right="1310" w:firstLine="419"/>
      </w:pPr>
      <w:r>
        <w:rPr>
          <w:spacing w:val="-8"/>
        </w:rPr>
        <w:t>基金管理人的管理费每日计算，逐日累计至每月月底，按月支付，由基金托管人于次月</w:t>
      </w:r>
      <w:r>
        <w:rPr>
          <w:spacing w:val="-5"/>
        </w:rPr>
        <w:t>前两个工作日内从各基金财产中一次性支付给基金管理人。</w:t>
      </w:r>
    </w:p>
    <w:p>
      <w:pPr>
        <w:pStyle w:val="ListParagraph"/>
        <w:numPr>
          <w:ilvl w:val="0"/>
          <w:numId w:val="34"/>
        </w:numPr>
        <w:tabs>
          <w:tab w:pos="1607" w:val="left" w:leader="none"/>
        </w:tabs>
        <w:spacing w:line="269" w:lineRule="exact" w:before="0" w:after="0"/>
        <w:ind w:left="1607" w:right="0" w:hanging="529"/>
        <w:jc w:val="left"/>
        <w:rPr>
          <w:sz w:val="21"/>
        </w:rPr>
      </w:pPr>
      <w:r>
        <w:rPr>
          <w:spacing w:val="-3"/>
          <w:sz w:val="21"/>
        </w:rPr>
        <w:t>基金托管人的托管费</w:t>
      </w:r>
    </w:p>
    <w:p>
      <w:pPr>
        <w:pStyle w:val="BodyText"/>
        <w:spacing w:before="7"/>
        <w:rPr>
          <w:sz w:val="15"/>
        </w:rPr>
      </w:pPr>
    </w:p>
    <w:p>
      <w:pPr>
        <w:pStyle w:val="BodyText"/>
        <w:spacing w:line="417" w:lineRule="auto"/>
        <w:ind w:left="658" w:right="1203" w:firstLine="419"/>
      </w:pPr>
      <w:r>
        <w:rPr>
          <w:spacing w:val="-17"/>
        </w:rPr>
        <w:t>基金托管人的托管费，在通常情况下，按前一日的各基金资产净值乘以相应的托管年费， </w:t>
      </w:r>
      <w:r>
        <w:rPr>
          <w:spacing w:val="-7"/>
        </w:rPr>
        <w:t>计算方法如下：</w:t>
      </w:r>
    </w:p>
    <w:p>
      <w:pPr>
        <w:pStyle w:val="BodyText"/>
        <w:spacing w:line="417" w:lineRule="auto"/>
        <w:ind w:left="1078" w:right="6157"/>
      </w:pPr>
      <w:r>
        <w:rPr/>
        <w:t>H＝E</w:t>
      </w:r>
      <w:r>
        <w:rPr>
          <w:spacing w:val="-3"/>
        </w:rPr>
        <w:t>×年托管费率÷当年天数 H：</w:t>
      </w:r>
      <w:r>
        <w:rPr>
          <w:spacing w:val="-4"/>
        </w:rPr>
        <w:t>为每日应支付的基金托管费； </w:t>
      </w:r>
      <w:r>
        <w:rPr/>
        <w:t>E：</w:t>
      </w:r>
      <w:r>
        <w:rPr>
          <w:spacing w:val="-3"/>
        </w:rPr>
        <w:t>为前一日的基金资产净值。 各基金托管费率如下：</w:t>
      </w:r>
    </w:p>
    <w:p>
      <w:pPr>
        <w:pStyle w:val="BodyText"/>
        <w:spacing w:before="9"/>
        <w:rPr>
          <w:sz w:val="28"/>
        </w:rPr>
      </w:pPr>
    </w:p>
    <w:tbl>
      <w:tblPr>
        <w:tblW w:w="0" w:type="auto"/>
        <w:jc w:val="left"/>
        <w:tblInd w:w="1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521"/>
      </w:tblGrid>
      <w:tr>
        <w:trPr>
          <w:trHeight w:val="467" w:hRule="atLeast"/>
        </w:trPr>
        <w:tc>
          <w:tcPr>
            <w:tcW w:w="2701" w:type="dxa"/>
          </w:tcPr>
          <w:p>
            <w:pPr>
              <w:pStyle w:val="TableParagraph"/>
              <w:spacing w:before="99"/>
              <w:ind w:left="596" w:right="584"/>
              <w:jc w:val="center"/>
              <w:rPr>
                <w:b/>
                <w:sz w:val="21"/>
              </w:rPr>
            </w:pPr>
            <w:r>
              <w:rPr>
                <w:b/>
                <w:sz w:val="21"/>
              </w:rPr>
              <w:t>基金名称</w:t>
            </w:r>
          </w:p>
        </w:tc>
        <w:tc>
          <w:tcPr>
            <w:tcW w:w="2521" w:type="dxa"/>
          </w:tcPr>
          <w:p>
            <w:pPr>
              <w:pStyle w:val="TableParagraph"/>
              <w:spacing w:before="99"/>
              <w:ind w:left="711" w:right="704"/>
              <w:jc w:val="center"/>
              <w:rPr>
                <w:b/>
                <w:sz w:val="21"/>
              </w:rPr>
            </w:pPr>
            <w:r>
              <w:rPr>
                <w:b/>
                <w:sz w:val="21"/>
              </w:rPr>
              <w:t>托管年费率</w:t>
            </w:r>
          </w:p>
        </w:tc>
      </w:tr>
      <w:tr>
        <w:trPr>
          <w:trHeight w:val="470" w:hRule="atLeast"/>
        </w:trPr>
        <w:tc>
          <w:tcPr>
            <w:tcW w:w="2701" w:type="dxa"/>
          </w:tcPr>
          <w:p>
            <w:pPr>
              <w:pStyle w:val="TableParagraph"/>
              <w:spacing w:before="102"/>
              <w:ind w:left="596" w:right="585"/>
              <w:jc w:val="center"/>
              <w:rPr>
                <w:sz w:val="21"/>
              </w:rPr>
            </w:pPr>
            <w:r>
              <w:rPr>
                <w:sz w:val="21"/>
              </w:rPr>
              <w:t>优选混合型基金</w:t>
            </w:r>
          </w:p>
        </w:tc>
        <w:tc>
          <w:tcPr>
            <w:tcW w:w="2521" w:type="dxa"/>
          </w:tcPr>
          <w:p>
            <w:pPr>
              <w:pStyle w:val="TableParagraph"/>
              <w:spacing w:before="102"/>
              <w:ind w:left="711" w:right="703"/>
              <w:jc w:val="center"/>
              <w:rPr>
                <w:sz w:val="21"/>
              </w:rPr>
            </w:pPr>
            <w:r>
              <w:rPr>
                <w:sz w:val="21"/>
              </w:rPr>
              <w:t>0.25%</w:t>
            </w:r>
          </w:p>
        </w:tc>
      </w:tr>
      <w:tr>
        <w:trPr>
          <w:trHeight w:val="468" w:hRule="atLeast"/>
        </w:trPr>
        <w:tc>
          <w:tcPr>
            <w:tcW w:w="2701" w:type="dxa"/>
          </w:tcPr>
          <w:p>
            <w:pPr>
              <w:pStyle w:val="TableParagraph"/>
              <w:spacing w:before="100"/>
              <w:ind w:left="596" w:right="585"/>
              <w:jc w:val="center"/>
              <w:rPr>
                <w:sz w:val="21"/>
              </w:rPr>
            </w:pPr>
            <w:r>
              <w:rPr>
                <w:sz w:val="21"/>
              </w:rPr>
              <w:t>动力平衡基金</w:t>
            </w:r>
          </w:p>
        </w:tc>
        <w:tc>
          <w:tcPr>
            <w:tcW w:w="2521" w:type="dxa"/>
          </w:tcPr>
          <w:p>
            <w:pPr>
              <w:pStyle w:val="TableParagraph"/>
              <w:spacing w:before="100"/>
              <w:ind w:left="711" w:right="703"/>
              <w:jc w:val="center"/>
              <w:rPr>
                <w:sz w:val="21"/>
              </w:rPr>
            </w:pPr>
            <w:r>
              <w:rPr>
                <w:sz w:val="21"/>
              </w:rPr>
              <w:t>0.25%</w:t>
            </w:r>
          </w:p>
        </w:tc>
      </w:tr>
    </w:tbl>
    <w:p>
      <w:pPr>
        <w:pStyle w:val="BodyText"/>
        <w:rPr>
          <w:sz w:val="20"/>
        </w:rPr>
      </w:pPr>
    </w:p>
    <w:p>
      <w:pPr>
        <w:pStyle w:val="BodyText"/>
        <w:spacing w:before="9"/>
        <w:rPr>
          <w:sz w:val="18"/>
        </w:rPr>
      </w:pPr>
    </w:p>
    <w:p>
      <w:pPr>
        <w:pStyle w:val="BodyText"/>
        <w:spacing w:line="417" w:lineRule="auto" w:before="71"/>
        <w:ind w:left="658" w:right="1311" w:firstLine="419"/>
      </w:pPr>
      <w:r>
        <w:rPr>
          <w:spacing w:val="-9"/>
        </w:rPr>
        <w:t>基金托管费每日计算，逐日累计至每月月底，按月支付，由基金托管人于次月前两个工</w:t>
      </w:r>
      <w:r>
        <w:rPr>
          <w:spacing w:val="-5"/>
        </w:rPr>
        <w:t>作日内从基金财产中一次性支取。</w:t>
      </w:r>
    </w:p>
    <w:p>
      <w:pPr>
        <w:pStyle w:val="ListParagraph"/>
        <w:numPr>
          <w:ilvl w:val="0"/>
          <w:numId w:val="34"/>
        </w:numPr>
        <w:tabs>
          <w:tab w:pos="1607" w:val="left" w:leader="none"/>
        </w:tabs>
        <w:spacing w:line="417" w:lineRule="auto" w:before="0" w:after="0"/>
        <w:ind w:left="658" w:right="1203" w:firstLine="419"/>
        <w:jc w:val="left"/>
        <w:rPr>
          <w:sz w:val="21"/>
        </w:rPr>
      </w:pPr>
      <w:r>
        <w:rPr>
          <w:spacing w:val="-3"/>
          <w:sz w:val="21"/>
        </w:rPr>
        <w:t>基金首次发行中所发生的律师费和会计师费等费用自基金发行费用中列支，不另</w:t>
      </w:r>
      <w:r>
        <w:rPr>
          <w:spacing w:val="-15"/>
          <w:sz w:val="21"/>
        </w:rPr>
        <w:t>从基金财产中支付，与基金有关的法定信息披露费按有关规定列支；若本系列基金发行失败， </w:t>
      </w:r>
      <w:r>
        <w:rPr>
          <w:spacing w:val="-7"/>
          <w:sz w:val="21"/>
        </w:rPr>
        <w:t>发行费用由基金管理人承担。基金合同生效后的各项费用按有关规定列支。</w:t>
      </w:r>
    </w:p>
    <w:p>
      <w:pPr>
        <w:pStyle w:val="ListParagraph"/>
        <w:numPr>
          <w:ilvl w:val="0"/>
          <w:numId w:val="34"/>
        </w:numPr>
        <w:tabs>
          <w:tab w:pos="1607" w:val="left" w:leader="none"/>
        </w:tabs>
        <w:spacing w:line="417" w:lineRule="auto" w:before="0" w:after="0"/>
        <w:ind w:left="658" w:right="1311" w:firstLine="419"/>
        <w:jc w:val="left"/>
        <w:rPr>
          <w:sz w:val="21"/>
        </w:rPr>
      </w:pPr>
      <w:r>
        <w:rPr>
          <w:spacing w:val="-15"/>
          <w:sz w:val="21"/>
        </w:rPr>
        <w:t>上述 </w:t>
      </w:r>
      <w:r>
        <w:rPr>
          <w:sz w:val="21"/>
        </w:rPr>
        <w:t>1</w:t>
      </w:r>
      <w:r>
        <w:rPr>
          <w:spacing w:val="-11"/>
          <w:sz w:val="21"/>
        </w:rPr>
        <w:t>、基金费用第 </w:t>
      </w:r>
      <w:r>
        <w:rPr>
          <w:sz w:val="21"/>
        </w:rPr>
        <w:t>3－7</w:t>
      </w:r>
      <w:r>
        <w:rPr>
          <w:spacing w:val="-9"/>
          <w:sz w:val="21"/>
        </w:rPr>
        <w:t> 项费用由基金托管人根据有关法规及相应协议规定，按</w:t>
      </w:r>
      <w:r>
        <w:rPr>
          <w:spacing w:val="-5"/>
          <w:sz w:val="21"/>
        </w:rPr>
        <w:t>费用实际支出金额，由基金托管人从基金财产中支付。</w:t>
      </w:r>
    </w:p>
    <w:p>
      <w:pPr>
        <w:spacing w:line="269" w:lineRule="exact" w:before="0"/>
        <w:ind w:left="972" w:right="0" w:firstLine="0"/>
        <w:jc w:val="left"/>
        <w:rPr>
          <w:b/>
          <w:sz w:val="21"/>
        </w:rPr>
      </w:pPr>
      <w:r>
        <w:rPr>
          <w:b/>
          <w:sz w:val="21"/>
        </w:rPr>
        <w:t>3、不列入基金费用的项目</w:t>
      </w:r>
    </w:p>
    <w:p>
      <w:pPr>
        <w:pStyle w:val="BodyText"/>
        <w:spacing w:before="7"/>
        <w:rPr>
          <w:b/>
          <w:sz w:val="15"/>
        </w:rPr>
      </w:pPr>
    </w:p>
    <w:p>
      <w:pPr>
        <w:pStyle w:val="BodyText"/>
        <w:spacing w:line="417" w:lineRule="auto"/>
        <w:ind w:left="658" w:right="1310" w:firstLine="419"/>
      </w:pPr>
      <w:r>
        <w:rPr/>
        <w:t>基金管理人和基金托管人因未履行或未完全履行义务导致的费用支出或本系列基金财产的损失，以及处理与基金运作无关的事项发生的费用等不列入基金费用。</w:t>
      </w:r>
    </w:p>
    <w:p>
      <w:pPr>
        <w:spacing w:line="269" w:lineRule="exact" w:before="0"/>
        <w:ind w:left="972" w:right="0" w:firstLine="0"/>
        <w:jc w:val="left"/>
        <w:rPr>
          <w:b/>
          <w:sz w:val="21"/>
        </w:rPr>
      </w:pPr>
      <w:r>
        <w:rPr>
          <w:b/>
          <w:sz w:val="21"/>
        </w:rPr>
        <w:t>4、基金管理费和基金托管费的调整</w:t>
      </w:r>
    </w:p>
    <w:p>
      <w:pPr>
        <w:pStyle w:val="BodyText"/>
        <w:spacing w:before="6"/>
        <w:rPr>
          <w:b/>
          <w:sz w:val="15"/>
        </w:rPr>
      </w:pPr>
    </w:p>
    <w:p>
      <w:pPr>
        <w:pStyle w:val="BodyText"/>
        <w:spacing w:line="417" w:lineRule="auto" w:before="1"/>
        <w:ind w:left="658" w:right="1310" w:firstLine="419"/>
      </w:pPr>
      <w:r>
        <w:rPr>
          <w:spacing w:val="-7"/>
        </w:rPr>
        <w:t>基金管理人和基金托管人可磋商酌情降低基金管理费和托管费，此项调整不需要基金份</w:t>
      </w:r>
      <w:r>
        <w:rPr>
          <w:spacing w:val="-5"/>
        </w:rPr>
        <w:t>额持有人大会通过。</w:t>
      </w:r>
    </w:p>
    <w:p>
      <w:pPr>
        <w:spacing w:after="0" w:line="417" w:lineRule="auto"/>
        <w:sectPr>
          <w:pgSz w:w="11910" w:h="16840"/>
          <w:pgMar w:header="852" w:footer="992" w:top="1200" w:bottom="1180" w:left="1140" w:right="480"/>
        </w:sectPr>
      </w:pPr>
    </w:p>
    <w:p>
      <w:pPr>
        <w:pStyle w:val="BodyText"/>
        <w:rPr>
          <w:sz w:val="20"/>
        </w:rPr>
      </w:pPr>
    </w:p>
    <w:p>
      <w:pPr>
        <w:pStyle w:val="BodyText"/>
        <w:spacing w:before="11"/>
        <w:rPr>
          <w:sz w:val="27"/>
        </w:rPr>
      </w:pPr>
    </w:p>
    <w:p>
      <w:pPr>
        <w:spacing w:line="451" w:lineRule="auto" w:before="72"/>
        <w:ind w:left="1078" w:right="6885" w:hanging="420"/>
        <w:jc w:val="left"/>
        <w:rPr>
          <w:sz w:val="21"/>
        </w:rPr>
      </w:pPr>
      <w:r>
        <w:rPr>
          <w:b/>
          <w:sz w:val="21"/>
        </w:rPr>
        <w:t>（二）与基金销售有关的费用</w:t>
      </w:r>
      <w:r>
        <w:rPr>
          <w:sz w:val="21"/>
        </w:rPr>
        <w:t>1、基金申购费用</w:t>
      </w:r>
    </w:p>
    <w:p>
      <w:pPr>
        <w:pStyle w:val="ListParagraph"/>
        <w:numPr>
          <w:ilvl w:val="0"/>
          <w:numId w:val="35"/>
        </w:numPr>
        <w:tabs>
          <w:tab w:pos="1607" w:val="left" w:leader="none"/>
        </w:tabs>
        <w:spacing w:line="232" w:lineRule="exact" w:before="0" w:after="0"/>
        <w:ind w:left="1607" w:right="0" w:hanging="529"/>
        <w:jc w:val="left"/>
        <w:rPr>
          <w:sz w:val="21"/>
        </w:rPr>
      </w:pPr>
      <w:r>
        <w:rPr>
          <w:spacing w:val="-3"/>
          <w:sz w:val="21"/>
        </w:rPr>
        <w:t>基金申购可适用以下费率：</w:t>
      </w:r>
    </w:p>
    <w:p>
      <w:pPr>
        <w:pStyle w:val="BodyText"/>
        <w:spacing w:before="10"/>
        <w:rPr>
          <w:sz w:val="7"/>
        </w:rPr>
      </w:pPr>
    </w:p>
    <w:tbl>
      <w:tblPr>
        <w:tblW w:w="0" w:type="auto"/>
        <w:jc w:val="left"/>
        <w:tblInd w:w="1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1"/>
        <w:gridCol w:w="5041"/>
      </w:tblGrid>
      <w:tr>
        <w:trPr>
          <w:trHeight w:val="467" w:hRule="atLeast"/>
        </w:trPr>
        <w:tc>
          <w:tcPr>
            <w:tcW w:w="1801" w:type="dxa"/>
          </w:tcPr>
          <w:p>
            <w:pPr>
              <w:pStyle w:val="TableParagraph"/>
              <w:spacing w:before="99"/>
              <w:ind w:left="139" w:right="136"/>
              <w:jc w:val="center"/>
              <w:rPr>
                <w:b/>
                <w:sz w:val="21"/>
              </w:rPr>
            </w:pPr>
            <w:r>
              <w:rPr>
                <w:b/>
                <w:sz w:val="21"/>
              </w:rPr>
              <w:t>基金名称</w:t>
            </w:r>
          </w:p>
        </w:tc>
        <w:tc>
          <w:tcPr>
            <w:tcW w:w="5041" w:type="dxa"/>
          </w:tcPr>
          <w:p>
            <w:pPr>
              <w:pStyle w:val="TableParagraph"/>
              <w:spacing w:before="99"/>
              <w:ind w:left="3"/>
              <w:jc w:val="center"/>
              <w:rPr>
                <w:b/>
                <w:sz w:val="21"/>
              </w:rPr>
            </w:pPr>
            <w:r>
              <w:rPr>
                <w:b/>
                <w:sz w:val="21"/>
              </w:rPr>
              <w:t>申购费率</w:t>
            </w:r>
          </w:p>
        </w:tc>
      </w:tr>
      <w:tr>
        <w:trPr>
          <w:trHeight w:val="2342" w:hRule="atLeast"/>
        </w:trPr>
        <w:tc>
          <w:tcPr>
            <w:tcW w:w="1801" w:type="dxa"/>
          </w:tcPr>
          <w:p>
            <w:pPr>
              <w:pStyle w:val="TableParagraph"/>
              <w:rPr>
                <w:sz w:val="20"/>
              </w:rPr>
            </w:pPr>
          </w:p>
          <w:p>
            <w:pPr>
              <w:pStyle w:val="TableParagraph"/>
              <w:rPr>
                <w:sz w:val="20"/>
              </w:rPr>
            </w:pPr>
          </w:p>
          <w:p>
            <w:pPr>
              <w:pStyle w:val="TableParagraph"/>
              <w:rPr>
                <w:sz w:val="20"/>
              </w:rPr>
            </w:pPr>
          </w:p>
          <w:p>
            <w:pPr>
              <w:pStyle w:val="TableParagraph"/>
              <w:rPr>
                <w:sz w:val="21"/>
              </w:rPr>
            </w:pPr>
          </w:p>
          <w:p>
            <w:pPr>
              <w:pStyle w:val="TableParagraph"/>
              <w:ind w:left="139" w:right="136"/>
              <w:jc w:val="center"/>
              <w:rPr>
                <w:sz w:val="21"/>
              </w:rPr>
            </w:pPr>
            <w:r>
              <w:rPr>
                <w:sz w:val="21"/>
              </w:rPr>
              <w:t>优选混合型基金</w:t>
            </w:r>
          </w:p>
        </w:tc>
        <w:tc>
          <w:tcPr>
            <w:tcW w:w="5041" w:type="dxa"/>
          </w:tcPr>
          <w:p>
            <w:pPr>
              <w:pStyle w:val="TableParagraph"/>
              <w:tabs>
                <w:tab w:pos="2159" w:val="left" w:leader="none"/>
              </w:tabs>
              <w:spacing w:before="101"/>
              <w:ind w:left="3"/>
              <w:jc w:val="center"/>
              <w:rPr>
                <w:sz w:val="21"/>
              </w:rPr>
            </w:pPr>
            <w:r>
              <w:rPr>
                <w:sz w:val="21"/>
              </w:rPr>
              <w:t>M＜50</w:t>
            </w:r>
            <w:r>
              <w:rPr>
                <w:spacing w:val="-54"/>
                <w:sz w:val="21"/>
              </w:rPr>
              <w:t> </w:t>
            </w:r>
            <w:r>
              <w:rPr>
                <w:sz w:val="21"/>
              </w:rPr>
              <w:t>万</w:t>
              <w:tab/>
              <w:t>1.5%</w:t>
            </w:r>
          </w:p>
          <w:p>
            <w:pPr>
              <w:pStyle w:val="TableParagraph"/>
              <w:spacing w:before="7"/>
              <w:rPr>
                <w:sz w:val="15"/>
              </w:rPr>
            </w:pPr>
          </w:p>
          <w:p>
            <w:pPr>
              <w:pStyle w:val="TableParagraph"/>
              <w:tabs>
                <w:tab w:pos="2211" w:val="left" w:leader="none"/>
              </w:tabs>
              <w:ind w:left="3"/>
              <w:jc w:val="center"/>
              <w:rPr>
                <w:sz w:val="21"/>
              </w:rPr>
            </w:pPr>
            <w:r>
              <w:rPr>
                <w:sz w:val="21"/>
              </w:rPr>
              <w:t>50</w:t>
            </w:r>
            <w:r>
              <w:rPr>
                <w:spacing w:val="-52"/>
                <w:sz w:val="21"/>
              </w:rPr>
              <w:t> </w:t>
            </w:r>
            <w:r>
              <w:rPr>
                <w:spacing w:val="-3"/>
                <w:sz w:val="21"/>
              </w:rPr>
              <w:t>万</w:t>
            </w:r>
            <w:r>
              <w:rPr>
                <w:sz w:val="21"/>
              </w:rPr>
              <w:t>≤M＜100</w:t>
            </w:r>
            <w:r>
              <w:rPr>
                <w:spacing w:val="-54"/>
                <w:sz w:val="21"/>
              </w:rPr>
              <w:t> </w:t>
            </w:r>
            <w:r>
              <w:rPr>
                <w:sz w:val="21"/>
              </w:rPr>
              <w:t>万</w:t>
              <w:tab/>
              <w:t>1.2%</w:t>
            </w:r>
          </w:p>
          <w:p>
            <w:pPr>
              <w:pStyle w:val="TableParagraph"/>
              <w:spacing w:before="7"/>
              <w:rPr>
                <w:sz w:val="15"/>
              </w:rPr>
            </w:pPr>
          </w:p>
          <w:p>
            <w:pPr>
              <w:pStyle w:val="TableParagraph"/>
              <w:tabs>
                <w:tab w:pos="2211" w:val="left" w:leader="none"/>
              </w:tabs>
              <w:spacing w:before="1"/>
              <w:ind w:left="3"/>
              <w:jc w:val="center"/>
              <w:rPr>
                <w:sz w:val="21"/>
              </w:rPr>
            </w:pPr>
            <w:r>
              <w:rPr>
                <w:sz w:val="21"/>
              </w:rPr>
              <w:t>100</w:t>
            </w:r>
            <w:r>
              <w:rPr>
                <w:spacing w:val="-52"/>
                <w:sz w:val="21"/>
              </w:rPr>
              <w:t> </w:t>
            </w:r>
            <w:r>
              <w:rPr>
                <w:spacing w:val="-3"/>
                <w:sz w:val="21"/>
              </w:rPr>
              <w:t>万</w:t>
            </w:r>
            <w:r>
              <w:rPr>
                <w:sz w:val="21"/>
              </w:rPr>
              <w:t>≤M＜200</w:t>
            </w:r>
            <w:r>
              <w:rPr>
                <w:spacing w:val="-53"/>
                <w:sz w:val="21"/>
              </w:rPr>
              <w:t> </w:t>
            </w:r>
            <w:r>
              <w:rPr>
                <w:sz w:val="21"/>
              </w:rPr>
              <w:t>万</w:t>
              <w:tab/>
              <w:t>1.0%</w:t>
            </w:r>
          </w:p>
          <w:p>
            <w:pPr>
              <w:pStyle w:val="TableParagraph"/>
              <w:spacing w:before="6"/>
              <w:rPr>
                <w:sz w:val="15"/>
              </w:rPr>
            </w:pPr>
          </w:p>
          <w:p>
            <w:pPr>
              <w:pStyle w:val="TableParagraph"/>
              <w:tabs>
                <w:tab w:pos="2211" w:val="left" w:leader="none"/>
              </w:tabs>
              <w:ind w:left="3"/>
              <w:jc w:val="center"/>
              <w:rPr>
                <w:sz w:val="21"/>
              </w:rPr>
            </w:pPr>
            <w:r>
              <w:rPr>
                <w:sz w:val="21"/>
              </w:rPr>
              <w:t>200</w:t>
            </w:r>
            <w:r>
              <w:rPr>
                <w:spacing w:val="-52"/>
                <w:sz w:val="21"/>
              </w:rPr>
              <w:t> </w:t>
            </w:r>
            <w:r>
              <w:rPr>
                <w:spacing w:val="-3"/>
                <w:sz w:val="21"/>
              </w:rPr>
              <w:t>万</w:t>
            </w:r>
            <w:r>
              <w:rPr>
                <w:sz w:val="21"/>
              </w:rPr>
              <w:t>≤M＜500</w:t>
            </w:r>
            <w:r>
              <w:rPr>
                <w:spacing w:val="-53"/>
                <w:sz w:val="21"/>
              </w:rPr>
              <w:t> </w:t>
            </w:r>
            <w:r>
              <w:rPr>
                <w:sz w:val="21"/>
              </w:rPr>
              <w:t>万</w:t>
              <w:tab/>
              <w:t>0.6%</w:t>
            </w:r>
          </w:p>
          <w:p>
            <w:pPr>
              <w:pStyle w:val="TableParagraph"/>
              <w:spacing w:before="7"/>
              <w:rPr>
                <w:sz w:val="15"/>
              </w:rPr>
            </w:pPr>
          </w:p>
          <w:p>
            <w:pPr>
              <w:pStyle w:val="TableParagraph"/>
              <w:tabs>
                <w:tab w:pos="1424" w:val="left" w:leader="none"/>
              </w:tabs>
              <w:ind w:left="5"/>
              <w:jc w:val="center"/>
              <w:rPr>
                <w:sz w:val="21"/>
              </w:rPr>
            </w:pPr>
            <w:r>
              <w:rPr>
                <w:sz w:val="21"/>
              </w:rPr>
              <w:t>M≥500</w:t>
            </w:r>
            <w:r>
              <w:rPr>
                <w:spacing w:val="-53"/>
                <w:sz w:val="21"/>
              </w:rPr>
              <w:t> </w:t>
            </w:r>
            <w:r>
              <w:rPr>
                <w:sz w:val="21"/>
              </w:rPr>
              <w:t>万</w:t>
              <w:tab/>
              <w:t>按</w:t>
            </w:r>
            <w:r>
              <w:rPr>
                <w:spacing w:val="-3"/>
                <w:sz w:val="21"/>
              </w:rPr>
              <w:t>笔</w:t>
            </w:r>
            <w:r>
              <w:rPr>
                <w:sz w:val="21"/>
              </w:rPr>
              <w:t>收</w:t>
            </w:r>
            <w:r>
              <w:rPr>
                <w:spacing w:val="-3"/>
                <w:sz w:val="21"/>
              </w:rPr>
              <w:t>取</w:t>
            </w:r>
            <w:r>
              <w:rPr>
                <w:sz w:val="21"/>
              </w:rPr>
              <w:t>,500</w:t>
            </w:r>
            <w:r>
              <w:rPr>
                <w:spacing w:val="-53"/>
                <w:sz w:val="21"/>
              </w:rPr>
              <w:t> </w:t>
            </w:r>
            <w:r>
              <w:rPr>
                <w:spacing w:val="-3"/>
                <w:sz w:val="21"/>
              </w:rPr>
              <w:t>元</w:t>
            </w:r>
            <w:r>
              <w:rPr>
                <w:sz w:val="21"/>
              </w:rPr>
              <w:t>/笔</w:t>
            </w:r>
          </w:p>
        </w:tc>
      </w:tr>
      <w:tr>
        <w:trPr>
          <w:trHeight w:val="2339" w:hRule="atLeast"/>
        </w:trPr>
        <w:tc>
          <w:tcPr>
            <w:tcW w:w="1801" w:type="dxa"/>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139" w:right="136"/>
              <w:jc w:val="center"/>
              <w:rPr>
                <w:sz w:val="21"/>
              </w:rPr>
            </w:pPr>
            <w:r>
              <w:rPr>
                <w:sz w:val="21"/>
              </w:rPr>
              <w:t>动力平衡基金</w:t>
            </w:r>
          </w:p>
        </w:tc>
        <w:tc>
          <w:tcPr>
            <w:tcW w:w="5041" w:type="dxa"/>
          </w:tcPr>
          <w:p>
            <w:pPr>
              <w:pStyle w:val="TableParagraph"/>
              <w:tabs>
                <w:tab w:pos="2159" w:val="left" w:leader="none"/>
              </w:tabs>
              <w:spacing w:before="99"/>
              <w:ind w:left="3"/>
              <w:jc w:val="center"/>
              <w:rPr>
                <w:sz w:val="21"/>
              </w:rPr>
            </w:pPr>
            <w:r>
              <w:rPr>
                <w:sz w:val="21"/>
              </w:rPr>
              <w:t>M＜50</w:t>
            </w:r>
            <w:r>
              <w:rPr>
                <w:spacing w:val="-54"/>
                <w:sz w:val="21"/>
              </w:rPr>
              <w:t> </w:t>
            </w:r>
            <w:r>
              <w:rPr>
                <w:sz w:val="21"/>
              </w:rPr>
              <w:t>万</w:t>
              <w:tab/>
              <w:t>1.5%</w:t>
            </w:r>
          </w:p>
          <w:p>
            <w:pPr>
              <w:pStyle w:val="TableParagraph"/>
              <w:spacing w:before="7"/>
              <w:rPr>
                <w:sz w:val="15"/>
              </w:rPr>
            </w:pPr>
          </w:p>
          <w:p>
            <w:pPr>
              <w:pStyle w:val="TableParagraph"/>
              <w:tabs>
                <w:tab w:pos="2211" w:val="left" w:leader="none"/>
              </w:tabs>
              <w:ind w:left="3"/>
              <w:jc w:val="center"/>
              <w:rPr>
                <w:sz w:val="21"/>
              </w:rPr>
            </w:pPr>
            <w:r>
              <w:rPr>
                <w:sz w:val="21"/>
              </w:rPr>
              <w:t>50</w:t>
            </w:r>
            <w:r>
              <w:rPr>
                <w:spacing w:val="-52"/>
                <w:sz w:val="21"/>
              </w:rPr>
              <w:t> </w:t>
            </w:r>
            <w:r>
              <w:rPr>
                <w:spacing w:val="-3"/>
                <w:sz w:val="21"/>
              </w:rPr>
              <w:t>万</w:t>
            </w:r>
            <w:r>
              <w:rPr>
                <w:sz w:val="21"/>
              </w:rPr>
              <w:t>≤M＜100</w:t>
            </w:r>
            <w:r>
              <w:rPr>
                <w:spacing w:val="-54"/>
                <w:sz w:val="21"/>
              </w:rPr>
              <w:t> </w:t>
            </w:r>
            <w:r>
              <w:rPr>
                <w:sz w:val="21"/>
              </w:rPr>
              <w:t>万</w:t>
              <w:tab/>
              <w:t>1.2%</w:t>
            </w:r>
          </w:p>
          <w:p>
            <w:pPr>
              <w:pStyle w:val="TableParagraph"/>
              <w:spacing w:before="6"/>
              <w:rPr>
                <w:sz w:val="15"/>
              </w:rPr>
            </w:pPr>
          </w:p>
          <w:p>
            <w:pPr>
              <w:pStyle w:val="TableParagraph"/>
              <w:tabs>
                <w:tab w:pos="2211" w:val="left" w:leader="none"/>
              </w:tabs>
              <w:spacing w:before="1"/>
              <w:ind w:left="3"/>
              <w:jc w:val="center"/>
              <w:rPr>
                <w:sz w:val="21"/>
              </w:rPr>
            </w:pPr>
            <w:r>
              <w:rPr>
                <w:sz w:val="21"/>
              </w:rPr>
              <w:t>100</w:t>
            </w:r>
            <w:r>
              <w:rPr>
                <w:spacing w:val="-52"/>
                <w:sz w:val="21"/>
              </w:rPr>
              <w:t> </w:t>
            </w:r>
            <w:r>
              <w:rPr>
                <w:spacing w:val="-3"/>
                <w:sz w:val="21"/>
              </w:rPr>
              <w:t>万</w:t>
            </w:r>
            <w:r>
              <w:rPr>
                <w:sz w:val="21"/>
              </w:rPr>
              <w:t>≤M＜200</w:t>
            </w:r>
            <w:r>
              <w:rPr>
                <w:spacing w:val="-53"/>
                <w:sz w:val="21"/>
              </w:rPr>
              <w:t> </w:t>
            </w:r>
            <w:r>
              <w:rPr>
                <w:sz w:val="21"/>
              </w:rPr>
              <w:t>万</w:t>
              <w:tab/>
              <w:t>1.0%</w:t>
            </w:r>
          </w:p>
          <w:p>
            <w:pPr>
              <w:pStyle w:val="TableParagraph"/>
              <w:spacing w:before="6"/>
              <w:rPr>
                <w:sz w:val="15"/>
              </w:rPr>
            </w:pPr>
          </w:p>
          <w:p>
            <w:pPr>
              <w:pStyle w:val="TableParagraph"/>
              <w:tabs>
                <w:tab w:pos="2211" w:val="left" w:leader="none"/>
              </w:tabs>
              <w:ind w:left="3"/>
              <w:jc w:val="center"/>
              <w:rPr>
                <w:sz w:val="21"/>
              </w:rPr>
            </w:pPr>
            <w:r>
              <w:rPr>
                <w:sz w:val="21"/>
              </w:rPr>
              <w:t>200</w:t>
            </w:r>
            <w:r>
              <w:rPr>
                <w:spacing w:val="-52"/>
                <w:sz w:val="21"/>
              </w:rPr>
              <w:t> </w:t>
            </w:r>
            <w:r>
              <w:rPr>
                <w:spacing w:val="-3"/>
                <w:sz w:val="21"/>
              </w:rPr>
              <w:t>万</w:t>
            </w:r>
            <w:r>
              <w:rPr>
                <w:sz w:val="21"/>
              </w:rPr>
              <w:t>≤M＜500</w:t>
            </w:r>
            <w:r>
              <w:rPr>
                <w:spacing w:val="-53"/>
                <w:sz w:val="21"/>
              </w:rPr>
              <w:t> </w:t>
            </w:r>
            <w:r>
              <w:rPr>
                <w:sz w:val="21"/>
              </w:rPr>
              <w:t>万</w:t>
              <w:tab/>
              <w:t>0.6%</w:t>
            </w:r>
          </w:p>
          <w:p>
            <w:pPr>
              <w:pStyle w:val="TableParagraph"/>
              <w:spacing w:before="7"/>
              <w:rPr>
                <w:sz w:val="15"/>
              </w:rPr>
            </w:pPr>
          </w:p>
          <w:p>
            <w:pPr>
              <w:pStyle w:val="TableParagraph"/>
              <w:tabs>
                <w:tab w:pos="1424" w:val="left" w:leader="none"/>
              </w:tabs>
              <w:spacing w:before="1"/>
              <w:ind w:left="5"/>
              <w:jc w:val="center"/>
              <w:rPr>
                <w:sz w:val="21"/>
              </w:rPr>
            </w:pPr>
            <w:r>
              <w:rPr>
                <w:sz w:val="21"/>
              </w:rPr>
              <w:t>M≥500</w:t>
            </w:r>
            <w:r>
              <w:rPr>
                <w:spacing w:val="-53"/>
                <w:sz w:val="21"/>
              </w:rPr>
              <w:t> </w:t>
            </w:r>
            <w:r>
              <w:rPr>
                <w:sz w:val="21"/>
              </w:rPr>
              <w:t>万</w:t>
              <w:tab/>
              <w:t>按</w:t>
            </w:r>
            <w:r>
              <w:rPr>
                <w:spacing w:val="-3"/>
                <w:sz w:val="21"/>
              </w:rPr>
              <w:t>笔</w:t>
            </w:r>
            <w:r>
              <w:rPr>
                <w:sz w:val="21"/>
              </w:rPr>
              <w:t>收</w:t>
            </w:r>
            <w:r>
              <w:rPr>
                <w:spacing w:val="-3"/>
                <w:sz w:val="21"/>
              </w:rPr>
              <w:t>取</w:t>
            </w:r>
            <w:r>
              <w:rPr>
                <w:sz w:val="21"/>
              </w:rPr>
              <w:t>,500</w:t>
            </w:r>
            <w:r>
              <w:rPr>
                <w:spacing w:val="-53"/>
                <w:sz w:val="21"/>
              </w:rPr>
              <w:t> </w:t>
            </w:r>
            <w:r>
              <w:rPr>
                <w:spacing w:val="-3"/>
                <w:sz w:val="21"/>
              </w:rPr>
              <w:t>元</w:t>
            </w:r>
            <w:r>
              <w:rPr>
                <w:sz w:val="21"/>
              </w:rPr>
              <w:t>/笔</w:t>
            </w:r>
          </w:p>
        </w:tc>
      </w:tr>
    </w:tbl>
    <w:p>
      <w:pPr>
        <w:pStyle w:val="BodyText"/>
        <w:spacing w:before="99"/>
        <w:ind w:left="1183"/>
      </w:pPr>
      <w:r>
        <w:rPr>
          <w:rFonts w:ascii="Times New Roman" w:eastAsia="Times New Roman"/>
        </w:rPr>
        <w:t>M </w:t>
      </w:r>
      <w:r>
        <w:rPr/>
        <w:t>表示申购金额。</w:t>
      </w:r>
    </w:p>
    <w:p>
      <w:pPr>
        <w:pStyle w:val="BodyText"/>
        <w:spacing w:before="7"/>
        <w:rPr>
          <w:sz w:val="15"/>
        </w:rPr>
      </w:pPr>
    </w:p>
    <w:p>
      <w:pPr>
        <w:pStyle w:val="ListParagraph"/>
        <w:numPr>
          <w:ilvl w:val="0"/>
          <w:numId w:val="35"/>
        </w:numPr>
        <w:tabs>
          <w:tab w:pos="1607" w:val="left" w:leader="none"/>
        </w:tabs>
        <w:spacing w:line="240" w:lineRule="auto" w:before="0" w:after="0"/>
        <w:ind w:left="1607" w:right="0" w:hanging="529"/>
        <w:jc w:val="left"/>
        <w:rPr>
          <w:sz w:val="21"/>
        </w:rPr>
      </w:pPr>
      <w:r>
        <w:rPr>
          <w:spacing w:val="-2"/>
          <w:sz w:val="21"/>
        </w:rPr>
        <w:t>计算公式</w:t>
      </w:r>
    </w:p>
    <w:p>
      <w:pPr>
        <w:pStyle w:val="BodyText"/>
        <w:spacing w:before="7"/>
        <w:rPr>
          <w:sz w:val="15"/>
        </w:rPr>
      </w:pPr>
    </w:p>
    <w:p>
      <w:pPr>
        <w:pStyle w:val="BodyText"/>
        <w:ind w:left="1078"/>
      </w:pPr>
      <w:r>
        <w:rPr/>
        <w:t>本系列基金采用金额申购方法，计算公式如下：</w:t>
      </w:r>
    </w:p>
    <w:p>
      <w:pPr>
        <w:pStyle w:val="BodyText"/>
        <w:spacing w:before="6"/>
        <w:rPr>
          <w:sz w:val="15"/>
        </w:rPr>
      </w:pPr>
    </w:p>
    <w:p>
      <w:pPr>
        <w:pStyle w:val="BodyText"/>
        <w:spacing w:line="417" w:lineRule="auto" w:before="1"/>
        <w:ind w:left="1078" w:right="4372"/>
      </w:pPr>
      <w:r>
        <w:rPr>
          <w:spacing w:val="-4"/>
        </w:rPr>
        <w:t>基金的申购金额包括申购费用和净申购金额，其中： </w:t>
      </w:r>
      <w:r>
        <w:rPr>
          <w:spacing w:val="-3"/>
          <w:w w:val="100"/>
        </w:rPr>
        <w:t>净申购金额=申购金额</w:t>
      </w:r>
      <w:r>
        <w:rPr>
          <w:w w:val="100"/>
        </w:rPr>
        <w:t>/</w:t>
      </w:r>
      <w:r>
        <w:rPr>
          <w:spacing w:val="-3"/>
          <w:w w:val="100"/>
        </w:rPr>
        <w:t>（1</w:t>
      </w:r>
      <w:r>
        <w:rPr>
          <w:spacing w:val="-1"/>
          <w:w w:val="100"/>
        </w:rPr>
        <w:t>+申购费率</w:t>
      </w:r>
      <w:r>
        <w:rPr>
          <w:spacing w:val="-108"/>
          <w:w w:val="100"/>
        </w:rPr>
        <w:t>）</w:t>
      </w:r>
      <w:r>
        <w:rPr>
          <w:w w:val="100"/>
        </w:rPr>
        <w:t>；</w:t>
      </w:r>
    </w:p>
    <w:p>
      <w:pPr>
        <w:pStyle w:val="BodyText"/>
        <w:spacing w:line="269" w:lineRule="exact"/>
        <w:ind w:left="1078"/>
      </w:pPr>
      <w:r>
        <w:rPr/>
        <w:t>申购费用=申购金额-净申购金额；</w:t>
      </w:r>
    </w:p>
    <w:p>
      <w:pPr>
        <w:pStyle w:val="BodyText"/>
        <w:spacing w:before="7"/>
        <w:rPr>
          <w:sz w:val="15"/>
        </w:rPr>
      </w:pPr>
    </w:p>
    <w:p>
      <w:pPr>
        <w:pStyle w:val="BodyText"/>
        <w:ind w:left="1078"/>
      </w:pPr>
      <w:r>
        <w:rPr/>
        <w:t>申购份额=净申购金额/T 日基金份额净值。</w:t>
      </w:r>
    </w:p>
    <w:p>
      <w:pPr>
        <w:pStyle w:val="BodyText"/>
        <w:spacing w:before="7"/>
        <w:rPr>
          <w:sz w:val="15"/>
        </w:rPr>
      </w:pPr>
    </w:p>
    <w:p>
      <w:pPr>
        <w:pStyle w:val="ListParagraph"/>
        <w:numPr>
          <w:ilvl w:val="0"/>
          <w:numId w:val="35"/>
        </w:numPr>
        <w:tabs>
          <w:tab w:pos="1607" w:val="left" w:leader="none"/>
        </w:tabs>
        <w:spacing w:line="417" w:lineRule="auto" w:before="0" w:after="0"/>
        <w:ind w:left="658" w:right="1309" w:firstLine="419"/>
        <w:jc w:val="left"/>
        <w:rPr>
          <w:sz w:val="21"/>
        </w:rPr>
      </w:pPr>
      <w:r>
        <w:rPr>
          <w:spacing w:val="-9"/>
          <w:sz w:val="21"/>
        </w:rPr>
        <w:t>例：某投资者投资 </w:t>
      </w:r>
      <w:r>
        <w:rPr>
          <w:sz w:val="21"/>
        </w:rPr>
        <w:t>5,000</w:t>
      </w:r>
      <w:r>
        <w:rPr>
          <w:spacing w:val="-11"/>
          <w:sz w:val="21"/>
        </w:rPr>
        <w:t> 元申购动力平衡基金，申购费率为 </w:t>
      </w:r>
      <w:r>
        <w:rPr>
          <w:spacing w:val="-3"/>
          <w:sz w:val="21"/>
        </w:rPr>
        <w:t>1.5%，假设申购当日</w:t>
      </w:r>
      <w:r>
        <w:rPr>
          <w:spacing w:val="-10"/>
          <w:sz w:val="21"/>
        </w:rPr>
        <w:t>基金份额净值为 </w:t>
      </w:r>
      <w:r>
        <w:rPr>
          <w:sz w:val="21"/>
        </w:rPr>
        <w:t>1.1283</w:t>
      </w:r>
      <w:r>
        <w:rPr>
          <w:spacing w:val="-9"/>
          <w:sz w:val="21"/>
        </w:rPr>
        <w:t> 元，则其可得到的申购份额为：</w:t>
      </w:r>
    </w:p>
    <w:p>
      <w:pPr>
        <w:pStyle w:val="BodyText"/>
        <w:spacing w:line="417" w:lineRule="auto"/>
        <w:ind w:left="1078" w:right="5100"/>
      </w:pPr>
      <w:r>
        <w:rPr/>
        <w:t>净申购金额=5000/（1+1.5%）=4926.11 元； 申购费用=5000-4926.11=73.89 元；</w:t>
      </w:r>
    </w:p>
    <w:p>
      <w:pPr>
        <w:pStyle w:val="BodyText"/>
        <w:spacing w:line="269" w:lineRule="exact"/>
        <w:ind w:left="1078"/>
      </w:pPr>
      <w:r>
        <w:rPr/>
        <w:t>申购份额=4926.11/1.1283=4365.95 份</w:t>
      </w:r>
    </w:p>
    <w:p>
      <w:pPr>
        <w:pStyle w:val="BodyText"/>
        <w:rPr>
          <w:sz w:val="20"/>
        </w:rPr>
      </w:pPr>
    </w:p>
    <w:p>
      <w:pPr>
        <w:pStyle w:val="BodyText"/>
        <w:rPr>
          <w:sz w:val="20"/>
        </w:rPr>
      </w:pPr>
    </w:p>
    <w:p>
      <w:pPr>
        <w:pStyle w:val="BodyText"/>
        <w:spacing w:before="154"/>
        <w:ind w:left="1078"/>
      </w:pPr>
      <w:r>
        <w:rPr/>
        <w:t>2、赎回费</w:t>
      </w:r>
    </w:p>
    <w:p>
      <w:pPr>
        <w:pStyle w:val="BodyText"/>
        <w:spacing w:before="7"/>
        <w:rPr>
          <w:sz w:val="15"/>
        </w:rPr>
      </w:pPr>
    </w:p>
    <w:p>
      <w:pPr>
        <w:pStyle w:val="ListParagraph"/>
        <w:numPr>
          <w:ilvl w:val="0"/>
          <w:numId w:val="36"/>
        </w:numPr>
        <w:tabs>
          <w:tab w:pos="1607" w:val="left" w:leader="none"/>
        </w:tabs>
        <w:spacing w:line="240" w:lineRule="auto" w:before="0" w:after="0"/>
        <w:ind w:left="1607" w:right="0" w:hanging="529"/>
        <w:jc w:val="left"/>
        <w:rPr>
          <w:sz w:val="21"/>
        </w:rPr>
      </w:pPr>
      <w:r>
        <w:rPr>
          <w:spacing w:val="-3"/>
          <w:sz w:val="21"/>
        </w:rPr>
        <w:t>适用费率：</w:t>
      </w:r>
    </w:p>
    <w:p>
      <w:pPr>
        <w:spacing w:after="0" w:line="240" w:lineRule="auto"/>
        <w:jc w:val="left"/>
        <w:rPr>
          <w:sz w:val="21"/>
        </w:rPr>
        <w:sectPr>
          <w:pgSz w:w="11910" w:h="16840"/>
          <w:pgMar w:header="852" w:footer="992" w:top="1220" w:bottom="1180" w:left="1140" w:right="480"/>
        </w:sectPr>
      </w:pPr>
    </w:p>
    <w:p>
      <w:pPr>
        <w:pStyle w:val="BodyText"/>
        <w:spacing w:before="11"/>
        <w:rPr>
          <w:sz w:val="16"/>
        </w:rPr>
      </w:pPr>
    </w:p>
    <w:tbl>
      <w:tblPr>
        <w:tblW w:w="0" w:type="auto"/>
        <w:jc w:val="left"/>
        <w:tblInd w:w="1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1"/>
        <w:gridCol w:w="4170"/>
      </w:tblGrid>
      <w:tr>
        <w:trPr>
          <w:trHeight w:val="468" w:hRule="atLeast"/>
        </w:trPr>
        <w:tc>
          <w:tcPr>
            <w:tcW w:w="1801" w:type="dxa"/>
          </w:tcPr>
          <w:p>
            <w:pPr>
              <w:pStyle w:val="TableParagraph"/>
              <w:spacing w:before="99"/>
              <w:ind w:left="142" w:right="134"/>
              <w:jc w:val="center"/>
              <w:rPr>
                <w:b/>
                <w:sz w:val="21"/>
              </w:rPr>
            </w:pPr>
            <w:r>
              <w:rPr>
                <w:b/>
                <w:sz w:val="21"/>
              </w:rPr>
              <w:t>基金名称</w:t>
            </w:r>
          </w:p>
        </w:tc>
        <w:tc>
          <w:tcPr>
            <w:tcW w:w="4170" w:type="dxa"/>
          </w:tcPr>
          <w:p>
            <w:pPr>
              <w:pStyle w:val="TableParagraph"/>
              <w:spacing w:before="99"/>
              <w:ind w:left="1641" w:right="1635"/>
              <w:jc w:val="center"/>
              <w:rPr>
                <w:b/>
                <w:sz w:val="21"/>
              </w:rPr>
            </w:pPr>
            <w:r>
              <w:rPr>
                <w:b/>
                <w:sz w:val="21"/>
              </w:rPr>
              <w:t>赎回费率</w:t>
            </w:r>
          </w:p>
        </w:tc>
      </w:tr>
      <w:tr>
        <w:trPr>
          <w:trHeight w:val="1871" w:hRule="atLeast"/>
        </w:trPr>
        <w:tc>
          <w:tcPr>
            <w:tcW w:w="1801" w:type="dxa"/>
          </w:tcPr>
          <w:p>
            <w:pPr>
              <w:pStyle w:val="TableParagraph"/>
              <w:rPr>
                <w:sz w:val="20"/>
              </w:rPr>
            </w:pPr>
          </w:p>
          <w:p>
            <w:pPr>
              <w:pStyle w:val="TableParagraph"/>
              <w:rPr>
                <w:sz w:val="20"/>
              </w:rPr>
            </w:pPr>
          </w:p>
          <w:p>
            <w:pPr>
              <w:pStyle w:val="TableParagraph"/>
              <w:spacing w:before="8"/>
              <w:rPr>
                <w:sz w:val="22"/>
              </w:rPr>
            </w:pPr>
          </w:p>
          <w:p>
            <w:pPr>
              <w:pStyle w:val="TableParagraph"/>
              <w:ind w:left="142" w:right="134"/>
              <w:jc w:val="center"/>
              <w:rPr>
                <w:sz w:val="21"/>
              </w:rPr>
            </w:pPr>
            <w:r>
              <w:rPr>
                <w:sz w:val="21"/>
              </w:rPr>
              <w:t>优选混合型基金</w:t>
            </w:r>
          </w:p>
        </w:tc>
        <w:tc>
          <w:tcPr>
            <w:tcW w:w="4170" w:type="dxa"/>
          </w:tcPr>
          <w:p>
            <w:pPr>
              <w:pStyle w:val="TableParagraph"/>
              <w:tabs>
                <w:tab w:pos="3623" w:val="left" w:leader="none"/>
              </w:tabs>
              <w:spacing w:before="99"/>
              <w:ind w:left="107"/>
              <w:rPr>
                <w:rFonts w:ascii="Times New Roman" w:eastAsia="Times New Roman"/>
                <w:sz w:val="21"/>
              </w:rPr>
            </w:pPr>
            <w:r>
              <w:rPr>
                <w:rFonts w:ascii="Times New Roman" w:eastAsia="Times New Roman"/>
                <w:sz w:val="21"/>
              </w:rPr>
              <w:t>7</w:t>
            </w:r>
            <w:r>
              <w:rPr>
                <w:rFonts w:ascii="Times New Roman" w:eastAsia="Times New Roman"/>
                <w:spacing w:val="-4"/>
                <w:sz w:val="21"/>
              </w:rPr>
              <w:t> </w:t>
            </w:r>
            <w:r>
              <w:rPr>
                <w:sz w:val="21"/>
              </w:rPr>
              <w:t>天以内</w:t>
              <w:tab/>
            </w:r>
            <w:r>
              <w:rPr>
                <w:rFonts w:ascii="Times New Roman" w:eastAsia="Times New Roman"/>
                <w:sz w:val="21"/>
              </w:rPr>
              <w:t>1.5%</w:t>
            </w:r>
          </w:p>
          <w:p>
            <w:pPr>
              <w:pStyle w:val="TableParagraph"/>
              <w:spacing w:before="7"/>
              <w:rPr>
                <w:sz w:val="15"/>
              </w:rPr>
            </w:pPr>
          </w:p>
          <w:p>
            <w:pPr>
              <w:pStyle w:val="TableParagraph"/>
              <w:tabs>
                <w:tab w:pos="3155" w:val="left" w:leader="none"/>
              </w:tabs>
              <w:ind w:left="107"/>
              <w:rPr>
                <w:rFonts w:ascii="Times New Roman" w:eastAsia="Times New Roman"/>
                <w:sz w:val="21"/>
              </w:rPr>
            </w:pPr>
            <w:r>
              <w:rPr>
                <w:rFonts w:ascii="Times New Roman" w:eastAsia="Times New Roman"/>
                <w:sz w:val="21"/>
              </w:rPr>
              <w:t>7</w:t>
            </w:r>
            <w:r>
              <w:rPr>
                <w:rFonts w:ascii="Times New Roman" w:eastAsia="Times New Roman"/>
                <w:spacing w:val="2"/>
                <w:sz w:val="21"/>
              </w:rPr>
              <w:t> </w:t>
            </w:r>
            <w:r>
              <w:rPr>
                <w:sz w:val="21"/>
              </w:rPr>
              <w:t>天</w:t>
            </w:r>
            <w:r>
              <w:rPr>
                <w:spacing w:val="-3"/>
                <w:sz w:val="21"/>
              </w:rPr>
              <w:t>以</w:t>
            </w:r>
            <w:r>
              <w:rPr>
                <w:sz w:val="21"/>
              </w:rPr>
              <w:t>上</w:t>
            </w:r>
            <w:r>
              <w:rPr>
                <w:spacing w:val="-3"/>
                <w:sz w:val="21"/>
              </w:rPr>
              <w:t>（</w:t>
            </w:r>
            <w:r>
              <w:rPr>
                <w:sz w:val="21"/>
              </w:rPr>
              <w:t>含）－</w:t>
            </w:r>
            <w:r>
              <w:rPr>
                <w:rFonts w:ascii="Times New Roman" w:eastAsia="Times New Roman"/>
                <w:sz w:val="21"/>
              </w:rPr>
              <w:t>1</w:t>
            </w:r>
            <w:r>
              <w:rPr>
                <w:rFonts w:ascii="Times New Roman" w:eastAsia="Times New Roman"/>
                <w:spacing w:val="-1"/>
                <w:sz w:val="21"/>
              </w:rPr>
              <w:t> </w:t>
            </w:r>
            <w:r>
              <w:rPr>
                <w:sz w:val="21"/>
              </w:rPr>
              <w:t>年</w:t>
            </w:r>
            <w:r>
              <w:rPr>
                <w:spacing w:val="-3"/>
                <w:sz w:val="21"/>
              </w:rPr>
              <w:t>以</w:t>
            </w:r>
            <w:r>
              <w:rPr>
                <w:sz w:val="21"/>
              </w:rPr>
              <w:t>内</w:t>
              <w:tab/>
            </w:r>
            <w:r>
              <w:rPr>
                <w:rFonts w:ascii="Times New Roman" w:eastAsia="Times New Roman"/>
                <w:sz w:val="21"/>
              </w:rPr>
              <w:t>0.4%</w:t>
            </w:r>
          </w:p>
          <w:p>
            <w:pPr>
              <w:pStyle w:val="TableParagraph"/>
              <w:spacing w:before="6"/>
              <w:rPr>
                <w:sz w:val="15"/>
              </w:rPr>
            </w:pPr>
          </w:p>
          <w:p>
            <w:pPr>
              <w:pStyle w:val="TableParagraph"/>
              <w:tabs>
                <w:tab w:pos="2313" w:val="left" w:leader="none"/>
              </w:tabs>
              <w:spacing w:before="1"/>
              <w:ind w:left="107"/>
              <w:rPr>
                <w:rFonts w:ascii="Times New Roman" w:eastAsia="Times New Roman"/>
                <w:sz w:val="21"/>
              </w:rPr>
            </w:pPr>
            <w:r>
              <w:rPr>
                <w:rFonts w:ascii="Times New Roman" w:eastAsia="Times New Roman"/>
                <w:sz w:val="21"/>
              </w:rPr>
              <w:t>1</w:t>
            </w:r>
            <w:r>
              <w:rPr>
                <w:rFonts w:ascii="Times New Roman" w:eastAsia="Times New Roman"/>
                <w:spacing w:val="1"/>
                <w:sz w:val="21"/>
              </w:rPr>
              <w:t> </w:t>
            </w:r>
            <w:r>
              <w:rPr>
                <w:sz w:val="21"/>
              </w:rPr>
              <w:t>年</w:t>
            </w:r>
            <w:r>
              <w:rPr>
                <w:spacing w:val="-3"/>
                <w:sz w:val="21"/>
              </w:rPr>
              <w:t>以</w:t>
            </w:r>
            <w:r>
              <w:rPr>
                <w:sz w:val="21"/>
              </w:rPr>
              <w:t>上</w:t>
            </w:r>
            <w:r>
              <w:rPr>
                <w:spacing w:val="-3"/>
                <w:sz w:val="21"/>
              </w:rPr>
              <w:t>（</w:t>
            </w:r>
            <w:r>
              <w:rPr>
                <w:sz w:val="21"/>
              </w:rPr>
              <w:t>含）－</w:t>
            </w:r>
            <w:r>
              <w:rPr>
                <w:rFonts w:ascii="Times New Roman" w:eastAsia="Times New Roman"/>
                <w:sz w:val="21"/>
              </w:rPr>
              <w:t>2</w:t>
            </w:r>
            <w:r>
              <w:rPr>
                <w:rFonts w:ascii="Times New Roman" w:eastAsia="Times New Roman"/>
                <w:spacing w:val="-1"/>
                <w:sz w:val="21"/>
              </w:rPr>
              <w:t> </w:t>
            </w:r>
            <w:r>
              <w:rPr>
                <w:sz w:val="21"/>
              </w:rPr>
              <w:t>年</w:t>
              <w:tab/>
            </w:r>
            <w:r>
              <w:rPr>
                <w:rFonts w:ascii="Times New Roman" w:eastAsia="Times New Roman"/>
                <w:sz w:val="21"/>
              </w:rPr>
              <w:t>0.25%</w:t>
            </w:r>
          </w:p>
          <w:p>
            <w:pPr>
              <w:pStyle w:val="TableParagraph"/>
              <w:spacing w:before="6"/>
              <w:rPr>
                <w:sz w:val="15"/>
              </w:rPr>
            </w:pPr>
          </w:p>
          <w:p>
            <w:pPr>
              <w:pStyle w:val="TableParagraph"/>
              <w:tabs>
                <w:tab w:pos="1737" w:val="left" w:leader="none"/>
              </w:tabs>
              <w:ind w:left="107"/>
              <w:rPr>
                <w:rFonts w:ascii="Times New Roman" w:eastAsia="Times New Roman"/>
                <w:sz w:val="21"/>
              </w:rPr>
            </w:pPr>
            <w:r>
              <w:rPr>
                <w:rFonts w:ascii="Times New Roman" w:eastAsia="Times New Roman"/>
                <w:sz w:val="21"/>
              </w:rPr>
              <w:t>2</w:t>
            </w:r>
            <w:r>
              <w:rPr>
                <w:rFonts w:ascii="Times New Roman" w:eastAsia="Times New Roman"/>
                <w:spacing w:val="2"/>
                <w:sz w:val="21"/>
              </w:rPr>
              <w:t> </w:t>
            </w:r>
            <w:r>
              <w:rPr>
                <w:sz w:val="21"/>
              </w:rPr>
              <w:t>年</w:t>
            </w:r>
            <w:r>
              <w:rPr>
                <w:spacing w:val="-3"/>
                <w:sz w:val="21"/>
              </w:rPr>
              <w:t>以</w:t>
            </w:r>
            <w:r>
              <w:rPr>
                <w:sz w:val="21"/>
              </w:rPr>
              <w:t>上</w:t>
            </w:r>
            <w:r>
              <w:rPr>
                <w:spacing w:val="-3"/>
                <w:sz w:val="21"/>
              </w:rPr>
              <w:t>（</w:t>
            </w:r>
            <w:r>
              <w:rPr>
                <w:sz w:val="21"/>
              </w:rPr>
              <w:t>含）</w:t>
              <w:tab/>
            </w:r>
            <w:r>
              <w:rPr>
                <w:rFonts w:ascii="Times New Roman" w:eastAsia="Times New Roman"/>
                <w:sz w:val="21"/>
              </w:rPr>
              <w:t>0</w:t>
            </w:r>
          </w:p>
        </w:tc>
      </w:tr>
      <w:tr>
        <w:trPr>
          <w:trHeight w:val="1874" w:hRule="atLeast"/>
        </w:trPr>
        <w:tc>
          <w:tcPr>
            <w:tcW w:w="1801" w:type="dxa"/>
          </w:tcPr>
          <w:p>
            <w:pPr>
              <w:pStyle w:val="TableParagraph"/>
              <w:rPr>
                <w:sz w:val="20"/>
              </w:rPr>
            </w:pPr>
          </w:p>
          <w:p>
            <w:pPr>
              <w:pStyle w:val="TableParagraph"/>
              <w:rPr>
                <w:sz w:val="20"/>
              </w:rPr>
            </w:pPr>
          </w:p>
          <w:p>
            <w:pPr>
              <w:pStyle w:val="TableParagraph"/>
              <w:spacing w:before="8"/>
              <w:rPr>
                <w:sz w:val="22"/>
              </w:rPr>
            </w:pPr>
          </w:p>
          <w:p>
            <w:pPr>
              <w:pStyle w:val="TableParagraph"/>
              <w:ind w:left="142" w:right="134"/>
              <w:jc w:val="center"/>
              <w:rPr>
                <w:sz w:val="21"/>
              </w:rPr>
            </w:pPr>
            <w:r>
              <w:rPr>
                <w:sz w:val="21"/>
              </w:rPr>
              <w:t>动力平衡基金</w:t>
            </w:r>
          </w:p>
        </w:tc>
        <w:tc>
          <w:tcPr>
            <w:tcW w:w="4170" w:type="dxa"/>
          </w:tcPr>
          <w:p>
            <w:pPr>
              <w:pStyle w:val="TableParagraph"/>
              <w:tabs>
                <w:tab w:pos="3520" w:val="left" w:leader="none"/>
              </w:tabs>
              <w:spacing w:before="99"/>
              <w:ind w:left="107"/>
              <w:rPr>
                <w:rFonts w:ascii="Times New Roman" w:eastAsia="Times New Roman"/>
                <w:sz w:val="21"/>
              </w:rPr>
            </w:pPr>
            <w:r>
              <w:rPr>
                <w:rFonts w:ascii="Times New Roman" w:eastAsia="Times New Roman"/>
                <w:sz w:val="21"/>
              </w:rPr>
              <w:t>7</w:t>
            </w:r>
            <w:r>
              <w:rPr>
                <w:rFonts w:ascii="Times New Roman" w:eastAsia="Times New Roman"/>
                <w:spacing w:val="1"/>
                <w:sz w:val="21"/>
              </w:rPr>
              <w:t> </w:t>
            </w:r>
            <w:r>
              <w:rPr>
                <w:sz w:val="21"/>
              </w:rPr>
              <w:t>天</w:t>
            </w:r>
            <w:r>
              <w:rPr>
                <w:spacing w:val="-3"/>
                <w:sz w:val="21"/>
              </w:rPr>
              <w:t>以</w:t>
            </w:r>
            <w:r>
              <w:rPr>
                <w:sz w:val="21"/>
              </w:rPr>
              <w:t>内</w:t>
              <w:tab/>
            </w:r>
            <w:r>
              <w:rPr>
                <w:rFonts w:ascii="Times New Roman" w:eastAsia="Times New Roman"/>
                <w:sz w:val="21"/>
              </w:rPr>
              <w:t>1.5%</w:t>
            </w:r>
          </w:p>
          <w:p>
            <w:pPr>
              <w:pStyle w:val="TableParagraph"/>
              <w:spacing w:before="7"/>
              <w:rPr>
                <w:sz w:val="15"/>
              </w:rPr>
            </w:pPr>
          </w:p>
          <w:p>
            <w:pPr>
              <w:pStyle w:val="TableParagraph"/>
              <w:ind w:left="107"/>
              <w:rPr>
                <w:rFonts w:ascii="Times New Roman" w:eastAsia="Times New Roman"/>
                <w:sz w:val="21"/>
              </w:rPr>
            </w:pPr>
            <w:r>
              <w:rPr>
                <w:rFonts w:ascii="Times New Roman" w:eastAsia="Times New Roman"/>
                <w:sz w:val="21"/>
              </w:rPr>
              <w:t>7 </w:t>
            </w:r>
            <w:r>
              <w:rPr>
                <w:sz w:val="21"/>
              </w:rPr>
              <w:t>天以上（含）－</w:t>
            </w:r>
            <w:r>
              <w:rPr>
                <w:rFonts w:ascii="Times New Roman" w:eastAsia="Times New Roman"/>
                <w:sz w:val="21"/>
              </w:rPr>
              <w:t>1 </w:t>
            </w:r>
            <w:r>
              <w:rPr>
                <w:sz w:val="21"/>
              </w:rPr>
              <w:t>年以内 </w:t>
            </w:r>
            <w:r>
              <w:rPr>
                <w:rFonts w:ascii="Times New Roman" w:eastAsia="Times New Roman"/>
                <w:sz w:val="21"/>
              </w:rPr>
              <w:t>0.4%</w:t>
            </w:r>
          </w:p>
          <w:p>
            <w:pPr>
              <w:pStyle w:val="TableParagraph"/>
              <w:spacing w:before="7"/>
              <w:rPr>
                <w:sz w:val="15"/>
              </w:rPr>
            </w:pPr>
          </w:p>
          <w:p>
            <w:pPr>
              <w:pStyle w:val="TableParagraph"/>
              <w:tabs>
                <w:tab w:pos="2313" w:val="left" w:leader="none"/>
              </w:tabs>
              <w:ind w:left="107"/>
              <w:rPr>
                <w:rFonts w:ascii="Times New Roman" w:eastAsia="Times New Roman"/>
                <w:sz w:val="21"/>
              </w:rPr>
            </w:pPr>
            <w:r>
              <w:rPr>
                <w:rFonts w:ascii="Times New Roman" w:eastAsia="Times New Roman"/>
                <w:sz w:val="21"/>
              </w:rPr>
              <w:t>1</w:t>
            </w:r>
            <w:r>
              <w:rPr>
                <w:rFonts w:ascii="Times New Roman" w:eastAsia="Times New Roman"/>
                <w:spacing w:val="1"/>
                <w:sz w:val="21"/>
              </w:rPr>
              <w:t> </w:t>
            </w:r>
            <w:r>
              <w:rPr>
                <w:sz w:val="21"/>
              </w:rPr>
              <w:t>年</w:t>
            </w:r>
            <w:r>
              <w:rPr>
                <w:spacing w:val="-3"/>
                <w:sz w:val="21"/>
              </w:rPr>
              <w:t>以</w:t>
            </w:r>
            <w:r>
              <w:rPr>
                <w:sz w:val="21"/>
              </w:rPr>
              <w:t>上</w:t>
            </w:r>
            <w:r>
              <w:rPr>
                <w:spacing w:val="-3"/>
                <w:sz w:val="21"/>
              </w:rPr>
              <w:t>（</w:t>
            </w:r>
            <w:r>
              <w:rPr>
                <w:sz w:val="21"/>
              </w:rPr>
              <w:t>含）－</w:t>
            </w:r>
            <w:r>
              <w:rPr>
                <w:rFonts w:ascii="Times New Roman" w:eastAsia="Times New Roman"/>
                <w:sz w:val="21"/>
              </w:rPr>
              <w:t>2</w:t>
            </w:r>
            <w:r>
              <w:rPr>
                <w:rFonts w:ascii="Times New Roman" w:eastAsia="Times New Roman"/>
                <w:spacing w:val="-1"/>
                <w:sz w:val="21"/>
              </w:rPr>
              <w:t> </w:t>
            </w:r>
            <w:r>
              <w:rPr>
                <w:sz w:val="21"/>
              </w:rPr>
              <w:t>年</w:t>
              <w:tab/>
            </w:r>
            <w:r>
              <w:rPr>
                <w:rFonts w:ascii="Times New Roman" w:eastAsia="Times New Roman"/>
                <w:sz w:val="21"/>
              </w:rPr>
              <w:t>0.25%</w:t>
            </w:r>
          </w:p>
          <w:p>
            <w:pPr>
              <w:pStyle w:val="TableParagraph"/>
              <w:spacing w:before="7"/>
              <w:rPr>
                <w:sz w:val="15"/>
              </w:rPr>
            </w:pPr>
          </w:p>
          <w:p>
            <w:pPr>
              <w:pStyle w:val="TableParagraph"/>
              <w:ind w:left="107"/>
              <w:rPr>
                <w:rFonts w:ascii="Times New Roman" w:eastAsia="Times New Roman"/>
                <w:sz w:val="21"/>
              </w:rPr>
            </w:pPr>
            <w:r>
              <w:rPr>
                <w:rFonts w:ascii="Times New Roman" w:eastAsia="Times New Roman"/>
                <w:sz w:val="21"/>
              </w:rPr>
              <w:t>2 </w:t>
            </w:r>
            <w:r>
              <w:rPr>
                <w:sz w:val="21"/>
              </w:rPr>
              <w:t>年以上（含） </w:t>
            </w:r>
            <w:r>
              <w:rPr>
                <w:rFonts w:ascii="Times New Roman" w:eastAsia="Times New Roman"/>
                <w:sz w:val="21"/>
              </w:rPr>
              <w:t>0</w:t>
            </w:r>
          </w:p>
        </w:tc>
      </w:tr>
    </w:tbl>
    <w:p>
      <w:pPr>
        <w:spacing w:before="117"/>
        <w:ind w:left="1018" w:right="0" w:firstLine="0"/>
        <w:jc w:val="left"/>
        <w:rPr>
          <w:sz w:val="18"/>
        </w:rPr>
      </w:pPr>
      <w:r>
        <w:rPr>
          <w:sz w:val="18"/>
        </w:rPr>
        <w:t>注：就赎回费而言，1 年指 365 天，2 年指 730 天。</w:t>
      </w:r>
    </w:p>
    <w:p>
      <w:pPr>
        <w:pStyle w:val="BodyText"/>
        <w:spacing w:before="2"/>
        <w:rPr>
          <w:sz w:val="17"/>
        </w:rPr>
      </w:pPr>
    </w:p>
    <w:p>
      <w:pPr>
        <w:pStyle w:val="ListParagraph"/>
        <w:numPr>
          <w:ilvl w:val="0"/>
          <w:numId w:val="36"/>
        </w:numPr>
        <w:tabs>
          <w:tab w:pos="1607" w:val="left" w:leader="none"/>
        </w:tabs>
        <w:spacing w:line="240" w:lineRule="auto" w:before="0" w:after="0"/>
        <w:ind w:left="1607" w:right="0" w:hanging="529"/>
        <w:jc w:val="left"/>
        <w:rPr>
          <w:sz w:val="21"/>
        </w:rPr>
      </w:pPr>
      <w:r>
        <w:rPr>
          <w:spacing w:val="-2"/>
          <w:sz w:val="21"/>
        </w:rPr>
        <w:t>计算公式</w:t>
      </w:r>
    </w:p>
    <w:p>
      <w:pPr>
        <w:pStyle w:val="BodyText"/>
        <w:spacing w:before="6"/>
        <w:rPr>
          <w:sz w:val="15"/>
        </w:rPr>
      </w:pPr>
    </w:p>
    <w:p>
      <w:pPr>
        <w:pStyle w:val="BodyText"/>
        <w:spacing w:line="417" w:lineRule="auto" w:before="1"/>
        <w:ind w:left="1078" w:right="5109"/>
      </w:pPr>
      <w:r>
        <w:rPr/>
        <w:t>赎回总额=赎回份额×赎回当日基金份额净值赎回费用=赎回总额×赎回费率</w:t>
      </w:r>
    </w:p>
    <w:p>
      <w:pPr>
        <w:pStyle w:val="ListParagraph"/>
        <w:numPr>
          <w:ilvl w:val="0"/>
          <w:numId w:val="36"/>
        </w:numPr>
        <w:tabs>
          <w:tab w:pos="1607" w:val="left" w:leader="none"/>
        </w:tabs>
        <w:spacing w:line="417" w:lineRule="auto" w:before="0" w:after="0"/>
        <w:ind w:left="658" w:right="1308" w:firstLine="419"/>
        <w:jc w:val="left"/>
        <w:rPr>
          <w:sz w:val="21"/>
        </w:rPr>
      </w:pPr>
      <w:r>
        <w:rPr>
          <w:spacing w:val="-5"/>
          <w:sz w:val="21"/>
        </w:rPr>
        <w:t>本系列基金赎回费 </w:t>
      </w:r>
      <w:r>
        <w:rPr>
          <w:sz w:val="21"/>
        </w:rPr>
        <w:t>75</w:t>
      </w:r>
      <w:r>
        <w:rPr>
          <w:spacing w:val="-4"/>
          <w:sz w:val="21"/>
        </w:rPr>
        <w:t>％归注册登记费用，</w:t>
      </w:r>
      <w:r>
        <w:rPr>
          <w:spacing w:val="-5"/>
          <w:sz w:val="21"/>
        </w:rPr>
        <w:t>25％归基金所有，作为对其他持有人的补偿。</w:t>
      </w:r>
    </w:p>
    <w:p>
      <w:pPr>
        <w:pStyle w:val="ListParagraph"/>
        <w:numPr>
          <w:ilvl w:val="0"/>
          <w:numId w:val="36"/>
        </w:numPr>
        <w:tabs>
          <w:tab w:pos="1607" w:val="left" w:leader="none"/>
        </w:tabs>
        <w:spacing w:line="417" w:lineRule="auto" w:before="0" w:after="0"/>
        <w:ind w:left="658" w:right="1311" w:firstLine="419"/>
        <w:jc w:val="left"/>
        <w:rPr>
          <w:sz w:val="21"/>
        </w:rPr>
      </w:pPr>
      <w:r>
        <w:rPr>
          <w:spacing w:val="-8"/>
          <w:sz w:val="21"/>
        </w:rPr>
        <w:t>例：某投资者持有优选混合型基金 </w:t>
      </w:r>
      <w:r>
        <w:rPr>
          <w:sz w:val="21"/>
        </w:rPr>
        <w:t>10,000</w:t>
      </w:r>
      <w:r>
        <w:rPr>
          <w:spacing w:val="-12"/>
          <w:sz w:val="21"/>
        </w:rPr>
        <w:t> 份基金份额，赎回费率为 </w:t>
      </w:r>
      <w:r>
        <w:rPr>
          <w:sz w:val="21"/>
        </w:rPr>
        <w:t>0.4%,假设赎</w:t>
      </w:r>
      <w:r>
        <w:rPr>
          <w:spacing w:val="-8"/>
          <w:sz w:val="21"/>
        </w:rPr>
        <w:t>回当日基金份额净值是 </w:t>
      </w:r>
      <w:r>
        <w:rPr>
          <w:sz w:val="21"/>
        </w:rPr>
        <w:t>1.1489</w:t>
      </w:r>
      <w:r>
        <w:rPr>
          <w:spacing w:val="-9"/>
          <w:sz w:val="21"/>
        </w:rPr>
        <w:t> 元，则可得到的赎回金额为：</w:t>
      </w:r>
    </w:p>
    <w:p>
      <w:pPr>
        <w:pStyle w:val="BodyText"/>
        <w:spacing w:line="269" w:lineRule="exact"/>
        <w:ind w:left="1078"/>
      </w:pPr>
      <w:r>
        <w:rPr/>
        <w:t>赎回总额 = 10,000×1.1489 = 11,489 元</w:t>
      </w:r>
    </w:p>
    <w:p>
      <w:pPr>
        <w:pStyle w:val="BodyText"/>
        <w:spacing w:before="6"/>
        <w:rPr>
          <w:sz w:val="15"/>
        </w:rPr>
      </w:pPr>
    </w:p>
    <w:p>
      <w:pPr>
        <w:pStyle w:val="BodyText"/>
        <w:ind w:left="1078"/>
      </w:pPr>
      <w:r>
        <w:rPr/>
        <w:t>赎回费用 = 11,489×0.4% = 45.96 元</w:t>
      </w:r>
    </w:p>
    <w:p>
      <w:pPr>
        <w:pStyle w:val="BodyText"/>
        <w:spacing w:before="7"/>
        <w:rPr>
          <w:sz w:val="15"/>
        </w:rPr>
      </w:pPr>
    </w:p>
    <w:p>
      <w:pPr>
        <w:pStyle w:val="BodyText"/>
        <w:ind w:left="1078"/>
      </w:pPr>
      <w:r>
        <w:rPr/>
        <w:t>赎回金额 = 11,489-45.96 = 11,443.04 元</w:t>
      </w:r>
    </w:p>
    <w:p>
      <w:pPr>
        <w:pStyle w:val="BodyText"/>
        <w:rPr>
          <w:sz w:val="20"/>
        </w:rPr>
      </w:pPr>
    </w:p>
    <w:p>
      <w:pPr>
        <w:pStyle w:val="BodyText"/>
        <w:rPr>
          <w:sz w:val="20"/>
        </w:rPr>
      </w:pPr>
    </w:p>
    <w:p>
      <w:pPr>
        <w:pStyle w:val="BodyText"/>
        <w:spacing w:before="155"/>
        <w:ind w:left="1078"/>
      </w:pPr>
      <w:r>
        <w:rPr/>
        <w:t>3、转换费用</w:t>
      </w:r>
    </w:p>
    <w:p>
      <w:pPr>
        <w:pStyle w:val="BodyText"/>
        <w:spacing w:before="6"/>
        <w:rPr>
          <w:sz w:val="15"/>
        </w:rPr>
      </w:pPr>
    </w:p>
    <w:p>
      <w:pPr>
        <w:pStyle w:val="BodyText"/>
        <w:spacing w:before="1"/>
        <w:ind w:left="1078"/>
      </w:pPr>
      <w:r>
        <w:rPr/>
        <w:t>本系列基金的转换交易包括了基金转出和基金转入，其中：</w:t>
      </w:r>
    </w:p>
    <w:p>
      <w:pPr>
        <w:pStyle w:val="BodyText"/>
        <w:spacing w:before="6"/>
        <w:rPr>
          <w:sz w:val="15"/>
        </w:rPr>
      </w:pPr>
    </w:p>
    <w:p>
      <w:pPr>
        <w:pStyle w:val="BodyText"/>
        <w:ind w:left="1078"/>
      </w:pPr>
      <w:r>
        <w:rPr/>
        <w:t>①基金转出时赎回费的计算：</w:t>
      </w:r>
    </w:p>
    <w:p>
      <w:pPr>
        <w:pStyle w:val="BodyText"/>
        <w:spacing w:before="7"/>
        <w:rPr>
          <w:sz w:val="15"/>
        </w:rPr>
      </w:pPr>
    </w:p>
    <w:p>
      <w:pPr>
        <w:pStyle w:val="BodyText"/>
        <w:ind w:left="1078"/>
      </w:pPr>
      <w:r>
        <w:rPr/>
        <w:t>由优选混合型基金或动力平衡基金转出时：</w:t>
      </w:r>
    </w:p>
    <w:p>
      <w:pPr>
        <w:pStyle w:val="BodyText"/>
        <w:spacing w:before="7"/>
        <w:rPr>
          <w:sz w:val="15"/>
        </w:rPr>
      </w:pPr>
    </w:p>
    <w:p>
      <w:pPr>
        <w:pStyle w:val="BodyText"/>
        <w:spacing w:line="417" w:lineRule="auto"/>
        <w:ind w:left="1078" w:right="4580"/>
      </w:pPr>
      <w:r>
        <w:rPr/>
        <w:t>转出总额＝转出份额×转出基金当日基金份额净值赎回费用＝转出总额×转出基金赎回费率</w:t>
      </w:r>
    </w:p>
    <w:p>
      <w:pPr>
        <w:pStyle w:val="BodyText"/>
        <w:spacing w:line="269" w:lineRule="exact"/>
        <w:ind w:left="1078"/>
      </w:pPr>
      <w:r>
        <w:rPr/>
        <w:t>转出净额＝转出总额－赎回费用</w:t>
      </w:r>
    </w:p>
    <w:p>
      <w:pPr>
        <w:pStyle w:val="BodyText"/>
        <w:spacing w:before="7"/>
        <w:rPr>
          <w:sz w:val="15"/>
        </w:rPr>
      </w:pPr>
    </w:p>
    <w:p>
      <w:pPr>
        <w:pStyle w:val="BodyText"/>
        <w:ind w:left="1078"/>
      </w:pPr>
      <w:r>
        <w:rPr/>
        <w:t>②基金转入时申购补差费的计算：</w:t>
      </w:r>
    </w:p>
    <w:p>
      <w:pPr>
        <w:spacing w:after="0"/>
        <w:sectPr>
          <w:footerReference w:type="default" r:id="rId184"/>
          <w:pgSz w:w="11910" w:h="16840"/>
          <w:pgMar w:footer="992" w:header="852" w:top="1220" w:bottom="1180" w:left="1140" w:right="480"/>
        </w:sectPr>
      </w:pPr>
    </w:p>
    <w:p>
      <w:pPr>
        <w:pStyle w:val="BodyText"/>
        <w:spacing w:before="1"/>
        <w:rPr>
          <w:sz w:val="19"/>
        </w:rPr>
      </w:pPr>
    </w:p>
    <w:p>
      <w:pPr>
        <w:pStyle w:val="BodyText"/>
        <w:spacing w:before="71"/>
        <w:ind w:left="1078"/>
      </w:pPr>
      <w:r>
        <w:rPr/>
        <w:t>净转入金额＝转出净额－申购补差费</w:t>
      </w:r>
    </w:p>
    <w:p>
      <w:pPr>
        <w:pStyle w:val="BodyText"/>
        <w:spacing w:before="7"/>
        <w:rPr>
          <w:sz w:val="15"/>
        </w:rPr>
      </w:pPr>
    </w:p>
    <w:p>
      <w:pPr>
        <w:pStyle w:val="BodyText"/>
        <w:spacing w:line="417" w:lineRule="auto"/>
        <w:ind w:left="658" w:right="1309" w:firstLine="419"/>
      </w:pPr>
      <w:r>
        <w:rPr/>
        <w:t>其中，申购补差费</w:t>
      </w:r>
      <w:r>
        <w:rPr>
          <w:rFonts w:ascii="Times New Roman" w:eastAsia="Times New Roman"/>
        </w:rPr>
        <w:t>= MAX</w:t>
      </w:r>
      <w:r>
        <w:rPr/>
        <w:t>【转出净额在转入基金中对应的申购费用－转出净额在转出基金中对应的申购费用，</w:t>
      </w:r>
      <w:r>
        <w:rPr>
          <w:rFonts w:ascii="Times New Roman" w:eastAsia="Times New Roman"/>
        </w:rPr>
        <w:t>0</w:t>
      </w:r>
      <w:r>
        <w:rPr/>
        <w:t>】</w:t>
      </w:r>
    </w:p>
    <w:p>
      <w:pPr>
        <w:pStyle w:val="BodyText"/>
        <w:spacing w:line="269" w:lineRule="exact"/>
        <w:ind w:left="1078"/>
      </w:pPr>
      <w:r>
        <w:rPr>
          <w:spacing w:val="-1"/>
        </w:rPr>
        <w:t>转入份额</w:t>
      </w:r>
      <w:r>
        <w:rPr>
          <w:spacing w:val="-3"/>
        </w:rPr>
        <w:t>＝净转入金额 </w:t>
      </w:r>
      <w:r>
        <w:rPr>
          <w:rFonts w:ascii="Times New Roman" w:eastAsia="Times New Roman"/>
        </w:rPr>
        <w:t>/ </w:t>
      </w:r>
      <w:r>
        <w:rPr>
          <w:spacing w:val="-3"/>
        </w:rPr>
        <w:t>转入基金当日基金份额净值</w:t>
      </w:r>
    </w:p>
    <w:p>
      <w:pPr>
        <w:pStyle w:val="BodyText"/>
        <w:spacing w:before="7"/>
        <w:rPr>
          <w:sz w:val="15"/>
        </w:rPr>
      </w:pPr>
    </w:p>
    <w:p>
      <w:pPr>
        <w:pStyle w:val="BodyText"/>
        <w:ind w:left="1078"/>
      </w:pPr>
      <w:r>
        <w:rPr>
          <w:spacing w:val="-3"/>
        </w:rPr>
        <w:t>例：投资者申请将持有的优选混合型基金 </w:t>
      </w:r>
      <w:r>
        <w:rPr>
          <w:rFonts w:ascii="Times New Roman" w:eastAsia="Times New Roman"/>
        </w:rPr>
        <w:t>10,000  </w:t>
      </w:r>
      <w:r>
        <w:rPr>
          <w:spacing w:val="-3"/>
        </w:rPr>
        <w:t>份转换为景顺长城内需增长开放式证</w:t>
      </w:r>
    </w:p>
    <w:p>
      <w:pPr>
        <w:pStyle w:val="BodyText"/>
        <w:spacing w:before="6"/>
        <w:rPr>
          <w:sz w:val="15"/>
        </w:rPr>
      </w:pPr>
    </w:p>
    <w:p>
      <w:pPr>
        <w:pStyle w:val="BodyText"/>
        <w:spacing w:before="1"/>
        <w:ind w:left="658"/>
      </w:pPr>
      <w:r>
        <w:rPr>
          <w:spacing w:val="-6"/>
        </w:rPr>
        <w:t>券投资基金，假设转换当日优选混合型基金的基金份额净值为 </w:t>
      </w:r>
      <w:r>
        <w:rPr>
          <w:rFonts w:ascii="Times New Roman" w:eastAsia="Times New Roman"/>
        </w:rPr>
        <w:t>1.148</w:t>
      </w:r>
      <w:r>
        <w:rPr>
          <w:rFonts w:ascii="Times New Roman" w:eastAsia="Times New Roman"/>
          <w:spacing w:val="23"/>
        </w:rPr>
        <w:t> </w:t>
      </w:r>
      <w:r>
        <w:rPr>
          <w:spacing w:val="-5"/>
        </w:rPr>
        <w:t>元，投资者持有该基金</w:t>
      </w:r>
    </w:p>
    <w:p>
      <w:pPr>
        <w:pStyle w:val="BodyText"/>
        <w:spacing w:before="6"/>
        <w:rPr>
          <w:sz w:val="15"/>
        </w:rPr>
      </w:pPr>
    </w:p>
    <w:p>
      <w:pPr>
        <w:pStyle w:val="BodyText"/>
        <w:spacing w:line="417" w:lineRule="auto"/>
        <w:ind w:left="658" w:right="1313"/>
      </w:pPr>
      <w:r>
        <w:rPr>
          <w:rFonts w:ascii="Times New Roman" w:eastAsia="Times New Roman"/>
        </w:rPr>
        <w:t>18 </w:t>
      </w:r>
      <w:r>
        <w:rPr>
          <w:spacing w:val="-14"/>
        </w:rPr>
        <w:t>个月，对应赎回费为 </w:t>
      </w:r>
      <w:r>
        <w:rPr>
          <w:rFonts w:ascii="Times New Roman" w:eastAsia="Times New Roman"/>
          <w:spacing w:val="-13"/>
        </w:rPr>
        <w:t>0.25</w:t>
      </w:r>
      <w:r>
        <w:rPr>
          <w:spacing w:val="-12"/>
        </w:rPr>
        <w:t>％，申购费为 </w:t>
      </w:r>
      <w:r>
        <w:rPr>
          <w:rFonts w:ascii="Times New Roman" w:eastAsia="Times New Roman"/>
          <w:spacing w:val="-15"/>
        </w:rPr>
        <w:t>1.5</w:t>
      </w:r>
      <w:r>
        <w:rPr>
          <w:spacing w:val="-10"/>
        </w:rPr>
        <w:t>％，内需增长基金的基金份额净值为 </w:t>
      </w:r>
      <w:r>
        <w:rPr>
          <w:rFonts w:ascii="Times New Roman" w:eastAsia="Times New Roman"/>
        </w:rPr>
        <w:t>1.163 </w:t>
      </w:r>
      <w:r>
        <w:rPr>
          <w:spacing w:val="-3"/>
        </w:rPr>
        <w:t>元， </w:t>
      </w:r>
      <w:r>
        <w:rPr>
          <w:spacing w:val="-12"/>
        </w:rPr>
        <w:t>申购费为 </w:t>
      </w:r>
      <w:r>
        <w:rPr>
          <w:rFonts w:ascii="Times New Roman" w:eastAsia="Times New Roman"/>
        </w:rPr>
        <w:t>1.5</w:t>
      </w:r>
      <w:r>
        <w:rPr>
          <w:spacing w:val="-3"/>
        </w:rPr>
        <w:t>％，则投资者转换后可得到的内需增长基金份额为：</w:t>
      </w:r>
    </w:p>
    <w:p>
      <w:pPr>
        <w:pStyle w:val="BodyText"/>
        <w:spacing w:before="1"/>
        <w:ind w:left="1078"/>
      </w:pPr>
      <w:r>
        <w:rPr>
          <w:spacing w:val="-1"/>
        </w:rPr>
        <w:t>转出总额</w:t>
      </w:r>
      <w:r>
        <w:rPr/>
        <w:t>＝</w:t>
      </w:r>
      <w:r>
        <w:rPr>
          <w:rFonts w:ascii="Times New Roman" w:hAnsi="Times New Roman" w:eastAsia="Times New Roman"/>
        </w:rPr>
        <w:t>10,000</w:t>
      </w:r>
      <w:r>
        <w:rPr/>
        <w:t>×</w:t>
      </w:r>
      <w:r>
        <w:rPr>
          <w:rFonts w:ascii="Times New Roman" w:hAnsi="Times New Roman" w:eastAsia="Times New Roman"/>
        </w:rPr>
        <w:t>1.148</w:t>
      </w:r>
      <w:r>
        <w:rPr/>
        <w:t>＝</w:t>
      </w:r>
      <w:r>
        <w:rPr>
          <w:rFonts w:ascii="Times New Roman" w:hAnsi="Times New Roman" w:eastAsia="Times New Roman"/>
        </w:rPr>
        <w:t>11,480</w:t>
      </w:r>
      <w:r>
        <w:rPr>
          <w:rFonts w:ascii="Times New Roman" w:hAnsi="Times New Roman" w:eastAsia="Times New Roman"/>
          <w:spacing w:val="-8"/>
        </w:rPr>
        <w:t> </w:t>
      </w:r>
      <w:r>
        <w:rPr/>
        <w:t>元</w:t>
      </w:r>
    </w:p>
    <w:p>
      <w:pPr>
        <w:pStyle w:val="BodyText"/>
        <w:spacing w:before="6"/>
        <w:rPr>
          <w:sz w:val="15"/>
        </w:rPr>
      </w:pPr>
    </w:p>
    <w:p>
      <w:pPr>
        <w:pStyle w:val="BodyText"/>
        <w:spacing w:line="417" w:lineRule="auto"/>
        <w:ind w:left="1078" w:right="5845"/>
      </w:pPr>
      <w:r>
        <w:rPr>
          <w:spacing w:val="-1"/>
        </w:rPr>
        <w:t>赎回费用</w:t>
      </w:r>
      <w:r>
        <w:rPr/>
        <w:t>＝</w:t>
      </w:r>
      <w:r>
        <w:rPr>
          <w:rFonts w:ascii="Times New Roman" w:hAnsi="Times New Roman" w:eastAsia="Times New Roman"/>
        </w:rPr>
        <w:t>11,480</w:t>
      </w:r>
      <w:r>
        <w:rPr/>
        <w:t>×</w:t>
      </w:r>
      <w:r>
        <w:rPr>
          <w:rFonts w:ascii="Times New Roman" w:hAnsi="Times New Roman" w:eastAsia="Times New Roman"/>
        </w:rPr>
        <w:t>0.25</w:t>
      </w:r>
      <w:r>
        <w:rPr/>
        <w:t>％＝</w:t>
      </w:r>
      <w:r>
        <w:rPr>
          <w:rFonts w:ascii="Times New Roman" w:hAnsi="Times New Roman" w:eastAsia="Times New Roman"/>
        </w:rPr>
        <w:t>28.70</w:t>
      </w:r>
      <w:r>
        <w:rPr>
          <w:rFonts w:ascii="Times New Roman" w:hAnsi="Times New Roman" w:eastAsia="Times New Roman"/>
          <w:spacing w:val="-5"/>
        </w:rPr>
        <w:t> </w:t>
      </w:r>
      <w:r>
        <w:rPr/>
        <w:t>元</w:t>
      </w:r>
      <w:r>
        <w:rPr>
          <w:spacing w:val="-1"/>
        </w:rPr>
        <w:t>转出净额</w:t>
      </w:r>
      <w:r>
        <w:rPr/>
        <w:t>＝</w:t>
      </w:r>
      <w:r>
        <w:rPr>
          <w:rFonts w:ascii="Times New Roman" w:hAnsi="Times New Roman" w:eastAsia="Times New Roman"/>
        </w:rPr>
        <w:t>11,480</w:t>
      </w:r>
      <w:r>
        <w:rPr/>
        <w:t>－</w:t>
      </w:r>
      <w:r>
        <w:rPr>
          <w:rFonts w:ascii="Times New Roman" w:hAnsi="Times New Roman" w:eastAsia="Times New Roman"/>
        </w:rPr>
        <w:t>28.7</w:t>
      </w:r>
      <w:r>
        <w:rPr>
          <w:rFonts w:ascii="Times New Roman" w:hAnsi="Times New Roman" w:eastAsia="Times New Roman"/>
          <w:spacing w:val="-4"/>
        </w:rPr>
        <w:t>= </w:t>
      </w:r>
      <w:r>
        <w:rPr>
          <w:rFonts w:ascii="Times New Roman" w:hAnsi="Times New Roman" w:eastAsia="Times New Roman"/>
        </w:rPr>
        <w:t>11,451.3</w:t>
      </w:r>
      <w:r>
        <w:rPr>
          <w:rFonts w:ascii="Times New Roman" w:hAnsi="Times New Roman" w:eastAsia="Times New Roman"/>
          <w:spacing w:val="-9"/>
        </w:rPr>
        <w:t> </w:t>
      </w:r>
      <w:r>
        <w:rPr>
          <w:spacing w:val="-11"/>
        </w:rPr>
        <w:t>元</w:t>
      </w:r>
    </w:p>
    <w:p>
      <w:pPr>
        <w:pStyle w:val="BodyText"/>
        <w:spacing w:line="417" w:lineRule="auto"/>
        <w:ind w:left="1078" w:right="2796"/>
      </w:pPr>
      <w:r>
        <w:rPr/>
        <w:t>转出净额在转入基金中对应的净申购金额</w:t>
      </w:r>
      <w:r>
        <w:rPr>
          <w:rFonts w:ascii="Times New Roman" w:eastAsia="Times New Roman"/>
        </w:rPr>
        <w:t>=11,451.3/1.015=11,282.07 </w:t>
      </w:r>
      <w:r>
        <w:rPr/>
        <w:t>元转出净额在转入基金中对应的申购费用</w:t>
      </w:r>
      <w:r>
        <w:rPr>
          <w:rFonts w:ascii="Times New Roman" w:eastAsia="Times New Roman"/>
        </w:rPr>
        <w:t>=11,451.3-11,282.07=169.23 </w:t>
      </w:r>
      <w:r>
        <w:rPr/>
        <w:t>元转出净额在转出基金中对应的净申购金额</w:t>
      </w:r>
      <w:r>
        <w:rPr>
          <w:rFonts w:ascii="Times New Roman" w:eastAsia="Times New Roman"/>
        </w:rPr>
        <w:t>=11,451.3/1.015=11,282.07 </w:t>
      </w:r>
      <w:r>
        <w:rPr/>
        <w:t>元转出净额在转出基金中对应的申购费用</w:t>
      </w:r>
      <w:r>
        <w:rPr>
          <w:rFonts w:ascii="Times New Roman" w:eastAsia="Times New Roman"/>
        </w:rPr>
        <w:t>=11,451.3-11,282.07=169.23 </w:t>
      </w:r>
      <w:r>
        <w:rPr/>
        <w:t>元</w:t>
      </w:r>
    </w:p>
    <w:p>
      <w:pPr>
        <w:pStyle w:val="BodyText"/>
        <w:spacing w:line="328" w:lineRule="auto"/>
        <w:ind w:left="1078" w:right="3264"/>
      </w:pPr>
      <w:r>
        <w:rPr/>
        <w:t>净转入金额＝</w:t>
      </w:r>
      <w:r>
        <w:rPr>
          <w:rFonts w:ascii="Times New Roman" w:eastAsia="Times New Roman"/>
        </w:rPr>
        <w:t>11,451.3</w:t>
      </w:r>
      <w:r>
        <w:rPr/>
        <w:t>－</w:t>
      </w:r>
      <w:r>
        <w:rPr>
          <w:rFonts w:ascii="Times New Roman" w:eastAsia="Times New Roman"/>
        </w:rPr>
        <w:t>MAX</w:t>
      </w:r>
      <w:r>
        <w:rPr/>
        <w:t>【</w:t>
      </w:r>
      <w:r>
        <w:rPr>
          <w:rFonts w:ascii="Times New Roman" w:eastAsia="Times New Roman"/>
        </w:rPr>
        <w:t>169.23</w:t>
      </w:r>
      <w:r>
        <w:rPr/>
        <w:t>－</w:t>
      </w:r>
      <w:r>
        <w:rPr>
          <w:rFonts w:ascii="Times New Roman" w:eastAsia="Times New Roman"/>
        </w:rPr>
        <w:t>169.23</w:t>
      </w:r>
      <w:r>
        <w:rPr/>
        <w:t>，</w:t>
      </w:r>
      <w:r>
        <w:rPr>
          <w:rFonts w:ascii="Times New Roman" w:eastAsia="Times New Roman"/>
        </w:rPr>
        <w:t>0</w:t>
      </w:r>
      <w:r>
        <w:rPr/>
        <w:t>】</w:t>
      </w:r>
      <w:r>
        <w:rPr>
          <w:rFonts w:ascii="Times New Roman" w:eastAsia="Times New Roman"/>
        </w:rPr>
        <w:t>=11,451.3 </w:t>
      </w:r>
      <w:r>
        <w:rPr/>
        <w:t>元转入份额＝</w:t>
      </w:r>
      <w:r>
        <w:rPr>
          <w:rFonts w:ascii="Times New Roman" w:eastAsia="Times New Roman"/>
        </w:rPr>
        <w:t>11,451.3 / 1.163</w:t>
      </w:r>
      <w:r>
        <w:rPr/>
        <w:t>＝</w:t>
      </w:r>
      <w:r>
        <w:rPr>
          <w:rFonts w:ascii="Times New Roman" w:eastAsia="Times New Roman"/>
        </w:rPr>
        <w:t>9,846.34 </w:t>
      </w:r>
      <w:r>
        <w:rPr/>
        <w:t>份</w:t>
      </w:r>
    </w:p>
    <w:p>
      <w:pPr>
        <w:pStyle w:val="BodyText"/>
        <w:rPr>
          <w:sz w:val="22"/>
        </w:rPr>
      </w:pPr>
    </w:p>
    <w:p>
      <w:pPr>
        <w:pStyle w:val="BodyText"/>
        <w:rPr>
          <w:sz w:val="22"/>
        </w:rPr>
      </w:pPr>
    </w:p>
    <w:p>
      <w:pPr>
        <w:pStyle w:val="BodyText"/>
        <w:spacing w:before="2"/>
        <w:rPr>
          <w:sz w:val="32"/>
        </w:rPr>
      </w:pPr>
    </w:p>
    <w:p>
      <w:pPr>
        <w:spacing w:before="0"/>
        <w:ind w:left="658" w:right="0" w:firstLine="0"/>
        <w:jc w:val="left"/>
        <w:rPr>
          <w:b/>
          <w:sz w:val="21"/>
        </w:rPr>
      </w:pPr>
      <w:r>
        <w:rPr>
          <w:b/>
          <w:sz w:val="21"/>
        </w:rPr>
        <w:t>（三）其他费用</w:t>
      </w:r>
    </w:p>
    <w:p>
      <w:pPr>
        <w:pStyle w:val="BodyText"/>
        <w:spacing w:before="7"/>
        <w:rPr>
          <w:b/>
          <w:sz w:val="18"/>
        </w:rPr>
      </w:pPr>
    </w:p>
    <w:p>
      <w:pPr>
        <w:pStyle w:val="BodyText"/>
        <w:spacing w:line="417" w:lineRule="auto"/>
        <w:ind w:left="658" w:right="1100" w:firstLine="419"/>
      </w:pPr>
      <w:r>
        <w:rPr>
          <w:spacing w:val="-8"/>
        </w:rPr>
        <w:t>本系列基金运作和销售过程中发生的其他费用，以及因故与本系列基金有关的其他费用， </w:t>
      </w:r>
      <w:r>
        <w:rPr>
          <w:spacing w:val="-5"/>
        </w:rPr>
        <w:t>将依照国家法律法规的规定，予以收取和使用。</w:t>
      </w:r>
    </w:p>
    <w:p>
      <w:pPr>
        <w:pStyle w:val="BodyText"/>
        <w:spacing w:before="11"/>
        <w:rPr>
          <w:sz w:val="28"/>
        </w:rPr>
      </w:pPr>
    </w:p>
    <w:p>
      <w:pPr>
        <w:spacing w:before="0"/>
        <w:ind w:left="658" w:right="0" w:firstLine="0"/>
        <w:jc w:val="left"/>
        <w:rPr>
          <w:b/>
          <w:sz w:val="21"/>
        </w:rPr>
      </w:pPr>
      <w:r>
        <w:rPr>
          <w:b/>
          <w:sz w:val="21"/>
        </w:rPr>
        <w:t>（四）本系列基金运作过程中的各类纳税主体，依照国家法律法规的规定，履行纳税义务。</w:t>
      </w:r>
    </w:p>
    <w:p>
      <w:pPr>
        <w:pStyle w:val="BodyText"/>
        <w:rPr>
          <w:b/>
          <w:sz w:val="20"/>
        </w:rPr>
      </w:pPr>
    </w:p>
    <w:p>
      <w:pPr>
        <w:pStyle w:val="BodyText"/>
        <w:spacing w:before="4"/>
        <w:rPr>
          <w:b/>
          <w:sz w:val="19"/>
        </w:rPr>
      </w:pPr>
    </w:p>
    <w:p>
      <w:pPr>
        <w:spacing w:before="0"/>
        <w:ind w:left="658" w:right="0" w:firstLine="0"/>
        <w:jc w:val="left"/>
        <w:rPr>
          <w:b/>
          <w:sz w:val="21"/>
        </w:rPr>
      </w:pPr>
      <w:r>
        <w:rPr>
          <w:b/>
          <w:sz w:val="21"/>
        </w:rPr>
        <w:t>（五）货币市场基金费用的种类</w:t>
      </w:r>
    </w:p>
    <w:p>
      <w:pPr>
        <w:pStyle w:val="BodyText"/>
        <w:spacing w:before="7"/>
        <w:rPr>
          <w:b/>
          <w:sz w:val="18"/>
        </w:rPr>
      </w:pPr>
    </w:p>
    <w:p>
      <w:pPr>
        <w:pStyle w:val="BodyText"/>
        <w:ind w:left="1078"/>
      </w:pPr>
      <w:r>
        <w:rPr>
          <w:rFonts w:ascii="Times New Roman" w:eastAsia="Times New Roman"/>
        </w:rPr>
        <w:t>1</w:t>
      </w:r>
      <w:r>
        <w:rPr>
          <w:spacing w:val="-3"/>
        </w:rPr>
        <w:t>、基金管理人的管理费；</w:t>
      </w:r>
    </w:p>
    <w:p>
      <w:pPr>
        <w:pStyle w:val="BodyText"/>
        <w:spacing w:before="6"/>
        <w:rPr>
          <w:sz w:val="15"/>
        </w:rPr>
      </w:pPr>
    </w:p>
    <w:p>
      <w:pPr>
        <w:pStyle w:val="BodyText"/>
        <w:spacing w:before="1"/>
        <w:ind w:left="1078"/>
      </w:pPr>
      <w:r>
        <w:rPr>
          <w:rFonts w:ascii="Times New Roman" w:eastAsia="Times New Roman"/>
        </w:rPr>
        <w:t>2</w:t>
      </w:r>
      <w:r>
        <w:rPr>
          <w:spacing w:val="-3"/>
        </w:rPr>
        <w:t>、基金托管人的托管费；</w:t>
      </w:r>
    </w:p>
    <w:p>
      <w:pPr>
        <w:pStyle w:val="BodyText"/>
        <w:spacing w:before="6"/>
        <w:rPr>
          <w:sz w:val="15"/>
        </w:rPr>
      </w:pPr>
    </w:p>
    <w:p>
      <w:pPr>
        <w:pStyle w:val="BodyText"/>
        <w:ind w:left="1078"/>
      </w:pPr>
      <w:r>
        <w:rPr>
          <w:rFonts w:ascii="Times New Roman" w:eastAsia="Times New Roman"/>
        </w:rPr>
        <w:t>3</w:t>
      </w:r>
      <w:r>
        <w:rPr/>
        <w:t>、销售服务费；</w:t>
      </w:r>
    </w:p>
    <w:p>
      <w:pPr>
        <w:pStyle w:val="BodyText"/>
        <w:spacing w:before="7"/>
        <w:rPr>
          <w:sz w:val="15"/>
        </w:rPr>
      </w:pPr>
    </w:p>
    <w:p>
      <w:pPr>
        <w:pStyle w:val="BodyText"/>
        <w:spacing w:before="1"/>
        <w:ind w:left="1078"/>
      </w:pPr>
      <w:r>
        <w:rPr>
          <w:rFonts w:ascii="Times New Roman" w:eastAsia="Times New Roman"/>
        </w:rPr>
        <w:t>4</w:t>
      </w:r>
      <w:r>
        <w:rPr/>
        <w:t>、基金证券交易费用；</w:t>
      </w:r>
    </w:p>
    <w:p>
      <w:pPr>
        <w:spacing w:after="0"/>
        <w:sectPr>
          <w:footerReference w:type="default" r:id="rId185"/>
          <w:pgSz w:w="11910" w:h="16840"/>
          <w:pgMar w:footer="992" w:header="852" w:top="1220" w:bottom="1180" w:left="1140" w:right="480"/>
          <w:pgNumType w:start="131"/>
        </w:sectPr>
      </w:pPr>
    </w:p>
    <w:p>
      <w:pPr>
        <w:pStyle w:val="BodyText"/>
        <w:spacing w:before="7"/>
        <w:rPr>
          <w:sz w:val="18"/>
        </w:rPr>
      </w:pPr>
    </w:p>
    <w:p>
      <w:pPr>
        <w:pStyle w:val="BodyText"/>
        <w:spacing w:before="78"/>
        <w:ind w:left="1078"/>
      </w:pPr>
      <w:r>
        <w:rPr>
          <w:rFonts w:ascii="Times New Roman" w:eastAsia="Times New Roman"/>
        </w:rPr>
        <w:t>5</w:t>
      </w:r>
      <w:r>
        <w:rPr/>
        <w:t>、基金的信息披露费用；</w:t>
      </w:r>
    </w:p>
    <w:p>
      <w:pPr>
        <w:pStyle w:val="BodyText"/>
        <w:spacing w:before="7"/>
        <w:rPr>
          <w:sz w:val="15"/>
        </w:rPr>
      </w:pPr>
    </w:p>
    <w:p>
      <w:pPr>
        <w:pStyle w:val="BodyText"/>
        <w:ind w:left="1078"/>
      </w:pPr>
      <w:r>
        <w:rPr>
          <w:rFonts w:ascii="Times New Roman" w:eastAsia="Times New Roman"/>
        </w:rPr>
        <w:t>6</w:t>
      </w:r>
      <w:r>
        <w:rPr/>
        <w:t>、基金份额持有人大会费用；</w:t>
      </w:r>
    </w:p>
    <w:p>
      <w:pPr>
        <w:pStyle w:val="BodyText"/>
        <w:spacing w:before="6"/>
        <w:rPr>
          <w:sz w:val="15"/>
        </w:rPr>
      </w:pPr>
    </w:p>
    <w:p>
      <w:pPr>
        <w:pStyle w:val="BodyText"/>
        <w:spacing w:before="1"/>
        <w:ind w:left="1078"/>
      </w:pPr>
      <w:r>
        <w:rPr>
          <w:rFonts w:ascii="Times New Roman" w:eastAsia="Times New Roman"/>
        </w:rPr>
        <w:t>7</w:t>
      </w:r>
      <w:r>
        <w:rPr/>
        <w:t>、基金合同生效后与基金相关的会计师费和律师费；</w:t>
      </w:r>
    </w:p>
    <w:p>
      <w:pPr>
        <w:pStyle w:val="BodyText"/>
        <w:spacing w:before="6"/>
        <w:rPr>
          <w:sz w:val="15"/>
        </w:rPr>
      </w:pPr>
    </w:p>
    <w:p>
      <w:pPr>
        <w:pStyle w:val="BodyText"/>
        <w:ind w:left="1078"/>
      </w:pPr>
      <w:r>
        <w:rPr>
          <w:rFonts w:ascii="Times New Roman" w:eastAsia="Times New Roman"/>
        </w:rPr>
        <w:t>8</w:t>
      </w:r>
      <w:r>
        <w:rPr/>
        <w:t>、按照国家有关规定可以列入的其它费用。</w:t>
      </w:r>
    </w:p>
    <w:p>
      <w:pPr>
        <w:pStyle w:val="BodyText"/>
        <w:rPr>
          <w:sz w:val="22"/>
        </w:rPr>
      </w:pPr>
    </w:p>
    <w:p>
      <w:pPr>
        <w:pStyle w:val="BodyText"/>
        <w:spacing w:before="5"/>
        <w:rPr>
          <w:sz w:val="22"/>
        </w:rPr>
      </w:pPr>
    </w:p>
    <w:p>
      <w:pPr>
        <w:spacing w:before="0"/>
        <w:ind w:left="658" w:right="0" w:firstLine="0"/>
        <w:jc w:val="left"/>
        <w:rPr>
          <w:b/>
          <w:sz w:val="21"/>
        </w:rPr>
      </w:pPr>
      <w:r>
        <w:rPr>
          <w:b/>
          <w:sz w:val="21"/>
        </w:rPr>
        <w:t>（六）货币市场基金费用计提方法、计提标准和支付方式</w:t>
      </w:r>
    </w:p>
    <w:p>
      <w:pPr>
        <w:pStyle w:val="BodyText"/>
        <w:spacing w:before="7"/>
        <w:rPr>
          <w:b/>
          <w:sz w:val="18"/>
        </w:rPr>
      </w:pPr>
    </w:p>
    <w:p>
      <w:pPr>
        <w:pStyle w:val="BodyText"/>
        <w:ind w:left="1078"/>
      </w:pPr>
      <w:r>
        <w:rPr>
          <w:rFonts w:ascii="Times New Roman" w:eastAsia="Times New Roman"/>
        </w:rPr>
        <w:t>1</w:t>
      </w:r>
      <w:r>
        <w:rPr/>
        <w:t>、基金管理费</w:t>
      </w:r>
    </w:p>
    <w:p>
      <w:pPr>
        <w:pStyle w:val="BodyText"/>
        <w:spacing w:before="7"/>
        <w:rPr>
          <w:sz w:val="15"/>
        </w:rPr>
      </w:pPr>
    </w:p>
    <w:p>
      <w:pPr>
        <w:pStyle w:val="BodyText"/>
        <w:spacing w:line="417" w:lineRule="auto"/>
        <w:ind w:left="658" w:right="1309" w:firstLine="419"/>
      </w:pPr>
      <w:r>
        <w:rPr>
          <w:spacing w:val="-5"/>
        </w:rPr>
        <w:t>货币市场基金管理费年费率为 </w:t>
      </w:r>
      <w:r>
        <w:rPr>
          <w:rFonts w:ascii="Times New Roman" w:eastAsia="Times New Roman"/>
          <w:spacing w:val="-6"/>
        </w:rPr>
        <w:t>0.25%</w:t>
      </w:r>
      <w:r>
        <w:rPr>
          <w:spacing w:val="-8"/>
        </w:rPr>
        <w:t>，在通常情况下，按前一日的基金资产净值乘以相</w:t>
      </w:r>
      <w:r>
        <w:rPr>
          <w:spacing w:val="-5"/>
        </w:rPr>
        <w:t>应的管理年费率，计算方法如下：</w:t>
      </w:r>
    </w:p>
    <w:p>
      <w:pPr>
        <w:pStyle w:val="BodyText"/>
        <w:spacing w:line="417" w:lineRule="auto"/>
        <w:ind w:left="1078" w:right="6112"/>
      </w:pPr>
      <w:r>
        <w:rPr>
          <w:rFonts w:ascii="Times New Roman" w:hAnsi="Times New Roman" w:eastAsia="Times New Roman"/>
        </w:rPr>
        <w:t>H=E</w:t>
      </w:r>
      <w:r>
        <w:rPr>
          <w:spacing w:val="-3"/>
        </w:rPr>
        <w:t>×年管理费率÷当年天数 </w:t>
      </w:r>
      <w:r>
        <w:rPr>
          <w:rFonts w:ascii="Times New Roman" w:hAnsi="Times New Roman" w:eastAsia="Times New Roman"/>
          <w:spacing w:val="-3"/>
        </w:rPr>
        <w:t>H</w:t>
      </w:r>
      <w:r>
        <w:rPr>
          <w:spacing w:val="-4"/>
        </w:rPr>
        <w:t>：为每日应计提的基金管理费； </w:t>
      </w:r>
      <w:r>
        <w:rPr>
          <w:rFonts w:ascii="Times New Roman" w:hAnsi="Times New Roman" w:eastAsia="Times New Roman"/>
        </w:rPr>
        <w:t>E</w:t>
      </w:r>
      <w:r>
        <w:rPr>
          <w:spacing w:val="-3"/>
        </w:rPr>
        <w:t>：为前一日基金资产净值。</w:t>
      </w:r>
    </w:p>
    <w:p>
      <w:pPr>
        <w:pStyle w:val="BodyText"/>
        <w:spacing w:line="417" w:lineRule="auto"/>
        <w:ind w:left="658" w:right="1310" w:firstLine="419"/>
      </w:pPr>
      <w:r>
        <w:rPr>
          <w:spacing w:val="-8"/>
        </w:rPr>
        <w:t>基金管理人的管理费每日计算，逐日累计至每月月底，按月支付，由基金托管人于次月</w:t>
      </w:r>
      <w:r>
        <w:rPr>
          <w:spacing w:val="-5"/>
        </w:rPr>
        <w:t>前两个工作日内从基金财产中一次性支付给基金管理人。</w:t>
      </w:r>
    </w:p>
    <w:p>
      <w:pPr>
        <w:pStyle w:val="BodyText"/>
        <w:ind w:left="1078"/>
      </w:pPr>
      <w:r>
        <w:rPr>
          <w:rFonts w:ascii="Times New Roman" w:eastAsia="Times New Roman"/>
        </w:rPr>
        <w:t>2</w:t>
      </w:r>
      <w:r>
        <w:rPr/>
        <w:t>、基金托管费</w:t>
      </w:r>
    </w:p>
    <w:p>
      <w:pPr>
        <w:pStyle w:val="BodyText"/>
        <w:spacing w:before="6"/>
        <w:rPr>
          <w:sz w:val="15"/>
        </w:rPr>
      </w:pPr>
    </w:p>
    <w:p>
      <w:pPr>
        <w:pStyle w:val="BodyText"/>
        <w:spacing w:line="417" w:lineRule="auto"/>
        <w:ind w:left="658" w:right="1309" w:firstLine="419"/>
      </w:pPr>
      <w:r>
        <w:rPr>
          <w:spacing w:val="-5"/>
        </w:rPr>
        <w:t>货币市场基金托管费年费率为 </w:t>
      </w:r>
      <w:r>
        <w:rPr>
          <w:rFonts w:ascii="Times New Roman" w:eastAsia="Times New Roman"/>
          <w:spacing w:val="-6"/>
        </w:rPr>
        <w:t>0.05%</w:t>
      </w:r>
      <w:r>
        <w:rPr>
          <w:spacing w:val="-8"/>
        </w:rPr>
        <w:t>，在通常情况下，按前一日的基金资产净值乘以相</w:t>
      </w:r>
      <w:r>
        <w:rPr>
          <w:spacing w:val="-5"/>
        </w:rPr>
        <w:t>应的托管年费率，计算方法如下：</w:t>
      </w:r>
    </w:p>
    <w:p>
      <w:pPr>
        <w:pStyle w:val="BodyText"/>
        <w:spacing w:line="417" w:lineRule="auto"/>
        <w:ind w:left="1078" w:right="6112"/>
      </w:pPr>
      <w:r>
        <w:rPr>
          <w:rFonts w:ascii="Times New Roman" w:hAnsi="Times New Roman" w:eastAsia="Times New Roman"/>
        </w:rPr>
        <w:t>H</w:t>
      </w:r>
      <w:r>
        <w:rPr/>
        <w:t>＝</w:t>
      </w:r>
      <w:r>
        <w:rPr>
          <w:rFonts w:ascii="Times New Roman" w:hAnsi="Times New Roman" w:eastAsia="Times New Roman"/>
        </w:rPr>
        <w:t>E</w:t>
      </w:r>
      <w:r>
        <w:rPr/>
        <w:t>×年托管费率÷当年天数</w:t>
      </w:r>
      <w:r>
        <w:rPr>
          <w:rFonts w:ascii="Times New Roman" w:hAnsi="Times New Roman" w:eastAsia="Times New Roman"/>
        </w:rPr>
        <w:t>H</w:t>
      </w:r>
      <w:r>
        <w:rPr/>
        <w:t>：为每日应支付的基金托管费； </w:t>
      </w:r>
      <w:r>
        <w:rPr>
          <w:rFonts w:ascii="Times New Roman" w:hAnsi="Times New Roman" w:eastAsia="Times New Roman"/>
        </w:rPr>
        <w:t>E</w:t>
      </w:r>
      <w:r>
        <w:rPr/>
        <w:t>：为前一日的基金资产净值。</w:t>
      </w:r>
    </w:p>
    <w:p>
      <w:pPr>
        <w:pStyle w:val="BodyText"/>
        <w:spacing w:line="417" w:lineRule="auto"/>
        <w:ind w:left="658" w:right="1311" w:firstLine="419"/>
      </w:pPr>
      <w:r>
        <w:rPr>
          <w:spacing w:val="-9"/>
        </w:rPr>
        <w:t>基金托管费每日计算，逐日累计至每月月底，按月支付，由基金托管人于次月前两个工</w:t>
      </w:r>
      <w:r>
        <w:rPr>
          <w:spacing w:val="-5"/>
        </w:rPr>
        <w:t>作日内从基金财产中一次性支取。</w:t>
      </w:r>
    </w:p>
    <w:p>
      <w:pPr>
        <w:pStyle w:val="BodyText"/>
        <w:ind w:left="1078"/>
      </w:pPr>
      <w:r>
        <w:rPr>
          <w:rFonts w:ascii="Times New Roman" w:eastAsia="Times New Roman"/>
        </w:rPr>
        <w:t>3</w:t>
      </w:r>
      <w:r>
        <w:rPr/>
        <w:t>、销售服务费</w:t>
      </w:r>
    </w:p>
    <w:p>
      <w:pPr>
        <w:pStyle w:val="BodyText"/>
        <w:spacing w:before="6"/>
        <w:rPr>
          <w:sz w:val="15"/>
        </w:rPr>
      </w:pPr>
    </w:p>
    <w:p>
      <w:pPr>
        <w:pStyle w:val="BodyText"/>
        <w:spacing w:line="417" w:lineRule="auto"/>
        <w:ind w:left="658" w:right="1309" w:firstLine="419"/>
        <w:jc w:val="both"/>
      </w:pPr>
      <w:r>
        <w:rPr>
          <w:spacing w:val="-8"/>
        </w:rPr>
        <w:t>货币市场基金的销售服务费用于该基金的市场推广、销售、服务等各项费用，由基金管</w:t>
      </w:r>
      <w:r>
        <w:rPr>
          <w:spacing w:val="-10"/>
        </w:rPr>
        <w:t>理人代收并分配给相关服务机构。在通常情况下，按前一日的基金资产净值乘以相应的销售</w:t>
      </w:r>
      <w:r>
        <w:rPr>
          <w:spacing w:val="-5"/>
        </w:rPr>
        <w:t>服务年费率，计算方法如下：</w:t>
      </w:r>
    </w:p>
    <w:p>
      <w:pPr>
        <w:pStyle w:val="BodyText"/>
        <w:spacing w:line="417" w:lineRule="auto"/>
        <w:ind w:left="1078" w:right="5982"/>
      </w:pPr>
      <w:r>
        <w:rPr>
          <w:rFonts w:ascii="Times New Roman" w:hAnsi="Times New Roman" w:eastAsia="Times New Roman"/>
        </w:rPr>
        <w:t>H</w:t>
      </w:r>
      <w:r>
        <w:rPr/>
        <w:t>＝</w:t>
      </w:r>
      <w:r>
        <w:rPr>
          <w:rFonts w:ascii="Times New Roman" w:hAnsi="Times New Roman" w:eastAsia="Times New Roman"/>
        </w:rPr>
        <w:t>E</w:t>
      </w:r>
      <w:r>
        <w:rPr/>
        <w:t>×年销售服务费率÷当年天数</w:t>
      </w:r>
      <w:r>
        <w:rPr>
          <w:rFonts w:ascii="Times New Roman" w:hAnsi="Times New Roman" w:eastAsia="Times New Roman"/>
        </w:rPr>
        <w:t>H</w:t>
      </w:r>
      <w:r>
        <w:rPr/>
        <w:t>：为每日应支付的销售服务费； </w:t>
      </w:r>
      <w:r>
        <w:rPr>
          <w:rFonts w:ascii="Times New Roman" w:hAnsi="Times New Roman" w:eastAsia="Times New Roman"/>
        </w:rPr>
        <w:t>E</w:t>
      </w:r>
      <w:r>
        <w:rPr/>
        <w:t>：为前一日的基金资产净值。</w:t>
      </w:r>
    </w:p>
    <w:p>
      <w:pPr>
        <w:pStyle w:val="BodyText"/>
        <w:ind w:left="1078"/>
      </w:pPr>
      <w:r>
        <w:rPr/>
        <w:t>基金销售服务费每日计算，逐日累计至每月月底，按月支付，由基金托管人于次月前两</w:t>
      </w:r>
    </w:p>
    <w:p>
      <w:pPr>
        <w:spacing w:after="0"/>
        <w:sectPr>
          <w:pgSz w:w="11910" w:h="16840"/>
          <w:pgMar w:header="852" w:footer="992" w:top="1220" w:bottom="1180" w:left="1140" w:right="480"/>
        </w:sectPr>
      </w:pPr>
    </w:p>
    <w:p>
      <w:pPr>
        <w:pStyle w:val="BodyText"/>
        <w:spacing w:before="1"/>
        <w:rPr>
          <w:sz w:val="19"/>
        </w:rPr>
      </w:pPr>
    </w:p>
    <w:p>
      <w:pPr>
        <w:pStyle w:val="BodyText"/>
        <w:spacing w:before="71"/>
        <w:ind w:left="658"/>
      </w:pPr>
      <w:r>
        <w:rPr/>
        <w:t>个工作日内从基金财产中一次性支取。</w:t>
      </w:r>
    </w:p>
    <w:p>
      <w:pPr>
        <w:pStyle w:val="BodyText"/>
        <w:spacing w:before="7"/>
        <w:rPr>
          <w:sz w:val="15"/>
        </w:rPr>
      </w:pPr>
    </w:p>
    <w:p>
      <w:pPr>
        <w:pStyle w:val="BodyText"/>
        <w:spacing w:line="417" w:lineRule="auto"/>
        <w:ind w:left="658" w:right="1308" w:firstLine="419"/>
        <w:jc w:val="both"/>
      </w:pPr>
      <w:r>
        <w:rPr>
          <w:spacing w:val="-6"/>
        </w:rPr>
        <w:t>Ａ级基金份额销售服务费率为 </w:t>
      </w:r>
      <w:r>
        <w:rPr>
          <w:rFonts w:ascii="Times New Roman" w:eastAsia="Times New Roman"/>
        </w:rPr>
        <w:t>0.25%</w:t>
      </w:r>
      <w:r>
        <w:rPr/>
        <w:t>、</w:t>
      </w:r>
      <w:r>
        <w:rPr>
          <w:rFonts w:ascii="Times New Roman" w:eastAsia="Times New Roman"/>
        </w:rPr>
        <w:t>B </w:t>
      </w:r>
      <w:r>
        <w:rPr>
          <w:spacing w:val="-7"/>
        </w:rPr>
        <w:t>级基金份额销售服务费率为 </w:t>
      </w:r>
      <w:r>
        <w:rPr>
          <w:rFonts w:ascii="Times New Roman" w:eastAsia="Times New Roman"/>
        </w:rPr>
        <w:t>0.01%</w:t>
      </w:r>
      <w:r>
        <w:rPr>
          <w:spacing w:val="-3"/>
        </w:rPr>
        <w:t>。基金管理</w:t>
      </w:r>
      <w:r>
        <w:rPr>
          <w:spacing w:val="-6"/>
        </w:rPr>
        <w:t>人可以根据市场状况和本基金的具体情况调低货币市场基金的销售服务费率。基金管理人应</w:t>
      </w:r>
      <w:r>
        <w:rPr>
          <w:spacing w:val="-4"/>
        </w:rPr>
        <w:t>当依照《信息披露办法》的有关规定在中国证监会指定媒介上刊登公告。</w:t>
      </w:r>
    </w:p>
    <w:p>
      <w:pPr>
        <w:pStyle w:val="BodyText"/>
        <w:spacing w:line="417" w:lineRule="auto"/>
        <w:ind w:left="658" w:right="1309" w:firstLine="419"/>
        <w:jc w:val="both"/>
      </w:pPr>
      <w:r>
        <w:rPr>
          <w:rFonts w:ascii="Times New Roman" w:eastAsia="Times New Roman"/>
        </w:rPr>
        <w:t>4</w:t>
      </w:r>
      <w:r>
        <w:rPr>
          <w:spacing w:val="-3"/>
        </w:rPr>
        <w:t>、基金首次发行中所发生的律师费、会计师费及与基金有关的法定信息披露费等费用</w:t>
      </w:r>
      <w:r>
        <w:rPr>
          <w:spacing w:val="-9"/>
        </w:rPr>
        <w:t>自基金发行费用中列支，不另从基金财产中支付；若基金发行失败，发行费用由基金管理人</w:t>
      </w:r>
      <w:r>
        <w:rPr>
          <w:spacing w:val="-5"/>
        </w:rPr>
        <w:t>承担。基金合同生效后的各项费用按有关规定列支。</w:t>
      </w:r>
    </w:p>
    <w:p>
      <w:pPr>
        <w:pStyle w:val="BodyText"/>
        <w:spacing w:line="417" w:lineRule="auto"/>
        <w:ind w:left="658" w:right="1311" w:firstLine="419"/>
        <w:jc w:val="both"/>
      </w:pPr>
      <w:r>
        <w:rPr>
          <w:rFonts w:ascii="Times New Roman" w:eastAsia="Times New Roman"/>
        </w:rPr>
        <w:t>5</w:t>
      </w:r>
      <w:r>
        <w:rPr>
          <w:spacing w:val="-14"/>
        </w:rPr>
        <w:t>、上述</w:t>
      </w:r>
      <w:r>
        <w:rPr/>
        <w:t>（</w:t>
      </w:r>
      <w:r>
        <w:rPr>
          <w:spacing w:val="-3"/>
        </w:rPr>
        <w:t>五</w:t>
      </w:r>
      <w:r>
        <w:rPr>
          <w:spacing w:val="-20"/>
        </w:rPr>
        <w:t>）</w:t>
      </w:r>
      <w:r>
        <w:rPr>
          <w:spacing w:val="-7"/>
        </w:rPr>
        <w:t>货币市场基金费用第 </w:t>
      </w:r>
      <w:r>
        <w:rPr>
          <w:rFonts w:ascii="Times New Roman" w:eastAsia="Times New Roman"/>
        </w:rPr>
        <w:t>4</w:t>
      </w:r>
      <w:r>
        <w:rPr/>
        <w:t>－</w:t>
      </w:r>
      <w:r>
        <w:rPr>
          <w:rFonts w:ascii="Times New Roman" w:eastAsia="Times New Roman"/>
        </w:rPr>
        <w:t>8 </w:t>
      </w:r>
      <w:r>
        <w:rPr>
          <w:spacing w:val="-7"/>
        </w:rPr>
        <w:t>项费用，除上款规定的费用外，由基金托管人</w:t>
      </w:r>
      <w:r>
        <w:rPr>
          <w:spacing w:val="-5"/>
        </w:rPr>
        <w:t>根据有关法规及相应协议规定，按费用实际支出金额，从基金财产中支付。</w:t>
      </w:r>
    </w:p>
    <w:p>
      <w:pPr>
        <w:spacing w:after="0" w:line="417" w:lineRule="auto"/>
        <w:jc w:val="both"/>
        <w:sectPr>
          <w:pgSz w:w="11910" w:h="16840"/>
          <w:pgMar w:header="852" w:footer="992" w:top="1220" w:bottom="1180" w:left="1140" w:right="480"/>
        </w:sectPr>
      </w:pPr>
    </w:p>
    <w:p>
      <w:pPr>
        <w:pStyle w:val="BodyText"/>
        <w:spacing w:before="11"/>
        <w:rPr>
          <w:sz w:val="17"/>
        </w:rPr>
      </w:pPr>
    </w:p>
    <w:p>
      <w:pPr>
        <w:pStyle w:val="Heading1"/>
        <w:spacing w:before="66"/>
        <w:ind w:left="1902" w:right="2561"/>
        <w:jc w:val="center"/>
      </w:pPr>
      <w:bookmarkStart w:name="_bookmark20" w:id="21"/>
      <w:bookmarkEnd w:id="21"/>
      <w:r>
        <w:rPr>
          <w:b w:val="0"/>
        </w:rPr>
      </w:r>
      <w:r>
        <w:rPr/>
        <w:t>十七、基金的会计与审计</w:t>
      </w:r>
    </w:p>
    <w:p>
      <w:pPr>
        <w:pStyle w:val="BodyText"/>
        <w:spacing w:before="181"/>
        <w:ind w:left="1078"/>
      </w:pPr>
      <w:r>
        <w:rPr/>
        <w:t>本系列基金下各基金的会计与审计独立进行。</w:t>
      </w:r>
    </w:p>
    <w:p>
      <w:pPr>
        <w:spacing w:before="101"/>
        <w:ind w:left="658" w:right="0" w:firstLine="0"/>
        <w:jc w:val="left"/>
        <w:rPr>
          <w:b/>
          <w:sz w:val="21"/>
        </w:rPr>
      </w:pPr>
      <w:r>
        <w:rPr>
          <w:b/>
          <w:sz w:val="21"/>
        </w:rPr>
        <w:t>（一）基金会计政策</w:t>
      </w:r>
    </w:p>
    <w:p>
      <w:pPr>
        <w:pStyle w:val="BodyText"/>
        <w:spacing w:before="6"/>
        <w:rPr>
          <w:b/>
          <w:sz w:val="18"/>
        </w:rPr>
      </w:pPr>
    </w:p>
    <w:p>
      <w:pPr>
        <w:pStyle w:val="BodyText"/>
        <w:spacing w:line="417" w:lineRule="auto" w:before="1"/>
        <w:ind w:left="658" w:right="1308" w:firstLine="419"/>
        <w:jc w:val="both"/>
      </w:pPr>
      <w:r>
        <w:rPr/>
        <w:t>1</w:t>
      </w:r>
      <w:r>
        <w:rPr>
          <w:spacing w:val="-3"/>
        </w:rPr>
        <w:t>、基金管理人为本系列基金的基金会计责任方，基金管理人也可以委托基金托管人或</w:t>
      </w:r>
      <w:r>
        <w:rPr>
          <w:spacing w:val="-7"/>
        </w:rPr>
        <w:t>者具有证券从业资格的独立的会计师事务所担任基金会计，但该会计师事务所不能同时从事</w:t>
      </w:r>
      <w:r>
        <w:rPr>
          <w:spacing w:val="-5"/>
        </w:rPr>
        <w:t>本系列基金的审计业务；</w:t>
      </w:r>
    </w:p>
    <w:p>
      <w:pPr>
        <w:pStyle w:val="BodyText"/>
        <w:spacing w:line="269" w:lineRule="exact"/>
        <w:ind w:left="1078"/>
        <w:jc w:val="both"/>
      </w:pPr>
      <w:r>
        <w:rPr/>
        <w:t>2、基金的会计年度为公历每年 1 月 1 日至 12 月 31 日；基金首次募集的会计年度按如</w:t>
      </w:r>
    </w:p>
    <w:p>
      <w:pPr>
        <w:pStyle w:val="BodyText"/>
        <w:spacing w:before="7"/>
        <w:rPr>
          <w:sz w:val="15"/>
        </w:rPr>
      </w:pPr>
    </w:p>
    <w:p>
      <w:pPr>
        <w:pStyle w:val="BodyText"/>
        <w:spacing w:line="417" w:lineRule="auto"/>
        <w:ind w:left="1078" w:right="3512" w:hanging="420"/>
      </w:pPr>
      <w:r>
        <w:rPr>
          <w:spacing w:val="-5"/>
        </w:rPr>
        <w:t>下规则：若基金合同生效少于 </w:t>
      </w:r>
      <w:r>
        <w:rPr/>
        <w:t>3</w:t>
      </w:r>
      <w:r>
        <w:rPr>
          <w:spacing w:val="-7"/>
        </w:rPr>
        <w:t> 个月，可以并入下一个会计年度； 3</w:t>
      </w:r>
      <w:r>
        <w:rPr>
          <w:spacing w:val="-4"/>
        </w:rPr>
        <w:t>、基金核算以人民币为记账本位币，以人民币元为记账单位；</w:t>
      </w:r>
    </w:p>
    <w:p>
      <w:pPr>
        <w:pStyle w:val="BodyText"/>
        <w:spacing w:line="269" w:lineRule="exact"/>
        <w:ind w:left="1078"/>
      </w:pPr>
      <w:r>
        <w:rPr/>
        <w:t>4、会计制度执行国家有关的会计制度；</w:t>
      </w:r>
    </w:p>
    <w:p>
      <w:pPr>
        <w:pStyle w:val="BodyText"/>
        <w:spacing w:before="7"/>
        <w:rPr>
          <w:sz w:val="15"/>
        </w:rPr>
      </w:pPr>
    </w:p>
    <w:p>
      <w:pPr>
        <w:pStyle w:val="BodyText"/>
        <w:ind w:left="1078"/>
      </w:pPr>
      <w:r>
        <w:rPr/>
        <w:t>5、本系列基金分别独立建账、独立核算；</w:t>
      </w:r>
    </w:p>
    <w:p>
      <w:pPr>
        <w:pStyle w:val="BodyText"/>
        <w:spacing w:before="6"/>
        <w:rPr>
          <w:sz w:val="15"/>
        </w:rPr>
      </w:pPr>
    </w:p>
    <w:p>
      <w:pPr>
        <w:pStyle w:val="BodyText"/>
        <w:spacing w:line="417" w:lineRule="auto"/>
        <w:ind w:left="658" w:right="1309" w:firstLine="419"/>
      </w:pPr>
      <w:r>
        <w:rPr/>
        <w:t>6、基金管理人及基金托管人各自保留完整的会计账目、凭证并进行日常的会计核算， 按照有关规定编制基金会计报表；</w:t>
      </w:r>
    </w:p>
    <w:p>
      <w:pPr>
        <w:pStyle w:val="BodyText"/>
        <w:spacing w:line="417" w:lineRule="auto"/>
        <w:ind w:left="658" w:right="1309" w:firstLine="419"/>
      </w:pPr>
      <w:r>
        <w:rPr/>
        <w:t>7、基金托管人每月与基金管理人就基金的会计核算、报表编制等进行核对并以书面方式确认。</w:t>
      </w:r>
    </w:p>
    <w:p>
      <w:pPr>
        <w:pStyle w:val="BodyText"/>
        <w:spacing w:before="11"/>
        <w:rPr>
          <w:sz w:val="28"/>
        </w:rPr>
      </w:pPr>
    </w:p>
    <w:p>
      <w:pPr>
        <w:spacing w:before="0"/>
        <w:ind w:left="658" w:right="0" w:firstLine="0"/>
        <w:jc w:val="left"/>
        <w:rPr>
          <w:b/>
          <w:sz w:val="21"/>
        </w:rPr>
      </w:pPr>
      <w:r>
        <w:rPr>
          <w:b/>
          <w:sz w:val="21"/>
        </w:rPr>
        <w:t>（二）基金审计</w:t>
      </w:r>
    </w:p>
    <w:p>
      <w:pPr>
        <w:pStyle w:val="BodyText"/>
        <w:spacing w:before="7"/>
        <w:rPr>
          <w:b/>
          <w:sz w:val="18"/>
        </w:rPr>
      </w:pPr>
    </w:p>
    <w:p>
      <w:pPr>
        <w:pStyle w:val="BodyText"/>
        <w:spacing w:line="417" w:lineRule="auto"/>
        <w:ind w:left="658" w:right="1309" w:firstLine="419"/>
        <w:jc w:val="both"/>
      </w:pPr>
      <w:r>
        <w:rPr/>
        <w:t>1</w:t>
      </w:r>
      <w:r>
        <w:rPr>
          <w:spacing w:val="-3"/>
        </w:rPr>
        <w:t>、本系列基金管理人聘请具有证券、期货相关业务资格的会计师事务所及其注册会计</w:t>
      </w:r>
      <w:r>
        <w:rPr>
          <w:spacing w:val="-8"/>
        </w:rPr>
        <w:t>师对各基金年度财务报表进行审计。会计师事务所及其注册会计师与基金管理人、基金托管</w:t>
      </w:r>
      <w:r>
        <w:rPr>
          <w:spacing w:val="-5"/>
        </w:rPr>
        <w:t>人相互独立。</w:t>
      </w:r>
    </w:p>
    <w:p>
      <w:pPr>
        <w:pStyle w:val="BodyText"/>
        <w:spacing w:line="417" w:lineRule="auto"/>
        <w:ind w:left="658" w:right="1309" w:firstLine="419"/>
      </w:pPr>
      <w:r>
        <w:rPr/>
        <w:t>2、会计师事务所更换经办注册会计师，须事先征得基金管理人和基金托管人同意，并报中国证监会备案。</w:t>
      </w:r>
    </w:p>
    <w:p>
      <w:pPr>
        <w:pStyle w:val="BodyText"/>
        <w:ind w:left="1078"/>
      </w:pPr>
      <w:r>
        <w:rPr/>
        <w:t>3、基金管理人（或基金托管人）认为有充足理由更换会计师事务所，须经基金托管人</w:t>
      </w:r>
    </w:p>
    <w:p>
      <w:pPr>
        <w:pStyle w:val="BodyText"/>
        <w:spacing w:before="6"/>
        <w:rPr>
          <w:sz w:val="15"/>
        </w:rPr>
      </w:pPr>
    </w:p>
    <w:p>
      <w:pPr>
        <w:pStyle w:val="BodyText"/>
        <w:spacing w:line="417" w:lineRule="auto"/>
        <w:ind w:left="658" w:right="1309"/>
      </w:pPr>
      <w:r>
        <w:rPr/>
        <w:t>（</w:t>
      </w:r>
      <w:r>
        <w:rPr>
          <w:spacing w:val="-3"/>
        </w:rPr>
        <w:t>或基金管理人</w:t>
      </w:r>
      <w:r>
        <w:rPr>
          <w:spacing w:val="-25"/>
        </w:rPr>
        <w:t>）</w:t>
      </w:r>
      <w:r>
        <w:rPr>
          <w:spacing w:val="-9"/>
        </w:rPr>
        <w:t>同意，更换会计师事务所需按照《信息披露办法》的有关规定在指定媒介公告。</w:t>
      </w:r>
    </w:p>
    <w:p>
      <w:pPr>
        <w:spacing w:after="0" w:line="417" w:lineRule="auto"/>
        <w:sectPr>
          <w:pgSz w:w="11910" w:h="16840"/>
          <w:pgMar w:header="852" w:footer="992" w:top="1220" w:bottom="1180" w:left="1140" w:right="480"/>
        </w:sectPr>
      </w:pPr>
    </w:p>
    <w:p>
      <w:pPr>
        <w:pStyle w:val="BodyText"/>
        <w:spacing w:before="11"/>
        <w:rPr>
          <w:sz w:val="17"/>
        </w:rPr>
      </w:pPr>
    </w:p>
    <w:p>
      <w:pPr>
        <w:pStyle w:val="Heading1"/>
        <w:spacing w:before="66"/>
        <w:ind w:left="1902" w:right="2561"/>
        <w:jc w:val="center"/>
      </w:pPr>
      <w:bookmarkStart w:name="_bookmark21" w:id="22"/>
      <w:bookmarkEnd w:id="22"/>
      <w:r>
        <w:rPr>
          <w:b w:val="0"/>
        </w:rPr>
      </w:r>
      <w:r>
        <w:rPr/>
        <w:t>十八、基金的信息披露</w:t>
      </w:r>
    </w:p>
    <w:p>
      <w:pPr>
        <w:pStyle w:val="BodyText"/>
        <w:spacing w:line="417" w:lineRule="auto" w:before="181"/>
        <w:ind w:left="658" w:right="1309" w:firstLine="419"/>
        <w:jc w:val="both"/>
      </w:pPr>
      <w:r>
        <w:rPr>
          <w:spacing w:val="-26"/>
        </w:rPr>
        <w:t>本系列基金的信息披露应符合《基金法》、《运作办法》、《信息披露办法》、基金合同及</w:t>
      </w:r>
      <w:r>
        <w:rPr>
          <w:spacing w:val="-14"/>
        </w:rPr>
        <w:t>其他有关规定。本系列基金信息披露事项应当在中国证监会规定时间内，通过指定报刊和网</w:t>
      </w:r>
      <w:r>
        <w:rPr>
          <w:spacing w:val="-13"/>
        </w:rPr>
        <w:t>站等媒介披露，并保证投资人能够按照基金合同约定的时间和方式查阅或者复制公开披露的</w:t>
      </w:r>
      <w:r>
        <w:rPr>
          <w:spacing w:val="-7"/>
        </w:rPr>
        <w:t>信息资料。</w:t>
      </w:r>
    </w:p>
    <w:p>
      <w:pPr>
        <w:pStyle w:val="BodyText"/>
        <w:spacing w:line="268" w:lineRule="exact"/>
        <w:ind w:left="1078"/>
      </w:pPr>
      <w:r>
        <w:rPr/>
        <w:t>公开披露的基金信息包括：</w:t>
      </w:r>
    </w:p>
    <w:p>
      <w:pPr>
        <w:pStyle w:val="BodyText"/>
        <w:spacing w:before="7"/>
        <w:rPr>
          <w:sz w:val="15"/>
        </w:rPr>
      </w:pPr>
    </w:p>
    <w:p>
      <w:pPr>
        <w:spacing w:before="0"/>
        <w:ind w:left="658" w:right="0" w:firstLine="0"/>
        <w:jc w:val="left"/>
        <w:rPr>
          <w:b/>
          <w:sz w:val="21"/>
        </w:rPr>
      </w:pPr>
      <w:r>
        <w:rPr>
          <w:b/>
          <w:sz w:val="21"/>
        </w:rPr>
        <w:t>（一）基金招募说明书、基金合同、基金托管协议、基金产品资料概要</w:t>
      </w:r>
    </w:p>
    <w:p>
      <w:pPr>
        <w:pStyle w:val="BodyText"/>
        <w:spacing w:before="7"/>
        <w:rPr>
          <w:b/>
          <w:sz w:val="15"/>
        </w:rPr>
      </w:pPr>
    </w:p>
    <w:p>
      <w:pPr>
        <w:pStyle w:val="BodyText"/>
        <w:spacing w:line="417" w:lineRule="auto"/>
        <w:ind w:left="658" w:right="1203" w:firstLine="419"/>
      </w:pPr>
      <w:r>
        <w:rPr>
          <w:spacing w:val="-10"/>
        </w:rPr>
        <w:t>基金募集申请经中国证监会核准后，基金管理人在基金份额发售 </w:t>
      </w:r>
      <w:r>
        <w:rPr/>
        <w:t>3</w:t>
      </w:r>
      <w:r>
        <w:rPr>
          <w:spacing w:val="-16"/>
        </w:rPr>
        <w:t> 日前，将招募说明书、</w:t>
      </w:r>
      <w:r>
        <w:rPr>
          <w:spacing w:val="-11"/>
        </w:rPr>
        <w:t>基金合同摘要登载在指定报刊和基金管理人网站上；基金管理人、基金托管人应当将基金合</w:t>
      </w:r>
      <w:r>
        <w:rPr>
          <w:spacing w:val="-6"/>
        </w:rPr>
        <w:t>同、托管协议登载在网站上。</w:t>
      </w:r>
    </w:p>
    <w:p>
      <w:pPr>
        <w:pStyle w:val="ListParagraph"/>
        <w:numPr>
          <w:ilvl w:val="0"/>
          <w:numId w:val="37"/>
        </w:numPr>
        <w:tabs>
          <w:tab w:pos="1396" w:val="left" w:leader="none"/>
        </w:tabs>
        <w:spacing w:line="417" w:lineRule="auto" w:before="0" w:after="0"/>
        <w:ind w:left="658" w:right="1203" w:firstLine="419"/>
        <w:jc w:val="left"/>
        <w:rPr>
          <w:sz w:val="21"/>
        </w:rPr>
      </w:pPr>
      <w:r>
        <w:rPr>
          <w:spacing w:val="-3"/>
          <w:sz w:val="21"/>
        </w:rPr>
        <w:t>招募说明书应当最大限度地披露影响基金投资者决策的全部事项，说明基金认购、</w:t>
      </w:r>
      <w:r>
        <w:rPr>
          <w:spacing w:val="-10"/>
          <w:sz w:val="21"/>
        </w:rPr>
        <w:t>申购和赎回安排、基金投资、基金产品特性、风险揭示、信息披露及基金份额持有人服务等</w:t>
      </w:r>
      <w:r>
        <w:rPr>
          <w:spacing w:val="-11"/>
          <w:sz w:val="21"/>
        </w:rPr>
        <w:t>内容。本基金合同生效后，基金招募说明书的信息发生重大变更的，基金管理人应当在三个</w:t>
      </w:r>
      <w:r>
        <w:rPr>
          <w:spacing w:val="-17"/>
          <w:sz w:val="21"/>
        </w:rPr>
        <w:t>工作日内，更新基金招募说明书并登载在指定网站上；基金招募说明书其他信息发生变更的， </w:t>
      </w:r>
      <w:r>
        <w:rPr>
          <w:spacing w:val="-7"/>
          <w:sz w:val="21"/>
        </w:rPr>
        <w:t>基金管理人至少每年更新一次。基金终止运作的，基金管理人不再更新基金招募说明书。</w:t>
      </w:r>
    </w:p>
    <w:p>
      <w:pPr>
        <w:pStyle w:val="ListParagraph"/>
        <w:numPr>
          <w:ilvl w:val="0"/>
          <w:numId w:val="37"/>
        </w:numPr>
        <w:tabs>
          <w:tab w:pos="1396" w:val="left" w:leader="none"/>
        </w:tabs>
        <w:spacing w:line="417" w:lineRule="auto" w:before="0" w:after="0"/>
        <w:ind w:left="658" w:right="1102" w:firstLine="419"/>
        <w:jc w:val="left"/>
        <w:rPr>
          <w:sz w:val="21"/>
        </w:rPr>
      </w:pPr>
      <w:r>
        <w:rPr>
          <w:spacing w:val="-3"/>
          <w:sz w:val="21"/>
        </w:rPr>
        <w:t>基金合同是界定基金合同当事人的各项权利、义务关系，明确基金份额持有人大会 </w:t>
      </w:r>
      <w:r>
        <w:rPr>
          <w:spacing w:val="-12"/>
          <w:sz w:val="21"/>
        </w:rPr>
        <w:t>召开的规则及具体程序，说明基金产品的特性等涉及基金投资者重大利益的事项的法律文件。</w:t>
      </w:r>
    </w:p>
    <w:p>
      <w:pPr>
        <w:pStyle w:val="ListParagraph"/>
        <w:numPr>
          <w:ilvl w:val="0"/>
          <w:numId w:val="37"/>
        </w:numPr>
        <w:tabs>
          <w:tab w:pos="1396" w:val="left" w:leader="none"/>
        </w:tabs>
        <w:spacing w:line="417" w:lineRule="auto" w:before="0" w:after="0"/>
        <w:ind w:left="658" w:right="1309" w:firstLine="419"/>
        <w:jc w:val="left"/>
        <w:rPr>
          <w:sz w:val="21"/>
        </w:rPr>
      </w:pPr>
      <w:r>
        <w:rPr>
          <w:spacing w:val="-3"/>
          <w:sz w:val="21"/>
        </w:rPr>
        <w:t>托管协议是界定基金托管人和基金管理人在基金财产保管及基金运作监督等活动中的权利、义务关系的法律文件。</w:t>
      </w:r>
    </w:p>
    <w:p>
      <w:pPr>
        <w:pStyle w:val="BodyText"/>
        <w:spacing w:line="417" w:lineRule="auto"/>
        <w:ind w:left="658" w:right="1309" w:firstLine="419"/>
        <w:jc w:val="both"/>
      </w:pPr>
      <w:r>
        <w:rPr/>
        <w:t>（4）</w:t>
      </w:r>
      <w:r>
        <w:rPr>
          <w:spacing w:val="-3"/>
        </w:rPr>
        <w:t>基金产品资料概要是基金招募说明书的摘要文件，用于向投资者提供简明的基金</w:t>
      </w:r>
      <w:r>
        <w:rPr>
          <w:spacing w:val="-13"/>
        </w:rPr>
        <w:t>概要信息。《基金合同》生效后，基金产品资料概要的信息发生重大变更的，基金管理人应</w:t>
      </w:r>
      <w:r>
        <w:rPr>
          <w:spacing w:val="-10"/>
        </w:rPr>
        <w:t>当在三个工作日内，更新基金产品资料概要，并登载在指定网站及基金销售机构网站或营业</w:t>
      </w:r>
      <w:r>
        <w:rPr>
          <w:spacing w:val="-11"/>
        </w:rPr>
        <w:t>网点；基金产品资料概要其他信息发生变更的，基金管理人至少每年更新一次。基金终止运</w:t>
      </w:r>
      <w:r>
        <w:rPr>
          <w:spacing w:val="-6"/>
        </w:rPr>
        <w:t>作的，基金管理人不再更新基金产品资料概要。</w:t>
      </w:r>
    </w:p>
    <w:p>
      <w:pPr>
        <w:pStyle w:val="BodyText"/>
        <w:rPr>
          <w:sz w:val="20"/>
        </w:rPr>
      </w:pPr>
    </w:p>
    <w:p>
      <w:pPr>
        <w:pStyle w:val="BodyText"/>
        <w:spacing w:before="5"/>
        <w:rPr>
          <w:sz w:val="16"/>
        </w:rPr>
      </w:pPr>
    </w:p>
    <w:p>
      <w:pPr>
        <w:spacing w:before="0"/>
        <w:ind w:left="658" w:right="0" w:firstLine="0"/>
        <w:jc w:val="left"/>
        <w:rPr>
          <w:b/>
          <w:sz w:val="21"/>
        </w:rPr>
      </w:pPr>
      <w:r>
        <w:rPr>
          <w:b/>
          <w:sz w:val="21"/>
        </w:rPr>
        <w:t>（二）基金份额发售公告</w:t>
      </w:r>
    </w:p>
    <w:p>
      <w:pPr>
        <w:pStyle w:val="BodyText"/>
        <w:spacing w:before="7"/>
        <w:rPr>
          <w:b/>
          <w:sz w:val="15"/>
        </w:rPr>
      </w:pPr>
    </w:p>
    <w:p>
      <w:pPr>
        <w:pStyle w:val="BodyText"/>
        <w:spacing w:line="417" w:lineRule="auto"/>
        <w:ind w:left="658" w:right="1310" w:firstLine="419"/>
      </w:pPr>
      <w:r>
        <w:rPr>
          <w:spacing w:val="-6"/>
        </w:rPr>
        <w:t>基金管理人应当就基金份额发售的具体事宜编制基金份额发售公告，并在披露招募说明</w:t>
      </w:r>
      <w:r>
        <w:rPr>
          <w:spacing w:val="-4"/>
        </w:rPr>
        <w:t>书的当日登载于指定报刊和网站上。</w:t>
      </w:r>
    </w:p>
    <w:p>
      <w:pPr>
        <w:pStyle w:val="BodyText"/>
        <w:rPr>
          <w:sz w:val="20"/>
        </w:rPr>
      </w:pPr>
    </w:p>
    <w:p>
      <w:pPr>
        <w:pStyle w:val="BodyText"/>
        <w:spacing w:before="7"/>
        <w:rPr>
          <w:sz w:val="16"/>
        </w:rPr>
      </w:pPr>
    </w:p>
    <w:p>
      <w:pPr>
        <w:spacing w:before="0"/>
        <w:ind w:left="658" w:right="0" w:firstLine="0"/>
        <w:jc w:val="left"/>
        <w:rPr>
          <w:b/>
          <w:sz w:val="21"/>
        </w:rPr>
      </w:pPr>
      <w:r>
        <w:rPr>
          <w:b/>
          <w:sz w:val="21"/>
        </w:rPr>
        <w:t>（三）基金合同生效公告</w:t>
      </w:r>
    </w:p>
    <w:p>
      <w:pPr>
        <w:spacing w:after="0"/>
        <w:jc w:val="left"/>
        <w:rPr>
          <w:sz w:val="21"/>
        </w:rPr>
        <w:sectPr>
          <w:pgSz w:w="11910" w:h="16840"/>
          <w:pgMar w:header="852" w:footer="992" w:top="1220" w:bottom="1180" w:left="1140" w:right="480"/>
        </w:sectPr>
      </w:pPr>
    </w:p>
    <w:p>
      <w:pPr>
        <w:pStyle w:val="BodyText"/>
        <w:spacing w:before="1"/>
        <w:rPr>
          <w:b/>
          <w:sz w:val="19"/>
        </w:rPr>
      </w:pPr>
    </w:p>
    <w:p>
      <w:pPr>
        <w:pStyle w:val="BodyText"/>
        <w:spacing w:before="71"/>
        <w:ind w:left="1078"/>
      </w:pPr>
      <w:r>
        <w:rPr/>
        <w:t>基金管理人应当在基金合同生效的次日在指定报刊和网站上登载基金合同生效公告。</w:t>
      </w:r>
    </w:p>
    <w:p>
      <w:pPr>
        <w:pStyle w:val="BodyText"/>
        <w:rPr>
          <w:sz w:val="20"/>
        </w:rPr>
      </w:pPr>
    </w:p>
    <w:p>
      <w:pPr>
        <w:pStyle w:val="BodyText"/>
        <w:rPr>
          <w:sz w:val="20"/>
        </w:rPr>
      </w:pPr>
    </w:p>
    <w:p>
      <w:pPr>
        <w:spacing w:line="417" w:lineRule="auto" w:before="155"/>
        <w:ind w:left="1078" w:right="1309" w:hanging="420"/>
        <w:jc w:val="left"/>
        <w:rPr>
          <w:sz w:val="21"/>
        </w:rPr>
      </w:pPr>
      <w:r>
        <w:rPr>
          <w:b/>
          <w:sz w:val="21"/>
        </w:rPr>
        <w:t>（四）</w:t>
      </w:r>
      <w:r>
        <w:rPr>
          <w:b/>
          <w:spacing w:val="-3"/>
          <w:sz w:val="21"/>
        </w:rPr>
        <w:t>基金资净值信息、货币市场基金每万份基金净收益、货币市场基金七日年化收益率</w:t>
      </w:r>
      <w:r>
        <w:rPr>
          <w:spacing w:val="-10"/>
          <w:sz w:val="21"/>
        </w:rPr>
        <w:t>基金合同生效后，在开始办理基金份额申购或者赎回前，基金管理人应当至少每周公告</w:t>
      </w:r>
    </w:p>
    <w:p>
      <w:pPr>
        <w:pStyle w:val="BodyText"/>
        <w:spacing w:line="269" w:lineRule="exact"/>
        <w:ind w:left="658"/>
      </w:pPr>
      <w:r>
        <w:rPr/>
        <w:t>一次基金资产净值和基金份额净值。</w:t>
      </w:r>
    </w:p>
    <w:p>
      <w:pPr>
        <w:pStyle w:val="BodyText"/>
        <w:spacing w:before="6"/>
        <w:rPr>
          <w:sz w:val="15"/>
        </w:rPr>
      </w:pPr>
    </w:p>
    <w:p>
      <w:pPr>
        <w:pStyle w:val="BodyText"/>
        <w:spacing w:line="417" w:lineRule="auto"/>
        <w:ind w:left="658" w:right="1308" w:firstLine="419"/>
        <w:jc w:val="both"/>
      </w:pPr>
      <w:r>
        <w:rPr>
          <w:spacing w:val="-8"/>
        </w:rPr>
        <w:t>在开始办理基金份额申购或者赎回后，基金管理人应当在不晚于每个开放日的次日，通</w:t>
      </w:r>
      <w:r>
        <w:rPr>
          <w:spacing w:val="-12"/>
        </w:rPr>
        <w:t>过指定网站、基金销售机构网站或者营业网点披露开放日优选混合型基金和动力平衡基金基金份额净值和基金份额累计净值、货币市场基金的各级基金份额的每万份基金净收益和七日</w:t>
      </w:r>
      <w:r>
        <w:rPr>
          <w:spacing w:val="-9"/>
        </w:rPr>
        <w:t>年化收益率。若遇法定节假日，应于节假日结束后第二个自然日，基金管理人还应披露货币</w:t>
      </w:r>
      <w:r>
        <w:rPr>
          <w:spacing w:val="-8"/>
        </w:rPr>
        <w:t>市场基金在节假日期间各级基金份额的每万份基金净收益和节假日最后一日各级基金份额的每万份基金净收益和 </w:t>
      </w:r>
      <w:r>
        <w:rPr>
          <w:rFonts w:ascii="Times New Roman" w:eastAsia="Times New Roman"/>
        </w:rPr>
        <w:t>7 </w:t>
      </w:r>
      <w:r>
        <w:rPr>
          <w:spacing w:val="-10"/>
        </w:rPr>
        <w:t>日年化收益率。经中国证监会同意，可以适当延迟计算或公告。法</w:t>
      </w:r>
      <w:r>
        <w:rPr>
          <w:spacing w:val="-5"/>
        </w:rPr>
        <w:t>律法规另有规定的，从其规定。</w:t>
      </w:r>
    </w:p>
    <w:p>
      <w:pPr>
        <w:pStyle w:val="BodyText"/>
        <w:spacing w:line="417" w:lineRule="auto"/>
        <w:ind w:left="658" w:right="1309"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rPr>
          <w:sz w:val="20"/>
        </w:rPr>
      </w:pPr>
    </w:p>
    <w:p>
      <w:pPr>
        <w:pStyle w:val="BodyText"/>
        <w:spacing w:before="6"/>
        <w:rPr>
          <w:sz w:val="16"/>
        </w:rPr>
      </w:pPr>
    </w:p>
    <w:p>
      <w:pPr>
        <w:spacing w:before="1"/>
        <w:ind w:left="658" w:right="0" w:firstLine="0"/>
        <w:jc w:val="left"/>
        <w:rPr>
          <w:b/>
          <w:sz w:val="21"/>
        </w:rPr>
      </w:pPr>
      <w:r>
        <w:rPr>
          <w:b/>
          <w:sz w:val="21"/>
        </w:rPr>
        <w:t>（五）基金份额申购、赎回价格</w:t>
      </w:r>
    </w:p>
    <w:p>
      <w:pPr>
        <w:pStyle w:val="BodyText"/>
        <w:spacing w:before="6"/>
        <w:rPr>
          <w:b/>
          <w:sz w:val="15"/>
        </w:rPr>
      </w:pPr>
    </w:p>
    <w:p>
      <w:pPr>
        <w:pStyle w:val="BodyText"/>
        <w:spacing w:line="417" w:lineRule="auto"/>
        <w:ind w:left="658" w:right="1309" w:firstLine="419"/>
        <w:jc w:val="both"/>
      </w:pPr>
      <w:r>
        <w:rPr>
          <w:spacing w:val="-9"/>
        </w:rPr>
        <w:t>基金管理人应当在基金合同、招募说明书等信息披露文件上载明基金份额申购、赎回价</w:t>
      </w:r>
      <w:r>
        <w:rPr>
          <w:spacing w:val="-12"/>
        </w:rPr>
        <w:t>格的计算方式及有关申购、赎回费率，并保证投资人能够在基金销售机构网站或者营业网点</w:t>
      </w:r>
      <w:r>
        <w:rPr>
          <w:spacing w:val="-6"/>
        </w:rPr>
        <w:t>查阅或者复制前述信息资料。</w:t>
      </w:r>
    </w:p>
    <w:p>
      <w:pPr>
        <w:pStyle w:val="BodyText"/>
        <w:rPr>
          <w:sz w:val="20"/>
        </w:rPr>
      </w:pPr>
    </w:p>
    <w:p>
      <w:pPr>
        <w:pStyle w:val="BodyText"/>
        <w:spacing w:before="6"/>
        <w:rPr>
          <w:sz w:val="16"/>
        </w:rPr>
      </w:pPr>
    </w:p>
    <w:p>
      <w:pPr>
        <w:spacing w:before="1"/>
        <w:ind w:left="658" w:right="0" w:firstLine="0"/>
        <w:jc w:val="left"/>
        <w:rPr>
          <w:b/>
          <w:sz w:val="21"/>
        </w:rPr>
      </w:pPr>
      <w:r>
        <w:rPr>
          <w:b/>
          <w:sz w:val="21"/>
        </w:rPr>
        <w:t>（六）基金定期报告，包括基金年度报告、基金中期报告和基金季度报告</w:t>
      </w:r>
    </w:p>
    <w:p>
      <w:pPr>
        <w:pStyle w:val="BodyText"/>
        <w:spacing w:before="7"/>
        <w:rPr>
          <w:b/>
          <w:sz w:val="15"/>
        </w:rPr>
      </w:pPr>
    </w:p>
    <w:p>
      <w:pPr>
        <w:pStyle w:val="BodyText"/>
        <w:spacing w:line="417" w:lineRule="auto"/>
        <w:ind w:left="658" w:right="1308" w:firstLine="419"/>
        <w:jc w:val="both"/>
      </w:pPr>
      <w:r>
        <w:rPr>
          <w:spacing w:val="-8"/>
        </w:rPr>
        <w:t>基金管理人应当在每年结束之日起三个月内，编制完成基金年度报告，将年度报告登载</w:t>
      </w:r>
      <w:r>
        <w:rPr>
          <w:spacing w:val="-12"/>
        </w:rPr>
        <w:t>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658" w:right="1309" w:firstLine="419"/>
      </w:pPr>
      <w:r>
        <w:rPr>
          <w:spacing w:val="-8"/>
        </w:rPr>
        <w:t>基金管理人应当在上半年结束之日起两个月内，编制完成基金中期报告，将中期报告登</w:t>
      </w:r>
      <w:r>
        <w:rPr>
          <w:spacing w:val="-5"/>
        </w:rPr>
        <w:t>载在指定网站上，并将中期报告提示性公告登载在指定报刊上。</w:t>
      </w:r>
    </w:p>
    <w:p>
      <w:pPr>
        <w:pStyle w:val="BodyText"/>
        <w:spacing w:line="417" w:lineRule="auto"/>
        <w:ind w:left="658" w:right="1308" w:firstLine="419"/>
      </w:pPr>
      <w:r>
        <w:rPr>
          <w:spacing w:val="-5"/>
        </w:rPr>
        <w:t>基金管理人应当在季度结束之日起 </w:t>
      </w:r>
      <w:r>
        <w:rPr/>
        <w:t>15</w:t>
      </w:r>
      <w:r>
        <w:rPr>
          <w:spacing w:val="-7"/>
        </w:rPr>
        <w:t> 个工作日内，编制完成基金季度报告，将季度报</w:t>
      </w:r>
      <w:r>
        <w:rPr>
          <w:spacing w:val="-5"/>
        </w:rPr>
        <w:t>告登载在指定网站上，并将季度报告提示性公告登载在指定报刊上。</w:t>
      </w:r>
    </w:p>
    <w:p>
      <w:pPr>
        <w:pStyle w:val="BodyText"/>
        <w:spacing w:line="417" w:lineRule="auto"/>
        <w:ind w:left="658" w:right="1308" w:firstLine="419"/>
      </w:pPr>
      <w:r>
        <w:rPr>
          <w:spacing w:val="-6"/>
        </w:rPr>
        <w:t>基金管理人应当在基金年度报告和中期报告中披露基金组合资产情况，及其流动性风险</w:t>
      </w:r>
      <w:r>
        <w:rPr>
          <w:spacing w:val="-12"/>
        </w:rPr>
        <w:t>分析等。报告期内出现单一投资者持有本系列基金任一基金的基金份额比例达到或超过该基</w:t>
      </w:r>
    </w:p>
    <w:p>
      <w:pPr>
        <w:spacing w:after="0" w:line="417" w:lineRule="auto"/>
        <w:sectPr>
          <w:pgSz w:w="11910" w:h="16840"/>
          <w:pgMar w:header="852" w:footer="992" w:top="1220" w:bottom="1180" w:left="1140" w:right="480"/>
        </w:sectPr>
      </w:pPr>
    </w:p>
    <w:p>
      <w:pPr>
        <w:pStyle w:val="BodyText"/>
        <w:spacing w:before="7"/>
        <w:rPr>
          <w:sz w:val="18"/>
        </w:rPr>
      </w:pPr>
    </w:p>
    <w:p>
      <w:pPr>
        <w:pStyle w:val="BodyText"/>
        <w:spacing w:line="417" w:lineRule="auto" w:before="78"/>
        <w:ind w:left="658" w:right="1309"/>
        <w:jc w:val="both"/>
      </w:pPr>
      <w:r>
        <w:rPr>
          <w:spacing w:val="6"/>
        </w:rPr>
        <w:t>金基金总份额 </w:t>
      </w:r>
      <w:r>
        <w:rPr>
          <w:rFonts w:ascii="Times New Roman" w:hAnsi="Times New Roman" w:eastAsia="Times New Roman"/>
        </w:rPr>
        <w:t>20%</w:t>
      </w:r>
      <w:r>
        <w:rPr>
          <w:spacing w:val="-1"/>
        </w:rPr>
        <w:t>的情形，为保障其他投资者的权益，基金管理人至少应当在该基金基金</w:t>
      </w:r>
      <w:r>
        <w:rPr>
          <w:spacing w:val="-9"/>
        </w:rPr>
        <w:t>定期报告文件中“影响投资者决策的其他重要信息”项下披露该投资者的类别、报告期末持</w:t>
      </w:r>
      <w:r>
        <w:rPr>
          <w:spacing w:val="-12"/>
        </w:rPr>
        <w:t>有份额及占比、报告期内持有份额变化情况及本基金的特有风险，中国证监会认定的特殊情</w:t>
      </w:r>
      <w:r>
        <w:rPr>
          <w:spacing w:val="-7"/>
        </w:rPr>
        <w:t>形除外。</w:t>
      </w:r>
    </w:p>
    <w:p>
      <w:pPr>
        <w:pStyle w:val="BodyText"/>
        <w:spacing w:line="417" w:lineRule="auto"/>
        <w:ind w:left="658" w:right="1309" w:firstLine="419"/>
      </w:pPr>
      <w:r>
        <w:rPr>
          <w:spacing w:val="-9"/>
        </w:rPr>
        <w:t>本系列基金持续运作过程中，基金管理人应在该基金的中期报告、年度报告等文件中披</w:t>
      </w:r>
      <w:r>
        <w:rPr>
          <w:spacing w:val="-5"/>
        </w:rPr>
        <w:t>露基金组合资产情况及其流动性风险分析等。</w:t>
      </w:r>
    </w:p>
    <w:p>
      <w:pPr>
        <w:pStyle w:val="BodyText"/>
        <w:spacing w:line="417" w:lineRule="auto"/>
        <w:ind w:left="658" w:right="1257" w:firstLine="419"/>
      </w:pPr>
      <w:r>
        <w:rPr/>
        <w:t>货币市场基金应当在年度报告、中期报告中至少披露报告期末基金前 </w:t>
      </w:r>
      <w:r>
        <w:rPr>
          <w:rFonts w:ascii="Times New Roman" w:eastAsia="Times New Roman"/>
        </w:rPr>
        <w:t>10 </w:t>
      </w:r>
      <w:r>
        <w:rPr/>
        <w:t>名基金份额持有人的类别、持有份额及占总份额的比例等信息。</w:t>
      </w:r>
    </w:p>
    <w:p>
      <w:pPr>
        <w:pStyle w:val="BodyText"/>
        <w:rPr>
          <w:sz w:val="20"/>
        </w:rPr>
      </w:pPr>
    </w:p>
    <w:p>
      <w:pPr>
        <w:pStyle w:val="BodyText"/>
        <w:spacing w:before="6"/>
        <w:rPr>
          <w:sz w:val="16"/>
        </w:rPr>
      </w:pPr>
    </w:p>
    <w:p>
      <w:pPr>
        <w:pStyle w:val="BodyText"/>
        <w:ind w:left="1078"/>
      </w:pPr>
      <w:r>
        <w:rPr/>
        <w:t>《基金法》及其他有关法律法规或中国证监会另有规定的，从其规定。</w:t>
      </w:r>
    </w:p>
    <w:p>
      <w:pPr>
        <w:pStyle w:val="BodyText"/>
        <w:rPr>
          <w:sz w:val="20"/>
        </w:rPr>
      </w:pPr>
    </w:p>
    <w:p>
      <w:pPr>
        <w:pStyle w:val="BodyText"/>
        <w:rPr>
          <w:sz w:val="20"/>
        </w:rPr>
      </w:pPr>
    </w:p>
    <w:p>
      <w:pPr>
        <w:spacing w:before="155"/>
        <w:ind w:left="658" w:right="0" w:firstLine="0"/>
        <w:jc w:val="left"/>
        <w:rPr>
          <w:b/>
          <w:sz w:val="21"/>
        </w:rPr>
      </w:pPr>
      <w:r>
        <w:rPr>
          <w:b/>
          <w:sz w:val="21"/>
        </w:rPr>
        <w:t>（七）临时报告</w:t>
      </w:r>
    </w:p>
    <w:p>
      <w:pPr>
        <w:pStyle w:val="BodyText"/>
        <w:spacing w:before="6"/>
        <w:rPr>
          <w:b/>
          <w:sz w:val="15"/>
        </w:rPr>
      </w:pPr>
    </w:p>
    <w:p>
      <w:pPr>
        <w:pStyle w:val="BodyText"/>
        <w:spacing w:line="417" w:lineRule="auto"/>
        <w:ind w:left="658" w:right="1311" w:firstLine="419"/>
      </w:pPr>
      <w:r>
        <w:rPr>
          <w:spacing w:val="-10"/>
        </w:rPr>
        <w:t>本基金发生重大事件，有关信息披露义务人应当在 </w:t>
      </w:r>
      <w:r>
        <w:rPr/>
        <w:t>2</w:t>
      </w:r>
      <w:r>
        <w:rPr>
          <w:spacing w:val="-11"/>
        </w:rPr>
        <w:t> 日内编制临时报告书，并登载在指</w:t>
      </w:r>
      <w:r>
        <w:rPr>
          <w:spacing w:val="-6"/>
        </w:rPr>
        <w:t>定报刊和指定网站上。</w:t>
      </w:r>
    </w:p>
    <w:p>
      <w:pPr>
        <w:pStyle w:val="BodyText"/>
        <w:spacing w:line="417" w:lineRule="auto"/>
        <w:ind w:left="658" w:right="1309" w:firstLine="419"/>
      </w:pPr>
      <w:r>
        <w:rPr>
          <w:spacing w:val="-12"/>
        </w:rPr>
        <w:t>前款所称重大事件，是指可能对基金份额持有人权益或者基金份额的价格产生重大影响</w:t>
      </w:r>
      <w:r>
        <w:rPr>
          <w:spacing w:val="-6"/>
        </w:rPr>
        <w:t>的下列事件：</w:t>
      </w:r>
    </w:p>
    <w:p>
      <w:pPr>
        <w:pStyle w:val="BodyText"/>
        <w:spacing w:line="269" w:lineRule="exact"/>
        <w:ind w:left="1085"/>
      </w:pPr>
      <w:r>
        <w:rPr>
          <w:rFonts w:ascii="Times New Roman" w:eastAsia="Times New Roman"/>
        </w:rPr>
        <w:t>1</w:t>
      </w:r>
      <w:r>
        <w:rPr/>
        <w:t>、基金份额持有人大会的召开及决定的事项；</w:t>
      </w:r>
    </w:p>
    <w:p>
      <w:pPr>
        <w:pStyle w:val="BodyText"/>
        <w:spacing w:before="7"/>
        <w:rPr>
          <w:sz w:val="15"/>
        </w:rPr>
      </w:pPr>
    </w:p>
    <w:p>
      <w:pPr>
        <w:pStyle w:val="BodyText"/>
        <w:ind w:left="1085"/>
      </w:pPr>
      <w:r>
        <w:rPr/>
        <w:t>2、基金合同终止、基金清算；</w:t>
      </w:r>
    </w:p>
    <w:p>
      <w:pPr>
        <w:pStyle w:val="BodyText"/>
        <w:spacing w:before="7"/>
        <w:rPr>
          <w:sz w:val="15"/>
        </w:rPr>
      </w:pPr>
    </w:p>
    <w:p>
      <w:pPr>
        <w:pStyle w:val="BodyText"/>
        <w:ind w:left="1085"/>
      </w:pPr>
      <w:r>
        <w:rPr>
          <w:rFonts w:ascii="Times New Roman" w:eastAsia="Times New Roman"/>
        </w:rPr>
        <w:t>3</w:t>
      </w:r>
      <w:r>
        <w:rPr/>
        <w:t>、转换基金运作方式、基金合并；</w:t>
      </w:r>
    </w:p>
    <w:p>
      <w:pPr>
        <w:pStyle w:val="BodyText"/>
        <w:spacing w:before="6"/>
        <w:rPr>
          <w:sz w:val="15"/>
        </w:rPr>
      </w:pPr>
    </w:p>
    <w:p>
      <w:pPr>
        <w:pStyle w:val="BodyText"/>
        <w:spacing w:before="1"/>
        <w:ind w:left="1078"/>
      </w:pPr>
      <w:r>
        <w:rPr>
          <w:rFonts w:ascii="Times New Roman" w:eastAsia="Times New Roman"/>
        </w:rPr>
        <w:t>4</w:t>
      </w:r>
      <w:r>
        <w:rPr/>
        <w:t>、更换基金管理人、基金托管人、基金份额登记机构，基金改聘会计师事务所；</w:t>
      </w:r>
    </w:p>
    <w:p>
      <w:pPr>
        <w:pStyle w:val="BodyText"/>
        <w:spacing w:before="6"/>
        <w:rPr>
          <w:sz w:val="15"/>
        </w:rPr>
      </w:pPr>
    </w:p>
    <w:p>
      <w:pPr>
        <w:pStyle w:val="BodyText"/>
        <w:spacing w:line="417" w:lineRule="auto"/>
        <w:ind w:left="658" w:right="1309" w:firstLine="419"/>
      </w:pPr>
      <w:r>
        <w:rPr/>
        <w:t>5、基金管理人委托基金服务机构代为办理基金的份额登记、核算、估值等事项，基金托管人委托基金服务机构代为办理基金的核算、估值、复核等事项；</w:t>
      </w:r>
    </w:p>
    <w:p>
      <w:pPr>
        <w:pStyle w:val="BodyText"/>
        <w:spacing w:before="1"/>
        <w:ind w:left="1078"/>
      </w:pPr>
      <w:r>
        <w:rPr>
          <w:rFonts w:ascii="Times New Roman" w:eastAsia="Times New Roman"/>
        </w:rPr>
        <w:t>6</w:t>
      </w:r>
      <w:r>
        <w:rPr/>
        <w:t>、基金管理人、基金托管人的法定名称、住所发生变更；</w:t>
      </w:r>
    </w:p>
    <w:p>
      <w:pPr>
        <w:pStyle w:val="BodyText"/>
        <w:spacing w:before="6"/>
        <w:rPr>
          <w:sz w:val="15"/>
        </w:rPr>
      </w:pPr>
    </w:p>
    <w:p>
      <w:pPr>
        <w:pStyle w:val="BodyText"/>
        <w:ind w:left="1078"/>
      </w:pPr>
      <w:r>
        <w:rPr>
          <w:rFonts w:ascii="Times New Roman" w:eastAsia="Times New Roman"/>
        </w:rPr>
        <w:t>7</w:t>
      </w:r>
      <w:r>
        <w:rPr/>
        <w:t>、基金管理人变更持有百分之五以上股权的股东、基金管理人的实际控制人变更；</w:t>
      </w:r>
    </w:p>
    <w:p>
      <w:pPr>
        <w:pStyle w:val="BodyText"/>
        <w:spacing w:before="7"/>
        <w:rPr>
          <w:sz w:val="15"/>
        </w:rPr>
      </w:pPr>
    </w:p>
    <w:p>
      <w:pPr>
        <w:pStyle w:val="BodyText"/>
        <w:ind w:left="1078"/>
      </w:pPr>
      <w:r>
        <w:rPr/>
        <w:t>8、基金募集期延长；</w:t>
      </w:r>
    </w:p>
    <w:p>
      <w:pPr>
        <w:pStyle w:val="BodyText"/>
        <w:spacing w:before="7"/>
        <w:rPr>
          <w:sz w:val="15"/>
        </w:rPr>
      </w:pPr>
    </w:p>
    <w:p>
      <w:pPr>
        <w:pStyle w:val="BodyText"/>
        <w:spacing w:line="417" w:lineRule="auto"/>
        <w:ind w:left="658" w:right="1311" w:firstLine="419"/>
      </w:pPr>
      <w:r>
        <w:rPr>
          <w:rFonts w:ascii="Times New Roman" w:eastAsia="Times New Roman"/>
        </w:rPr>
        <w:t>9</w:t>
      </w:r>
      <w:r>
        <w:rPr/>
        <w:t>、基金管理人的高级管理人员、基金经理和基金托管人专门基金托管部门负责人发生变动；</w:t>
      </w:r>
    </w:p>
    <w:p>
      <w:pPr>
        <w:pStyle w:val="BodyText"/>
        <w:spacing w:line="417" w:lineRule="auto"/>
        <w:ind w:left="658" w:right="1230" w:firstLine="419"/>
      </w:pPr>
      <w:r>
        <w:rPr>
          <w:rFonts w:ascii="Times New Roman" w:eastAsia="Times New Roman"/>
        </w:rPr>
        <w:t>10</w:t>
      </w:r>
      <w:r>
        <w:rPr/>
        <w:t>、基金管理人的董事在最近 12 个月内变更超过 50%，基金管理人、基金托管人专门基金托管部门的主要业务人员在最近 12 个月内变动超过 30%；</w:t>
      </w:r>
    </w:p>
    <w:p>
      <w:pPr>
        <w:pStyle w:val="BodyText"/>
        <w:ind w:left="1078"/>
      </w:pPr>
      <w:r>
        <w:rPr/>
        <w:t>11、涉及基金财产、基金管理业务、基金托管业务的诉讼或仲裁；</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9" w:firstLine="419"/>
        <w:jc w:val="both"/>
      </w:pPr>
      <w:r>
        <w:rPr/>
        <w:t>12</w:t>
      </w:r>
      <w:r>
        <w:rPr>
          <w:spacing w:val="-11"/>
        </w:rPr>
        <w:t>、基金管理人或其高级管理人员、基金经理因基金管理业务相关行为受到重大行政处</w:t>
      </w:r>
      <w:r>
        <w:rPr>
          <w:spacing w:val="-12"/>
        </w:rPr>
        <w:t>罚、刑事处罚，基金托管人或其专门基金托管部门负责人因基金托管业务相关行为受到重大</w:t>
      </w:r>
      <w:r>
        <w:rPr>
          <w:spacing w:val="-6"/>
        </w:rPr>
        <w:t>行政处罚、刑事处罚；</w:t>
      </w:r>
    </w:p>
    <w:p>
      <w:pPr>
        <w:pStyle w:val="BodyText"/>
        <w:spacing w:line="417" w:lineRule="auto"/>
        <w:ind w:left="658" w:right="1308" w:firstLine="419"/>
        <w:jc w:val="both"/>
      </w:pPr>
      <w:r>
        <w:rPr>
          <w:rFonts w:ascii="Times New Roman" w:eastAsia="Times New Roman"/>
        </w:rPr>
        <w:t>13</w:t>
      </w:r>
      <w:r>
        <w:rPr>
          <w:spacing w:val="-10"/>
        </w:rPr>
        <w:t>、基金管理人运用基金财产买卖基金管理人、基金托管人及其控股股东、实际控制人</w:t>
      </w:r>
      <w:r>
        <w:rPr>
          <w:spacing w:val="-8"/>
        </w:rPr>
        <w:t>或者与其有重大利害关系的公司发行的证券或者承销期内承销的证券，或者从事其他重大关</w:t>
      </w:r>
      <w:r>
        <w:rPr>
          <w:spacing w:val="-5"/>
        </w:rPr>
        <w:t>联交易事项，但中国证监会另有规定的除外；</w:t>
      </w:r>
    </w:p>
    <w:p>
      <w:pPr>
        <w:pStyle w:val="BodyText"/>
        <w:spacing w:line="269" w:lineRule="exact"/>
        <w:ind w:left="1078"/>
      </w:pPr>
      <w:r>
        <w:rPr>
          <w:rFonts w:ascii="Times New Roman" w:eastAsia="Times New Roman"/>
        </w:rPr>
        <w:t>14</w:t>
      </w:r>
      <w:r>
        <w:rPr/>
        <w:t>、基金收益分配事项；</w:t>
      </w:r>
    </w:p>
    <w:p>
      <w:pPr>
        <w:pStyle w:val="BodyText"/>
        <w:spacing w:before="7"/>
        <w:rPr>
          <w:sz w:val="15"/>
        </w:rPr>
      </w:pPr>
    </w:p>
    <w:p>
      <w:pPr>
        <w:pStyle w:val="BodyText"/>
        <w:spacing w:line="417" w:lineRule="auto"/>
        <w:ind w:left="658" w:right="1311" w:firstLine="419"/>
      </w:pPr>
      <w:r>
        <w:rPr/>
        <w:t>15</w:t>
      </w:r>
      <w:r>
        <w:rPr>
          <w:spacing w:val="-12"/>
        </w:rPr>
        <w:t>、管理费、托管费、销售服务费、申购费、赎回费等费用计提标准、计提方式和费率</w:t>
      </w:r>
      <w:r>
        <w:rPr>
          <w:spacing w:val="-6"/>
        </w:rPr>
        <w:t>发生变更；</w:t>
      </w:r>
    </w:p>
    <w:p>
      <w:pPr>
        <w:pStyle w:val="BodyText"/>
        <w:spacing w:line="269" w:lineRule="exact"/>
        <w:ind w:left="1078"/>
      </w:pPr>
      <w:r>
        <w:rPr/>
        <w:t>16、基金份额净值计价错误达基金份额净值 0.5%；</w:t>
      </w:r>
    </w:p>
    <w:p>
      <w:pPr>
        <w:pStyle w:val="BodyText"/>
        <w:spacing w:before="7"/>
        <w:rPr>
          <w:sz w:val="15"/>
        </w:rPr>
      </w:pPr>
    </w:p>
    <w:p>
      <w:pPr>
        <w:pStyle w:val="BodyText"/>
        <w:ind w:left="1078"/>
      </w:pPr>
      <w:r>
        <w:rPr/>
        <w:t>17、本基金开始办理申购、赎回；</w:t>
      </w:r>
    </w:p>
    <w:p>
      <w:pPr>
        <w:pStyle w:val="BodyText"/>
        <w:spacing w:before="6"/>
        <w:rPr>
          <w:sz w:val="15"/>
        </w:rPr>
      </w:pPr>
    </w:p>
    <w:p>
      <w:pPr>
        <w:pStyle w:val="BodyText"/>
        <w:spacing w:before="1"/>
        <w:ind w:left="1078"/>
      </w:pPr>
      <w:r>
        <w:rPr/>
        <w:t>18、本基金发生巨额赎回并延期办理；</w:t>
      </w:r>
    </w:p>
    <w:p>
      <w:pPr>
        <w:pStyle w:val="BodyText"/>
        <w:spacing w:before="6"/>
        <w:rPr>
          <w:sz w:val="15"/>
        </w:rPr>
      </w:pPr>
    </w:p>
    <w:p>
      <w:pPr>
        <w:pStyle w:val="BodyText"/>
        <w:ind w:left="1078"/>
      </w:pPr>
      <w:r>
        <w:rPr/>
        <w:t>19、本基金连续发生巨额赎回并暂停接受赎回申请或延缓支付赎回款项；</w:t>
      </w:r>
    </w:p>
    <w:p>
      <w:pPr>
        <w:pStyle w:val="BodyText"/>
        <w:spacing w:before="7"/>
        <w:rPr>
          <w:sz w:val="15"/>
        </w:rPr>
      </w:pPr>
    </w:p>
    <w:p>
      <w:pPr>
        <w:pStyle w:val="BodyText"/>
        <w:ind w:left="1078"/>
      </w:pPr>
      <w:r>
        <w:rPr>
          <w:rFonts w:ascii="Times New Roman" w:eastAsia="Times New Roman"/>
        </w:rPr>
        <w:t>20</w:t>
      </w:r>
      <w:r>
        <w:rPr/>
        <w:t>、本基金暂停接受申购、赎回申请或重新接受申购、赎回申请；</w:t>
      </w:r>
    </w:p>
    <w:p>
      <w:pPr>
        <w:pStyle w:val="BodyText"/>
        <w:spacing w:before="7"/>
        <w:rPr>
          <w:sz w:val="15"/>
        </w:rPr>
      </w:pPr>
    </w:p>
    <w:p>
      <w:pPr>
        <w:pStyle w:val="BodyText"/>
        <w:ind w:left="1078"/>
        <w:jc w:val="both"/>
      </w:pPr>
      <w:r>
        <w:rPr>
          <w:rFonts w:ascii="Times New Roman" w:eastAsia="Times New Roman"/>
        </w:rPr>
        <w:t>21</w:t>
      </w:r>
      <w:r>
        <w:rPr/>
        <w:t>、货币市场基金拟投资于主体信用评级低于 </w:t>
      </w:r>
      <w:r>
        <w:rPr>
          <w:rFonts w:ascii="Times New Roman" w:eastAsia="Times New Roman"/>
        </w:rPr>
        <w:t>AA+</w:t>
      </w:r>
      <w:r>
        <w:rPr/>
        <w:t>商业银行的银行存款与同业存单的；</w:t>
      </w:r>
    </w:p>
    <w:p>
      <w:pPr>
        <w:pStyle w:val="BodyText"/>
        <w:spacing w:before="7"/>
        <w:rPr>
          <w:sz w:val="15"/>
        </w:rPr>
      </w:pPr>
    </w:p>
    <w:p>
      <w:pPr>
        <w:pStyle w:val="BodyText"/>
        <w:spacing w:line="417" w:lineRule="auto"/>
        <w:ind w:left="658" w:right="1308" w:firstLine="419"/>
        <w:jc w:val="both"/>
      </w:pPr>
      <w:r>
        <w:rPr>
          <w:rFonts w:ascii="Times New Roman" w:hAnsi="Times New Roman" w:eastAsia="Times New Roman"/>
        </w:rPr>
        <w:t>22</w:t>
      </w:r>
      <w:r>
        <w:rPr>
          <w:spacing w:val="-11"/>
        </w:rPr>
        <w:t>、针对货币市场基金，当影子定价确定的基金资产净值与摊余成本法计算的基金资产</w:t>
      </w:r>
      <w:r>
        <w:rPr>
          <w:spacing w:val="-8"/>
        </w:rPr>
        <w:t>净值的正负偏离度绝对值达到 </w:t>
      </w:r>
      <w:r>
        <w:rPr>
          <w:rFonts w:ascii="Times New Roman" w:hAnsi="Times New Roman" w:eastAsia="Times New Roman"/>
        </w:rPr>
        <w:t>0.50%</w:t>
      </w:r>
      <w:r>
        <w:rPr>
          <w:spacing w:val="-7"/>
        </w:rPr>
        <w:t>或法律法规规定的发生其他因采用“摊余成本法”计算</w:t>
      </w:r>
      <w:r>
        <w:rPr>
          <w:spacing w:val="-5"/>
        </w:rPr>
        <w:t>的净值出现偏离时需发布临时报告的情形；</w:t>
      </w:r>
    </w:p>
    <w:p>
      <w:pPr>
        <w:pStyle w:val="BodyText"/>
        <w:spacing w:line="269" w:lineRule="exact"/>
        <w:ind w:left="1078"/>
      </w:pPr>
      <w:r>
        <w:rPr>
          <w:rFonts w:ascii="Times New Roman" w:eastAsia="Times New Roman"/>
        </w:rPr>
        <w:t>23</w:t>
      </w:r>
      <w:r>
        <w:rPr>
          <w:spacing w:val="-3"/>
        </w:rPr>
        <w:t>、发生涉及基金申购、赎回事项调整或潜在影响投资者赎回等重大事项时；</w:t>
      </w:r>
    </w:p>
    <w:p>
      <w:pPr>
        <w:pStyle w:val="BodyText"/>
        <w:spacing w:before="7"/>
        <w:rPr>
          <w:sz w:val="15"/>
        </w:rPr>
      </w:pPr>
    </w:p>
    <w:p>
      <w:pPr>
        <w:pStyle w:val="BodyText"/>
        <w:ind w:left="1078"/>
      </w:pPr>
      <w:r>
        <w:rPr>
          <w:rFonts w:ascii="Times New Roman" w:eastAsia="Times New Roman"/>
        </w:rPr>
        <w:t>24</w:t>
      </w:r>
      <w:r>
        <w:rPr>
          <w:spacing w:val="-3"/>
        </w:rPr>
        <w:t>、基金管理人采用摆动定价机制对优选混合基金或动力平衡基金进行估值；</w:t>
      </w:r>
    </w:p>
    <w:p>
      <w:pPr>
        <w:pStyle w:val="BodyText"/>
        <w:spacing w:before="6"/>
        <w:rPr>
          <w:sz w:val="15"/>
        </w:rPr>
      </w:pPr>
    </w:p>
    <w:p>
      <w:pPr>
        <w:pStyle w:val="BodyText"/>
        <w:spacing w:line="417" w:lineRule="auto" w:before="1"/>
        <w:ind w:left="658" w:right="1309" w:firstLine="419"/>
      </w:pPr>
      <w:r>
        <w:rPr>
          <w:rFonts w:ascii="Times New Roman" w:eastAsia="Times New Roman"/>
        </w:rPr>
        <w:t>25 </w:t>
      </w:r>
      <w:r>
        <w:rPr/>
        <w:t>基金信息披露义务人认为可能对基金份额持有人权益或者基金份额的价格产生重大影响的其他事项或中国证监会规定的其他事项。</w:t>
      </w:r>
    </w:p>
    <w:p>
      <w:pPr>
        <w:pStyle w:val="BodyText"/>
        <w:rPr>
          <w:sz w:val="20"/>
        </w:rPr>
      </w:pPr>
    </w:p>
    <w:p>
      <w:pPr>
        <w:pStyle w:val="BodyText"/>
        <w:spacing w:before="6"/>
        <w:rPr>
          <w:sz w:val="16"/>
        </w:rPr>
      </w:pPr>
    </w:p>
    <w:p>
      <w:pPr>
        <w:spacing w:before="1"/>
        <w:ind w:left="658" w:right="0" w:firstLine="0"/>
        <w:jc w:val="left"/>
        <w:rPr>
          <w:b/>
          <w:sz w:val="21"/>
        </w:rPr>
      </w:pPr>
      <w:r>
        <w:rPr>
          <w:b/>
          <w:sz w:val="21"/>
        </w:rPr>
        <w:t>（八）基金份额持有人大会决议</w:t>
      </w:r>
    </w:p>
    <w:p>
      <w:pPr>
        <w:pStyle w:val="BodyText"/>
        <w:spacing w:before="6"/>
        <w:rPr>
          <w:b/>
          <w:sz w:val="15"/>
        </w:rPr>
      </w:pPr>
    </w:p>
    <w:p>
      <w:pPr>
        <w:pStyle w:val="BodyText"/>
        <w:ind w:left="1078"/>
      </w:pPr>
      <w:r>
        <w:rPr/>
        <w:t>基金份额持有人大会决定的事项，应当依法报中国证监会备案，并予以公告。</w:t>
      </w:r>
    </w:p>
    <w:p>
      <w:pPr>
        <w:pStyle w:val="BodyText"/>
        <w:rPr>
          <w:sz w:val="20"/>
        </w:rPr>
      </w:pPr>
    </w:p>
    <w:p>
      <w:pPr>
        <w:pStyle w:val="BodyText"/>
        <w:rPr>
          <w:sz w:val="20"/>
        </w:rPr>
      </w:pPr>
    </w:p>
    <w:p>
      <w:pPr>
        <w:spacing w:before="155"/>
        <w:ind w:left="658" w:right="0" w:firstLine="0"/>
        <w:jc w:val="left"/>
        <w:rPr>
          <w:b/>
          <w:sz w:val="21"/>
        </w:rPr>
      </w:pPr>
      <w:r>
        <w:rPr>
          <w:b/>
          <w:sz w:val="21"/>
        </w:rPr>
        <w:t>（九）澄清公告</w:t>
      </w:r>
    </w:p>
    <w:p>
      <w:pPr>
        <w:pStyle w:val="BodyText"/>
        <w:spacing w:before="6"/>
        <w:rPr>
          <w:b/>
          <w:sz w:val="15"/>
        </w:rPr>
      </w:pPr>
    </w:p>
    <w:p>
      <w:pPr>
        <w:pStyle w:val="BodyText"/>
        <w:spacing w:line="417" w:lineRule="auto"/>
        <w:ind w:left="658" w:right="1208" w:firstLine="419"/>
        <w:jc w:val="both"/>
      </w:pPr>
      <w:r>
        <w:rPr>
          <w:spacing w:val="-11"/>
        </w:rPr>
        <w:t>在本基金合同存续期限内，任何公共媒介中出现的或者在市场上流传的消息可能对基金</w:t>
      </w:r>
      <w:r>
        <w:rPr>
          <w:spacing w:val="-10"/>
        </w:rPr>
        <w:t>份额价格产生误导性影响或者引起较大波动，以及可能损害基金份额持有人权益的，相关信</w:t>
      </w:r>
      <w:r>
        <w:rPr>
          <w:spacing w:val="-5"/>
        </w:rPr>
        <w:t>息披露义务人知悉后应当立即对该消息进行公开澄清，并将有关情况立即报告中国证监会。</w:t>
      </w:r>
    </w:p>
    <w:p>
      <w:pPr>
        <w:spacing w:after="0" w:line="417" w:lineRule="auto"/>
        <w:jc w:val="both"/>
        <w:sectPr>
          <w:pgSz w:w="11910" w:h="16840"/>
          <w:pgMar w:header="852" w:footer="992" w:top="1220" w:bottom="1180" w:left="1140" w:right="480"/>
        </w:sectPr>
      </w:pPr>
    </w:p>
    <w:p>
      <w:pPr>
        <w:pStyle w:val="BodyText"/>
        <w:spacing w:before="1"/>
        <w:rPr>
          <w:sz w:val="19"/>
        </w:rPr>
      </w:pPr>
    </w:p>
    <w:p>
      <w:pPr>
        <w:pStyle w:val="BodyText"/>
        <w:spacing w:before="71"/>
        <w:ind w:left="658"/>
      </w:pPr>
      <w:r>
        <w:rPr/>
        <w:t>（十）清算报告</w:t>
      </w:r>
    </w:p>
    <w:p>
      <w:pPr>
        <w:pStyle w:val="BodyText"/>
        <w:spacing w:before="7"/>
        <w:rPr>
          <w:sz w:val="15"/>
        </w:rPr>
      </w:pPr>
    </w:p>
    <w:p>
      <w:pPr>
        <w:pStyle w:val="BodyText"/>
        <w:spacing w:line="417" w:lineRule="auto"/>
        <w:ind w:left="658" w:right="1310" w:firstLine="419"/>
        <w:jc w:val="both"/>
      </w:pPr>
      <w:r>
        <w:rPr>
          <w:spacing w:val="-12"/>
        </w:rPr>
        <w:t>基金合同终止的，基金管理人应当依法组织基金财产清算小组对基金财产进行清算并作出清算报告。基金财产清算小组应当将清算报告登载在指定网站上，并将清算报告提示性公</w:t>
      </w:r>
      <w:r>
        <w:rPr>
          <w:spacing w:val="-6"/>
        </w:rPr>
        <w:t>告登载在指定报刊上。</w:t>
      </w:r>
    </w:p>
    <w:p>
      <w:pPr>
        <w:pStyle w:val="BodyText"/>
        <w:rPr>
          <w:sz w:val="20"/>
        </w:rPr>
      </w:pPr>
    </w:p>
    <w:p>
      <w:pPr>
        <w:pStyle w:val="BodyText"/>
        <w:spacing w:before="6"/>
        <w:rPr>
          <w:sz w:val="16"/>
        </w:rPr>
      </w:pPr>
    </w:p>
    <w:p>
      <w:pPr>
        <w:spacing w:before="0"/>
        <w:ind w:left="658" w:right="0" w:firstLine="0"/>
        <w:jc w:val="left"/>
        <w:rPr>
          <w:b/>
          <w:sz w:val="21"/>
        </w:rPr>
      </w:pPr>
      <w:r>
        <w:rPr>
          <w:b/>
          <w:sz w:val="21"/>
        </w:rPr>
        <w:t>（十一）中国证监会规定的其他信息。</w:t>
      </w:r>
    </w:p>
    <w:p>
      <w:pPr>
        <w:pStyle w:val="BodyText"/>
        <w:rPr>
          <w:b/>
          <w:sz w:val="20"/>
        </w:rPr>
      </w:pPr>
    </w:p>
    <w:p>
      <w:pPr>
        <w:pStyle w:val="BodyText"/>
        <w:rPr>
          <w:b/>
          <w:sz w:val="20"/>
        </w:rPr>
      </w:pPr>
    </w:p>
    <w:p>
      <w:pPr>
        <w:spacing w:before="155"/>
        <w:ind w:left="658" w:right="0" w:firstLine="0"/>
        <w:jc w:val="left"/>
        <w:rPr>
          <w:b/>
          <w:sz w:val="21"/>
        </w:rPr>
      </w:pPr>
      <w:r>
        <w:rPr>
          <w:b/>
          <w:sz w:val="21"/>
        </w:rPr>
        <w:t>（十二）信息披露文件的存放与查阅</w:t>
      </w:r>
    </w:p>
    <w:p>
      <w:pPr>
        <w:pStyle w:val="BodyText"/>
        <w:spacing w:before="7"/>
        <w:rPr>
          <w:b/>
          <w:sz w:val="15"/>
        </w:rPr>
      </w:pPr>
    </w:p>
    <w:p>
      <w:pPr>
        <w:pStyle w:val="BodyText"/>
        <w:spacing w:line="417" w:lineRule="auto"/>
        <w:ind w:left="658" w:right="1309" w:firstLine="419"/>
      </w:pPr>
      <w:r>
        <w:rPr>
          <w:spacing w:val="-9"/>
        </w:rPr>
        <w:t>依法必须披露的信息发布后，基金管理人、基金托管人应当按照相关法律法规规定将信</w:t>
      </w:r>
      <w:r>
        <w:rPr>
          <w:spacing w:val="-5"/>
        </w:rPr>
        <w:t>息置备于各自住所，供社会公众查阅、复制。</w:t>
      </w:r>
    </w:p>
    <w:p>
      <w:pPr>
        <w:spacing w:line="259" w:lineRule="exact" w:before="0"/>
        <w:ind w:left="658" w:right="0" w:firstLine="0"/>
        <w:jc w:val="left"/>
        <w:rPr>
          <w:b/>
          <w:sz w:val="21"/>
        </w:rPr>
      </w:pPr>
      <w:r>
        <w:rPr>
          <w:b/>
          <w:sz w:val="21"/>
        </w:rPr>
        <w:t>（十三）本系列基金信息披露事项以法律法规规定及本章节约定的内容为准。</w:t>
      </w:r>
    </w:p>
    <w:p>
      <w:pPr>
        <w:spacing w:after="0" w:line="259" w:lineRule="exact"/>
        <w:jc w:val="left"/>
        <w:rPr>
          <w:sz w:val="21"/>
        </w:rPr>
        <w:sectPr>
          <w:pgSz w:w="11910" w:h="16840"/>
          <w:pgMar w:header="852" w:footer="992" w:top="1220" w:bottom="1180" w:left="1140" w:right="480"/>
        </w:sectPr>
      </w:pPr>
    </w:p>
    <w:p>
      <w:pPr>
        <w:pStyle w:val="BodyText"/>
        <w:spacing w:before="11"/>
        <w:rPr>
          <w:b/>
          <w:sz w:val="17"/>
        </w:rPr>
      </w:pPr>
    </w:p>
    <w:p>
      <w:pPr>
        <w:spacing w:after="0"/>
        <w:rPr>
          <w:sz w:val="17"/>
        </w:rPr>
        <w:sectPr>
          <w:footerReference w:type="default" r:id="rId186"/>
          <w:pgSz w:w="11910" w:h="16840"/>
          <w:pgMar w:footer="992" w:header="852" w:top="1220" w:bottom="1180" w:left="1140" w:right="480"/>
        </w:sectPr>
      </w:pPr>
    </w:p>
    <w:p>
      <w:pPr>
        <w:pStyle w:val="BodyText"/>
        <w:rPr>
          <w:b/>
          <w:sz w:val="20"/>
        </w:rPr>
      </w:pPr>
    </w:p>
    <w:p>
      <w:pPr>
        <w:pStyle w:val="BodyText"/>
        <w:spacing w:before="8"/>
        <w:rPr>
          <w:b/>
          <w:sz w:val="15"/>
        </w:rPr>
      </w:pPr>
    </w:p>
    <w:p>
      <w:pPr>
        <w:spacing w:before="0"/>
        <w:ind w:left="658" w:right="0" w:firstLine="0"/>
        <w:jc w:val="left"/>
        <w:rPr>
          <w:b/>
          <w:sz w:val="21"/>
        </w:rPr>
      </w:pPr>
      <w:bookmarkStart w:name="_bookmark22" w:id="23"/>
      <w:bookmarkEnd w:id="23"/>
      <w:r>
        <w:rPr/>
      </w:r>
      <w:r>
        <w:rPr>
          <w:b/>
          <w:sz w:val="21"/>
        </w:rPr>
        <w:t>（一）市场风险</w:t>
      </w:r>
    </w:p>
    <w:p>
      <w:pPr>
        <w:pStyle w:val="Heading1"/>
        <w:spacing w:before="66"/>
        <w:ind w:left="658"/>
      </w:pPr>
      <w:r>
        <w:rPr>
          <w:b w:val="0"/>
        </w:rPr>
        <w:br w:type="column"/>
      </w:r>
      <w:r>
        <w:rPr/>
        <w:t>十九、风险揭示</w:t>
      </w:r>
    </w:p>
    <w:p>
      <w:pPr>
        <w:spacing w:after="0"/>
        <w:sectPr>
          <w:type w:val="continuous"/>
          <w:pgSz w:w="11910" w:h="16840"/>
          <w:pgMar w:top="1480" w:bottom="280" w:left="1140" w:right="480"/>
          <w:cols w:num="2" w:equalWidth="0">
            <w:col w:w="2177" w:space="1136"/>
            <w:col w:w="6977"/>
          </w:cols>
        </w:sectPr>
      </w:pPr>
    </w:p>
    <w:p>
      <w:pPr>
        <w:pStyle w:val="BodyText"/>
        <w:spacing w:before="12"/>
        <w:rPr>
          <w:b/>
          <w:sz w:val="12"/>
        </w:rPr>
      </w:pPr>
    </w:p>
    <w:p>
      <w:pPr>
        <w:pStyle w:val="BodyText"/>
        <w:spacing w:line="417" w:lineRule="auto" w:before="72"/>
        <w:ind w:left="658" w:right="1310" w:firstLine="419"/>
      </w:pPr>
      <w:r>
        <w:rPr>
          <w:spacing w:val="-9"/>
        </w:rPr>
        <w:t>证券市场价格受到经济因素、政治因素、投资心理和交易制度等各种因素的影响，导致</w:t>
      </w:r>
      <w:r>
        <w:rPr>
          <w:spacing w:val="-5"/>
        </w:rPr>
        <w:t>基金收益水平变化，产生风险，主要包括：</w:t>
      </w:r>
    </w:p>
    <w:p>
      <w:pPr>
        <w:spacing w:line="269" w:lineRule="exact" w:before="0"/>
        <w:ind w:left="1075" w:right="0" w:firstLine="0"/>
        <w:jc w:val="left"/>
        <w:rPr>
          <w:b/>
          <w:sz w:val="21"/>
        </w:rPr>
      </w:pPr>
      <w:r>
        <w:rPr>
          <w:b/>
          <w:sz w:val="21"/>
        </w:rPr>
        <w:t>1、政策风险</w:t>
      </w:r>
    </w:p>
    <w:p>
      <w:pPr>
        <w:pStyle w:val="BodyText"/>
        <w:spacing w:before="6"/>
        <w:rPr>
          <w:b/>
          <w:sz w:val="15"/>
        </w:rPr>
      </w:pPr>
    </w:p>
    <w:p>
      <w:pPr>
        <w:pStyle w:val="BodyText"/>
        <w:spacing w:line="417" w:lineRule="auto"/>
        <w:ind w:left="658" w:right="1314" w:firstLine="419"/>
      </w:pPr>
      <w:r>
        <w:rPr>
          <w:spacing w:val="-5"/>
        </w:rPr>
        <w:t>因国家宏观政策</w:t>
      </w:r>
      <w:r>
        <w:rPr>
          <w:spacing w:val="-3"/>
        </w:rPr>
        <w:t>（</w:t>
      </w:r>
      <w:r>
        <w:rPr>
          <w:spacing w:val="-8"/>
        </w:rPr>
        <w:t>如货币政策、财政政策、行业政策、地区发展政策等</w:t>
      </w:r>
      <w:r>
        <w:rPr>
          <w:spacing w:val="-17"/>
        </w:rPr>
        <w:t>）</w:t>
      </w:r>
      <w:r>
        <w:rPr>
          <w:spacing w:val="-5"/>
        </w:rPr>
        <w:t>发生变化，导</w:t>
      </w:r>
      <w:r>
        <w:rPr>
          <w:spacing w:val="-4"/>
        </w:rPr>
        <w:t>致市场价格波动而产生风险。</w:t>
      </w:r>
    </w:p>
    <w:p>
      <w:pPr>
        <w:spacing w:before="1"/>
        <w:ind w:left="1068" w:right="0" w:firstLine="0"/>
        <w:jc w:val="left"/>
        <w:rPr>
          <w:b/>
          <w:sz w:val="21"/>
        </w:rPr>
      </w:pPr>
      <w:r>
        <w:rPr>
          <w:b/>
          <w:sz w:val="21"/>
        </w:rPr>
        <w:t>2、经济周期风险</w:t>
      </w:r>
    </w:p>
    <w:p>
      <w:pPr>
        <w:pStyle w:val="BodyText"/>
        <w:spacing w:before="6"/>
        <w:rPr>
          <w:b/>
          <w:sz w:val="15"/>
        </w:rPr>
      </w:pPr>
    </w:p>
    <w:p>
      <w:pPr>
        <w:pStyle w:val="BodyText"/>
        <w:spacing w:line="417" w:lineRule="auto"/>
        <w:ind w:left="658" w:right="1309" w:firstLine="419"/>
      </w:pPr>
      <w:r>
        <w:rPr>
          <w:spacing w:val="-9"/>
        </w:rPr>
        <w:t>随经济运行的周期性变化，证券市场的收益水平也呈周期性变化。基金投资于债券与上</w:t>
      </w:r>
      <w:r>
        <w:rPr>
          <w:spacing w:val="-5"/>
        </w:rPr>
        <w:t>市公司的股票，收益水平也会随之变化，从而产生风险。</w:t>
      </w:r>
    </w:p>
    <w:p>
      <w:pPr>
        <w:spacing w:line="269" w:lineRule="exact" w:before="0"/>
        <w:ind w:left="1068" w:right="0" w:firstLine="0"/>
        <w:jc w:val="left"/>
        <w:rPr>
          <w:b/>
          <w:sz w:val="21"/>
        </w:rPr>
      </w:pPr>
      <w:r>
        <w:rPr>
          <w:b/>
          <w:sz w:val="21"/>
        </w:rPr>
        <w:t>3、利率风险</w:t>
      </w:r>
    </w:p>
    <w:p>
      <w:pPr>
        <w:pStyle w:val="BodyText"/>
        <w:spacing w:before="7"/>
        <w:rPr>
          <w:b/>
          <w:sz w:val="15"/>
        </w:rPr>
      </w:pPr>
    </w:p>
    <w:p>
      <w:pPr>
        <w:pStyle w:val="BodyText"/>
        <w:spacing w:line="417" w:lineRule="auto"/>
        <w:ind w:left="658" w:right="1310" w:firstLine="419"/>
        <w:jc w:val="both"/>
      </w:pPr>
      <w:r>
        <w:rPr>
          <w:spacing w:val="-7"/>
        </w:rPr>
        <w:t>金融市场利率的波动会导致证券市场价格和收益率的变动。利率直接影响着债券的价格</w:t>
      </w:r>
      <w:r>
        <w:rPr>
          <w:spacing w:val="-11"/>
        </w:rPr>
        <w:t>和收益率，影响着企业的融资成本和利润。基金投资于债券和股票，其收益水平会受到利率</w:t>
      </w:r>
      <w:r>
        <w:rPr>
          <w:spacing w:val="-6"/>
        </w:rPr>
        <w:t>变化的影响。</w:t>
      </w:r>
    </w:p>
    <w:p>
      <w:pPr>
        <w:spacing w:before="0"/>
        <w:ind w:left="1075" w:right="0" w:firstLine="0"/>
        <w:jc w:val="left"/>
        <w:rPr>
          <w:b/>
          <w:sz w:val="21"/>
        </w:rPr>
      </w:pPr>
      <w:r>
        <w:rPr>
          <w:b/>
          <w:sz w:val="21"/>
        </w:rPr>
        <w:t>4、上市公司经营风险</w:t>
      </w:r>
    </w:p>
    <w:p>
      <w:pPr>
        <w:pStyle w:val="BodyText"/>
        <w:spacing w:before="7"/>
        <w:rPr>
          <w:b/>
          <w:sz w:val="15"/>
        </w:rPr>
      </w:pPr>
    </w:p>
    <w:p>
      <w:pPr>
        <w:pStyle w:val="BodyText"/>
        <w:spacing w:line="417" w:lineRule="auto"/>
        <w:ind w:left="658" w:right="1203" w:firstLine="419"/>
      </w:pPr>
      <w:r>
        <w:rPr>
          <w:spacing w:val="-3"/>
        </w:rPr>
        <w:t>上市公司的经营好坏受多种因素影响，如管理能力、财务状况、市场前景、行业竞争、</w:t>
      </w:r>
      <w:r>
        <w:rPr>
          <w:spacing w:val="-10"/>
        </w:rPr>
        <w:t>人员素质等，这些都会导致企业的盈利发生变化。如果基金所投资的上市公司经营不善，其股票价格可能下跌，或者能够用于分配的利润减少，使基金投资收益下降。虽然基金可以通</w:t>
      </w:r>
      <w:r>
        <w:rPr>
          <w:spacing w:val="-5"/>
        </w:rPr>
        <w:t>过投资多样化来分散这种非系统风险，但不能完全规避。</w:t>
      </w:r>
    </w:p>
    <w:p>
      <w:pPr>
        <w:spacing w:line="268" w:lineRule="exact" w:before="0"/>
        <w:ind w:left="1075" w:right="0" w:firstLine="0"/>
        <w:jc w:val="left"/>
        <w:rPr>
          <w:b/>
          <w:sz w:val="21"/>
        </w:rPr>
      </w:pPr>
      <w:r>
        <w:rPr>
          <w:b/>
          <w:sz w:val="21"/>
        </w:rPr>
        <w:t>5、购买力风险</w:t>
      </w:r>
    </w:p>
    <w:p>
      <w:pPr>
        <w:pStyle w:val="BodyText"/>
        <w:spacing w:line="468" w:lineRule="exact" w:before="34"/>
        <w:ind w:left="658" w:right="1309" w:firstLine="419"/>
      </w:pPr>
      <w:r>
        <w:rPr>
          <w:spacing w:val="-8"/>
        </w:rPr>
        <w:t>基金的利润将主要通过现金形式来分配，而现金可能因为通货膨胀的影响而导致购买力</w:t>
      </w:r>
      <w:r>
        <w:rPr>
          <w:spacing w:val="-5"/>
        </w:rPr>
        <w:t>下降，从而使基金的实际收益下降。</w:t>
      </w:r>
    </w:p>
    <w:p>
      <w:pPr>
        <w:spacing w:before="67"/>
        <w:ind w:left="658" w:right="0" w:firstLine="0"/>
        <w:jc w:val="left"/>
        <w:rPr>
          <w:b/>
          <w:sz w:val="21"/>
        </w:rPr>
      </w:pPr>
      <w:r>
        <w:rPr>
          <w:b/>
          <w:sz w:val="21"/>
        </w:rPr>
        <w:t>（二）债券投资久期风险</w:t>
      </w:r>
    </w:p>
    <w:p>
      <w:pPr>
        <w:pStyle w:val="BodyText"/>
        <w:spacing w:line="460" w:lineRule="atLeast" w:before="46"/>
        <w:ind w:left="658" w:right="1204" w:firstLine="419"/>
      </w:pPr>
      <w:r>
        <w:rPr>
          <w:spacing w:val="-4"/>
        </w:rPr>
        <w:t>依据对超额收益的贡献大小，债券管理的风险依次可划分为久期风险、期限结构风险、</w:t>
      </w:r>
      <w:r>
        <w:rPr>
          <w:spacing w:val="-6"/>
        </w:rPr>
        <w:t>类属配置风险和个券选择风险，国外和国内的研究表明久期风险占总风险的 </w:t>
      </w:r>
      <w:r>
        <w:rPr/>
        <w:t>85%</w:t>
      </w:r>
      <w:r>
        <w:rPr>
          <w:spacing w:val="-6"/>
        </w:rPr>
        <w:t>以上。如果</w:t>
      </w:r>
      <w:r>
        <w:rPr>
          <w:spacing w:val="-9"/>
        </w:rPr>
        <w:t>债券组合久期与基准久期相差太多，一旦市场利率发生明显不同于预期的变化，将导致组合</w:t>
      </w:r>
      <w:r>
        <w:rPr>
          <w:spacing w:val="-5"/>
        </w:rPr>
        <w:t>收益率与基准收益率出现较大偏差。</w:t>
      </w:r>
    </w:p>
    <w:p>
      <w:pPr>
        <w:spacing w:before="125"/>
        <w:ind w:left="658" w:right="0" w:firstLine="0"/>
        <w:jc w:val="left"/>
        <w:rPr>
          <w:b/>
          <w:sz w:val="21"/>
        </w:rPr>
      </w:pPr>
      <w:r>
        <w:rPr>
          <w:b/>
          <w:sz w:val="21"/>
        </w:rPr>
        <w:t>（三）管理风险</w:t>
      </w:r>
    </w:p>
    <w:p>
      <w:pPr>
        <w:pStyle w:val="BodyText"/>
        <w:spacing w:before="9"/>
        <w:rPr>
          <w:b/>
          <w:sz w:val="18"/>
        </w:rPr>
      </w:pPr>
    </w:p>
    <w:p>
      <w:pPr>
        <w:pStyle w:val="BodyText"/>
        <w:spacing w:line="417" w:lineRule="auto"/>
        <w:ind w:left="658" w:right="1309" w:firstLine="419"/>
      </w:pPr>
      <w:r>
        <w:rPr>
          <w:spacing w:val="-8"/>
        </w:rPr>
        <w:t>在基金管理运作过程中基金管理人的知识、经验、判断、决策、技能等，会影响其对信</w:t>
      </w:r>
      <w:r>
        <w:rPr>
          <w:spacing w:val="-10"/>
        </w:rPr>
        <w:t>息的占有和对经济形势、证券价格走势的判断，从而影响基金收益水平。因此，本系列基金</w:t>
      </w:r>
    </w:p>
    <w:p>
      <w:pPr>
        <w:spacing w:after="0" w:line="417" w:lineRule="auto"/>
        <w:sectPr>
          <w:type w:val="continuous"/>
          <w:pgSz w:w="11910" w:h="16840"/>
          <w:pgMar w:top="1480" w:bottom="280" w:left="1140" w:right="480"/>
        </w:sectPr>
      </w:pPr>
    </w:p>
    <w:p>
      <w:pPr>
        <w:pStyle w:val="BodyText"/>
        <w:spacing w:before="1"/>
        <w:rPr>
          <w:sz w:val="19"/>
        </w:rPr>
      </w:pPr>
    </w:p>
    <w:p>
      <w:pPr>
        <w:pStyle w:val="BodyText"/>
        <w:spacing w:before="71"/>
        <w:ind w:left="658"/>
      </w:pPr>
      <w:r>
        <w:rPr/>
        <w:t>的收益水平与基金管理人的管理水平、管理手段和管理技术等相关性较大。因此本系列基金</w:t>
      </w:r>
    </w:p>
    <w:p>
      <w:pPr>
        <w:pStyle w:val="BodyText"/>
        <w:spacing w:before="7"/>
        <w:rPr>
          <w:sz w:val="15"/>
        </w:rPr>
      </w:pPr>
    </w:p>
    <w:p>
      <w:pPr>
        <w:pStyle w:val="BodyText"/>
        <w:ind w:left="658"/>
      </w:pPr>
      <w:r>
        <w:rPr/>
        <w:t>可能因为基金管理人的因素而影响基金收益水平。</w:t>
      </w:r>
    </w:p>
    <w:p>
      <w:pPr>
        <w:spacing w:before="101"/>
        <w:ind w:left="658" w:right="0" w:firstLine="0"/>
        <w:jc w:val="left"/>
        <w:rPr>
          <w:b/>
          <w:sz w:val="21"/>
        </w:rPr>
      </w:pPr>
      <w:r>
        <w:rPr>
          <w:b/>
          <w:sz w:val="21"/>
        </w:rPr>
        <w:t>（四）流动性风险</w:t>
      </w:r>
    </w:p>
    <w:p>
      <w:pPr>
        <w:pStyle w:val="BodyText"/>
        <w:spacing w:line="460" w:lineRule="atLeast" w:before="46"/>
        <w:ind w:left="658" w:right="1309" w:firstLine="419"/>
        <w:jc w:val="both"/>
      </w:pPr>
      <w:r>
        <w:rPr>
          <w:spacing w:val="-9"/>
        </w:rPr>
        <w:t>本系列基金属于开放式基金，在基金的所有开放日，基金管理人都有义务接受投资者的</w:t>
      </w:r>
      <w:r>
        <w:rPr>
          <w:spacing w:val="-12"/>
        </w:rPr>
        <w:t>申购和赎回。由于开放式基金在国内刚刚试点，应对基金赎回的经验不足，加之中国股票市</w:t>
      </w:r>
      <w:r>
        <w:rPr>
          <w:spacing w:val="-13"/>
        </w:rPr>
        <w:t>场波动性较大，在市场下跌时经常出现交易量急剧减少的情况，如果在这时出现较大数额的</w:t>
      </w:r>
      <w:r>
        <w:rPr>
          <w:spacing w:val="-6"/>
        </w:rPr>
        <w:t>基金赎回或转换申请，则使基金财产变现困难，基金面临流动性风险。</w:t>
      </w:r>
    </w:p>
    <w:p>
      <w:pPr>
        <w:spacing w:before="124"/>
        <w:ind w:left="658" w:right="0" w:firstLine="0"/>
        <w:jc w:val="left"/>
        <w:rPr>
          <w:b/>
          <w:sz w:val="21"/>
        </w:rPr>
      </w:pPr>
      <w:r>
        <w:rPr>
          <w:b/>
          <w:sz w:val="21"/>
        </w:rPr>
        <w:t>（五）本系列基金下任一基金无法成立造成的风险</w:t>
      </w:r>
    </w:p>
    <w:p>
      <w:pPr>
        <w:pStyle w:val="BodyText"/>
        <w:spacing w:line="470" w:lineRule="atLeast" w:before="37"/>
        <w:ind w:left="658" w:right="1310" w:firstLine="419"/>
      </w:pPr>
      <w:r>
        <w:rPr>
          <w:spacing w:val="-7"/>
        </w:rPr>
        <w:t>若本系列基金下设任一基金未能满足基金合同约定的成立条件，则本系列基金下其他满</w:t>
      </w:r>
      <w:r>
        <w:rPr>
          <w:spacing w:val="-5"/>
        </w:rPr>
        <w:t>足成立条件的基金将面临无法成立的风险。</w:t>
      </w:r>
    </w:p>
    <w:p>
      <w:pPr>
        <w:spacing w:before="99"/>
        <w:ind w:left="658" w:right="0" w:firstLine="0"/>
        <w:jc w:val="left"/>
        <w:rPr>
          <w:b/>
          <w:sz w:val="21"/>
        </w:rPr>
      </w:pPr>
      <w:r>
        <w:rPr>
          <w:b/>
          <w:sz w:val="21"/>
        </w:rPr>
        <w:t>（六）本系列基金下任一基金终止造成的风险</w:t>
      </w:r>
    </w:p>
    <w:p>
      <w:pPr>
        <w:pStyle w:val="BodyText"/>
        <w:spacing w:line="460" w:lineRule="atLeast" w:before="49"/>
        <w:ind w:left="658" w:right="1309" w:firstLine="419"/>
        <w:jc w:val="both"/>
      </w:pPr>
      <w:r>
        <w:rPr>
          <w:spacing w:val="-10"/>
        </w:rPr>
        <w:t>本系列基金下设任一基金终止，若基金管理人在一年内未能在本系列基金中增设一只或</w:t>
      </w:r>
      <w:r>
        <w:rPr>
          <w:spacing w:val="-12"/>
        </w:rPr>
        <w:t>以上基金，达到系列结构下至少两只基金的要求，则本系列基金终止，继续存续的另一只基</w:t>
      </w:r>
      <w:r>
        <w:rPr>
          <w:spacing w:val="-6"/>
        </w:rPr>
        <w:t>金的基金份额持有人将无法转换其持有的基金份额。</w:t>
      </w:r>
    </w:p>
    <w:p>
      <w:pPr>
        <w:spacing w:before="116"/>
        <w:ind w:left="658" w:right="0" w:firstLine="0"/>
        <w:jc w:val="left"/>
        <w:rPr>
          <w:b/>
          <w:sz w:val="21"/>
        </w:rPr>
      </w:pPr>
      <w:r>
        <w:rPr>
          <w:b/>
          <w:sz w:val="21"/>
        </w:rPr>
        <w:t>（七）本系列基金下转换可能造成的风险</w:t>
      </w:r>
    </w:p>
    <w:p>
      <w:pPr>
        <w:pStyle w:val="BodyText"/>
        <w:spacing w:before="7"/>
        <w:rPr>
          <w:b/>
          <w:sz w:val="18"/>
        </w:rPr>
      </w:pPr>
    </w:p>
    <w:p>
      <w:pPr>
        <w:pStyle w:val="BodyText"/>
        <w:spacing w:line="417" w:lineRule="auto"/>
        <w:ind w:left="658" w:right="1309" w:firstLine="419"/>
      </w:pPr>
      <w:r>
        <w:rPr>
          <w:spacing w:val="-8"/>
        </w:rPr>
        <w:t>本系列基金下三只基金可相互转换，可能使相关基金的规模发生较大改变，从而对转入</w:t>
      </w:r>
      <w:r>
        <w:rPr>
          <w:spacing w:val="-5"/>
        </w:rPr>
        <w:t>和转出基金的原持有人利益产生影响。</w:t>
      </w:r>
    </w:p>
    <w:p>
      <w:pPr>
        <w:spacing w:line="269" w:lineRule="exact" w:before="0"/>
        <w:ind w:left="658" w:right="0" w:firstLine="0"/>
        <w:jc w:val="left"/>
        <w:rPr>
          <w:b/>
          <w:sz w:val="21"/>
        </w:rPr>
      </w:pPr>
      <w:r>
        <w:rPr>
          <w:b/>
          <w:sz w:val="21"/>
        </w:rPr>
        <w:t>（八）</w:t>
      </w:r>
      <w:r>
        <w:rPr>
          <w:b/>
          <w:spacing w:val="-2"/>
          <w:sz w:val="21"/>
        </w:rPr>
        <w:t>本系列基金下投资科创板的风险</w:t>
      </w:r>
    </w:p>
    <w:p>
      <w:pPr>
        <w:pStyle w:val="BodyText"/>
        <w:spacing w:before="10"/>
        <w:rPr>
          <w:b/>
          <w:sz w:val="14"/>
        </w:rPr>
      </w:pPr>
    </w:p>
    <w:p>
      <w:pPr>
        <w:pStyle w:val="BodyText"/>
        <w:spacing w:line="321" w:lineRule="auto"/>
        <w:ind w:left="658" w:right="1308" w:firstLine="419"/>
        <w:jc w:val="both"/>
      </w:pPr>
      <w:r>
        <w:rPr/>
        <w:t>景顺长城优选混合型证券投资基金和景顺长城动力平衡证券投资基金可以投资科创板</w:t>
      </w:r>
      <w:r>
        <w:rPr>
          <w:spacing w:val="-10"/>
        </w:rPr>
        <w:t>股票，会面临科创板机制下因投资标的、市场制度以及交易规则等差异带来的特有风险，包</w:t>
      </w:r>
      <w:r>
        <w:rPr>
          <w:spacing w:val="-12"/>
        </w:rPr>
        <w:t>括但不限于市场风险、流动性风险、退市风险、集中度风险、系统性风险、政策风险等。基</w:t>
      </w:r>
      <w:r>
        <w:rPr>
          <w:spacing w:val="-11"/>
        </w:rPr>
        <w:t>金可根据投资策略需要或市场环境的变化，选择将部分基金资产投资于科创板股票或选择不</w:t>
      </w:r>
      <w:r>
        <w:rPr>
          <w:spacing w:val="-6"/>
        </w:rPr>
        <w:t>将基金资产投资于科创板股票，基金资产并非必然投资于科创板股票。</w:t>
      </w:r>
    </w:p>
    <w:p>
      <w:pPr>
        <w:pStyle w:val="BodyText"/>
        <w:spacing w:line="267" w:lineRule="exact"/>
        <w:ind w:left="1078"/>
      </w:pPr>
      <w:r>
        <w:rPr/>
        <w:t>投资科创板股票存在的风险包括：</w:t>
      </w:r>
    </w:p>
    <w:p>
      <w:pPr>
        <w:pStyle w:val="ListParagraph"/>
        <w:numPr>
          <w:ilvl w:val="0"/>
          <w:numId w:val="38"/>
        </w:numPr>
        <w:tabs>
          <w:tab w:pos="1607" w:val="left" w:leader="none"/>
        </w:tabs>
        <w:spacing w:line="240" w:lineRule="auto" w:before="91" w:after="0"/>
        <w:ind w:left="1607" w:right="0" w:hanging="529"/>
        <w:jc w:val="left"/>
        <w:rPr>
          <w:sz w:val="21"/>
        </w:rPr>
      </w:pPr>
      <w:r>
        <w:rPr>
          <w:spacing w:val="-2"/>
          <w:sz w:val="21"/>
        </w:rPr>
        <w:t>市场风险</w:t>
      </w:r>
    </w:p>
    <w:p>
      <w:pPr>
        <w:pStyle w:val="BodyText"/>
        <w:spacing w:line="321" w:lineRule="auto" w:before="91"/>
        <w:ind w:left="658" w:right="1309" w:firstLine="419"/>
        <w:jc w:val="right"/>
      </w:pPr>
      <w:r>
        <w:rPr>
          <w:spacing w:val="-8"/>
        </w:rPr>
        <w:t>科创板个股集中来自新一代信息技术、高端装备、新材料、新能源、节能环保及生物医</w:t>
      </w:r>
      <w:r>
        <w:rPr>
          <w:spacing w:val="-10"/>
        </w:rPr>
        <w:t>药等高新技术和战略新兴产业领域。大多数企业为初创型公司，企业未来盈利、现金流、估</w:t>
      </w:r>
      <w:r>
        <w:rPr>
          <w:spacing w:val="-19"/>
        </w:rPr>
        <w:t>值均存在不确定性，与传统二级市场投资存在差异，整体投资难度加大，个股市场风险加大。</w:t>
      </w:r>
      <w:r>
        <w:rPr>
          <w:spacing w:val="-10"/>
        </w:rPr>
        <w:t>科创板个股上市后的前五日无涨跌停限制，第六日开始涨跌幅限制在正负 </w:t>
      </w:r>
      <w:r>
        <w:rPr/>
        <w:t>20</w:t>
      </w:r>
      <w:r>
        <w:rPr>
          <w:spacing w:val="-5"/>
        </w:rPr>
        <w:t>%以内，个</w:t>
      </w:r>
    </w:p>
    <w:p>
      <w:pPr>
        <w:pStyle w:val="BodyText"/>
        <w:spacing w:line="267" w:lineRule="exact"/>
        <w:ind w:left="658"/>
      </w:pPr>
      <w:r>
        <w:rPr/>
        <w:t>股波动幅度较其他股票加大，市场风险随之上升。</w:t>
      </w:r>
    </w:p>
    <w:p>
      <w:pPr>
        <w:pStyle w:val="ListParagraph"/>
        <w:numPr>
          <w:ilvl w:val="0"/>
          <w:numId w:val="38"/>
        </w:numPr>
        <w:tabs>
          <w:tab w:pos="1607" w:val="left" w:leader="none"/>
        </w:tabs>
        <w:spacing w:line="240" w:lineRule="auto" w:before="91" w:after="0"/>
        <w:ind w:left="1607" w:right="0" w:hanging="529"/>
        <w:jc w:val="left"/>
        <w:rPr>
          <w:sz w:val="21"/>
        </w:rPr>
      </w:pPr>
      <w:r>
        <w:rPr>
          <w:spacing w:val="-3"/>
          <w:sz w:val="21"/>
        </w:rPr>
        <w:t>流动性风险</w:t>
      </w:r>
    </w:p>
    <w:p>
      <w:pPr>
        <w:pStyle w:val="BodyText"/>
        <w:spacing w:line="321" w:lineRule="auto" w:before="91"/>
        <w:ind w:left="658" w:right="1309" w:firstLine="419"/>
        <w:jc w:val="both"/>
      </w:pPr>
      <w:r>
        <w:rPr>
          <w:spacing w:val="-9"/>
        </w:rPr>
        <w:t>科创板整体投资门槛较高，个人投资者必须满足一定条件才可参与，二级市场上个人投</w:t>
      </w:r>
      <w:r>
        <w:rPr>
          <w:spacing w:val="-12"/>
        </w:rPr>
        <w:t>资者参与度相对较低，若机构投资者对科创板股票形成一致性预期，基金组合存在无法及时</w:t>
      </w:r>
      <w:r>
        <w:rPr>
          <w:spacing w:val="-6"/>
        </w:rPr>
        <w:t>变现及其他相关流动性风险。</w:t>
      </w:r>
    </w:p>
    <w:p>
      <w:pPr>
        <w:spacing w:after="0" w:line="321" w:lineRule="auto"/>
        <w:jc w:val="both"/>
        <w:sectPr>
          <w:footerReference w:type="default" r:id="rId187"/>
          <w:pgSz w:w="11910" w:h="16840"/>
          <w:pgMar w:footer="992" w:header="852" w:top="1220" w:bottom="1180" w:left="1140" w:right="480"/>
          <w:pgNumType w:start="141"/>
        </w:sectPr>
      </w:pPr>
    </w:p>
    <w:p>
      <w:pPr>
        <w:pStyle w:val="BodyText"/>
        <w:spacing w:before="4"/>
        <w:rPr>
          <w:sz w:val="18"/>
        </w:rPr>
      </w:pPr>
    </w:p>
    <w:p>
      <w:pPr>
        <w:pStyle w:val="ListParagraph"/>
        <w:numPr>
          <w:ilvl w:val="0"/>
          <w:numId w:val="38"/>
        </w:numPr>
        <w:tabs>
          <w:tab w:pos="1607" w:val="left" w:leader="none"/>
        </w:tabs>
        <w:spacing w:line="240" w:lineRule="auto" w:before="71" w:after="0"/>
        <w:ind w:left="1607" w:right="0" w:hanging="529"/>
        <w:jc w:val="left"/>
        <w:rPr>
          <w:sz w:val="21"/>
        </w:rPr>
      </w:pPr>
      <w:r>
        <w:rPr>
          <w:spacing w:val="-2"/>
          <w:sz w:val="21"/>
        </w:rPr>
        <w:t>退市风险</w:t>
      </w:r>
    </w:p>
    <w:p>
      <w:pPr>
        <w:pStyle w:val="BodyText"/>
        <w:spacing w:line="321" w:lineRule="auto" w:before="91"/>
        <w:ind w:left="658" w:right="1309" w:firstLine="419"/>
      </w:pPr>
      <w:r>
        <w:rPr>
          <w:spacing w:val="-9"/>
        </w:rPr>
        <w:t>科创板试点注册制，对经营状况不佳或财务数据造假的企业实行严格的退市制度，科创</w:t>
      </w:r>
      <w:r>
        <w:rPr>
          <w:spacing w:val="-5"/>
        </w:rPr>
        <w:t>板个股存在退市风险。</w:t>
      </w:r>
    </w:p>
    <w:p>
      <w:pPr>
        <w:pStyle w:val="ListParagraph"/>
        <w:numPr>
          <w:ilvl w:val="0"/>
          <w:numId w:val="38"/>
        </w:numPr>
        <w:tabs>
          <w:tab w:pos="1607" w:val="left" w:leader="none"/>
        </w:tabs>
        <w:spacing w:line="268" w:lineRule="exact" w:before="0" w:after="0"/>
        <w:ind w:left="1607" w:right="0" w:hanging="529"/>
        <w:jc w:val="left"/>
        <w:rPr>
          <w:sz w:val="21"/>
        </w:rPr>
      </w:pPr>
      <w:r>
        <w:rPr>
          <w:spacing w:val="-3"/>
          <w:sz w:val="21"/>
        </w:rPr>
        <w:t>集中度风险</w:t>
      </w:r>
    </w:p>
    <w:p>
      <w:pPr>
        <w:pStyle w:val="BodyText"/>
        <w:spacing w:line="321" w:lineRule="auto" w:before="91"/>
        <w:ind w:left="658" w:right="1311" w:firstLine="419"/>
      </w:pPr>
      <w:r>
        <w:rPr>
          <w:spacing w:val="-9"/>
        </w:rPr>
        <w:t>科创板为新设板块，初期可投标的较少，投资者容易集中投资于少量个股，市场可能存</w:t>
      </w:r>
      <w:r>
        <w:rPr>
          <w:spacing w:val="-5"/>
        </w:rPr>
        <w:t>在高集中度状况，整体存在集中度风险。</w:t>
      </w:r>
    </w:p>
    <w:p>
      <w:pPr>
        <w:pStyle w:val="ListParagraph"/>
        <w:numPr>
          <w:ilvl w:val="0"/>
          <w:numId w:val="38"/>
        </w:numPr>
        <w:tabs>
          <w:tab w:pos="1607" w:val="left" w:leader="none"/>
        </w:tabs>
        <w:spacing w:line="268" w:lineRule="exact" w:before="0" w:after="0"/>
        <w:ind w:left="1607" w:right="0" w:hanging="529"/>
        <w:jc w:val="left"/>
        <w:rPr>
          <w:sz w:val="21"/>
        </w:rPr>
      </w:pPr>
      <w:r>
        <w:rPr>
          <w:spacing w:val="-3"/>
          <w:sz w:val="21"/>
        </w:rPr>
        <w:t>系统性风险</w:t>
      </w:r>
    </w:p>
    <w:p>
      <w:pPr>
        <w:pStyle w:val="BodyText"/>
        <w:spacing w:line="321" w:lineRule="auto" w:before="91"/>
        <w:ind w:left="658" w:right="1204" w:firstLine="419"/>
      </w:pPr>
      <w:r>
        <w:rPr/>
        <w:t>科创板企业均为市场认可度较高的科技创新企业，在企业经营及盈利模式上存在趋同， 所以科创板个股相关性较高，市场表现不佳时，系统性风险将更为显著。</w:t>
      </w:r>
    </w:p>
    <w:p>
      <w:pPr>
        <w:pStyle w:val="ListParagraph"/>
        <w:numPr>
          <w:ilvl w:val="0"/>
          <w:numId w:val="38"/>
        </w:numPr>
        <w:tabs>
          <w:tab w:pos="1607" w:val="left" w:leader="none"/>
        </w:tabs>
        <w:spacing w:line="269" w:lineRule="exact" w:before="0" w:after="0"/>
        <w:ind w:left="1607" w:right="0" w:hanging="529"/>
        <w:jc w:val="left"/>
        <w:rPr>
          <w:sz w:val="21"/>
        </w:rPr>
      </w:pPr>
      <w:r>
        <w:rPr>
          <w:spacing w:val="-2"/>
          <w:sz w:val="21"/>
        </w:rPr>
        <w:t>政策风险</w:t>
      </w:r>
    </w:p>
    <w:p>
      <w:pPr>
        <w:pStyle w:val="BodyText"/>
        <w:spacing w:before="101"/>
        <w:ind w:left="1018"/>
      </w:pPr>
      <w:r>
        <w:rPr/>
        <w:t>国家对高新技术产业扶持力度及重视程度的变化会对科创板企业带来较大影响，国际经</w:t>
      </w:r>
    </w:p>
    <w:p>
      <w:pPr>
        <w:pStyle w:val="BodyText"/>
        <w:spacing w:before="6"/>
        <w:rPr>
          <w:sz w:val="15"/>
        </w:rPr>
      </w:pPr>
    </w:p>
    <w:p>
      <w:pPr>
        <w:pStyle w:val="BodyText"/>
        <w:spacing w:before="1"/>
        <w:ind w:left="658"/>
      </w:pPr>
      <w:r>
        <w:rPr/>
        <w:t>济形势变化对战略新兴产业及科创板个股也会带来政策影响。</w:t>
      </w:r>
    </w:p>
    <w:p>
      <w:pPr>
        <w:spacing w:before="100"/>
        <w:ind w:left="658" w:right="0" w:firstLine="0"/>
        <w:jc w:val="left"/>
        <w:rPr>
          <w:b/>
          <w:sz w:val="21"/>
        </w:rPr>
      </w:pPr>
      <w:r>
        <w:rPr>
          <w:b/>
          <w:sz w:val="21"/>
        </w:rPr>
        <w:t>（九）本系列基金下存托凭证投资风险</w:t>
      </w:r>
    </w:p>
    <w:p>
      <w:pPr>
        <w:pStyle w:val="BodyText"/>
        <w:spacing w:before="7"/>
        <w:rPr>
          <w:b/>
          <w:sz w:val="18"/>
        </w:rPr>
      </w:pPr>
    </w:p>
    <w:p>
      <w:pPr>
        <w:pStyle w:val="BodyText"/>
        <w:spacing w:line="417" w:lineRule="auto"/>
        <w:ind w:left="658" w:right="1100" w:firstLine="359"/>
      </w:pPr>
      <w:r>
        <w:rPr/>
        <w:t>景顺长城优选混合型证券投资基金和景顺长城动力平衡证券投资基金的投资范围包括 </w:t>
      </w:r>
      <w:r>
        <w:rPr>
          <w:spacing w:val="-10"/>
        </w:rPr>
        <w:t>存托凭证，除与其他仅投资于沪深市场股票的基金所面临的共同风险外，基金还将面临中国 </w:t>
      </w:r>
      <w:r>
        <w:rPr>
          <w:spacing w:val="-9"/>
        </w:rPr>
        <w:t>存托凭证价格大幅波动甚至出现较大亏损的风险，以及与中国存托凭证发行机制相关的风险， </w:t>
      </w:r>
      <w:r>
        <w:rPr>
          <w:spacing w:val="-8"/>
        </w:rPr>
        <w:t>包括存托凭证持有人与境外基础证券发行人的股东在法律地位、享有权利等方面存在差异可 </w:t>
      </w:r>
      <w:r>
        <w:rPr>
          <w:spacing w:val="-18"/>
        </w:rPr>
        <w:t>能引发的风险；存托凭证持有人在分红派息、行使表决权等方面的特殊安排可能引发的风险； </w:t>
      </w:r>
      <w:r>
        <w:rPr>
          <w:spacing w:val="-12"/>
        </w:rPr>
        <w:t>存托协议自动约束存托凭证持有人的风险；因多地上市造成存托凭证价格差异以及波动的风 </w:t>
      </w:r>
      <w:r>
        <w:rPr>
          <w:spacing w:val="-11"/>
        </w:rPr>
        <w:t>险；存托凭证持有人权益被摊薄的风险；存托凭证退市的风险；已在境外上市的基础证券发 </w:t>
      </w:r>
      <w:r>
        <w:rPr>
          <w:spacing w:val="-10"/>
        </w:rPr>
        <w:t>行人，在持续信息披露监管方面与境内可能存在差异的风险；境内外证券交易机制、法律制</w:t>
      </w:r>
    </w:p>
    <w:p>
      <w:pPr>
        <w:pStyle w:val="BodyText"/>
        <w:spacing w:line="268" w:lineRule="exact"/>
        <w:ind w:left="658"/>
      </w:pPr>
      <w:r>
        <w:rPr/>
        <w:t>度、监管环境差异可能导致的其他风险。</w:t>
      </w:r>
    </w:p>
    <w:p>
      <w:pPr>
        <w:spacing w:before="100"/>
        <w:ind w:left="658" w:right="0" w:firstLine="0"/>
        <w:jc w:val="left"/>
        <w:rPr>
          <w:b/>
          <w:sz w:val="21"/>
        </w:rPr>
      </w:pPr>
      <w:r>
        <w:rPr>
          <w:b/>
          <w:sz w:val="21"/>
        </w:rPr>
        <w:t>（十）其他风险</w:t>
      </w:r>
    </w:p>
    <w:p>
      <w:pPr>
        <w:pStyle w:val="BodyText"/>
        <w:spacing w:before="7"/>
        <w:rPr>
          <w:b/>
          <w:sz w:val="18"/>
        </w:rPr>
      </w:pPr>
    </w:p>
    <w:p>
      <w:pPr>
        <w:pStyle w:val="BodyText"/>
        <w:ind w:left="1078"/>
      </w:pPr>
      <w:r>
        <w:rPr/>
        <w:t>1、因技术因素而产生的风险，如电脑系统出现问题产生的风险；</w:t>
      </w:r>
    </w:p>
    <w:p>
      <w:pPr>
        <w:pStyle w:val="BodyText"/>
        <w:spacing w:before="7"/>
        <w:rPr>
          <w:sz w:val="15"/>
        </w:rPr>
      </w:pPr>
    </w:p>
    <w:p>
      <w:pPr>
        <w:pStyle w:val="BodyText"/>
        <w:spacing w:line="417" w:lineRule="auto"/>
        <w:ind w:left="658" w:right="1309" w:firstLine="419"/>
      </w:pPr>
      <w:r>
        <w:rPr/>
        <w:t>2、因基金业务快速发展而在制度建设、人员配备、内控制度建立等方面不完善而产生的风险；</w:t>
      </w:r>
    </w:p>
    <w:p>
      <w:pPr>
        <w:pStyle w:val="BodyText"/>
        <w:spacing w:line="269" w:lineRule="exact"/>
        <w:ind w:left="1078"/>
      </w:pPr>
      <w:r>
        <w:rPr/>
        <w:t>3、因人为因素而产生的风险，如内幕交易、欺诈行为等产生的风险；</w:t>
      </w:r>
    </w:p>
    <w:p>
      <w:pPr>
        <w:pStyle w:val="BodyText"/>
        <w:spacing w:before="7"/>
        <w:rPr>
          <w:sz w:val="15"/>
        </w:rPr>
      </w:pPr>
    </w:p>
    <w:p>
      <w:pPr>
        <w:pStyle w:val="BodyText"/>
        <w:ind w:left="1078"/>
      </w:pPr>
      <w:r>
        <w:rPr/>
        <w:t>4、对主要业务人员如基金经理的依赖而可能产生的风险；</w:t>
      </w:r>
    </w:p>
    <w:p>
      <w:pPr>
        <w:pStyle w:val="BodyText"/>
        <w:spacing w:before="7"/>
        <w:rPr>
          <w:sz w:val="15"/>
        </w:rPr>
      </w:pPr>
    </w:p>
    <w:p>
      <w:pPr>
        <w:pStyle w:val="BodyText"/>
        <w:ind w:left="1078"/>
      </w:pPr>
      <w:r>
        <w:rPr/>
        <w:t>5、因业务竞争压力可能产生的风险；</w:t>
      </w:r>
    </w:p>
    <w:p>
      <w:pPr>
        <w:pStyle w:val="BodyText"/>
        <w:spacing w:before="6"/>
        <w:rPr>
          <w:sz w:val="15"/>
        </w:rPr>
      </w:pPr>
    </w:p>
    <w:p>
      <w:pPr>
        <w:pStyle w:val="BodyText"/>
        <w:spacing w:line="417" w:lineRule="auto" w:before="1"/>
        <w:ind w:left="658" w:right="1309" w:firstLine="419"/>
      </w:pPr>
      <w:r>
        <w:rPr/>
        <w:t>6、战争、自然灾害等不可抗力可能导致基金财产的损失，影响基金收益水平，从而带来风险；</w:t>
      </w:r>
    </w:p>
    <w:p>
      <w:pPr>
        <w:pStyle w:val="BodyText"/>
        <w:ind w:left="1078"/>
      </w:pPr>
      <w:r>
        <w:rPr/>
        <w:t>7、其他意外导致的风险。</w:t>
      </w:r>
    </w:p>
    <w:p>
      <w:pPr>
        <w:spacing w:after="0"/>
        <w:sectPr>
          <w:pgSz w:w="11910" w:h="16840"/>
          <w:pgMar w:header="852" w:footer="992" w:top="1220" w:bottom="1180" w:left="1140" w:right="480"/>
        </w:sectPr>
      </w:pPr>
    </w:p>
    <w:p>
      <w:pPr>
        <w:pStyle w:val="BodyText"/>
        <w:spacing w:before="11"/>
        <w:rPr>
          <w:sz w:val="17"/>
        </w:rPr>
      </w:pPr>
    </w:p>
    <w:p>
      <w:pPr>
        <w:pStyle w:val="Heading1"/>
        <w:spacing w:before="66"/>
        <w:ind w:left="2885"/>
      </w:pPr>
      <w:bookmarkStart w:name="_bookmark23" w:id="24"/>
      <w:bookmarkEnd w:id="24"/>
      <w:r>
        <w:rPr>
          <w:b w:val="0"/>
        </w:rPr>
      </w:r>
      <w:r>
        <w:rPr/>
        <w:t>二十、基金合同的变更、终止与清算</w:t>
      </w:r>
    </w:p>
    <w:p>
      <w:pPr>
        <w:pStyle w:val="BodyText"/>
        <w:rPr>
          <w:b/>
          <w:sz w:val="20"/>
        </w:rPr>
      </w:pPr>
    </w:p>
    <w:p>
      <w:pPr>
        <w:pStyle w:val="BodyText"/>
        <w:spacing w:before="1"/>
        <w:rPr>
          <w:b/>
          <w:sz w:val="25"/>
        </w:rPr>
      </w:pPr>
    </w:p>
    <w:p>
      <w:pPr>
        <w:spacing w:before="72"/>
        <w:ind w:left="658" w:right="0" w:firstLine="0"/>
        <w:jc w:val="left"/>
        <w:rPr>
          <w:b/>
          <w:sz w:val="21"/>
        </w:rPr>
      </w:pPr>
      <w:r>
        <w:rPr>
          <w:b/>
          <w:sz w:val="21"/>
        </w:rPr>
        <w:t>（一）基金合同的变更</w:t>
      </w:r>
    </w:p>
    <w:p>
      <w:pPr>
        <w:pStyle w:val="BodyText"/>
        <w:spacing w:before="6"/>
        <w:rPr>
          <w:b/>
          <w:sz w:val="15"/>
        </w:rPr>
      </w:pPr>
    </w:p>
    <w:p>
      <w:pPr>
        <w:pStyle w:val="BodyText"/>
        <w:spacing w:before="1"/>
        <w:ind w:left="1078"/>
      </w:pPr>
      <w:r>
        <w:rPr>
          <w:rFonts w:ascii="Times New Roman" w:eastAsia="Times New Roman"/>
        </w:rPr>
        <w:t>1</w:t>
      </w:r>
      <w:r>
        <w:rPr/>
        <w:t>、本基金合同的变更应经基金管理人和基金托管人同意；</w:t>
      </w:r>
    </w:p>
    <w:p>
      <w:pPr>
        <w:pStyle w:val="BodyText"/>
        <w:spacing w:before="6"/>
        <w:rPr>
          <w:sz w:val="15"/>
        </w:rPr>
      </w:pPr>
    </w:p>
    <w:p>
      <w:pPr>
        <w:pStyle w:val="BodyText"/>
        <w:spacing w:line="417" w:lineRule="auto"/>
        <w:ind w:left="658" w:right="1308" w:firstLine="419"/>
        <w:jc w:val="both"/>
      </w:pPr>
      <w:r>
        <w:rPr>
          <w:rFonts w:ascii="Times New Roman" w:eastAsia="Times New Roman"/>
        </w:rPr>
        <w:t>2</w:t>
      </w:r>
      <w:r>
        <w:rPr>
          <w:spacing w:val="-3"/>
        </w:rPr>
        <w:t>、变更基金合同应经基金份额持有人大会决议通过并报中国证监会批准，自批准之日</w:t>
      </w:r>
      <w:r>
        <w:rPr>
          <w:spacing w:val="-10"/>
        </w:rPr>
        <w:t>起生效。但如因相应的法律法规发生变动并属于本基金合同必须遵照进行变更的情形，或者</w:t>
      </w:r>
      <w:r>
        <w:rPr>
          <w:spacing w:val="-8"/>
        </w:rPr>
        <w:t>基金合同的变更不涉及基金合同当事人权利义务关系发生变化，或者基金合同的变更对基金</w:t>
      </w:r>
      <w:r>
        <w:rPr>
          <w:spacing w:val="-10"/>
        </w:rPr>
        <w:t>份额持有人利益无实质性不利影响，可不经基金份额持有人大会决议，而经基金管理人和基</w:t>
      </w:r>
      <w:r>
        <w:rPr>
          <w:spacing w:val="-5"/>
        </w:rPr>
        <w:t>金托管人同意变更后公布，并报中国证监会备案。</w:t>
      </w:r>
    </w:p>
    <w:p>
      <w:pPr>
        <w:spacing w:line="269" w:lineRule="exact" w:before="0"/>
        <w:ind w:left="658" w:right="0" w:firstLine="0"/>
        <w:jc w:val="left"/>
        <w:rPr>
          <w:b/>
          <w:sz w:val="21"/>
        </w:rPr>
      </w:pPr>
      <w:r>
        <w:rPr>
          <w:b/>
          <w:sz w:val="21"/>
        </w:rPr>
        <w:t>（二）基金合同的终止</w:t>
      </w:r>
    </w:p>
    <w:p>
      <w:pPr>
        <w:pStyle w:val="BodyText"/>
        <w:spacing w:before="7"/>
        <w:rPr>
          <w:b/>
          <w:sz w:val="15"/>
        </w:rPr>
      </w:pPr>
    </w:p>
    <w:p>
      <w:pPr>
        <w:pStyle w:val="BodyText"/>
        <w:spacing w:line="417" w:lineRule="auto"/>
        <w:ind w:left="1078" w:right="1248"/>
      </w:pPr>
      <w:r>
        <w:rPr>
          <w:spacing w:val="-3"/>
        </w:rPr>
        <w:t>在本系列基金的存续期内，出现下列情形之一时，该基金经中国证监会批准后将终止： 1、因重大违法、违规行为，基金被中国证监会责令终止；</w:t>
      </w:r>
    </w:p>
    <w:p>
      <w:pPr>
        <w:pStyle w:val="BodyText"/>
        <w:spacing w:line="269" w:lineRule="exact"/>
        <w:ind w:left="1078"/>
      </w:pPr>
      <w:r>
        <w:rPr/>
        <w:t>2、基金经持有人大会表决终止；</w:t>
      </w:r>
    </w:p>
    <w:p>
      <w:pPr>
        <w:pStyle w:val="BodyText"/>
        <w:spacing w:before="7"/>
        <w:rPr>
          <w:sz w:val="15"/>
        </w:rPr>
      </w:pPr>
    </w:p>
    <w:p>
      <w:pPr>
        <w:pStyle w:val="BodyText"/>
        <w:spacing w:line="417" w:lineRule="auto"/>
        <w:ind w:left="658" w:right="1309" w:firstLine="419"/>
      </w:pPr>
      <w:r>
        <w:rPr/>
        <w:t>3、基金管理人因解散、破产、撤销等事由，不能继续担任基金管理人的职务，而无其他适当的基金管理人承受其原有权利及义务；</w:t>
      </w:r>
    </w:p>
    <w:p>
      <w:pPr>
        <w:pStyle w:val="BodyText"/>
        <w:ind w:left="1078"/>
      </w:pPr>
      <w:r>
        <w:rPr/>
        <w:t>4、基金托管人因解散、破产、撤销等事由，不能继续担任基金托管人的职务，而无其</w:t>
      </w:r>
    </w:p>
    <w:p>
      <w:pPr>
        <w:pStyle w:val="BodyText"/>
        <w:spacing w:before="6"/>
        <w:rPr>
          <w:sz w:val="15"/>
        </w:rPr>
      </w:pPr>
    </w:p>
    <w:p>
      <w:pPr>
        <w:pStyle w:val="BodyText"/>
        <w:spacing w:before="1"/>
        <w:ind w:left="658"/>
      </w:pPr>
      <w:r>
        <w:rPr/>
        <w:t>他适当的基金托管人承受其原有权利及义务；</w:t>
      </w:r>
    </w:p>
    <w:p>
      <w:pPr>
        <w:pStyle w:val="BodyText"/>
        <w:spacing w:before="100"/>
        <w:ind w:left="1063"/>
      </w:pPr>
      <w:r>
        <w:rPr>
          <w:rFonts w:ascii="Times New Roman" w:eastAsia="Times New Roman"/>
        </w:rPr>
        <w:t>5</w:t>
      </w:r>
      <w:r>
        <w:rPr/>
        <w:t>、若本系列基金下各基金全部终止，则本系列基金终止；</w:t>
      </w:r>
    </w:p>
    <w:p>
      <w:pPr>
        <w:pStyle w:val="BodyText"/>
        <w:spacing w:line="364" w:lineRule="auto" w:before="139"/>
        <w:ind w:left="658" w:right="1310" w:firstLine="405"/>
      </w:pPr>
      <w:r>
        <w:rPr>
          <w:rFonts w:ascii="Times New Roman" w:eastAsia="Times New Roman"/>
        </w:rPr>
        <w:t>6</w:t>
      </w:r>
      <w:r>
        <w:rPr/>
        <w:t>、若本系列基金仅剩余一只基金，而基金管理人在一年内未能增加一只以上基金，达到系列结构下至少两只基金的要求，则本系列基金终止，剩余的基金作为单独基金存续。</w:t>
      </w:r>
    </w:p>
    <w:p>
      <w:pPr>
        <w:pStyle w:val="BodyText"/>
        <w:spacing w:before="99"/>
        <w:ind w:left="1078"/>
      </w:pPr>
      <w:r>
        <w:rPr>
          <w:rFonts w:ascii="Times New Roman" w:eastAsia="Times New Roman"/>
        </w:rPr>
        <w:t>7</w:t>
      </w:r>
      <w:r>
        <w:rPr/>
        <w:t>、法律、法规和规章规定或中国证监会允许的其他情况。</w:t>
      </w:r>
    </w:p>
    <w:p>
      <w:pPr>
        <w:pStyle w:val="BodyText"/>
        <w:spacing w:line="364" w:lineRule="auto" w:before="100"/>
        <w:ind w:left="658" w:right="1309" w:firstLine="419"/>
        <w:jc w:val="both"/>
      </w:pPr>
      <w:r>
        <w:rPr>
          <w:spacing w:val="-10"/>
        </w:rPr>
        <w:t>自基金终止之日，与基金有关的所有交易应立即停止。在基金清算小组组成并接管基金</w:t>
      </w:r>
      <w:r>
        <w:rPr>
          <w:spacing w:val="-12"/>
        </w:rPr>
        <w:t>财产之前，基金管理人和基金托管人应按照本基金合同和托管协议的规定继续履行保护基金</w:t>
      </w:r>
      <w:r>
        <w:rPr>
          <w:spacing w:val="-6"/>
        </w:rPr>
        <w:t>财产安全的职责。</w:t>
      </w:r>
    </w:p>
    <w:p>
      <w:pPr>
        <w:spacing w:line="417" w:lineRule="auto" w:before="97"/>
        <w:ind w:left="1078" w:right="7516" w:hanging="420"/>
        <w:jc w:val="left"/>
        <w:rPr>
          <w:sz w:val="21"/>
        </w:rPr>
      </w:pPr>
      <w:r>
        <w:rPr>
          <w:b/>
          <w:sz w:val="21"/>
        </w:rPr>
        <w:t>（三）基金财产的清算</w:t>
      </w:r>
      <w:r>
        <w:rPr>
          <w:sz w:val="21"/>
        </w:rPr>
        <w:t>1、基金清算小组</w:t>
      </w:r>
    </w:p>
    <w:p>
      <w:pPr>
        <w:pStyle w:val="ListParagraph"/>
        <w:numPr>
          <w:ilvl w:val="0"/>
          <w:numId w:val="39"/>
        </w:numPr>
        <w:tabs>
          <w:tab w:pos="1605" w:val="left" w:leader="none"/>
        </w:tabs>
        <w:spacing w:line="417" w:lineRule="auto" w:before="0" w:after="0"/>
        <w:ind w:left="658" w:right="1308" w:firstLine="419"/>
        <w:jc w:val="left"/>
        <w:rPr>
          <w:sz w:val="21"/>
        </w:rPr>
      </w:pPr>
      <w:r>
        <w:rPr>
          <w:spacing w:val="-9"/>
          <w:sz w:val="21"/>
        </w:rPr>
        <w:t>基金终止之日起 </w:t>
      </w:r>
      <w:r>
        <w:rPr>
          <w:sz w:val="21"/>
        </w:rPr>
        <w:t>30</w:t>
      </w:r>
      <w:r>
        <w:rPr>
          <w:spacing w:val="-11"/>
          <w:sz w:val="21"/>
        </w:rPr>
        <w:t> 个工作日内成立清算小组，清算小组必须在中国证监会的监</w:t>
      </w:r>
      <w:r>
        <w:rPr>
          <w:spacing w:val="-7"/>
          <w:sz w:val="21"/>
        </w:rPr>
        <w:t>督下进行基金清算。</w:t>
      </w:r>
    </w:p>
    <w:p>
      <w:pPr>
        <w:pStyle w:val="ListParagraph"/>
        <w:numPr>
          <w:ilvl w:val="0"/>
          <w:numId w:val="39"/>
        </w:numPr>
        <w:tabs>
          <w:tab w:pos="1607" w:val="left" w:leader="none"/>
        </w:tabs>
        <w:spacing w:line="417" w:lineRule="auto" w:before="0" w:after="0"/>
        <w:ind w:left="658" w:right="1309" w:firstLine="419"/>
        <w:jc w:val="left"/>
        <w:rPr>
          <w:sz w:val="21"/>
        </w:rPr>
      </w:pPr>
      <w:r>
        <w:rPr>
          <w:spacing w:val="-3"/>
          <w:sz w:val="21"/>
        </w:rPr>
        <w:t>基金清算小组成员由基金管理人、基金托管人、具有证券从业资格的注册会计师</w:t>
      </w:r>
      <w:r>
        <w:rPr>
          <w:spacing w:val="-10"/>
          <w:sz w:val="21"/>
        </w:rPr>
        <w:t>事务所、律师事务所以及中国证监会指定的人员组成。基金管理人、基金托管人以及上述会</w:t>
      </w:r>
    </w:p>
    <w:p>
      <w:pPr>
        <w:spacing w:after="0" w:line="417" w:lineRule="auto"/>
        <w:jc w:val="left"/>
        <w:rPr>
          <w:sz w:val="21"/>
        </w:rPr>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8"/>
      </w:pPr>
      <w:r>
        <w:rPr>
          <w:spacing w:val="-5"/>
        </w:rPr>
        <w:t>计师事务所和律师事务所应在该基金终止之日起 </w:t>
      </w:r>
      <w:r>
        <w:rPr/>
        <w:t>15</w:t>
      </w:r>
      <w:r>
        <w:rPr>
          <w:spacing w:val="-7"/>
        </w:rPr>
        <w:t> 个工作日内将本方参加清算小组的具体</w:t>
      </w:r>
      <w:r>
        <w:rPr>
          <w:spacing w:val="-5"/>
        </w:rPr>
        <w:t>人员名单函告其他各方。基金清算小组可以聘请必要的工作人员。</w:t>
      </w:r>
    </w:p>
    <w:p>
      <w:pPr>
        <w:pStyle w:val="ListParagraph"/>
        <w:numPr>
          <w:ilvl w:val="0"/>
          <w:numId w:val="39"/>
        </w:numPr>
        <w:tabs>
          <w:tab w:pos="1607" w:val="left" w:leader="none"/>
        </w:tabs>
        <w:spacing w:line="417" w:lineRule="auto" w:before="0" w:after="0"/>
        <w:ind w:left="658" w:right="1311" w:firstLine="419"/>
        <w:jc w:val="left"/>
        <w:rPr>
          <w:sz w:val="21"/>
        </w:rPr>
      </w:pPr>
      <w:r>
        <w:rPr>
          <w:spacing w:val="-12"/>
          <w:sz w:val="21"/>
        </w:rPr>
        <w:t>基金清算小组接管基金财产后，负责基金财产的保管、清理、估价、变现和分配 </w:t>
      </w:r>
      <w:r>
        <w:rPr>
          <w:spacing w:val="-3"/>
          <w:sz w:val="21"/>
        </w:rPr>
        <w:t>。基金清算小组可以依法进行必要的民事活动。</w:t>
      </w:r>
    </w:p>
    <w:p>
      <w:pPr>
        <w:pStyle w:val="BodyText"/>
        <w:spacing w:line="269" w:lineRule="exact"/>
        <w:ind w:left="1078"/>
      </w:pPr>
      <w:r>
        <w:rPr/>
        <w:t>2、基金清算小组的工作内容</w:t>
      </w:r>
    </w:p>
    <w:p>
      <w:pPr>
        <w:pStyle w:val="BodyText"/>
        <w:spacing w:before="6"/>
        <w:rPr>
          <w:sz w:val="15"/>
        </w:rPr>
      </w:pPr>
    </w:p>
    <w:p>
      <w:pPr>
        <w:pStyle w:val="ListParagraph"/>
        <w:numPr>
          <w:ilvl w:val="0"/>
          <w:numId w:val="40"/>
        </w:numPr>
        <w:tabs>
          <w:tab w:pos="1607" w:val="left" w:leader="none"/>
        </w:tabs>
        <w:spacing w:line="240" w:lineRule="auto" w:before="1" w:after="0"/>
        <w:ind w:left="1607" w:right="0" w:hanging="529"/>
        <w:jc w:val="left"/>
        <w:rPr>
          <w:sz w:val="21"/>
        </w:rPr>
      </w:pPr>
      <w:r>
        <w:rPr>
          <w:spacing w:val="-3"/>
          <w:sz w:val="21"/>
        </w:rPr>
        <w:t>基金终止后，发布基金清算公告；</w:t>
      </w:r>
    </w:p>
    <w:p>
      <w:pPr>
        <w:pStyle w:val="BodyText"/>
        <w:spacing w:before="6"/>
        <w:rPr>
          <w:sz w:val="15"/>
        </w:rPr>
      </w:pPr>
    </w:p>
    <w:p>
      <w:pPr>
        <w:pStyle w:val="ListParagraph"/>
        <w:numPr>
          <w:ilvl w:val="0"/>
          <w:numId w:val="40"/>
        </w:numPr>
        <w:tabs>
          <w:tab w:pos="1607" w:val="left" w:leader="none"/>
        </w:tabs>
        <w:spacing w:line="240" w:lineRule="auto" w:before="0" w:after="0"/>
        <w:ind w:left="1607" w:right="0" w:hanging="529"/>
        <w:jc w:val="left"/>
        <w:rPr>
          <w:sz w:val="21"/>
        </w:rPr>
      </w:pPr>
      <w:r>
        <w:rPr>
          <w:spacing w:val="-3"/>
          <w:sz w:val="21"/>
        </w:rPr>
        <w:t>基金清算小组统一接管终止后的基金财产；</w:t>
      </w:r>
    </w:p>
    <w:p>
      <w:pPr>
        <w:pStyle w:val="BodyText"/>
        <w:spacing w:before="8"/>
        <w:rPr>
          <w:sz w:val="15"/>
        </w:rPr>
      </w:pPr>
    </w:p>
    <w:p>
      <w:pPr>
        <w:pStyle w:val="ListParagraph"/>
        <w:numPr>
          <w:ilvl w:val="0"/>
          <w:numId w:val="40"/>
        </w:numPr>
        <w:tabs>
          <w:tab w:pos="1607" w:val="left" w:leader="none"/>
        </w:tabs>
        <w:spacing w:line="240" w:lineRule="auto" w:before="0" w:after="0"/>
        <w:ind w:left="1607" w:right="0" w:hanging="529"/>
        <w:jc w:val="left"/>
        <w:rPr>
          <w:sz w:val="21"/>
        </w:rPr>
      </w:pPr>
      <w:r>
        <w:rPr>
          <w:spacing w:val="-3"/>
          <w:sz w:val="21"/>
        </w:rPr>
        <w:t>对终止后的基金财产进行清理和确认；</w:t>
      </w:r>
    </w:p>
    <w:p>
      <w:pPr>
        <w:pStyle w:val="BodyText"/>
        <w:spacing w:before="6"/>
        <w:rPr>
          <w:sz w:val="15"/>
        </w:rPr>
      </w:pPr>
    </w:p>
    <w:p>
      <w:pPr>
        <w:pStyle w:val="ListParagraph"/>
        <w:numPr>
          <w:ilvl w:val="0"/>
          <w:numId w:val="40"/>
        </w:numPr>
        <w:tabs>
          <w:tab w:pos="1607" w:val="left" w:leader="none"/>
        </w:tabs>
        <w:spacing w:line="240" w:lineRule="auto" w:before="1" w:after="0"/>
        <w:ind w:left="1607" w:right="0" w:hanging="529"/>
        <w:jc w:val="left"/>
        <w:rPr>
          <w:sz w:val="21"/>
        </w:rPr>
      </w:pPr>
      <w:r>
        <w:rPr>
          <w:spacing w:val="-3"/>
          <w:sz w:val="21"/>
        </w:rPr>
        <w:t>对终止后的基金财产进行估价；</w:t>
      </w:r>
    </w:p>
    <w:p>
      <w:pPr>
        <w:pStyle w:val="BodyText"/>
        <w:spacing w:before="6"/>
        <w:rPr>
          <w:sz w:val="15"/>
        </w:rPr>
      </w:pPr>
    </w:p>
    <w:p>
      <w:pPr>
        <w:pStyle w:val="ListParagraph"/>
        <w:numPr>
          <w:ilvl w:val="0"/>
          <w:numId w:val="40"/>
        </w:numPr>
        <w:tabs>
          <w:tab w:pos="1607" w:val="left" w:leader="none"/>
        </w:tabs>
        <w:spacing w:line="240" w:lineRule="auto" w:before="0" w:after="0"/>
        <w:ind w:left="1607" w:right="0" w:hanging="529"/>
        <w:jc w:val="left"/>
        <w:rPr>
          <w:sz w:val="21"/>
        </w:rPr>
      </w:pPr>
      <w:r>
        <w:rPr>
          <w:spacing w:val="-3"/>
          <w:sz w:val="21"/>
        </w:rPr>
        <w:t>对基金财产进行变现；</w:t>
      </w:r>
    </w:p>
    <w:p>
      <w:pPr>
        <w:pStyle w:val="BodyText"/>
        <w:spacing w:before="7"/>
        <w:rPr>
          <w:sz w:val="15"/>
        </w:rPr>
      </w:pPr>
    </w:p>
    <w:p>
      <w:pPr>
        <w:pStyle w:val="ListParagraph"/>
        <w:numPr>
          <w:ilvl w:val="0"/>
          <w:numId w:val="40"/>
        </w:numPr>
        <w:tabs>
          <w:tab w:pos="1607" w:val="left" w:leader="none"/>
        </w:tabs>
        <w:spacing w:line="417" w:lineRule="auto" w:before="0" w:after="0"/>
        <w:ind w:left="658" w:right="1309" w:firstLine="419"/>
        <w:jc w:val="left"/>
        <w:rPr>
          <w:sz w:val="21"/>
        </w:rPr>
      </w:pPr>
      <w:r>
        <w:rPr>
          <w:spacing w:val="-3"/>
          <w:sz w:val="21"/>
        </w:rPr>
        <w:t>聘请会计师事务所对基金财产清算报告进行外部审计，聘请律师事务所对基金财产清算报告出具法律意见书；</w:t>
      </w:r>
    </w:p>
    <w:p>
      <w:pPr>
        <w:pStyle w:val="ListParagraph"/>
        <w:numPr>
          <w:ilvl w:val="0"/>
          <w:numId w:val="40"/>
        </w:numPr>
        <w:tabs>
          <w:tab w:pos="1607" w:val="left" w:leader="none"/>
        </w:tabs>
        <w:spacing w:line="269" w:lineRule="exact" w:before="0" w:after="0"/>
        <w:ind w:left="1607" w:right="0" w:hanging="529"/>
        <w:jc w:val="left"/>
        <w:rPr>
          <w:sz w:val="21"/>
        </w:rPr>
      </w:pPr>
      <w:r>
        <w:rPr>
          <w:spacing w:val="-3"/>
          <w:sz w:val="21"/>
        </w:rPr>
        <w:t>将基金清算结果报告中国证监会；</w:t>
      </w:r>
    </w:p>
    <w:p>
      <w:pPr>
        <w:pStyle w:val="BodyText"/>
        <w:spacing w:before="7"/>
        <w:rPr>
          <w:sz w:val="15"/>
        </w:rPr>
      </w:pPr>
    </w:p>
    <w:p>
      <w:pPr>
        <w:pStyle w:val="ListParagraph"/>
        <w:numPr>
          <w:ilvl w:val="0"/>
          <w:numId w:val="40"/>
        </w:numPr>
        <w:tabs>
          <w:tab w:pos="1607" w:val="left" w:leader="none"/>
        </w:tabs>
        <w:spacing w:line="240" w:lineRule="auto" w:before="0" w:after="0"/>
        <w:ind w:left="1607" w:right="0" w:hanging="529"/>
        <w:jc w:val="left"/>
        <w:rPr>
          <w:sz w:val="21"/>
        </w:rPr>
      </w:pPr>
      <w:r>
        <w:rPr>
          <w:spacing w:val="-3"/>
          <w:sz w:val="21"/>
        </w:rPr>
        <w:t>以自身名义参加与基金有关的民事诉讼；</w:t>
      </w:r>
    </w:p>
    <w:p>
      <w:pPr>
        <w:pStyle w:val="BodyText"/>
        <w:spacing w:before="7"/>
        <w:rPr>
          <w:sz w:val="15"/>
        </w:rPr>
      </w:pPr>
    </w:p>
    <w:p>
      <w:pPr>
        <w:pStyle w:val="ListParagraph"/>
        <w:numPr>
          <w:ilvl w:val="0"/>
          <w:numId w:val="40"/>
        </w:numPr>
        <w:tabs>
          <w:tab w:pos="1607" w:val="left" w:leader="none"/>
        </w:tabs>
        <w:spacing w:line="240" w:lineRule="auto" w:before="0" w:after="0"/>
        <w:ind w:left="1607" w:right="0" w:hanging="529"/>
        <w:jc w:val="left"/>
        <w:rPr>
          <w:sz w:val="21"/>
        </w:rPr>
      </w:pPr>
      <w:r>
        <w:rPr>
          <w:spacing w:val="-3"/>
          <w:sz w:val="21"/>
        </w:rPr>
        <w:t>公布终止后的基金清算结果公告；</w:t>
      </w:r>
    </w:p>
    <w:p>
      <w:pPr>
        <w:pStyle w:val="BodyText"/>
        <w:spacing w:before="6"/>
        <w:rPr>
          <w:sz w:val="15"/>
        </w:rPr>
      </w:pPr>
    </w:p>
    <w:p>
      <w:pPr>
        <w:pStyle w:val="ListParagraph"/>
        <w:numPr>
          <w:ilvl w:val="0"/>
          <w:numId w:val="40"/>
        </w:numPr>
        <w:tabs>
          <w:tab w:pos="1713" w:val="left" w:leader="none"/>
        </w:tabs>
        <w:spacing w:line="417" w:lineRule="auto" w:before="1" w:after="0"/>
        <w:ind w:left="1078" w:right="5212" w:firstLine="0"/>
        <w:jc w:val="left"/>
        <w:rPr>
          <w:sz w:val="21"/>
        </w:rPr>
      </w:pPr>
      <w:r>
        <w:rPr>
          <w:spacing w:val="-4"/>
          <w:sz w:val="21"/>
        </w:rPr>
        <w:t>进行终止后的基金剩余资产的分配。</w:t>
      </w:r>
      <w:r>
        <w:rPr>
          <w:sz w:val="21"/>
        </w:rPr>
        <w:t>3</w:t>
      </w:r>
      <w:r>
        <w:rPr>
          <w:spacing w:val="-3"/>
          <w:sz w:val="21"/>
        </w:rPr>
        <w:t>、清算费用</w:t>
      </w:r>
    </w:p>
    <w:p>
      <w:pPr>
        <w:pStyle w:val="BodyText"/>
        <w:spacing w:line="417" w:lineRule="auto"/>
        <w:ind w:left="658" w:right="1310" w:firstLine="419"/>
      </w:pPr>
      <w:r>
        <w:rPr>
          <w:spacing w:val="-6"/>
        </w:rPr>
        <w:t>清算费用是指清算小组在进行基金清算过程中发生的所有合理费用，清算费用由清算小</w:t>
      </w:r>
      <w:r>
        <w:rPr>
          <w:spacing w:val="-4"/>
        </w:rPr>
        <w:t>组优先从终止的基金财产中支付。</w:t>
      </w:r>
    </w:p>
    <w:p>
      <w:pPr>
        <w:pStyle w:val="BodyText"/>
        <w:spacing w:line="269" w:lineRule="exact"/>
        <w:ind w:left="1078"/>
      </w:pPr>
      <w:r>
        <w:rPr/>
        <w:t>4、基金财产按下列顺序清偿</w:t>
      </w:r>
    </w:p>
    <w:p>
      <w:pPr>
        <w:pStyle w:val="BodyText"/>
        <w:spacing w:before="6"/>
        <w:rPr>
          <w:sz w:val="15"/>
        </w:rPr>
      </w:pPr>
    </w:p>
    <w:p>
      <w:pPr>
        <w:pStyle w:val="ListParagraph"/>
        <w:numPr>
          <w:ilvl w:val="0"/>
          <w:numId w:val="41"/>
        </w:numPr>
        <w:tabs>
          <w:tab w:pos="1607" w:val="left" w:leader="none"/>
        </w:tabs>
        <w:spacing w:line="240" w:lineRule="auto" w:before="0" w:after="0"/>
        <w:ind w:left="1607" w:right="0" w:hanging="529"/>
        <w:jc w:val="left"/>
        <w:rPr>
          <w:sz w:val="21"/>
        </w:rPr>
      </w:pPr>
      <w:r>
        <w:rPr>
          <w:spacing w:val="-3"/>
          <w:sz w:val="21"/>
        </w:rPr>
        <w:t>支付清算费用；</w:t>
      </w:r>
    </w:p>
    <w:p>
      <w:pPr>
        <w:pStyle w:val="BodyText"/>
        <w:spacing w:before="7"/>
        <w:rPr>
          <w:sz w:val="15"/>
        </w:rPr>
      </w:pPr>
    </w:p>
    <w:p>
      <w:pPr>
        <w:pStyle w:val="ListParagraph"/>
        <w:numPr>
          <w:ilvl w:val="0"/>
          <w:numId w:val="41"/>
        </w:numPr>
        <w:tabs>
          <w:tab w:pos="1607" w:val="left" w:leader="none"/>
        </w:tabs>
        <w:spacing w:line="240" w:lineRule="auto" w:before="0" w:after="0"/>
        <w:ind w:left="1607" w:right="0" w:hanging="529"/>
        <w:jc w:val="left"/>
        <w:rPr>
          <w:sz w:val="21"/>
        </w:rPr>
      </w:pPr>
      <w:r>
        <w:rPr>
          <w:spacing w:val="-3"/>
          <w:sz w:val="21"/>
        </w:rPr>
        <w:t>交纳所欠税款；</w:t>
      </w:r>
    </w:p>
    <w:p>
      <w:pPr>
        <w:pStyle w:val="BodyText"/>
        <w:spacing w:before="7"/>
        <w:rPr>
          <w:sz w:val="15"/>
        </w:rPr>
      </w:pPr>
    </w:p>
    <w:p>
      <w:pPr>
        <w:pStyle w:val="ListParagraph"/>
        <w:numPr>
          <w:ilvl w:val="0"/>
          <w:numId w:val="41"/>
        </w:numPr>
        <w:tabs>
          <w:tab w:pos="1607" w:val="left" w:leader="none"/>
        </w:tabs>
        <w:spacing w:line="240" w:lineRule="auto" w:before="0" w:after="0"/>
        <w:ind w:left="1607" w:right="0" w:hanging="529"/>
        <w:jc w:val="left"/>
        <w:rPr>
          <w:sz w:val="21"/>
        </w:rPr>
      </w:pPr>
      <w:r>
        <w:rPr>
          <w:spacing w:val="-3"/>
          <w:sz w:val="21"/>
        </w:rPr>
        <w:t>清偿终止后的基金债务；</w:t>
      </w:r>
    </w:p>
    <w:p>
      <w:pPr>
        <w:pStyle w:val="BodyText"/>
        <w:spacing w:before="7"/>
        <w:rPr>
          <w:sz w:val="15"/>
        </w:rPr>
      </w:pPr>
    </w:p>
    <w:p>
      <w:pPr>
        <w:pStyle w:val="ListParagraph"/>
        <w:numPr>
          <w:ilvl w:val="0"/>
          <w:numId w:val="41"/>
        </w:numPr>
        <w:tabs>
          <w:tab w:pos="1607" w:val="left" w:leader="none"/>
        </w:tabs>
        <w:spacing w:line="240" w:lineRule="auto" w:before="0" w:after="0"/>
        <w:ind w:left="1607" w:right="0" w:hanging="529"/>
        <w:jc w:val="left"/>
        <w:rPr>
          <w:sz w:val="21"/>
        </w:rPr>
      </w:pPr>
      <w:r>
        <w:rPr>
          <w:spacing w:val="-3"/>
          <w:sz w:val="21"/>
        </w:rPr>
        <w:t>按终止后的基金份额持有人持有的基金份额比例进行分配；</w:t>
      </w:r>
    </w:p>
    <w:p>
      <w:pPr>
        <w:pStyle w:val="BodyText"/>
        <w:spacing w:before="6"/>
        <w:rPr>
          <w:sz w:val="15"/>
        </w:rPr>
      </w:pPr>
    </w:p>
    <w:p>
      <w:pPr>
        <w:pStyle w:val="BodyText"/>
        <w:spacing w:line="417" w:lineRule="auto" w:before="1"/>
        <w:ind w:left="1073" w:right="1853" w:firstLine="4"/>
      </w:pPr>
      <w:r>
        <w:rPr/>
        <w:t>该基金财产未按前款（1）至（3）项规定清偿前，不分配给该基金份额持有人。5、基金清算的公告</w:t>
      </w:r>
    </w:p>
    <w:p>
      <w:pPr>
        <w:pStyle w:val="BodyText"/>
        <w:spacing w:line="269" w:lineRule="exact"/>
        <w:ind w:left="1080"/>
      </w:pPr>
      <w:r>
        <w:rPr/>
        <w:t>基金清算公告于基金终止并报中国证监会备案后 5 个工作日内公告；清算过程中的有关</w:t>
      </w:r>
    </w:p>
    <w:p>
      <w:pPr>
        <w:pStyle w:val="BodyText"/>
        <w:spacing w:before="6"/>
        <w:rPr>
          <w:sz w:val="15"/>
        </w:rPr>
      </w:pPr>
    </w:p>
    <w:p>
      <w:pPr>
        <w:pStyle w:val="BodyText"/>
        <w:spacing w:line="417" w:lineRule="auto"/>
        <w:ind w:left="658" w:right="1311"/>
      </w:pPr>
      <w:r>
        <w:rPr>
          <w:spacing w:val="-13"/>
        </w:rPr>
        <w:t>重大事项将及时公告；该基金清算结果由基金清算小组经中国证监会批准后在 </w:t>
      </w:r>
      <w:r>
        <w:rPr/>
        <w:t>3</w:t>
      </w:r>
      <w:r>
        <w:rPr>
          <w:spacing w:val="-8"/>
        </w:rPr>
        <w:t> 个工作日内公告。</w:t>
      </w:r>
    </w:p>
    <w:p>
      <w:pPr>
        <w:pStyle w:val="BodyText"/>
        <w:ind w:left="1073"/>
      </w:pPr>
      <w:r>
        <w:rPr/>
        <w:t>6、基金清算账册及文件的保存</w:t>
      </w:r>
    </w:p>
    <w:p>
      <w:pPr>
        <w:spacing w:after="0"/>
        <w:sectPr>
          <w:pgSz w:w="11910" w:h="16840"/>
          <w:pgMar w:header="852" w:footer="992" w:top="1220" w:bottom="1180" w:left="1140" w:right="480"/>
        </w:sectPr>
      </w:pPr>
    </w:p>
    <w:p>
      <w:pPr>
        <w:pStyle w:val="BodyText"/>
        <w:spacing w:before="1"/>
        <w:rPr>
          <w:sz w:val="19"/>
        </w:rPr>
      </w:pPr>
    </w:p>
    <w:p>
      <w:pPr>
        <w:pStyle w:val="BodyText"/>
        <w:spacing w:before="71"/>
        <w:ind w:left="1078"/>
      </w:pPr>
      <w:r>
        <w:rPr/>
        <w:t>基金清算账册及有关文件由基金托管人按照国家有关规定保存 15 年以上。</w:t>
      </w:r>
    </w:p>
    <w:p>
      <w:pPr>
        <w:spacing w:after="0"/>
        <w:sectPr>
          <w:pgSz w:w="11910" w:h="16840"/>
          <w:pgMar w:header="852" w:footer="992" w:top="1220" w:bottom="1180" w:left="1140" w:right="480"/>
        </w:sectPr>
      </w:pPr>
    </w:p>
    <w:p>
      <w:pPr>
        <w:pStyle w:val="BodyText"/>
        <w:spacing w:before="11"/>
        <w:rPr>
          <w:sz w:val="17"/>
        </w:rPr>
      </w:pPr>
    </w:p>
    <w:p>
      <w:pPr>
        <w:pStyle w:val="Heading1"/>
        <w:spacing w:before="66"/>
        <w:ind w:left="3248"/>
      </w:pPr>
      <w:bookmarkStart w:name="_bookmark24" w:id="25"/>
      <w:bookmarkEnd w:id="25"/>
      <w:r>
        <w:rPr>
          <w:b w:val="0"/>
        </w:rPr>
      </w:r>
      <w:r>
        <w:rPr/>
        <w:t>二十一、基金合同的内容摘要</w:t>
      </w:r>
    </w:p>
    <w:p>
      <w:pPr>
        <w:pStyle w:val="BodyText"/>
        <w:rPr>
          <w:b/>
          <w:sz w:val="24"/>
        </w:rPr>
      </w:pPr>
    </w:p>
    <w:p>
      <w:pPr>
        <w:pStyle w:val="BodyText"/>
        <w:spacing w:before="9"/>
        <w:rPr>
          <w:b/>
          <w:sz w:val="26"/>
        </w:rPr>
      </w:pPr>
    </w:p>
    <w:p>
      <w:pPr>
        <w:spacing w:before="0"/>
        <w:ind w:left="658" w:right="0" w:firstLine="0"/>
        <w:jc w:val="left"/>
        <w:rPr>
          <w:b/>
          <w:sz w:val="21"/>
        </w:rPr>
      </w:pPr>
      <w:r>
        <w:rPr>
          <w:b/>
          <w:sz w:val="21"/>
        </w:rPr>
        <w:t>（一）基金合同当事人的权利、义务</w:t>
      </w:r>
    </w:p>
    <w:p>
      <w:pPr>
        <w:pStyle w:val="BodyText"/>
        <w:spacing w:before="6"/>
        <w:rPr>
          <w:b/>
          <w:sz w:val="15"/>
        </w:rPr>
      </w:pPr>
    </w:p>
    <w:p>
      <w:pPr>
        <w:pStyle w:val="BodyText"/>
        <w:spacing w:before="1"/>
        <w:ind w:left="658"/>
      </w:pPr>
      <w:r>
        <w:rPr>
          <w:rFonts w:ascii="Times New Roman" w:eastAsia="Times New Roman"/>
        </w:rPr>
        <w:t>1</w:t>
      </w:r>
      <w:r>
        <w:rPr/>
        <w:t>、基金管理人的权利</w:t>
      </w:r>
    </w:p>
    <w:p>
      <w:pPr>
        <w:pStyle w:val="BodyText"/>
        <w:spacing w:before="6"/>
        <w:rPr>
          <w:sz w:val="15"/>
        </w:rPr>
      </w:pPr>
    </w:p>
    <w:p>
      <w:pPr>
        <w:pStyle w:val="ListParagraph"/>
        <w:numPr>
          <w:ilvl w:val="0"/>
          <w:numId w:val="42"/>
        </w:numPr>
        <w:tabs>
          <w:tab w:pos="1558" w:val="left" w:leader="none"/>
        </w:tabs>
        <w:spacing w:line="240" w:lineRule="auto" w:before="0" w:after="0"/>
        <w:ind w:left="1558" w:right="0" w:hanging="720"/>
        <w:jc w:val="left"/>
        <w:rPr>
          <w:sz w:val="21"/>
        </w:rPr>
      </w:pPr>
      <w:r>
        <w:rPr>
          <w:spacing w:val="-3"/>
          <w:sz w:val="21"/>
        </w:rPr>
        <w:t>自本系列基金合同生效之日起，根据基金合同运用本系列基金财产；</w:t>
      </w:r>
    </w:p>
    <w:p>
      <w:pPr>
        <w:pStyle w:val="BodyText"/>
        <w:spacing w:before="7"/>
        <w:rPr>
          <w:sz w:val="15"/>
        </w:rPr>
      </w:pPr>
    </w:p>
    <w:p>
      <w:pPr>
        <w:pStyle w:val="ListParagraph"/>
        <w:numPr>
          <w:ilvl w:val="0"/>
          <w:numId w:val="42"/>
        </w:numPr>
        <w:tabs>
          <w:tab w:pos="1558" w:val="left" w:leader="none"/>
        </w:tabs>
        <w:spacing w:line="240" w:lineRule="auto" w:before="0" w:after="0"/>
        <w:ind w:left="1558" w:right="0" w:hanging="720"/>
        <w:jc w:val="left"/>
        <w:rPr>
          <w:sz w:val="21"/>
        </w:rPr>
      </w:pPr>
      <w:r>
        <w:rPr>
          <w:spacing w:val="-3"/>
          <w:sz w:val="21"/>
        </w:rPr>
        <w:t>决定基金收益分配方案；</w:t>
      </w:r>
    </w:p>
    <w:p>
      <w:pPr>
        <w:pStyle w:val="BodyText"/>
        <w:spacing w:before="7"/>
        <w:rPr>
          <w:sz w:val="15"/>
        </w:rPr>
      </w:pPr>
    </w:p>
    <w:p>
      <w:pPr>
        <w:pStyle w:val="ListParagraph"/>
        <w:numPr>
          <w:ilvl w:val="0"/>
          <w:numId w:val="42"/>
        </w:numPr>
        <w:tabs>
          <w:tab w:pos="1558" w:val="left" w:leader="none"/>
        </w:tabs>
        <w:spacing w:line="240" w:lineRule="auto" w:before="0" w:after="0"/>
        <w:ind w:left="1558" w:right="0" w:hanging="720"/>
        <w:jc w:val="left"/>
        <w:rPr>
          <w:sz w:val="21"/>
        </w:rPr>
      </w:pPr>
      <w:r>
        <w:rPr>
          <w:spacing w:val="-3"/>
          <w:sz w:val="21"/>
        </w:rPr>
        <w:t>获取基金管理费及其他约定和法定的收入；</w:t>
      </w:r>
    </w:p>
    <w:p>
      <w:pPr>
        <w:pStyle w:val="BodyText"/>
        <w:spacing w:before="7"/>
        <w:rPr>
          <w:sz w:val="15"/>
        </w:rPr>
      </w:pPr>
    </w:p>
    <w:p>
      <w:pPr>
        <w:pStyle w:val="ListParagraph"/>
        <w:numPr>
          <w:ilvl w:val="0"/>
          <w:numId w:val="42"/>
        </w:numPr>
        <w:tabs>
          <w:tab w:pos="1558" w:val="left" w:leader="none"/>
        </w:tabs>
        <w:spacing w:line="417" w:lineRule="auto" w:before="0" w:after="0"/>
        <w:ind w:left="1558" w:right="1313" w:hanging="720"/>
        <w:jc w:val="left"/>
        <w:rPr>
          <w:sz w:val="21"/>
        </w:rPr>
      </w:pPr>
      <w:r>
        <w:rPr>
          <w:spacing w:val="-1"/>
          <w:sz w:val="21"/>
        </w:rPr>
        <w:t>在符合有关法律法规的前提下，并经中国证监会批准后，制订和调整开放式基金</w:t>
      </w:r>
      <w:r>
        <w:rPr>
          <w:spacing w:val="-3"/>
          <w:sz w:val="21"/>
        </w:rPr>
        <w:t>业务规则，决定本系列基金的相关费率结构和收费方式；</w:t>
      </w:r>
    </w:p>
    <w:p>
      <w:pPr>
        <w:pStyle w:val="ListParagraph"/>
        <w:numPr>
          <w:ilvl w:val="0"/>
          <w:numId w:val="42"/>
        </w:numPr>
        <w:tabs>
          <w:tab w:pos="1558" w:val="left" w:leader="none"/>
        </w:tabs>
        <w:spacing w:line="269" w:lineRule="exact" w:before="0" w:after="0"/>
        <w:ind w:left="1558" w:right="0" w:hanging="720"/>
        <w:jc w:val="left"/>
        <w:rPr>
          <w:sz w:val="21"/>
        </w:rPr>
      </w:pPr>
      <w:r>
        <w:rPr>
          <w:spacing w:val="-3"/>
          <w:sz w:val="21"/>
        </w:rPr>
        <w:t>销售基金份额，获取认（</w:t>
      </w:r>
      <w:r>
        <w:rPr>
          <w:sz w:val="21"/>
        </w:rPr>
        <w:t>申）</w:t>
      </w:r>
      <w:r>
        <w:rPr>
          <w:spacing w:val="-3"/>
          <w:sz w:val="21"/>
        </w:rPr>
        <w:t>购费、转换费；</w:t>
      </w:r>
    </w:p>
    <w:p>
      <w:pPr>
        <w:pStyle w:val="BodyText"/>
        <w:spacing w:before="7"/>
        <w:rPr>
          <w:sz w:val="15"/>
        </w:rPr>
      </w:pPr>
    </w:p>
    <w:p>
      <w:pPr>
        <w:pStyle w:val="ListParagraph"/>
        <w:numPr>
          <w:ilvl w:val="0"/>
          <w:numId w:val="42"/>
        </w:numPr>
        <w:tabs>
          <w:tab w:pos="1558" w:val="left" w:leader="none"/>
        </w:tabs>
        <w:spacing w:line="240" w:lineRule="auto" w:before="0" w:after="0"/>
        <w:ind w:left="1558" w:right="0" w:hanging="720"/>
        <w:jc w:val="left"/>
        <w:rPr>
          <w:sz w:val="21"/>
        </w:rPr>
      </w:pPr>
      <w:r>
        <w:rPr>
          <w:spacing w:val="-3"/>
          <w:sz w:val="21"/>
        </w:rPr>
        <w:t>选择和更换销售代理人，并对其销售代理行为进行必要的监督；</w:t>
      </w:r>
    </w:p>
    <w:p>
      <w:pPr>
        <w:pStyle w:val="BodyText"/>
        <w:spacing w:before="6"/>
        <w:rPr>
          <w:sz w:val="15"/>
        </w:rPr>
      </w:pPr>
    </w:p>
    <w:p>
      <w:pPr>
        <w:pStyle w:val="ListParagraph"/>
        <w:numPr>
          <w:ilvl w:val="0"/>
          <w:numId w:val="42"/>
        </w:numPr>
        <w:tabs>
          <w:tab w:pos="1558" w:val="left" w:leader="none"/>
        </w:tabs>
        <w:spacing w:line="417" w:lineRule="auto" w:before="1" w:after="0"/>
        <w:ind w:left="1558" w:right="1313" w:hanging="720"/>
        <w:jc w:val="left"/>
        <w:rPr>
          <w:sz w:val="21"/>
        </w:rPr>
      </w:pPr>
      <w:r>
        <w:rPr>
          <w:spacing w:val="-1"/>
          <w:sz w:val="21"/>
        </w:rPr>
        <w:t>代表基金对其所投资的企业依法行使股东权利或行使因投资于其他证券所产生的</w:t>
      </w:r>
      <w:r>
        <w:rPr>
          <w:sz w:val="21"/>
        </w:rPr>
        <w:t>权利；</w:t>
      </w:r>
    </w:p>
    <w:p>
      <w:pPr>
        <w:pStyle w:val="ListParagraph"/>
        <w:numPr>
          <w:ilvl w:val="0"/>
          <w:numId w:val="42"/>
        </w:numPr>
        <w:tabs>
          <w:tab w:pos="1558" w:val="left" w:leader="none"/>
        </w:tabs>
        <w:spacing w:line="417" w:lineRule="auto" w:before="0" w:after="0"/>
        <w:ind w:left="1558" w:right="1313" w:hanging="720"/>
        <w:jc w:val="left"/>
        <w:rPr>
          <w:sz w:val="21"/>
        </w:rPr>
      </w:pPr>
      <w:r>
        <w:rPr>
          <w:spacing w:val="-1"/>
          <w:sz w:val="21"/>
        </w:rPr>
        <w:t>担任注册登记人或选择和更换注册登记代理机构，并对其注册登记代理行为进行</w:t>
      </w:r>
      <w:r>
        <w:rPr>
          <w:spacing w:val="-2"/>
          <w:sz w:val="21"/>
        </w:rPr>
        <w:t>必要的监督；</w:t>
      </w:r>
    </w:p>
    <w:p>
      <w:pPr>
        <w:pStyle w:val="ListParagraph"/>
        <w:numPr>
          <w:ilvl w:val="0"/>
          <w:numId w:val="42"/>
        </w:numPr>
        <w:tabs>
          <w:tab w:pos="1558" w:val="left" w:leader="none"/>
        </w:tabs>
        <w:spacing w:line="417" w:lineRule="auto" w:before="0" w:after="0"/>
        <w:ind w:left="1558" w:right="1313" w:hanging="720"/>
        <w:jc w:val="left"/>
        <w:rPr>
          <w:sz w:val="21"/>
        </w:rPr>
      </w:pPr>
      <w:r>
        <w:rPr>
          <w:spacing w:val="-1"/>
          <w:sz w:val="21"/>
        </w:rPr>
        <w:t>基金合同规定的情形出现时，决定拒绝或暂停受理基金份额的申购、暂停受理基</w:t>
      </w:r>
      <w:r>
        <w:rPr>
          <w:spacing w:val="-3"/>
          <w:sz w:val="21"/>
        </w:rPr>
        <w:t>金份额的赎回及转换申请；</w:t>
      </w:r>
    </w:p>
    <w:p>
      <w:pPr>
        <w:pStyle w:val="ListParagraph"/>
        <w:numPr>
          <w:ilvl w:val="0"/>
          <w:numId w:val="42"/>
        </w:numPr>
        <w:tabs>
          <w:tab w:pos="1558" w:val="left" w:leader="none"/>
        </w:tabs>
        <w:spacing w:line="417" w:lineRule="auto" w:before="0" w:after="0"/>
        <w:ind w:left="1558" w:right="1313" w:hanging="720"/>
        <w:jc w:val="left"/>
        <w:rPr>
          <w:sz w:val="21"/>
        </w:rPr>
      </w:pPr>
      <w:r>
        <w:rPr>
          <w:spacing w:val="-1"/>
          <w:sz w:val="21"/>
        </w:rPr>
        <w:t>监督基金托管人，如认为基金托管人违反基金合同或有关法律法规的规定，呈报</w:t>
      </w:r>
      <w:r>
        <w:rPr>
          <w:spacing w:val="-3"/>
          <w:sz w:val="21"/>
        </w:rPr>
        <w:t>中国证监会和其他监管部门，并采取必要措施保护基金投资者的利益；</w:t>
      </w:r>
    </w:p>
    <w:p>
      <w:pPr>
        <w:pStyle w:val="ListParagraph"/>
        <w:numPr>
          <w:ilvl w:val="0"/>
          <w:numId w:val="42"/>
        </w:numPr>
        <w:tabs>
          <w:tab w:pos="1558" w:val="left" w:leader="none"/>
        </w:tabs>
        <w:spacing w:line="269" w:lineRule="exact" w:before="0" w:after="0"/>
        <w:ind w:left="1558" w:right="0" w:hanging="720"/>
        <w:jc w:val="left"/>
        <w:rPr>
          <w:sz w:val="21"/>
        </w:rPr>
      </w:pPr>
      <w:r>
        <w:rPr>
          <w:spacing w:val="-3"/>
          <w:sz w:val="21"/>
        </w:rPr>
        <w:t>提议召开基金份额持有人大会；</w:t>
      </w:r>
    </w:p>
    <w:p>
      <w:pPr>
        <w:pStyle w:val="BodyText"/>
        <w:spacing w:before="6"/>
        <w:rPr>
          <w:sz w:val="15"/>
        </w:rPr>
      </w:pPr>
    </w:p>
    <w:p>
      <w:pPr>
        <w:pStyle w:val="ListParagraph"/>
        <w:numPr>
          <w:ilvl w:val="0"/>
          <w:numId w:val="42"/>
        </w:numPr>
        <w:tabs>
          <w:tab w:pos="1558" w:val="left" w:leader="none"/>
        </w:tabs>
        <w:spacing w:line="240" w:lineRule="auto" w:before="0" w:after="0"/>
        <w:ind w:left="1558" w:right="0" w:hanging="720"/>
        <w:jc w:val="left"/>
        <w:rPr>
          <w:sz w:val="21"/>
        </w:rPr>
      </w:pPr>
      <w:r>
        <w:rPr>
          <w:spacing w:val="-3"/>
          <w:sz w:val="21"/>
        </w:rPr>
        <w:t>在更换基金托管人时，提名新任基金托管人；</w:t>
      </w:r>
    </w:p>
    <w:p>
      <w:pPr>
        <w:pStyle w:val="BodyText"/>
        <w:spacing w:before="7"/>
        <w:rPr>
          <w:sz w:val="15"/>
        </w:rPr>
      </w:pPr>
    </w:p>
    <w:p>
      <w:pPr>
        <w:pStyle w:val="ListParagraph"/>
        <w:numPr>
          <w:ilvl w:val="0"/>
          <w:numId w:val="42"/>
        </w:numPr>
        <w:tabs>
          <w:tab w:pos="1558" w:val="left" w:leader="none"/>
        </w:tabs>
        <w:spacing w:line="240" w:lineRule="auto" w:before="0" w:after="0"/>
        <w:ind w:left="1558" w:right="0" w:hanging="720"/>
        <w:jc w:val="left"/>
        <w:rPr>
          <w:sz w:val="21"/>
        </w:rPr>
      </w:pPr>
      <w:r>
        <w:rPr>
          <w:spacing w:val="-3"/>
          <w:sz w:val="21"/>
        </w:rPr>
        <w:t>法律法规及基金合同规定的其他权利。</w:t>
      </w:r>
    </w:p>
    <w:p>
      <w:pPr>
        <w:pStyle w:val="BodyText"/>
        <w:spacing w:before="7"/>
        <w:rPr>
          <w:sz w:val="15"/>
        </w:rPr>
      </w:pPr>
    </w:p>
    <w:p>
      <w:pPr>
        <w:pStyle w:val="BodyText"/>
        <w:ind w:left="658"/>
      </w:pPr>
      <w:r>
        <w:rPr>
          <w:rFonts w:ascii="Times New Roman" w:eastAsia="Times New Roman"/>
        </w:rPr>
        <w:t>2</w:t>
      </w:r>
      <w:r>
        <w:rPr/>
        <w:t>、基金管理人的义务</w:t>
      </w:r>
    </w:p>
    <w:p>
      <w:pPr>
        <w:pStyle w:val="BodyText"/>
        <w:spacing w:before="6"/>
        <w:rPr>
          <w:sz w:val="15"/>
        </w:rPr>
      </w:pPr>
    </w:p>
    <w:p>
      <w:pPr>
        <w:pStyle w:val="ListParagraph"/>
        <w:numPr>
          <w:ilvl w:val="0"/>
          <w:numId w:val="43"/>
        </w:numPr>
        <w:tabs>
          <w:tab w:pos="1558" w:val="left" w:leader="none"/>
        </w:tabs>
        <w:spacing w:line="240" w:lineRule="auto" w:before="1" w:after="0"/>
        <w:ind w:left="1558" w:right="0" w:hanging="720"/>
        <w:jc w:val="left"/>
        <w:rPr>
          <w:sz w:val="21"/>
        </w:rPr>
      </w:pPr>
      <w:r>
        <w:rPr>
          <w:spacing w:val="-2"/>
          <w:sz w:val="21"/>
        </w:rPr>
        <w:t>遵守基金合同；</w:t>
      </w:r>
    </w:p>
    <w:p>
      <w:pPr>
        <w:pStyle w:val="BodyText"/>
        <w:spacing w:before="6"/>
        <w:rPr>
          <w:sz w:val="15"/>
        </w:rPr>
      </w:pPr>
    </w:p>
    <w:p>
      <w:pPr>
        <w:pStyle w:val="ListParagraph"/>
        <w:numPr>
          <w:ilvl w:val="0"/>
          <w:numId w:val="43"/>
        </w:numPr>
        <w:tabs>
          <w:tab w:pos="1558" w:val="left" w:leader="none"/>
        </w:tabs>
        <w:spacing w:line="240" w:lineRule="auto" w:before="0" w:after="0"/>
        <w:ind w:left="1558" w:right="0" w:hanging="720"/>
        <w:jc w:val="left"/>
        <w:rPr>
          <w:sz w:val="21"/>
        </w:rPr>
      </w:pPr>
      <w:r>
        <w:rPr>
          <w:spacing w:val="-3"/>
          <w:sz w:val="21"/>
        </w:rPr>
        <w:t>自基金合同生效之日起，以诚实信用、勤勉尽责的原则管理和运用基金财产；</w:t>
      </w:r>
    </w:p>
    <w:p>
      <w:pPr>
        <w:pStyle w:val="BodyText"/>
        <w:spacing w:before="7"/>
        <w:rPr>
          <w:sz w:val="15"/>
        </w:rPr>
      </w:pPr>
    </w:p>
    <w:p>
      <w:pPr>
        <w:pStyle w:val="ListParagraph"/>
        <w:numPr>
          <w:ilvl w:val="0"/>
          <w:numId w:val="43"/>
        </w:numPr>
        <w:tabs>
          <w:tab w:pos="1558" w:val="left" w:leader="none"/>
        </w:tabs>
        <w:spacing w:line="417" w:lineRule="auto" w:before="0" w:after="0"/>
        <w:ind w:left="1558" w:right="1309" w:hanging="720"/>
        <w:jc w:val="left"/>
        <w:rPr>
          <w:sz w:val="21"/>
        </w:rPr>
      </w:pPr>
      <w:r>
        <w:rPr>
          <w:spacing w:val="-3"/>
          <w:sz w:val="21"/>
        </w:rPr>
        <w:t>配备足够的具有专业资格的人员进行基金投资分析、决策</w:t>
      </w:r>
      <w:r>
        <w:rPr>
          <w:rFonts w:ascii="Times New Roman" w:eastAsia="Times New Roman"/>
          <w:spacing w:val="-3"/>
          <w:sz w:val="21"/>
        </w:rPr>
        <w:t>,</w:t>
      </w:r>
      <w:r>
        <w:rPr>
          <w:spacing w:val="-3"/>
          <w:sz w:val="21"/>
        </w:rPr>
        <w:t>以专业化的经营方式管理和运作基金财产；</w:t>
      </w:r>
    </w:p>
    <w:p>
      <w:pPr>
        <w:pStyle w:val="ListParagraph"/>
        <w:numPr>
          <w:ilvl w:val="0"/>
          <w:numId w:val="43"/>
        </w:numPr>
        <w:tabs>
          <w:tab w:pos="1558" w:val="left" w:leader="none"/>
        </w:tabs>
        <w:spacing w:line="417" w:lineRule="auto" w:before="0" w:after="0"/>
        <w:ind w:left="1558" w:right="1313" w:hanging="720"/>
        <w:jc w:val="left"/>
        <w:rPr>
          <w:sz w:val="21"/>
        </w:rPr>
      </w:pPr>
      <w:r>
        <w:rPr>
          <w:spacing w:val="-1"/>
          <w:sz w:val="21"/>
        </w:rPr>
        <w:t>设置相应的部门并配备足够的专业人员办理基金份额的认购、申购、赎回、转换</w:t>
      </w:r>
      <w:r>
        <w:rPr>
          <w:spacing w:val="-3"/>
          <w:sz w:val="21"/>
        </w:rPr>
        <w:t>及其他业务或委托其他机构代理这些业务；</w:t>
      </w:r>
    </w:p>
    <w:p>
      <w:pPr>
        <w:pStyle w:val="ListParagraph"/>
        <w:numPr>
          <w:ilvl w:val="0"/>
          <w:numId w:val="43"/>
        </w:numPr>
        <w:tabs>
          <w:tab w:pos="1558" w:val="left" w:leader="none"/>
        </w:tabs>
        <w:spacing w:line="240" w:lineRule="auto" w:before="0" w:after="0"/>
        <w:ind w:left="1558" w:right="0" w:hanging="720"/>
        <w:jc w:val="left"/>
        <w:rPr>
          <w:sz w:val="21"/>
        </w:rPr>
      </w:pPr>
      <w:r>
        <w:rPr>
          <w:sz w:val="21"/>
        </w:rPr>
        <w:t>设置相应的部门并配备足够的专业人员办理基金的注册登记工作或委托其他机构</w:t>
      </w:r>
    </w:p>
    <w:p>
      <w:pPr>
        <w:spacing w:after="0" w:line="240" w:lineRule="auto"/>
        <w:jc w:val="left"/>
        <w:rPr>
          <w:sz w:val="21"/>
        </w:rPr>
        <w:sectPr>
          <w:pgSz w:w="11910" w:h="16840"/>
          <w:pgMar w:header="852" w:footer="992" w:top="1220" w:bottom="1180" w:left="1140" w:right="480"/>
        </w:sectPr>
      </w:pPr>
    </w:p>
    <w:p>
      <w:pPr>
        <w:pStyle w:val="BodyText"/>
        <w:spacing w:before="1"/>
        <w:rPr>
          <w:sz w:val="19"/>
        </w:rPr>
      </w:pPr>
    </w:p>
    <w:p>
      <w:pPr>
        <w:pStyle w:val="BodyText"/>
        <w:spacing w:before="71"/>
        <w:ind w:left="1558"/>
      </w:pPr>
      <w:r>
        <w:rPr/>
        <w:t>代理该项业务；</w:t>
      </w:r>
    </w:p>
    <w:p>
      <w:pPr>
        <w:pStyle w:val="BodyText"/>
        <w:spacing w:before="7"/>
        <w:rPr>
          <w:sz w:val="15"/>
        </w:rPr>
      </w:pPr>
    </w:p>
    <w:p>
      <w:pPr>
        <w:pStyle w:val="ListParagraph"/>
        <w:numPr>
          <w:ilvl w:val="0"/>
          <w:numId w:val="43"/>
        </w:numPr>
        <w:tabs>
          <w:tab w:pos="1558" w:val="left" w:leader="none"/>
        </w:tabs>
        <w:spacing w:line="417" w:lineRule="auto" w:before="0" w:after="0"/>
        <w:ind w:left="1558" w:right="1313" w:hanging="720"/>
        <w:jc w:val="both"/>
        <w:rPr>
          <w:sz w:val="21"/>
        </w:rPr>
      </w:pPr>
      <w:r>
        <w:rPr>
          <w:spacing w:val="-1"/>
          <w:sz w:val="21"/>
        </w:rPr>
        <w:t>建立健全内部风险控制、监察与稽核、财务管理及人事管理等制度，保证所管理的基金财产和管理人的资产相互独立，保证不同基金在资产运作、财务管理等方</w:t>
      </w:r>
      <w:r>
        <w:rPr>
          <w:spacing w:val="-2"/>
          <w:sz w:val="21"/>
        </w:rPr>
        <w:t>面相互独立；</w:t>
      </w:r>
    </w:p>
    <w:p>
      <w:pPr>
        <w:pStyle w:val="ListParagraph"/>
        <w:numPr>
          <w:ilvl w:val="0"/>
          <w:numId w:val="43"/>
        </w:numPr>
        <w:tabs>
          <w:tab w:pos="1558" w:val="left" w:leader="none"/>
        </w:tabs>
        <w:spacing w:line="417" w:lineRule="auto" w:before="0" w:after="0"/>
        <w:ind w:left="1558" w:right="1309" w:hanging="720"/>
        <w:jc w:val="both"/>
        <w:rPr>
          <w:sz w:val="21"/>
        </w:rPr>
      </w:pPr>
      <w:r>
        <w:rPr>
          <w:spacing w:val="-22"/>
          <w:sz w:val="21"/>
        </w:rPr>
        <w:t>除依据《暂行办法》、《试点办法》、基金合同的规定外，不利用基金财产为自己及</w:t>
      </w:r>
      <w:r>
        <w:rPr>
          <w:spacing w:val="-8"/>
          <w:sz w:val="21"/>
        </w:rPr>
        <w:t>任何第三人谋取利益，不得委托第三人运作基金财产；</w:t>
      </w:r>
    </w:p>
    <w:p>
      <w:pPr>
        <w:pStyle w:val="ListParagraph"/>
        <w:numPr>
          <w:ilvl w:val="0"/>
          <w:numId w:val="43"/>
        </w:numPr>
        <w:tabs>
          <w:tab w:pos="1558" w:val="left" w:leader="none"/>
        </w:tabs>
        <w:spacing w:line="269" w:lineRule="exact" w:before="0" w:after="0"/>
        <w:ind w:left="1558" w:right="0" w:hanging="720"/>
        <w:jc w:val="both"/>
        <w:rPr>
          <w:sz w:val="21"/>
        </w:rPr>
      </w:pPr>
      <w:r>
        <w:rPr>
          <w:spacing w:val="-3"/>
          <w:sz w:val="21"/>
        </w:rPr>
        <w:t>接受基金托管人依法进行的监督；</w:t>
      </w:r>
    </w:p>
    <w:p>
      <w:pPr>
        <w:pStyle w:val="BodyText"/>
        <w:spacing w:before="7"/>
        <w:rPr>
          <w:sz w:val="15"/>
        </w:rPr>
      </w:pPr>
    </w:p>
    <w:p>
      <w:pPr>
        <w:pStyle w:val="ListParagraph"/>
        <w:numPr>
          <w:ilvl w:val="0"/>
          <w:numId w:val="43"/>
        </w:numPr>
        <w:tabs>
          <w:tab w:pos="1558" w:val="left" w:leader="none"/>
        </w:tabs>
        <w:spacing w:line="240" w:lineRule="auto" w:before="0" w:after="0"/>
        <w:ind w:left="1558" w:right="0" w:hanging="720"/>
        <w:jc w:val="both"/>
        <w:rPr>
          <w:sz w:val="21"/>
        </w:rPr>
      </w:pPr>
      <w:r>
        <w:rPr>
          <w:spacing w:val="-3"/>
          <w:sz w:val="21"/>
        </w:rPr>
        <w:t>按规定计算并公告基金净值信息，确定基金份额申购、赎回的价格；</w:t>
      </w:r>
    </w:p>
    <w:p>
      <w:pPr>
        <w:pStyle w:val="BodyText"/>
        <w:spacing w:before="6"/>
        <w:rPr>
          <w:sz w:val="15"/>
        </w:rPr>
      </w:pPr>
    </w:p>
    <w:p>
      <w:pPr>
        <w:pStyle w:val="ListParagraph"/>
        <w:numPr>
          <w:ilvl w:val="0"/>
          <w:numId w:val="43"/>
        </w:numPr>
        <w:tabs>
          <w:tab w:pos="1558" w:val="left" w:leader="none"/>
        </w:tabs>
        <w:spacing w:line="417" w:lineRule="auto" w:before="1" w:after="0"/>
        <w:ind w:left="1558" w:right="1313" w:hanging="720"/>
        <w:jc w:val="both"/>
        <w:rPr>
          <w:sz w:val="21"/>
        </w:rPr>
      </w:pPr>
      <w:r>
        <w:rPr>
          <w:spacing w:val="-15"/>
          <w:sz w:val="21"/>
        </w:rPr>
        <w:t>严格按照《暂行办法》、《试点办法》和本基金合同及其他有关规定，受理并办理</w:t>
      </w:r>
      <w:r>
        <w:rPr>
          <w:spacing w:val="-3"/>
          <w:sz w:val="21"/>
        </w:rPr>
        <w:t>申购、赎回和转换申请，及时、足额支付赎回款项；</w:t>
      </w:r>
    </w:p>
    <w:p>
      <w:pPr>
        <w:pStyle w:val="ListParagraph"/>
        <w:numPr>
          <w:ilvl w:val="0"/>
          <w:numId w:val="43"/>
        </w:numPr>
        <w:tabs>
          <w:tab w:pos="1558" w:val="left" w:leader="none"/>
        </w:tabs>
        <w:spacing w:line="417" w:lineRule="auto" w:before="0" w:after="0"/>
        <w:ind w:left="1558" w:right="1311" w:hanging="720"/>
        <w:jc w:val="both"/>
        <w:rPr>
          <w:sz w:val="21"/>
        </w:rPr>
      </w:pPr>
      <w:r>
        <w:rPr>
          <w:spacing w:val="-15"/>
          <w:sz w:val="21"/>
        </w:rPr>
        <w:t>严格按照《暂行办法》、《试点办法》和本基金合同及其他有关规定履行信息披露</w:t>
      </w:r>
      <w:r>
        <w:rPr>
          <w:spacing w:val="-2"/>
          <w:sz w:val="21"/>
        </w:rPr>
        <w:t>及报告义务；</w:t>
      </w:r>
    </w:p>
    <w:p>
      <w:pPr>
        <w:pStyle w:val="ListParagraph"/>
        <w:numPr>
          <w:ilvl w:val="0"/>
          <w:numId w:val="43"/>
        </w:numPr>
        <w:tabs>
          <w:tab w:pos="1558" w:val="left" w:leader="none"/>
        </w:tabs>
        <w:spacing w:line="417" w:lineRule="auto" w:before="0" w:after="0"/>
        <w:ind w:left="1558" w:right="1313" w:hanging="720"/>
        <w:jc w:val="both"/>
        <w:rPr>
          <w:sz w:val="21"/>
        </w:rPr>
      </w:pPr>
      <w:r>
        <w:rPr>
          <w:spacing w:val="-8"/>
          <w:sz w:val="21"/>
        </w:rPr>
        <w:t>保守基金商业秘密，不得泄露基金投资计划、投资意向等。除《暂行办法》、《试</w:t>
      </w:r>
      <w:r>
        <w:rPr>
          <w:spacing w:val="-1"/>
          <w:sz w:val="21"/>
        </w:rPr>
        <w:t>点办法》和本基金合同另有规定外，在基金信息公开披露前应予保密，不得向他人泄露；</w:t>
      </w:r>
    </w:p>
    <w:p>
      <w:pPr>
        <w:pStyle w:val="ListParagraph"/>
        <w:numPr>
          <w:ilvl w:val="0"/>
          <w:numId w:val="43"/>
        </w:numPr>
        <w:tabs>
          <w:tab w:pos="1558" w:val="left" w:leader="none"/>
        </w:tabs>
        <w:spacing w:line="240" w:lineRule="auto" w:before="0" w:after="0"/>
        <w:ind w:left="1558" w:right="0" w:hanging="720"/>
        <w:jc w:val="both"/>
        <w:rPr>
          <w:sz w:val="21"/>
        </w:rPr>
      </w:pPr>
      <w:r>
        <w:rPr>
          <w:spacing w:val="-3"/>
          <w:sz w:val="21"/>
        </w:rPr>
        <w:t>依据本基金合同的规定向基金份额持有人分配基金收益；</w:t>
      </w:r>
    </w:p>
    <w:p>
      <w:pPr>
        <w:pStyle w:val="BodyText"/>
        <w:spacing w:before="5"/>
        <w:rPr>
          <w:sz w:val="15"/>
        </w:rPr>
      </w:pPr>
    </w:p>
    <w:p>
      <w:pPr>
        <w:pStyle w:val="ListParagraph"/>
        <w:numPr>
          <w:ilvl w:val="0"/>
          <w:numId w:val="43"/>
        </w:numPr>
        <w:tabs>
          <w:tab w:pos="1558" w:val="left" w:leader="none"/>
        </w:tabs>
        <w:spacing w:line="240" w:lineRule="auto" w:before="1" w:after="0"/>
        <w:ind w:left="1558" w:right="0" w:hanging="720"/>
        <w:jc w:val="left"/>
        <w:rPr>
          <w:sz w:val="21"/>
        </w:rPr>
      </w:pPr>
      <w:r>
        <w:rPr>
          <w:spacing w:val="-3"/>
          <w:sz w:val="21"/>
        </w:rPr>
        <w:t>不谋求对上市公司的控股和直接管理；</w:t>
      </w:r>
    </w:p>
    <w:p>
      <w:pPr>
        <w:pStyle w:val="BodyText"/>
        <w:spacing w:before="6"/>
        <w:rPr>
          <w:sz w:val="15"/>
        </w:rPr>
      </w:pPr>
    </w:p>
    <w:p>
      <w:pPr>
        <w:pStyle w:val="ListParagraph"/>
        <w:numPr>
          <w:ilvl w:val="0"/>
          <w:numId w:val="43"/>
        </w:numPr>
        <w:tabs>
          <w:tab w:pos="1558" w:val="left" w:leader="none"/>
        </w:tabs>
        <w:spacing w:line="417" w:lineRule="auto" w:before="0" w:after="0"/>
        <w:ind w:left="1558" w:right="1313" w:hanging="720"/>
        <w:jc w:val="left"/>
        <w:rPr>
          <w:sz w:val="21"/>
        </w:rPr>
      </w:pPr>
      <w:r>
        <w:rPr>
          <w:spacing w:val="-15"/>
          <w:sz w:val="21"/>
        </w:rPr>
        <w:t>依据《暂行办法》、《试点办法》和本基金合同及其他有关规定召集基金份额持有</w:t>
      </w:r>
      <w:r>
        <w:rPr>
          <w:spacing w:val="-1"/>
          <w:sz w:val="21"/>
        </w:rPr>
        <w:t>人大会；</w:t>
      </w:r>
    </w:p>
    <w:p>
      <w:pPr>
        <w:pStyle w:val="ListParagraph"/>
        <w:numPr>
          <w:ilvl w:val="0"/>
          <w:numId w:val="43"/>
        </w:numPr>
        <w:tabs>
          <w:tab w:pos="1558" w:val="left" w:leader="none"/>
        </w:tabs>
        <w:spacing w:line="269" w:lineRule="exact" w:before="0" w:after="0"/>
        <w:ind w:left="1558" w:right="0" w:hanging="720"/>
        <w:jc w:val="left"/>
        <w:rPr>
          <w:sz w:val="21"/>
        </w:rPr>
      </w:pPr>
      <w:r>
        <w:rPr>
          <w:spacing w:val="-5"/>
          <w:sz w:val="21"/>
        </w:rPr>
        <w:t>编制基金的财务会计报告；保存基金的会计账册、报表、记录 </w:t>
      </w:r>
      <w:r>
        <w:rPr>
          <w:rFonts w:ascii="Times New Roman" w:eastAsia="Times New Roman"/>
          <w:sz w:val="21"/>
        </w:rPr>
        <w:t>15</w:t>
      </w:r>
      <w:r>
        <w:rPr>
          <w:rFonts w:ascii="Times New Roman" w:eastAsia="Times New Roman"/>
          <w:spacing w:val="-3"/>
          <w:sz w:val="21"/>
        </w:rPr>
        <w:t> </w:t>
      </w:r>
      <w:r>
        <w:rPr>
          <w:spacing w:val="-2"/>
          <w:sz w:val="21"/>
        </w:rPr>
        <w:t>年以上；</w:t>
      </w:r>
    </w:p>
    <w:p>
      <w:pPr>
        <w:pStyle w:val="BodyText"/>
        <w:spacing w:before="7"/>
        <w:rPr>
          <w:sz w:val="15"/>
        </w:rPr>
      </w:pPr>
    </w:p>
    <w:p>
      <w:pPr>
        <w:pStyle w:val="ListParagraph"/>
        <w:numPr>
          <w:ilvl w:val="0"/>
          <w:numId w:val="43"/>
        </w:numPr>
        <w:tabs>
          <w:tab w:pos="1558" w:val="left" w:leader="none"/>
        </w:tabs>
        <w:spacing w:line="417" w:lineRule="auto" w:before="0" w:after="0"/>
        <w:ind w:left="1558" w:right="1309" w:hanging="720"/>
        <w:jc w:val="both"/>
        <w:rPr>
          <w:sz w:val="21"/>
        </w:rPr>
      </w:pPr>
      <w:r>
        <w:rPr>
          <w:spacing w:val="-1"/>
          <w:sz w:val="21"/>
        </w:rPr>
        <w:t>确保向基金投资者提供的各项文件或资料在规定时间发出；并且保证投资者能够按照招募说明书公告的时间和方式查阅与基金有关的公开资料，并得到有关资料的复印件；</w:t>
      </w:r>
    </w:p>
    <w:p>
      <w:pPr>
        <w:pStyle w:val="ListParagraph"/>
        <w:numPr>
          <w:ilvl w:val="0"/>
          <w:numId w:val="43"/>
        </w:numPr>
        <w:tabs>
          <w:tab w:pos="1558" w:val="left" w:leader="none"/>
        </w:tabs>
        <w:spacing w:line="240" w:lineRule="auto" w:before="0" w:after="0"/>
        <w:ind w:left="1558" w:right="0" w:hanging="720"/>
        <w:jc w:val="both"/>
        <w:rPr>
          <w:sz w:val="21"/>
        </w:rPr>
      </w:pPr>
      <w:r>
        <w:rPr>
          <w:spacing w:val="-3"/>
          <w:sz w:val="21"/>
        </w:rPr>
        <w:t>参加基金清算小组，参与基金财产的保管、清理、估价、变现和分配；</w:t>
      </w:r>
    </w:p>
    <w:p>
      <w:pPr>
        <w:pStyle w:val="BodyText"/>
        <w:spacing w:before="7"/>
        <w:rPr>
          <w:sz w:val="15"/>
        </w:rPr>
      </w:pPr>
    </w:p>
    <w:p>
      <w:pPr>
        <w:pStyle w:val="ListParagraph"/>
        <w:numPr>
          <w:ilvl w:val="0"/>
          <w:numId w:val="43"/>
        </w:numPr>
        <w:tabs>
          <w:tab w:pos="1558" w:val="left" w:leader="none"/>
        </w:tabs>
        <w:spacing w:line="417" w:lineRule="auto" w:before="0" w:after="0"/>
        <w:ind w:left="1558" w:right="1313" w:hanging="720"/>
        <w:jc w:val="both"/>
        <w:rPr>
          <w:sz w:val="21"/>
        </w:rPr>
      </w:pPr>
      <w:r>
        <w:rPr>
          <w:spacing w:val="-1"/>
          <w:sz w:val="21"/>
        </w:rPr>
        <w:t>面临解散、依法被撤消、破产或者由接管人接管其资产时，及时报告中国证监会</w:t>
      </w:r>
      <w:r>
        <w:rPr>
          <w:spacing w:val="-3"/>
          <w:sz w:val="21"/>
        </w:rPr>
        <w:t>并通知基金托管人；</w:t>
      </w:r>
    </w:p>
    <w:p>
      <w:pPr>
        <w:pStyle w:val="ListParagraph"/>
        <w:numPr>
          <w:ilvl w:val="0"/>
          <w:numId w:val="43"/>
        </w:numPr>
        <w:tabs>
          <w:tab w:pos="1558" w:val="left" w:leader="none"/>
        </w:tabs>
        <w:spacing w:line="269" w:lineRule="exact" w:before="0" w:after="0"/>
        <w:ind w:left="1558" w:right="0" w:hanging="720"/>
        <w:jc w:val="both"/>
        <w:rPr>
          <w:sz w:val="21"/>
        </w:rPr>
      </w:pPr>
      <w:r>
        <w:rPr>
          <w:spacing w:val="-3"/>
          <w:sz w:val="21"/>
        </w:rPr>
        <w:t>因过错导致基金财产的损失，应承担赔偿责任，其过错责任不因其退任而免除；</w:t>
      </w:r>
    </w:p>
    <w:p>
      <w:pPr>
        <w:pStyle w:val="BodyText"/>
        <w:spacing w:before="6"/>
        <w:rPr>
          <w:sz w:val="15"/>
        </w:rPr>
      </w:pPr>
    </w:p>
    <w:p>
      <w:pPr>
        <w:pStyle w:val="ListParagraph"/>
        <w:numPr>
          <w:ilvl w:val="0"/>
          <w:numId w:val="43"/>
        </w:numPr>
        <w:tabs>
          <w:tab w:pos="1558" w:val="left" w:leader="none"/>
        </w:tabs>
        <w:spacing w:line="417" w:lineRule="auto" w:before="1" w:after="0"/>
        <w:ind w:left="1558" w:right="1313" w:hanging="720"/>
        <w:jc w:val="both"/>
        <w:rPr>
          <w:sz w:val="21"/>
        </w:rPr>
      </w:pPr>
      <w:r>
        <w:rPr>
          <w:spacing w:val="-1"/>
          <w:sz w:val="21"/>
        </w:rPr>
        <w:t>因估值错误导致基金份额持有人的损失，应承担赔偿责任，其过错责任不因其退任而免除；</w:t>
      </w:r>
    </w:p>
    <w:p>
      <w:pPr>
        <w:pStyle w:val="ListParagraph"/>
        <w:numPr>
          <w:ilvl w:val="0"/>
          <w:numId w:val="43"/>
        </w:numPr>
        <w:tabs>
          <w:tab w:pos="1558" w:val="left" w:leader="none"/>
        </w:tabs>
        <w:spacing w:line="240" w:lineRule="auto" w:before="0" w:after="0"/>
        <w:ind w:left="1558" w:right="0" w:hanging="720"/>
        <w:jc w:val="both"/>
        <w:rPr>
          <w:sz w:val="21"/>
        </w:rPr>
      </w:pPr>
      <w:r>
        <w:rPr>
          <w:spacing w:val="-3"/>
          <w:sz w:val="21"/>
        </w:rPr>
        <w:t>基金托管人因过错造成基金财产损失时，应为基金向基金托管人追偿；</w:t>
      </w:r>
    </w:p>
    <w:p>
      <w:pPr>
        <w:spacing w:after="0" w:line="240" w:lineRule="auto"/>
        <w:jc w:val="both"/>
        <w:rPr>
          <w:sz w:val="21"/>
        </w:rPr>
        <w:sectPr>
          <w:pgSz w:w="11910" w:h="16840"/>
          <w:pgMar w:header="852" w:footer="992" w:top="1220" w:bottom="1180" w:left="1140" w:right="480"/>
        </w:sectPr>
      </w:pPr>
    </w:p>
    <w:p>
      <w:pPr>
        <w:pStyle w:val="BodyText"/>
        <w:spacing w:before="7"/>
        <w:rPr>
          <w:sz w:val="18"/>
        </w:rPr>
      </w:pPr>
    </w:p>
    <w:p>
      <w:pPr>
        <w:pStyle w:val="ListParagraph"/>
        <w:numPr>
          <w:ilvl w:val="0"/>
          <w:numId w:val="43"/>
        </w:numPr>
        <w:tabs>
          <w:tab w:pos="1558" w:val="left" w:leader="none"/>
        </w:tabs>
        <w:spacing w:line="240" w:lineRule="auto" w:before="78" w:after="0"/>
        <w:ind w:left="1558" w:right="0" w:hanging="720"/>
        <w:jc w:val="left"/>
        <w:rPr>
          <w:sz w:val="21"/>
        </w:rPr>
      </w:pPr>
      <w:r>
        <w:rPr>
          <w:spacing w:val="-3"/>
          <w:sz w:val="21"/>
        </w:rPr>
        <w:t>为基金聘请会计师和律师；</w:t>
      </w:r>
    </w:p>
    <w:p>
      <w:pPr>
        <w:pStyle w:val="BodyText"/>
        <w:spacing w:before="7"/>
        <w:rPr>
          <w:sz w:val="15"/>
        </w:rPr>
      </w:pPr>
    </w:p>
    <w:p>
      <w:pPr>
        <w:pStyle w:val="ListParagraph"/>
        <w:numPr>
          <w:ilvl w:val="0"/>
          <w:numId w:val="43"/>
        </w:numPr>
        <w:tabs>
          <w:tab w:pos="1558" w:val="left" w:leader="none"/>
        </w:tabs>
        <w:spacing w:line="240" w:lineRule="auto" w:before="0" w:after="0"/>
        <w:ind w:left="1558" w:right="0" w:hanging="720"/>
        <w:jc w:val="left"/>
        <w:rPr>
          <w:sz w:val="21"/>
        </w:rPr>
      </w:pPr>
      <w:r>
        <w:rPr>
          <w:spacing w:val="-3"/>
          <w:sz w:val="21"/>
        </w:rPr>
        <w:t>不从事任何有损基金及基金其他当事人利益的活动；</w:t>
      </w:r>
    </w:p>
    <w:p>
      <w:pPr>
        <w:pStyle w:val="BodyText"/>
        <w:spacing w:before="6"/>
        <w:rPr>
          <w:sz w:val="15"/>
        </w:rPr>
      </w:pPr>
    </w:p>
    <w:p>
      <w:pPr>
        <w:pStyle w:val="ListParagraph"/>
        <w:numPr>
          <w:ilvl w:val="0"/>
          <w:numId w:val="43"/>
        </w:numPr>
        <w:tabs>
          <w:tab w:pos="1558" w:val="left" w:leader="none"/>
        </w:tabs>
        <w:spacing w:line="240" w:lineRule="auto" w:before="1" w:after="0"/>
        <w:ind w:left="1558" w:right="0" w:hanging="720"/>
        <w:jc w:val="left"/>
        <w:rPr>
          <w:sz w:val="21"/>
        </w:rPr>
      </w:pPr>
      <w:r>
        <w:rPr>
          <w:spacing w:val="-3"/>
          <w:sz w:val="21"/>
        </w:rPr>
        <w:t>法律法规及基金合同规定的其他义务。</w:t>
      </w:r>
    </w:p>
    <w:p>
      <w:pPr>
        <w:pStyle w:val="BodyText"/>
        <w:spacing w:before="6"/>
        <w:rPr>
          <w:sz w:val="15"/>
        </w:rPr>
      </w:pPr>
    </w:p>
    <w:p>
      <w:pPr>
        <w:pStyle w:val="BodyText"/>
        <w:ind w:left="658"/>
      </w:pPr>
      <w:r>
        <w:rPr>
          <w:rFonts w:ascii="Times New Roman" w:eastAsia="Times New Roman"/>
        </w:rPr>
        <w:t>3</w:t>
      </w:r>
      <w:r>
        <w:rPr/>
        <w:t>、基金托管人的权利</w:t>
      </w:r>
    </w:p>
    <w:p>
      <w:pPr>
        <w:pStyle w:val="BodyText"/>
        <w:spacing w:before="7"/>
        <w:rPr>
          <w:sz w:val="15"/>
        </w:rPr>
      </w:pPr>
    </w:p>
    <w:p>
      <w:pPr>
        <w:pStyle w:val="ListParagraph"/>
        <w:numPr>
          <w:ilvl w:val="0"/>
          <w:numId w:val="44"/>
        </w:numPr>
        <w:tabs>
          <w:tab w:pos="1558" w:val="left" w:leader="none"/>
        </w:tabs>
        <w:spacing w:line="240" w:lineRule="auto" w:before="0" w:after="0"/>
        <w:ind w:left="1558" w:right="0" w:hanging="720"/>
        <w:jc w:val="left"/>
        <w:rPr>
          <w:sz w:val="21"/>
        </w:rPr>
      </w:pPr>
      <w:r>
        <w:rPr>
          <w:spacing w:val="-3"/>
          <w:sz w:val="21"/>
        </w:rPr>
        <w:t>依法持有并保管基金财产；</w:t>
      </w:r>
    </w:p>
    <w:p>
      <w:pPr>
        <w:pStyle w:val="BodyText"/>
        <w:spacing w:before="7"/>
        <w:rPr>
          <w:sz w:val="15"/>
        </w:rPr>
      </w:pPr>
    </w:p>
    <w:p>
      <w:pPr>
        <w:pStyle w:val="ListParagraph"/>
        <w:numPr>
          <w:ilvl w:val="0"/>
          <w:numId w:val="44"/>
        </w:numPr>
        <w:tabs>
          <w:tab w:pos="1558" w:val="left" w:leader="none"/>
        </w:tabs>
        <w:spacing w:line="240" w:lineRule="auto" w:before="0" w:after="0"/>
        <w:ind w:left="1558" w:right="0" w:hanging="720"/>
        <w:jc w:val="left"/>
        <w:rPr>
          <w:sz w:val="21"/>
        </w:rPr>
      </w:pPr>
      <w:r>
        <w:rPr>
          <w:spacing w:val="-3"/>
          <w:sz w:val="21"/>
        </w:rPr>
        <w:t>获取基金托管费；</w:t>
      </w:r>
    </w:p>
    <w:p>
      <w:pPr>
        <w:pStyle w:val="BodyText"/>
        <w:spacing w:before="6"/>
        <w:rPr>
          <w:sz w:val="15"/>
        </w:rPr>
      </w:pPr>
    </w:p>
    <w:p>
      <w:pPr>
        <w:pStyle w:val="ListParagraph"/>
        <w:numPr>
          <w:ilvl w:val="0"/>
          <w:numId w:val="44"/>
        </w:numPr>
        <w:tabs>
          <w:tab w:pos="1558" w:val="left" w:leader="none"/>
        </w:tabs>
        <w:spacing w:line="240" w:lineRule="auto" w:before="1" w:after="0"/>
        <w:ind w:left="1558" w:right="0" w:hanging="720"/>
        <w:jc w:val="left"/>
        <w:rPr>
          <w:sz w:val="21"/>
        </w:rPr>
      </w:pPr>
      <w:r>
        <w:rPr>
          <w:spacing w:val="-3"/>
          <w:sz w:val="21"/>
        </w:rPr>
        <w:t>监督基金的投资运作；</w:t>
      </w:r>
    </w:p>
    <w:p>
      <w:pPr>
        <w:pStyle w:val="BodyText"/>
        <w:spacing w:before="7"/>
        <w:rPr>
          <w:sz w:val="15"/>
        </w:rPr>
      </w:pPr>
    </w:p>
    <w:p>
      <w:pPr>
        <w:pStyle w:val="ListParagraph"/>
        <w:numPr>
          <w:ilvl w:val="0"/>
          <w:numId w:val="44"/>
        </w:numPr>
        <w:tabs>
          <w:tab w:pos="1558" w:val="left" w:leader="none"/>
        </w:tabs>
        <w:spacing w:line="417" w:lineRule="auto" w:before="0" w:after="0"/>
        <w:ind w:left="1558" w:right="1313" w:hanging="720"/>
        <w:jc w:val="left"/>
        <w:rPr>
          <w:sz w:val="21"/>
        </w:rPr>
      </w:pPr>
      <w:r>
        <w:rPr>
          <w:spacing w:val="-1"/>
          <w:sz w:val="21"/>
        </w:rPr>
        <w:t>监督基金管理人，如认为基金管理人违反基金合同或有关法律法规的规定，应呈</w:t>
      </w:r>
      <w:r>
        <w:rPr>
          <w:spacing w:val="-3"/>
          <w:sz w:val="21"/>
        </w:rPr>
        <w:t>报中国证监会和其他监管部门，并采取必要措施保护基金投资者的利益；</w:t>
      </w:r>
    </w:p>
    <w:p>
      <w:pPr>
        <w:pStyle w:val="ListParagraph"/>
        <w:numPr>
          <w:ilvl w:val="0"/>
          <w:numId w:val="44"/>
        </w:numPr>
        <w:tabs>
          <w:tab w:pos="1558" w:val="left" w:leader="none"/>
        </w:tabs>
        <w:spacing w:line="269" w:lineRule="exact" w:before="0" w:after="0"/>
        <w:ind w:left="1558" w:right="0" w:hanging="720"/>
        <w:jc w:val="left"/>
        <w:rPr>
          <w:sz w:val="21"/>
        </w:rPr>
      </w:pPr>
      <w:r>
        <w:rPr>
          <w:spacing w:val="-3"/>
          <w:sz w:val="21"/>
        </w:rPr>
        <w:t>在更换基金管理人时，提名新任基金管理人；</w:t>
      </w:r>
    </w:p>
    <w:p>
      <w:pPr>
        <w:pStyle w:val="BodyText"/>
        <w:spacing w:before="6"/>
        <w:rPr>
          <w:sz w:val="15"/>
        </w:rPr>
      </w:pPr>
    </w:p>
    <w:p>
      <w:pPr>
        <w:pStyle w:val="ListParagraph"/>
        <w:numPr>
          <w:ilvl w:val="0"/>
          <w:numId w:val="44"/>
        </w:numPr>
        <w:tabs>
          <w:tab w:pos="1558" w:val="left" w:leader="none"/>
        </w:tabs>
        <w:spacing w:line="240" w:lineRule="auto" w:before="1" w:after="0"/>
        <w:ind w:left="1558" w:right="0" w:hanging="720"/>
        <w:jc w:val="left"/>
        <w:rPr>
          <w:sz w:val="21"/>
        </w:rPr>
      </w:pPr>
      <w:r>
        <w:rPr>
          <w:spacing w:val="-3"/>
          <w:sz w:val="21"/>
        </w:rPr>
        <w:t>法律法规及基金合同规定的其他权利。</w:t>
      </w:r>
    </w:p>
    <w:p>
      <w:pPr>
        <w:pStyle w:val="BodyText"/>
        <w:spacing w:before="6"/>
        <w:rPr>
          <w:sz w:val="15"/>
        </w:rPr>
      </w:pPr>
    </w:p>
    <w:p>
      <w:pPr>
        <w:pStyle w:val="BodyText"/>
        <w:ind w:left="658"/>
      </w:pPr>
      <w:r>
        <w:rPr>
          <w:rFonts w:ascii="Times New Roman" w:eastAsia="Times New Roman"/>
        </w:rPr>
        <w:t>4</w:t>
      </w:r>
      <w:r>
        <w:rPr/>
        <w:t>、基金托管人的义务</w:t>
      </w:r>
    </w:p>
    <w:p>
      <w:pPr>
        <w:pStyle w:val="BodyText"/>
        <w:spacing w:before="7"/>
        <w:rPr>
          <w:sz w:val="15"/>
        </w:rPr>
      </w:pPr>
    </w:p>
    <w:p>
      <w:pPr>
        <w:pStyle w:val="ListParagraph"/>
        <w:numPr>
          <w:ilvl w:val="0"/>
          <w:numId w:val="45"/>
        </w:numPr>
        <w:tabs>
          <w:tab w:pos="1558" w:val="left" w:leader="none"/>
        </w:tabs>
        <w:spacing w:line="240" w:lineRule="auto" w:before="0" w:after="0"/>
        <w:ind w:left="1558" w:right="0" w:hanging="720"/>
        <w:jc w:val="left"/>
        <w:rPr>
          <w:sz w:val="21"/>
        </w:rPr>
      </w:pPr>
      <w:r>
        <w:rPr>
          <w:spacing w:val="-2"/>
          <w:sz w:val="21"/>
        </w:rPr>
        <w:t>遵守基金合同；</w:t>
      </w:r>
    </w:p>
    <w:p>
      <w:pPr>
        <w:pStyle w:val="BodyText"/>
        <w:spacing w:before="7"/>
        <w:rPr>
          <w:sz w:val="15"/>
        </w:rPr>
      </w:pPr>
    </w:p>
    <w:p>
      <w:pPr>
        <w:pStyle w:val="ListParagraph"/>
        <w:numPr>
          <w:ilvl w:val="0"/>
          <w:numId w:val="45"/>
        </w:numPr>
        <w:tabs>
          <w:tab w:pos="1558" w:val="left" w:leader="none"/>
        </w:tabs>
        <w:spacing w:line="240" w:lineRule="auto" w:before="0" w:after="0"/>
        <w:ind w:left="1558" w:right="0" w:hanging="720"/>
        <w:jc w:val="both"/>
        <w:rPr>
          <w:sz w:val="21"/>
        </w:rPr>
      </w:pPr>
      <w:r>
        <w:rPr>
          <w:spacing w:val="-3"/>
          <w:sz w:val="21"/>
        </w:rPr>
        <w:t>以诚实信用、勤勉尽责的原则安全保管基金财产；</w:t>
      </w:r>
    </w:p>
    <w:p>
      <w:pPr>
        <w:pStyle w:val="BodyText"/>
        <w:spacing w:before="7"/>
        <w:rPr>
          <w:sz w:val="15"/>
        </w:rPr>
      </w:pPr>
    </w:p>
    <w:p>
      <w:pPr>
        <w:pStyle w:val="ListParagraph"/>
        <w:numPr>
          <w:ilvl w:val="0"/>
          <w:numId w:val="45"/>
        </w:numPr>
        <w:tabs>
          <w:tab w:pos="1558" w:val="left" w:leader="none"/>
        </w:tabs>
        <w:spacing w:line="417" w:lineRule="auto" w:before="0" w:after="0"/>
        <w:ind w:left="1558" w:right="1313" w:hanging="720"/>
        <w:jc w:val="both"/>
        <w:rPr>
          <w:sz w:val="21"/>
        </w:rPr>
      </w:pPr>
      <w:r>
        <w:rPr>
          <w:spacing w:val="-1"/>
          <w:sz w:val="21"/>
        </w:rPr>
        <w:t>设有专门的基金托管部，具有符合要求的营业场所，配备足够的、合格的熟悉基</w:t>
      </w:r>
      <w:r>
        <w:rPr>
          <w:spacing w:val="-3"/>
          <w:sz w:val="21"/>
        </w:rPr>
        <w:t>金托管业务的专职人员，负责基金财产托管事宜；</w:t>
      </w:r>
    </w:p>
    <w:p>
      <w:pPr>
        <w:pStyle w:val="ListParagraph"/>
        <w:numPr>
          <w:ilvl w:val="0"/>
          <w:numId w:val="45"/>
        </w:numPr>
        <w:tabs>
          <w:tab w:pos="1558" w:val="left" w:leader="none"/>
        </w:tabs>
        <w:spacing w:line="417" w:lineRule="auto" w:before="0" w:after="0"/>
        <w:ind w:left="1558" w:right="1309" w:hanging="720"/>
        <w:jc w:val="both"/>
        <w:rPr>
          <w:sz w:val="21"/>
        </w:rPr>
      </w:pPr>
      <w:r>
        <w:rPr>
          <w:spacing w:val="-22"/>
          <w:sz w:val="21"/>
        </w:rPr>
        <w:t>除依据《暂行办法》、《试点办法》、基金合同及其他有关规定外，不得委托其他人</w:t>
      </w:r>
      <w:r>
        <w:rPr>
          <w:spacing w:val="-9"/>
          <w:sz w:val="21"/>
        </w:rPr>
        <w:t>托管基金财产；</w:t>
      </w:r>
    </w:p>
    <w:p>
      <w:pPr>
        <w:pStyle w:val="ListParagraph"/>
        <w:numPr>
          <w:ilvl w:val="0"/>
          <w:numId w:val="45"/>
        </w:numPr>
        <w:tabs>
          <w:tab w:pos="1558" w:val="left" w:leader="none"/>
        </w:tabs>
        <w:spacing w:line="417" w:lineRule="auto" w:before="0" w:after="0"/>
        <w:ind w:left="1558" w:right="1309" w:hanging="720"/>
        <w:jc w:val="both"/>
        <w:rPr>
          <w:sz w:val="21"/>
        </w:rPr>
      </w:pPr>
      <w:r>
        <w:rPr>
          <w:spacing w:val="-1"/>
          <w:sz w:val="21"/>
        </w:rPr>
        <w:t>复核、审查基金管理人计算的基金资产净值、基金份额净值、基金份额申购、赎回价格；</w:t>
      </w:r>
    </w:p>
    <w:p>
      <w:pPr>
        <w:pStyle w:val="ListParagraph"/>
        <w:numPr>
          <w:ilvl w:val="0"/>
          <w:numId w:val="45"/>
        </w:numPr>
        <w:tabs>
          <w:tab w:pos="1558" w:val="left" w:leader="none"/>
        </w:tabs>
        <w:spacing w:line="417" w:lineRule="auto" w:before="0" w:after="0"/>
        <w:ind w:left="1558" w:right="1313" w:hanging="720"/>
        <w:jc w:val="both"/>
        <w:rPr>
          <w:sz w:val="21"/>
        </w:rPr>
      </w:pPr>
      <w:r>
        <w:rPr>
          <w:spacing w:val="-1"/>
          <w:sz w:val="21"/>
        </w:rPr>
        <w:t>建立健全内部风险控制、监察与稽核、财务管理及人事管理等制度，确保基金财产的安全，保证其托管的基金财产与基金托管人自有资产以及不同的基金财产相互独立；对不同的基金分别设置账户，独立核算，分账管理，保证不同基金之间</w:t>
      </w:r>
      <w:r>
        <w:rPr>
          <w:spacing w:val="-3"/>
          <w:sz w:val="21"/>
        </w:rPr>
        <w:t>在账户设置、资金划拨、账册记录等方面相互独立；</w:t>
      </w:r>
    </w:p>
    <w:p>
      <w:pPr>
        <w:pStyle w:val="ListParagraph"/>
        <w:numPr>
          <w:ilvl w:val="0"/>
          <w:numId w:val="45"/>
        </w:numPr>
        <w:tabs>
          <w:tab w:pos="1558" w:val="left" w:leader="none"/>
        </w:tabs>
        <w:spacing w:line="240" w:lineRule="auto" w:before="0" w:after="0"/>
        <w:ind w:left="1558" w:right="0" w:hanging="720"/>
        <w:jc w:val="both"/>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45"/>
        </w:numPr>
        <w:tabs>
          <w:tab w:pos="1558" w:val="left" w:leader="none"/>
        </w:tabs>
        <w:spacing w:line="417" w:lineRule="auto" w:before="0" w:after="0"/>
        <w:ind w:left="1558" w:right="1311" w:hanging="720"/>
        <w:jc w:val="left"/>
        <w:rPr>
          <w:sz w:val="21"/>
        </w:rPr>
      </w:pPr>
      <w:r>
        <w:rPr>
          <w:spacing w:val="-14"/>
          <w:sz w:val="21"/>
        </w:rPr>
        <w:t>设立证券账户、银行存款账户等基金财产账户，负责基金投资于证券的清算交割， </w:t>
      </w:r>
      <w:r>
        <w:rPr>
          <w:spacing w:val="-7"/>
          <w:sz w:val="21"/>
        </w:rPr>
        <w:t>执行基金管理人的投资指令，负责基金名下的资金往来；</w:t>
      </w:r>
    </w:p>
    <w:p>
      <w:pPr>
        <w:pStyle w:val="ListParagraph"/>
        <w:numPr>
          <w:ilvl w:val="0"/>
          <w:numId w:val="45"/>
        </w:numPr>
        <w:tabs>
          <w:tab w:pos="1558" w:val="left" w:leader="none"/>
        </w:tabs>
        <w:spacing w:line="417" w:lineRule="auto" w:before="0" w:after="0"/>
        <w:ind w:left="1558" w:right="1309" w:hanging="720"/>
        <w:jc w:val="left"/>
        <w:rPr>
          <w:sz w:val="21"/>
        </w:rPr>
      </w:pPr>
      <w:r>
        <w:rPr>
          <w:spacing w:val="-22"/>
          <w:sz w:val="21"/>
        </w:rPr>
        <w:t>保守基金商业秘密，除《暂行办法》、《试点办法》、基金合同及其他有关规定另有</w:t>
      </w:r>
      <w:r>
        <w:rPr>
          <w:spacing w:val="-8"/>
          <w:sz w:val="21"/>
        </w:rPr>
        <w:t>规定外，在基金信息公开披露前予以保密，不得向他人泄露；</w:t>
      </w:r>
    </w:p>
    <w:p>
      <w:pPr>
        <w:pStyle w:val="ListParagraph"/>
        <w:numPr>
          <w:ilvl w:val="0"/>
          <w:numId w:val="45"/>
        </w:numPr>
        <w:tabs>
          <w:tab w:pos="1558" w:val="left" w:leader="none"/>
        </w:tabs>
        <w:spacing w:line="240" w:lineRule="auto" w:before="0" w:after="0"/>
        <w:ind w:left="1558" w:right="0" w:hanging="720"/>
        <w:jc w:val="left"/>
        <w:rPr>
          <w:sz w:val="21"/>
        </w:rPr>
      </w:pPr>
      <w:r>
        <w:rPr>
          <w:spacing w:val="-3"/>
          <w:sz w:val="21"/>
        </w:rPr>
        <w:t>按规定出具基金业绩和基金托管情况的报告，并报中国证监会和中国银监会；</w:t>
      </w:r>
    </w:p>
    <w:p>
      <w:pPr>
        <w:spacing w:after="0" w:line="240" w:lineRule="auto"/>
        <w:jc w:val="left"/>
        <w:rPr>
          <w:sz w:val="21"/>
        </w:rPr>
        <w:sectPr>
          <w:pgSz w:w="11910" w:h="16840"/>
          <w:pgMar w:header="852" w:footer="992" w:top="1220" w:bottom="1180" w:left="1140" w:right="480"/>
        </w:sectPr>
      </w:pPr>
    </w:p>
    <w:p>
      <w:pPr>
        <w:pStyle w:val="BodyText"/>
        <w:spacing w:before="1"/>
        <w:rPr>
          <w:sz w:val="19"/>
        </w:rPr>
      </w:pPr>
    </w:p>
    <w:p>
      <w:pPr>
        <w:pStyle w:val="ListParagraph"/>
        <w:numPr>
          <w:ilvl w:val="0"/>
          <w:numId w:val="45"/>
        </w:numPr>
        <w:tabs>
          <w:tab w:pos="1558" w:val="left" w:leader="none"/>
        </w:tabs>
        <w:spacing w:line="417" w:lineRule="auto" w:before="71" w:after="0"/>
        <w:ind w:left="1558" w:right="1310" w:hanging="720"/>
        <w:jc w:val="left"/>
        <w:rPr>
          <w:sz w:val="21"/>
        </w:rPr>
      </w:pPr>
      <w:r>
        <w:rPr>
          <w:spacing w:val="-1"/>
          <w:sz w:val="21"/>
        </w:rPr>
        <w:t>采取适当、合理的措施，使基金份额的认购、申购、赎回、转换等事项符合基金</w:t>
      </w:r>
      <w:r>
        <w:rPr>
          <w:spacing w:val="-3"/>
          <w:sz w:val="21"/>
        </w:rPr>
        <w:t>合同等有关法律文件的规定；</w:t>
      </w:r>
    </w:p>
    <w:p>
      <w:pPr>
        <w:pStyle w:val="ListParagraph"/>
        <w:numPr>
          <w:ilvl w:val="0"/>
          <w:numId w:val="45"/>
        </w:numPr>
        <w:tabs>
          <w:tab w:pos="1558" w:val="left" w:leader="none"/>
        </w:tabs>
        <w:spacing w:line="417" w:lineRule="auto" w:before="0" w:after="0"/>
        <w:ind w:left="1558" w:right="1313" w:hanging="720"/>
        <w:jc w:val="left"/>
        <w:rPr>
          <w:sz w:val="21"/>
        </w:rPr>
      </w:pPr>
      <w:r>
        <w:rPr>
          <w:spacing w:val="-1"/>
          <w:sz w:val="21"/>
        </w:rPr>
        <w:t>采取适当、合理的措施，使基金管理人用以计算基金份额认购、申购、赎回、转</w:t>
      </w:r>
      <w:r>
        <w:rPr>
          <w:spacing w:val="-3"/>
          <w:sz w:val="21"/>
        </w:rPr>
        <w:t>换和注销价格的方法符合基金合同等法律文件的规定；</w:t>
      </w:r>
    </w:p>
    <w:p>
      <w:pPr>
        <w:pStyle w:val="ListParagraph"/>
        <w:numPr>
          <w:ilvl w:val="0"/>
          <w:numId w:val="45"/>
        </w:numPr>
        <w:tabs>
          <w:tab w:pos="1558" w:val="left" w:leader="none"/>
        </w:tabs>
        <w:spacing w:line="269" w:lineRule="exact" w:before="0" w:after="0"/>
        <w:ind w:left="1558" w:right="0" w:hanging="720"/>
        <w:jc w:val="left"/>
        <w:rPr>
          <w:sz w:val="21"/>
        </w:rPr>
      </w:pPr>
      <w:r>
        <w:rPr>
          <w:spacing w:val="-3"/>
          <w:sz w:val="21"/>
        </w:rPr>
        <w:t>采取适当、合理的措施，使基金投资和融资符合基金合同等法律文件的规定；</w:t>
      </w:r>
    </w:p>
    <w:p>
      <w:pPr>
        <w:pStyle w:val="BodyText"/>
        <w:spacing w:before="6"/>
        <w:rPr>
          <w:sz w:val="15"/>
        </w:rPr>
      </w:pPr>
    </w:p>
    <w:p>
      <w:pPr>
        <w:pStyle w:val="ListParagraph"/>
        <w:numPr>
          <w:ilvl w:val="0"/>
          <w:numId w:val="45"/>
        </w:numPr>
        <w:tabs>
          <w:tab w:pos="1558" w:val="left" w:leader="none"/>
        </w:tabs>
        <w:spacing w:line="417" w:lineRule="auto" w:before="1" w:after="0"/>
        <w:ind w:left="1558" w:right="1309" w:hanging="720"/>
        <w:jc w:val="both"/>
        <w:rPr>
          <w:sz w:val="21"/>
        </w:rPr>
      </w:pPr>
      <w:r>
        <w:rPr>
          <w:spacing w:val="-1"/>
          <w:sz w:val="21"/>
        </w:rPr>
        <w:t>对基金财务会计报告、季度报告、中期报告和年度报告出具意见，说明基金管理人在各重要方面的运作是否严格按照基金合同的规定进行；如果基金管理人有未</w:t>
      </w:r>
      <w:r>
        <w:rPr>
          <w:spacing w:val="-3"/>
          <w:sz w:val="21"/>
        </w:rPr>
        <w:t>执行基金合同规定的行为，还应当说明基金托管人是否采取了适当的措施；</w:t>
      </w:r>
    </w:p>
    <w:p>
      <w:pPr>
        <w:pStyle w:val="ListParagraph"/>
        <w:numPr>
          <w:ilvl w:val="0"/>
          <w:numId w:val="45"/>
        </w:numPr>
        <w:tabs>
          <w:tab w:pos="1558" w:val="left" w:leader="none"/>
        </w:tabs>
        <w:spacing w:line="240" w:lineRule="auto" w:before="0" w:after="0"/>
        <w:ind w:left="1558" w:right="0" w:hanging="720"/>
        <w:jc w:val="both"/>
        <w:rPr>
          <w:sz w:val="21"/>
        </w:rPr>
      </w:pPr>
      <w:r>
        <w:rPr>
          <w:spacing w:val="-6"/>
          <w:sz w:val="21"/>
        </w:rPr>
        <w:t>按有关规定，保存基金的会计账册、报表和记录等 </w:t>
      </w:r>
      <w:r>
        <w:rPr>
          <w:rFonts w:ascii="Times New Roman" w:eastAsia="Times New Roman"/>
          <w:sz w:val="21"/>
        </w:rPr>
        <w:t>15</w:t>
      </w:r>
      <w:r>
        <w:rPr>
          <w:rFonts w:ascii="Times New Roman" w:eastAsia="Times New Roman"/>
          <w:spacing w:val="1"/>
          <w:sz w:val="21"/>
        </w:rPr>
        <w:t> </w:t>
      </w:r>
      <w:r>
        <w:rPr>
          <w:spacing w:val="-3"/>
          <w:sz w:val="21"/>
        </w:rPr>
        <w:t>年以上；</w:t>
      </w:r>
    </w:p>
    <w:p>
      <w:pPr>
        <w:pStyle w:val="BodyText"/>
        <w:spacing w:before="6"/>
        <w:rPr>
          <w:sz w:val="15"/>
        </w:rPr>
      </w:pPr>
    </w:p>
    <w:p>
      <w:pPr>
        <w:pStyle w:val="ListParagraph"/>
        <w:numPr>
          <w:ilvl w:val="0"/>
          <w:numId w:val="45"/>
        </w:numPr>
        <w:tabs>
          <w:tab w:pos="1558" w:val="left" w:leader="none"/>
        </w:tabs>
        <w:spacing w:line="240" w:lineRule="auto" w:before="1" w:after="0"/>
        <w:ind w:left="1558" w:right="0" w:hanging="720"/>
        <w:jc w:val="both"/>
        <w:rPr>
          <w:sz w:val="21"/>
        </w:rPr>
      </w:pPr>
      <w:r>
        <w:rPr>
          <w:spacing w:val="-3"/>
          <w:sz w:val="21"/>
        </w:rPr>
        <w:t>按规定制作相关账册并与基金管理人核对；</w:t>
      </w:r>
    </w:p>
    <w:p>
      <w:pPr>
        <w:pStyle w:val="BodyText"/>
        <w:spacing w:before="6"/>
        <w:rPr>
          <w:sz w:val="15"/>
        </w:rPr>
      </w:pPr>
    </w:p>
    <w:p>
      <w:pPr>
        <w:pStyle w:val="ListParagraph"/>
        <w:numPr>
          <w:ilvl w:val="0"/>
          <w:numId w:val="45"/>
        </w:numPr>
        <w:tabs>
          <w:tab w:pos="1558" w:val="left" w:leader="none"/>
        </w:tabs>
        <w:spacing w:line="240" w:lineRule="auto" w:before="0" w:after="0"/>
        <w:ind w:left="1558" w:right="0" w:hanging="720"/>
        <w:jc w:val="left"/>
        <w:rPr>
          <w:sz w:val="21"/>
        </w:rPr>
      </w:pPr>
      <w:r>
        <w:rPr>
          <w:spacing w:val="-3"/>
          <w:sz w:val="21"/>
        </w:rPr>
        <w:t>依据基金管理人的指令或有关规定支付基金份额持有人的收益、赎回等款项；</w:t>
      </w:r>
    </w:p>
    <w:p>
      <w:pPr>
        <w:pStyle w:val="BodyText"/>
        <w:spacing w:before="7"/>
        <w:rPr>
          <w:sz w:val="15"/>
        </w:rPr>
      </w:pPr>
    </w:p>
    <w:p>
      <w:pPr>
        <w:pStyle w:val="ListParagraph"/>
        <w:numPr>
          <w:ilvl w:val="0"/>
          <w:numId w:val="45"/>
        </w:numPr>
        <w:tabs>
          <w:tab w:pos="1558" w:val="left" w:leader="none"/>
        </w:tabs>
        <w:spacing w:line="240" w:lineRule="auto" w:before="0" w:after="0"/>
        <w:ind w:left="1558" w:right="0" w:hanging="720"/>
        <w:jc w:val="left"/>
        <w:rPr>
          <w:sz w:val="21"/>
        </w:rPr>
      </w:pPr>
      <w:r>
        <w:rPr>
          <w:spacing w:val="-3"/>
          <w:sz w:val="21"/>
        </w:rPr>
        <w:t>参加基金清算小组，参与基金财产的保管、清理、估价、变现和分配；</w:t>
      </w:r>
    </w:p>
    <w:p>
      <w:pPr>
        <w:pStyle w:val="BodyText"/>
        <w:spacing w:before="7"/>
        <w:rPr>
          <w:sz w:val="15"/>
        </w:rPr>
      </w:pPr>
    </w:p>
    <w:p>
      <w:pPr>
        <w:pStyle w:val="ListParagraph"/>
        <w:numPr>
          <w:ilvl w:val="0"/>
          <w:numId w:val="45"/>
        </w:numPr>
        <w:tabs>
          <w:tab w:pos="1558" w:val="left" w:leader="none"/>
        </w:tabs>
        <w:spacing w:line="417" w:lineRule="auto" w:before="0" w:after="0"/>
        <w:ind w:left="1558" w:right="1313" w:hanging="720"/>
        <w:jc w:val="left"/>
        <w:rPr>
          <w:sz w:val="21"/>
        </w:rPr>
      </w:pPr>
      <w:r>
        <w:rPr>
          <w:spacing w:val="-1"/>
          <w:sz w:val="21"/>
        </w:rPr>
        <w:t>面临解散、依法被撤销、破产或者由接管人接管其资产时，及时报告中国证监会</w:t>
      </w:r>
      <w:r>
        <w:rPr>
          <w:spacing w:val="-3"/>
          <w:sz w:val="21"/>
        </w:rPr>
        <w:t>和中国银监会，并通知基金管理人；</w:t>
      </w:r>
    </w:p>
    <w:p>
      <w:pPr>
        <w:pStyle w:val="ListParagraph"/>
        <w:numPr>
          <w:ilvl w:val="0"/>
          <w:numId w:val="45"/>
        </w:numPr>
        <w:tabs>
          <w:tab w:pos="1558" w:val="left" w:leader="none"/>
        </w:tabs>
        <w:spacing w:line="240" w:lineRule="auto" w:before="0" w:after="0"/>
        <w:ind w:left="1558" w:right="0" w:hanging="720"/>
        <w:jc w:val="left"/>
        <w:rPr>
          <w:sz w:val="21"/>
        </w:rPr>
      </w:pPr>
      <w:r>
        <w:rPr>
          <w:spacing w:val="-3"/>
          <w:sz w:val="21"/>
        </w:rPr>
        <w:t>因过错导致基金财产的损失，承担赔偿责任，其过错责任不因其退任而免除；</w:t>
      </w:r>
    </w:p>
    <w:p>
      <w:pPr>
        <w:pStyle w:val="BodyText"/>
        <w:spacing w:before="6"/>
        <w:rPr>
          <w:sz w:val="15"/>
        </w:rPr>
      </w:pPr>
    </w:p>
    <w:p>
      <w:pPr>
        <w:pStyle w:val="ListParagraph"/>
        <w:numPr>
          <w:ilvl w:val="0"/>
          <w:numId w:val="45"/>
        </w:numPr>
        <w:tabs>
          <w:tab w:pos="1558" w:val="left" w:leader="none"/>
        </w:tabs>
        <w:spacing w:line="240" w:lineRule="auto" w:before="1" w:after="0"/>
        <w:ind w:left="1558" w:right="0" w:hanging="720"/>
        <w:jc w:val="left"/>
        <w:rPr>
          <w:sz w:val="21"/>
        </w:rPr>
      </w:pPr>
      <w:r>
        <w:rPr>
          <w:spacing w:val="-3"/>
          <w:sz w:val="21"/>
        </w:rPr>
        <w:t>基金管理人因过错造成基金财产损失时，应为基金向基金管理人追偿；</w:t>
      </w:r>
    </w:p>
    <w:p>
      <w:pPr>
        <w:pStyle w:val="BodyText"/>
        <w:spacing w:before="6"/>
        <w:rPr>
          <w:sz w:val="15"/>
        </w:rPr>
      </w:pPr>
    </w:p>
    <w:p>
      <w:pPr>
        <w:pStyle w:val="ListParagraph"/>
        <w:numPr>
          <w:ilvl w:val="0"/>
          <w:numId w:val="45"/>
        </w:numPr>
        <w:tabs>
          <w:tab w:pos="1558" w:val="left" w:leader="none"/>
        </w:tabs>
        <w:spacing w:line="240" w:lineRule="auto" w:before="0" w:after="0"/>
        <w:ind w:left="1558" w:right="0" w:hanging="720"/>
        <w:jc w:val="left"/>
        <w:rPr>
          <w:sz w:val="21"/>
        </w:rPr>
      </w:pPr>
      <w:r>
        <w:rPr>
          <w:spacing w:val="-3"/>
          <w:sz w:val="21"/>
        </w:rPr>
        <w:t>不从事任何有损基金及基金其他当事人利益的活动；</w:t>
      </w:r>
    </w:p>
    <w:p>
      <w:pPr>
        <w:pStyle w:val="BodyText"/>
        <w:spacing w:before="7"/>
        <w:rPr>
          <w:sz w:val="15"/>
        </w:rPr>
      </w:pPr>
    </w:p>
    <w:p>
      <w:pPr>
        <w:pStyle w:val="ListParagraph"/>
        <w:numPr>
          <w:ilvl w:val="0"/>
          <w:numId w:val="45"/>
        </w:numPr>
        <w:tabs>
          <w:tab w:pos="1558" w:val="left" w:leader="none"/>
        </w:tabs>
        <w:spacing w:line="240" w:lineRule="auto" w:before="0" w:after="0"/>
        <w:ind w:left="1558" w:right="0" w:hanging="720"/>
        <w:jc w:val="left"/>
        <w:rPr>
          <w:sz w:val="21"/>
        </w:rPr>
      </w:pPr>
      <w:r>
        <w:rPr>
          <w:spacing w:val="-3"/>
          <w:sz w:val="21"/>
        </w:rPr>
        <w:t>法律法规及基金合同规定的其他义务。</w:t>
      </w:r>
    </w:p>
    <w:p>
      <w:pPr>
        <w:pStyle w:val="BodyText"/>
        <w:spacing w:before="7"/>
        <w:rPr>
          <w:sz w:val="15"/>
        </w:rPr>
      </w:pPr>
    </w:p>
    <w:p>
      <w:pPr>
        <w:pStyle w:val="BodyText"/>
        <w:ind w:right="7209"/>
        <w:jc w:val="right"/>
      </w:pPr>
      <w:r>
        <w:rPr>
          <w:rFonts w:ascii="Times New Roman" w:eastAsia="Times New Roman"/>
        </w:rPr>
        <w:t>5</w:t>
      </w:r>
      <w:r>
        <w:rPr/>
        <w:t>、基金份额持有人的权利</w:t>
      </w:r>
    </w:p>
    <w:p>
      <w:pPr>
        <w:pStyle w:val="BodyText"/>
        <w:spacing w:before="6"/>
        <w:rPr>
          <w:sz w:val="15"/>
        </w:rPr>
      </w:pPr>
    </w:p>
    <w:p>
      <w:pPr>
        <w:pStyle w:val="ListParagraph"/>
        <w:numPr>
          <w:ilvl w:val="0"/>
          <w:numId w:val="46"/>
        </w:numPr>
        <w:tabs>
          <w:tab w:pos="1558" w:val="left" w:leader="none"/>
        </w:tabs>
        <w:spacing w:line="240" w:lineRule="auto" w:before="1" w:after="0"/>
        <w:ind w:left="1558" w:right="0" w:hanging="720"/>
        <w:jc w:val="left"/>
        <w:rPr>
          <w:sz w:val="21"/>
        </w:rPr>
      </w:pPr>
      <w:r>
        <w:rPr>
          <w:spacing w:val="-3"/>
          <w:sz w:val="21"/>
        </w:rPr>
        <w:t>出席或者委派代表出席基金份额持有人大会，并行使表决权；</w:t>
      </w:r>
    </w:p>
    <w:p>
      <w:pPr>
        <w:pStyle w:val="BodyText"/>
        <w:spacing w:before="6"/>
        <w:rPr>
          <w:sz w:val="15"/>
        </w:rPr>
      </w:pPr>
    </w:p>
    <w:p>
      <w:pPr>
        <w:pStyle w:val="ListParagraph"/>
        <w:numPr>
          <w:ilvl w:val="0"/>
          <w:numId w:val="46"/>
        </w:numPr>
        <w:tabs>
          <w:tab w:pos="1558" w:val="left" w:leader="none"/>
        </w:tabs>
        <w:spacing w:line="240" w:lineRule="auto" w:before="0" w:after="0"/>
        <w:ind w:left="1558" w:right="7252" w:hanging="1558"/>
        <w:jc w:val="right"/>
        <w:rPr>
          <w:sz w:val="21"/>
        </w:rPr>
      </w:pPr>
      <w:r>
        <w:rPr>
          <w:spacing w:val="-2"/>
          <w:sz w:val="21"/>
        </w:rPr>
        <w:t>取得基金收益；</w:t>
      </w:r>
    </w:p>
    <w:p>
      <w:pPr>
        <w:pStyle w:val="BodyText"/>
        <w:spacing w:before="7"/>
        <w:rPr>
          <w:sz w:val="15"/>
        </w:rPr>
      </w:pPr>
    </w:p>
    <w:p>
      <w:pPr>
        <w:pStyle w:val="ListParagraph"/>
        <w:numPr>
          <w:ilvl w:val="0"/>
          <w:numId w:val="46"/>
        </w:numPr>
        <w:tabs>
          <w:tab w:pos="1558" w:val="left" w:leader="none"/>
        </w:tabs>
        <w:spacing w:line="240" w:lineRule="auto" w:before="1" w:after="0"/>
        <w:ind w:left="1558" w:right="0" w:hanging="720"/>
        <w:jc w:val="left"/>
        <w:rPr>
          <w:sz w:val="21"/>
        </w:rPr>
      </w:pPr>
      <w:r>
        <w:rPr>
          <w:spacing w:val="-3"/>
          <w:sz w:val="21"/>
        </w:rPr>
        <w:t>监督基金运作情况；</w:t>
      </w:r>
    </w:p>
    <w:p>
      <w:pPr>
        <w:pStyle w:val="BodyText"/>
        <w:spacing w:before="6"/>
        <w:rPr>
          <w:sz w:val="15"/>
        </w:rPr>
      </w:pPr>
    </w:p>
    <w:p>
      <w:pPr>
        <w:pStyle w:val="ListParagraph"/>
        <w:numPr>
          <w:ilvl w:val="0"/>
          <w:numId w:val="46"/>
        </w:numPr>
        <w:tabs>
          <w:tab w:pos="1558" w:val="left" w:leader="none"/>
        </w:tabs>
        <w:spacing w:line="240" w:lineRule="auto" w:before="0" w:after="0"/>
        <w:ind w:left="1558" w:right="0" w:hanging="720"/>
        <w:jc w:val="left"/>
        <w:rPr>
          <w:sz w:val="21"/>
        </w:rPr>
      </w:pPr>
      <w:r>
        <w:rPr>
          <w:spacing w:val="-3"/>
          <w:sz w:val="21"/>
        </w:rPr>
        <w:t>知悉基金合同规定的有关信息披露内容；</w:t>
      </w:r>
    </w:p>
    <w:p>
      <w:pPr>
        <w:pStyle w:val="BodyText"/>
        <w:spacing w:before="7"/>
        <w:rPr>
          <w:sz w:val="15"/>
        </w:rPr>
      </w:pPr>
    </w:p>
    <w:p>
      <w:pPr>
        <w:pStyle w:val="ListParagraph"/>
        <w:numPr>
          <w:ilvl w:val="0"/>
          <w:numId w:val="46"/>
        </w:numPr>
        <w:tabs>
          <w:tab w:pos="1558" w:val="left" w:leader="none"/>
        </w:tabs>
        <w:spacing w:line="240" w:lineRule="auto" w:before="0" w:after="0"/>
        <w:ind w:left="1558" w:right="0" w:hanging="720"/>
        <w:jc w:val="left"/>
        <w:rPr>
          <w:sz w:val="21"/>
        </w:rPr>
      </w:pPr>
      <w:r>
        <w:rPr>
          <w:spacing w:val="-3"/>
          <w:sz w:val="21"/>
        </w:rPr>
        <w:t>获取基金业务及财务状况的公开资料；</w:t>
      </w:r>
    </w:p>
    <w:p>
      <w:pPr>
        <w:pStyle w:val="BodyText"/>
        <w:spacing w:before="7"/>
        <w:rPr>
          <w:sz w:val="15"/>
        </w:rPr>
      </w:pPr>
    </w:p>
    <w:p>
      <w:pPr>
        <w:pStyle w:val="ListParagraph"/>
        <w:numPr>
          <w:ilvl w:val="0"/>
          <w:numId w:val="46"/>
        </w:numPr>
        <w:tabs>
          <w:tab w:pos="1558" w:val="left" w:leader="none"/>
        </w:tabs>
        <w:spacing w:line="417" w:lineRule="auto" w:before="0" w:after="0"/>
        <w:ind w:left="1558" w:right="1313" w:hanging="720"/>
        <w:jc w:val="left"/>
        <w:rPr>
          <w:sz w:val="21"/>
        </w:rPr>
      </w:pPr>
      <w:r>
        <w:rPr>
          <w:spacing w:val="-1"/>
          <w:sz w:val="21"/>
        </w:rPr>
        <w:t>按本基金合同的规定申购、赎回、转换基金份额，并在规定的时间取得有效申请</w:t>
      </w:r>
      <w:r>
        <w:rPr>
          <w:spacing w:val="-3"/>
          <w:sz w:val="21"/>
        </w:rPr>
        <w:t>的款项或基金份额；</w:t>
      </w:r>
    </w:p>
    <w:p>
      <w:pPr>
        <w:pStyle w:val="ListParagraph"/>
        <w:numPr>
          <w:ilvl w:val="0"/>
          <w:numId w:val="46"/>
        </w:numPr>
        <w:tabs>
          <w:tab w:pos="1558" w:val="left" w:leader="none"/>
        </w:tabs>
        <w:spacing w:line="269" w:lineRule="exact" w:before="0" w:after="0"/>
        <w:ind w:left="1558" w:right="0" w:hanging="720"/>
        <w:jc w:val="left"/>
        <w:rPr>
          <w:sz w:val="21"/>
        </w:rPr>
      </w:pPr>
      <w:r>
        <w:rPr>
          <w:spacing w:val="-3"/>
          <w:sz w:val="21"/>
        </w:rPr>
        <w:t>取得基金清算后的剩余资产；</w:t>
      </w:r>
    </w:p>
    <w:p>
      <w:pPr>
        <w:pStyle w:val="BodyText"/>
        <w:spacing w:before="6"/>
        <w:rPr>
          <w:sz w:val="15"/>
        </w:rPr>
      </w:pPr>
    </w:p>
    <w:p>
      <w:pPr>
        <w:pStyle w:val="ListParagraph"/>
        <w:numPr>
          <w:ilvl w:val="0"/>
          <w:numId w:val="46"/>
        </w:numPr>
        <w:tabs>
          <w:tab w:pos="1558" w:val="left" w:leader="none"/>
        </w:tabs>
        <w:spacing w:line="240" w:lineRule="auto" w:before="1" w:after="0"/>
        <w:ind w:left="1558" w:right="0" w:hanging="720"/>
        <w:jc w:val="left"/>
        <w:rPr>
          <w:sz w:val="21"/>
        </w:rPr>
      </w:pPr>
      <w:r>
        <w:rPr>
          <w:spacing w:val="-3"/>
          <w:sz w:val="21"/>
        </w:rPr>
        <w:t>提请基金管理人或基金托管人履行按本合同规定应尽的义务；</w:t>
      </w:r>
    </w:p>
    <w:p>
      <w:pPr>
        <w:pStyle w:val="BodyText"/>
        <w:spacing w:before="7"/>
        <w:rPr>
          <w:sz w:val="15"/>
        </w:rPr>
      </w:pPr>
    </w:p>
    <w:p>
      <w:pPr>
        <w:pStyle w:val="ListParagraph"/>
        <w:numPr>
          <w:ilvl w:val="0"/>
          <w:numId w:val="46"/>
        </w:numPr>
        <w:tabs>
          <w:tab w:pos="1558" w:val="left" w:leader="none"/>
        </w:tabs>
        <w:spacing w:line="417" w:lineRule="auto" w:before="0" w:after="0"/>
        <w:ind w:left="1558" w:right="1313" w:hanging="720"/>
        <w:jc w:val="both"/>
        <w:rPr>
          <w:sz w:val="21"/>
        </w:rPr>
      </w:pPr>
      <w:r>
        <w:rPr>
          <w:spacing w:val="-1"/>
          <w:sz w:val="21"/>
        </w:rPr>
        <w:t>因基金管理人、基金托管人、注册登记人的过错导致利益受到损害，有权要求赔</w:t>
      </w:r>
      <w:r>
        <w:rPr>
          <w:sz w:val="21"/>
        </w:rPr>
        <w:t>偿；</w:t>
      </w:r>
    </w:p>
    <w:p>
      <w:pPr>
        <w:spacing w:after="0" w:line="417" w:lineRule="auto"/>
        <w:jc w:val="both"/>
        <w:rPr>
          <w:sz w:val="21"/>
        </w:rPr>
        <w:sectPr>
          <w:pgSz w:w="11910" w:h="16840"/>
          <w:pgMar w:header="852" w:footer="992" w:top="1220" w:bottom="1180" w:left="1140" w:right="480"/>
        </w:sectPr>
      </w:pPr>
    </w:p>
    <w:p>
      <w:pPr>
        <w:pStyle w:val="BodyText"/>
        <w:spacing w:before="7"/>
        <w:rPr>
          <w:sz w:val="18"/>
        </w:rPr>
      </w:pPr>
    </w:p>
    <w:p>
      <w:pPr>
        <w:pStyle w:val="ListParagraph"/>
        <w:numPr>
          <w:ilvl w:val="0"/>
          <w:numId w:val="46"/>
        </w:numPr>
        <w:tabs>
          <w:tab w:pos="1558" w:val="left" w:leader="none"/>
        </w:tabs>
        <w:spacing w:line="240" w:lineRule="auto" w:before="78" w:after="0"/>
        <w:ind w:left="1558" w:right="0" w:hanging="720"/>
        <w:jc w:val="left"/>
        <w:rPr>
          <w:sz w:val="21"/>
        </w:rPr>
      </w:pPr>
      <w:r>
        <w:rPr>
          <w:spacing w:val="-3"/>
          <w:sz w:val="21"/>
        </w:rPr>
        <w:t>法律法规及基金合同规定的其他权利。</w:t>
      </w:r>
    </w:p>
    <w:p>
      <w:pPr>
        <w:pStyle w:val="BodyText"/>
        <w:spacing w:before="7"/>
        <w:rPr>
          <w:sz w:val="15"/>
        </w:rPr>
      </w:pPr>
    </w:p>
    <w:p>
      <w:pPr>
        <w:pStyle w:val="BodyText"/>
        <w:ind w:left="658"/>
      </w:pPr>
      <w:r>
        <w:rPr>
          <w:rFonts w:ascii="Times New Roman" w:eastAsia="Times New Roman"/>
        </w:rPr>
        <w:t>6</w:t>
      </w:r>
      <w:r>
        <w:rPr/>
        <w:t>、基金份额持有人的义务</w:t>
      </w:r>
    </w:p>
    <w:p>
      <w:pPr>
        <w:pStyle w:val="BodyText"/>
        <w:spacing w:before="6"/>
        <w:rPr>
          <w:sz w:val="15"/>
        </w:rPr>
      </w:pPr>
    </w:p>
    <w:p>
      <w:pPr>
        <w:pStyle w:val="ListParagraph"/>
        <w:numPr>
          <w:ilvl w:val="0"/>
          <w:numId w:val="47"/>
        </w:numPr>
        <w:tabs>
          <w:tab w:pos="1558" w:val="left" w:leader="none"/>
        </w:tabs>
        <w:spacing w:line="240" w:lineRule="auto" w:before="1" w:after="0"/>
        <w:ind w:left="1558" w:right="0" w:hanging="720"/>
        <w:jc w:val="left"/>
        <w:rPr>
          <w:sz w:val="21"/>
        </w:rPr>
      </w:pPr>
      <w:r>
        <w:rPr>
          <w:spacing w:val="-3"/>
          <w:sz w:val="21"/>
        </w:rPr>
        <w:t>遵守基金合同及相关业务规则；</w:t>
      </w:r>
    </w:p>
    <w:p>
      <w:pPr>
        <w:pStyle w:val="BodyText"/>
        <w:spacing w:before="6"/>
        <w:rPr>
          <w:sz w:val="15"/>
        </w:rPr>
      </w:pPr>
    </w:p>
    <w:p>
      <w:pPr>
        <w:pStyle w:val="ListParagraph"/>
        <w:numPr>
          <w:ilvl w:val="0"/>
          <w:numId w:val="47"/>
        </w:numPr>
        <w:tabs>
          <w:tab w:pos="1558" w:val="left" w:leader="none"/>
        </w:tabs>
        <w:spacing w:line="240" w:lineRule="auto" w:before="0" w:after="0"/>
        <w:ind w:left="1558" w:right="0" w:hanging="720"/>
        <w:jc w:val="left"/>
        <w:rPr>
          <w:sz w:val="21"/>
        </w:rPr>
      </w:pPr>
      <w:r>
        <w:rPr>
          <w:spacing w:val="-3"/>
          <w:sz w:val="21"/>
        </w:rPr>
        <w:t>缴纳基金认购、申购、赎回和转换等事宜涉及的款项，承担规定的费用；</w:t>
      </w:r>
    </w:p>
    <w:p>
      <w:pPr>
        <w:pStyle w:val="BodyText"/>
        <w:spacing w:before="7"/>
        <w:rPr>
          <w:sz w:val="15"/>
        </w:rPr>
      </w:pPr>
    </w:p>
    <w:p>
      <w:pPr>
        <w:pStyle w:val="ListParagraph"/>
        <w:numPr>
          <w:ilvl w:val="0"/>
          <w:numId w:val="47"/>
        </w:numPr>
        <w:tabs>
          <w:tab w:pos="1558" w:val="left" w:leader="none"/>
        </w:tabs>
        <w:spacing w:line="240" w:lineRule="auto" w:before="0" w:after="0"/>
        <w:ind w:left="1558" w:right="0" w:hanging="720"/>
        <w:jc w:val="left"/>
        <w:rPr>
          <w:sz w:val="21"/>
        </w:rPr>
      </w:pPr>
      <w:r>
        <w:rPr>
          <w:spacing w:val="-3"/>
          <w:sz w:val="21"/>
        </w:rPr>
        <w:t>承担基金亏损或者终止的有限责任；</w:t>
      </w:r>
    </w:p>
    <w:p>
      <w:pPr>
        <w:pStyle w:val="BodyText"/>
        <w:spacing w:before="7"/>
        <w:rPr>
          <w:sz w:val="15"/>
        </w:rPr>
      </w:pPr>
    </w:p>
    <w:p>
      <w:pPr>
        <w:pStyle w:val="ListParagraph"/>
        <w:numPr>
          <w:ilvl w:val="0"/>
          <w:numId w:val="47"/>
        </w:numPr>
        <w:tabs>
          <w:tab w:pos="1558" w:val="left" w:leader="none"/>
        </w:tabs>
        <w:spacing w:line="240" w:lineRule="auto" w:before="0" w:after="0"/>
        <w:ind w:left="1558" w:right="0" w:hanging="720"/>
        <w:jc w:val="left"/>
        <w:rPr>
          <w:sz w:val="21"/>
        </w:rPr>
      </w:pPr>
      <w:r>
        <w:rPr>
          <w:spacing w:val="-3"/>
          <w:sz w:val="21"/>
        </w:rPr>
        <w:t>不从事任何有损基金及基金其他当事人利益的活动；</w:t>
      </w:r>
    </w:p>
    <w:p>
      <w:pPr>
        <w:pStyle w:val="BodyText"/>
        <w:spacing w:before="6"/>
        <w:rPr>
          <w:sz w:val="15"/>
        </w:rPr>
      </w:pPr>
    </w:p>
    <w:p>
      <w:pPr>
        <w:pStyle w:val="ListParagraph"/>
        <w:numPr>
          <w:ilvl w:val="0"/>
          <w:numId w:val="47"/>
        </w:numPr>
        <w:tabs>
          <w:tab w:pos="1558" w:val="left" w:leader="none"/>
        </w:tabs>
        <w:spacing w:line="240" w:lineRule="auto" w:before="1" w:after="0"/>
        <w:ind w:left="1558" w:right="0" w:hanging="720"/>
        <w:jc w:val="left"/>
        <w:rPr>
          <w:sz w:val="21"/>
        </w:rPr>
      </w:pPr>
      <w:r>
        <w:rPr>
          <w:spacing w:val="-3"/>
          <w:sz w:val="21"/>
        </w:rPr>
        <w:t>法律法规及基金合同规定的其他义务。</w:t>
      </w:r>
    </w:p>
    <w:p>
      <w:pPr>
        <w:pStyle w:val="BodyText"/>
        <w:rPr>
          <w:sz w:val="22"/>
        </w:rPr>
      </w:pPr>
    </w:p>
    <w:p>
      <w:pPr>
        <w:pStyle w:val="BodyText"/>
        <w:spacing w:before="1"/>
        <w:rPr>
          <w:sz w:val="30"/>
        </w:rPr>
      </w:pPr>
    </w:p>
    <w:p>
      <w:pPr>
        <w:spacing w:before="0"/>
        <w:ind w:left="658" w:right="0" w:firstLine="0"/>
        <w:jc w:val="left"/>
        <w:rPr>
          <w:b/>
          <w:sz w:val="21"/>
        </w:rPr>
      </w:pPr>
      <w:r>
        <w:rPr>
          <w:b/>
          <w:sz w:val="21"/>
        </w:rPr>
        <w:t>（二）基金份额持有人大会</w:t>
      </w:r>
    </w:p>
    <w:p>
      <w:pPr>
        <w:pStyle w:val="BodyText"/>
        <w:spacing w:before="100"/>
        <w:ind w:left="1078"/>
      </w:pPr>
      <w:r>
        <w:rPr>
          <w:rFonts w:ascii="Times New Roman" w:eastAsia="Times New Roman"/>
        </w:rPr>
        <w:t>1</w:t>
      </w:r>
      <w:r>
        <w:rPr/>
        <w:t>、召开原则</w:t>
      </w:r>
    </w:p>
    <w:p>
      <w:pPr>
        <w:pStyle w:val="BodyText"/>
        <w:spacing w:before="7"/>
        <w:rPr>
          <w:sz w:val="18"/>
        </w:rPr>
      </w:pPr>
    </w:p>
    <w:p>
      <w:pPr>
        <w:pStyle w:val="BodyText"/>
        <w:spacing w:line="417" w:lineRule="auto"/>
        <w:ind w:left="1078" w:right="1230"/>
      </w:pPr>
      <w:r>
        <w:rPr/>
        <w:t>基金份额持有人大会由基金份额持有人或基金份额持有人合法的授权代表共同组成。持有人大会决议生效遵循利益相关原则。若本系列基金中某基金提交讨论的事项可能实</w:t>
      </w:r>
    </w:p>
    <w:p>
      <w:pPr>
        <w:pStyle w:val="BodyText"/>
        <w:spacing w:line="417" w:lineRule="auto"/>
        <w:ind w:left="658" w:right="1308"/>
        <w:jc w:val="both"/>
      </w:pPr>
      <w:r>
        <w:rPr>
          <w:spacing w:val="-8"/>
        </w:rPr>
        <w:t>质影响其他基金份额持有人利益，则该事项须经所有相关基金份额持有人讨论通过。如果基金份额持有人大会召集人认为该事项只涉及部分基金的持有人利益，则可以召集由相应基金</w:t>
      </w:r>
      <w:r>
        <w:rPr>
          <w:spacing w:val="-10"/>
        </w:rPr>
        <w:t>份额持有人参加的基金份额持有人大会，其他基金份额持有人可以列席该会议，但对该事项</w:t>
      </w:r>
      <w:r>
        <w:rPr>
          <w:spacing w:val="-5"/>
        </w:rPr>
        <w:t>无表决权。各基金的每一基金份额拥有平等的投票权。</w:t>
      </w:r>
    </w:p>
    <w:p>
      <w:pPr>
        <w:pStyle w:val="BodyText"/>
        <w:spacing w:line="417" w:lineRule="auto"/>
        <w:ind w:left="658" w:right="1100" w:firstLine="419"/>
      </w:pPr>
      <w:r>
        <w:rPr>
          <w:spacing w:val="-7"/>
        </w:rPr>
        <w:t>持有人大会决议须经基金份额持有人大会审议通过。上述通过事项如无需监管部门批准， </w:t>
      </w:r>
      <w:r>
        <w:rPr>
          <w:spacing w:val="-5"/>
        </w:rPr>
        <w:t>则即刻生效；需监管部门批准的，在获得相关批准后生效。</w:t>
      </w:r>
    </w:p>
    <w:p>
      <w:pPr>
        <w:pStyle w:val="BodyText"/>
        <w:spacing w:line="269" w:lineRule="exact"/>
        <w:ind w:left="1078"/>
      </w:pPr>
      <w:r>
        <w:rPr>
          <w:rFonts w:ascii="Times New Roman" w:eastAsia="Times New Roman"/>
        </w:rPr>
        <w:t>2</w:t>
      </w:r>
      <w:r>
        <w:rPr/>
        <w:t>、召开事由</w:t>
      </w:r>
    </w:p>
    <w:p>
      <w:pPr>
        <w:pStyle w:val="BodyText"/>
        <w:spacing w:before="6"/>
        <w:rPr>
          <w:sz w:val="15"/>
        </w:rPr>
      </w:pPr>
    </w:p>
    <w:p>
      <w:pPr>
        <w:pStyle w:val="BodyText"/>
        <w:ind w:left="1078"/>
      </w:pPr>
      <w:r>
        <w:rPr/>
        <w:t>本系列基金份额持有人大会召开事由分共同事由和单独事由。</w:t>
      </w:r>
    </w:p>
    <w:p>
      <w:pPr>
        <w:pStyle w:val="BodyText"/>
        <w:spacing w:before="7"/>
        <w:rPr>
          <w:sz w:val="15"/>
        </w:rPr>
      </w:pPr>
    </w:p>
    <w:p>
      <w:pPr>
        <w:pStyle w:val="BodyText"/>
        <w:ind w:left="1078"/>
      </w:pPr>
      <w:r>
        <w:rPr/>
        <w:t>有以下共同事由情形之一时，应召开所有基金份额持有人参加的基金份额持有人大会：</w:t>
      </w:r>
    </w:p>
    <w:p>
      <w:pPr>
        <w:pStyle w:val="BodyText"/>
        <w:spacing w:before="7"/>
        <w:rPr>
          <w:sz w:val="15"/>
        </w:rPr>
      </w:pPr>
    </w:p>
    <w:p>
      <w:pPr>
        <w:pStyle w:val="ListParagraph"/>
        <w:numPr>
          <w:ilvl w:val="1"/>
          <w:numId w:val="47"/>
        </w:numPr>
        <w:tabs>
          <w:tab w:pos="1607" w:val="left" w:leader="none"/>
        </w:tabs>
        <w:spacing w:line="417" w:lineRule="auto" w:before="0" w:after="0"/>
        <w:ind w:left="658" w:right="1309" w:firstLine="419"/>
        <w:jc w:val="left"/>
        <w:rPr>
          <w:sz w:val="21"/>
        </w:rPr>
      </w:pPr>
      <w:r>
        <w:rPr>
          <w:spacing w:val="-3"/>
          <w:sz w:val="21"/>
        </w:rPr>
        <w:t>修改基金合同的，但本基金合同另有规定的除外，或根据法律法规变更做出相应更改的除外；</w:t>
      </w:r>
    </w:p>
    <w:p>
      <w:pPr>
        <w:pStyle w:val="ListParagraph"/>
        <w:numPr>
          <w:ilvl w:val="1"/>
          <w:numId w:val="47"/>
        </w:numPr>
        <w:tabs>
          <w:tab w:pos="1607" w:val="left" w:leader="none"/>
        </w:tabs>
        <w:spacing w:line="269" w:lineRule="exact" w:before="0" w:after="0"/>
        <w:ind w:left="1607" w:right="0" w:hanging="529"/>
        <w:jc w:val="left"/>
        <w:rPr>
          <w:sz w:val="21"/>
        </w:rPr>
      </w:pPr>
      <w:r>
        <w:rPr>
          <w:spacing w:val="-3"/>
          <w:sz w:val="21"/>
        </w:rPr>
        <w:t>转换基金运作方式；</w:t>
      </w:r>
    </w:p>
    <w:p>
      <w:pPr>
        <w:pStyle w:val="BodyText"/>
        <w:spacing w:before="7"/>
        <w:rPr>
          <w:sz w:val="15"/>
        </w:rPr>
      </w:pPr>
    </w:p>
    <w:p>
      <w:pPr>
        <w:pStyle w:val="ListParagraph"/>
        <w:numPr>
          <w:ilvl w:val="1"/>
          <w:numId w:val="47"/>
        </w:numPr>
        <w:tabs>
          <w:tab w:pos="1607" w:val="left" w:leader="none"/>
        </w:tabs>
        <w:spacing w:line="240" w:lineRule="auto" w:before="0" w:after="0"/>
        <w:ind w:left="1607" w:right="0" w:hanging="529"/>
        <w:jc w:val="left"/>
        <w:rPr>
          <w:sz w:val="21"/>
        </w:rPr>
      </w:pPr>
      <w:r>
        <w:rPr>
          <w:spacing w:val="-3"/>
          <w:sz w:val="21"/>
        </w:rPr>
        <w:t>更换基金管理人；</w:t>
      </w:r>
    </w:p>
    <w:p>
      <w:pPr>
        <w:pStyle w:val="BodyText"/>
        <w:spacing w:before="7"/>
        <w:rPr>
          <w:sz w:val="15"/>
        </w:rPr>
      </w:pPr>
    </w:p>
    <w:p>
      <w:pPr>
        <w:pStyle w:val="ListParagraph"/>
        <w:numPr>
          <w:ilvl w:val="1"/>
          <w:numId w:val="47"/>
        </w:numPr>
        <w:tabs>
          <w:tab w:pos="1607" w:val="left" w:leader="none"/>
        </w:tabs>
        <w:spacing w:line="240" w:lineRule="auto" w:before="0" w:after="0"/>
        <w:ind w:left="1607" w:right="0" w:hanging="529"/>
        <w:jc w:val="left"/>
        <w:rPr>
          <w:sz w:val="21"/>
        </w:rPr>
      </w:pPr>
      <w:r>
        <w:rPr>
          <w:spacing w:val="-3"/>
          <w:sz w:val="21"/>
        </w:rPr>
        <w:t>更换基金托管人；</w:t>
      </w:r>
    </w:p>
    <w:p>
      <w:pPr>
        <w:pStyle w:val="BodyText"/>
        <w:spacing w:before="6"/>
        <w:rPr>
          <w:sz w:val="15"/>
        </w:rPr>
      </w:pPr>
    </w:p>
    <w:p>
      <w:pPr>
        <w:pStyle w:val="ListParagraph"/>
        <w:numPr>
          <w:ilvl w:val="1"/>
          <w:numId w:val="47"/>
        </w:numPr>
        <w:tabs>
          <w:tab w:pos="1607" w:val="left" w:leader="none"/>
        </w:tabs>
        <w:spacing w:line="240" w:lineRule="auto" w:before="1" w:after="0"/>
        <w:ind w:left="1607" w:right="0" w:hanging="529"/>
        <w:jc w:val="left"/>
        <w:rPr>
          <w:sz w:val="21"/>
        </w:rPr>
      </w:pPr>
      <w:r>
        <w:rPr>
          <w:spacing w:val="-3"/>
          <w:sz w:val="21"/>
        </w:rPr>
        <w:t>决定终止基金合同；</w:t>
      </w:r>
    </w:p>
    <w:p>
      <w:pPr>
        <w:pStyle w:val="BodyText"/>
        <w:spacing w:before="6"/>
        <w:rPr>
          <w:sz w:val="15"/>
        </w:rPr>
      </w:pPr>
    </w:p>
    <w:p>
      <w:pPr>
        <w:pStyle w:val="ListParagraph"/>
        <w:numPr>
          <w:ilvl w:val="1"/>
          <w:numId w:val="47"/>
        </w:numPr>
        <w:tabs>
          <w:tab w:pos="1607" w:val="left" w:leader="none"/>
        </w:tabs>
        <w:spacing w:line="240" w:lineRule="auto" w:before="0" w:after="0"/>
        <w:ind w:left="1607" w:right="0" w:hanging="529"/>
        <w:jc w:val="left"/>
        <w:rPr>
          <w:sz w:val="21"/>
        </w:rPr>
      </w:pPr>
      <w:r>
        <w:rPr>
          <w:spacing w:val="-3"/>
          <w:sz w:val="21"/>
        </w:rPr>
        <w:t>与其他基金合并；</w:t>
      </w:r>
    </w:p>
    <w:p>
      <w:pPr>
        <w:pStyle w:val="BodyText"/>
        <w:spacing w:before="7"/>
        <w:rPr>
          <w:sz w:val="15"/>
        </w:rPr>
      </w:pPr>
    </w:p>
    <w:p>
      <w:pPr>
        <w:pStyle w:val="ListParagraph"/>
        <w:numPr>
          <w:ilvl w:val="1"/>
          <w:numId w:val="47"/>
        </w:numPr>
        <w:tabs>
          <w:tab w:pos="1607" w:val="left" w:leader="none"/>
        </w:tabs>
        <w:spacing w:line="417" w:lineRule="auto" w:before="1" w:after="0"/>
        <w:ind w:left="658" w:right="1309" w:firstLine="419"/>
        <w:jc w:val="left"/>
        <w:rPr>
          <w:sz w:val="21"/>
        </w:rPr>
      </w:pPr>
      <w:r>
        <w:rPr>
          <w:spacing w:val="-3"/>
          <w:sz w:val="21"/>
        </w:rPr>
        <w:t>提高基金管理人、基金托管人的报酬标准。但根据法律法规的要求提高该等报酬标准的除外；</w:t>
      </w:r>
    </w:p>
    <w:p>
      <w:pPr>
        <w:spacing w:after="0" w:line="417" w:lineRule="auto"/>
        <w:jc w:val="left"/>
        <w:rPr>
          <w:sz w:val="21"/>
        </w:rPr>
        <w:sectPr>
          <w:footerReference w:type="default" r:id="rId188"/>
          <w:pgSz w:w="11910" w:h="16840"/>
          <w:pgMar w:footer="992" w:header="852" w:top="1220" w:bottom="1180" w:left="1140" w:right="480"/>
        </w:sectPr>
      </w:pPr>
    </w:p>
    <w:p>
      <w:pPr>
        <w:pStyle w:val="BodyText"/>
        <w:spacing w:before="7"/>
        <w:rPr>
          <w:sz w:val="18"/>
        </w:rPr>
      </w:pPr>
    </w:p>
    <w:p>
      <w:pPr>
        <w:pStyle w:val="ListParagraph"/>
        <w:numPr>
          <w:ilvl w:val="1"/>
          <w:numId w:val="47"/>
        </w:numPr>
        <w:tabs>
          <w:tab w:pos="1607" w:val="left" w:leader="none"/>
        </w:tabs>
        <w:spacing w:line="240" w:lineRule="auto" w:before="78" w:after="0"/>
        <w:ind w:left="1607" w:right="0" w:hanging="529"/>
        <w:jc w:val="left"/>
        <w:rPr>
          <w:sz w:val="21"/>
        </w:rPr>
      </w:pPr>
      <w:r>
        <w:rPr>
          <w:spacing w:val="-3"/>
          <w:sz w:val="21"/>
        </w:rPr>
        <w:t>单独或合计持有本系列基金权益登记日总份额百分之十或以上的基金份额持有人</w:t>
      </w:r>
    </w:p>
    <w:p>
      <w:pPr>
        <w:pStyle w:val="BodyText"/>
        <w:spacing w:before="7"/>
        <w:rPr>
          <w:sz w:val="15"/>
        </w:rPr>
      </w:pPr>
    </w:p>
    <w:p>
      <w:pPr>
        <w:pStyle w:val="BodyText"/>
        <w:spacing w:line="417" w:lineRule="auto"/>
        <w:ind w:left="658" w:right="1309"/>
      </w:pPr>
      <w:r>
        <w:rPr/>
        <w:t>（</w:t>
      </w:r>
      <w:r>
        <w:rPr>
          <w:spacing w:val="-3"/>
        </w:rPr>
        <w:t>以基金管理人收到提议当日的基金份额计算</w:t>
      </w:r>
      <w:r>
        <w:rPr>
          <w:spacing w:val="-89"/>
        </w:rPr>
        <w:t>）</w:t>
      </w:r>
      <w:r>
        <w:rPr>
          <w:spacing w:val="-3"/>
        </w:rPr>
        <w:t>就同一事项书面要求召开基金份额持有人大会；</w:t>
      </w:r>
    </w:p>
    <w:p>
      <w:pPr>
        <w:pStyle w:val="ListParagraph"/>
        <w:numPr>
          <w:ilvl w:val="1"/>
          <w:numId w:val="47"/>
        </w:numPr>
        <w:tabs>
          <w:tab w:pos="1607" w:val="left" w:leader="none"/>
        </w:tabs>
        <w:spacing w:line="417" w:lineRule="auto" w:before="0" w:after="0"/>
        <w:ind w:left="658" w:right="1309" w:firstLine="419"/>
        <w:jc w:val="left"/>
        <w:rPr>
          <w:sz w:val="21"/>
        </w:rPr>
      </w:pPr>
      <w:r>
        <w:rPr>
          <w:spacing w:val="-3"/>
          <w:sz w:val="21"/>
        </w:rPr>
        <w:t>基金管理人或基金托管人就涉及本系列基金的共同事宜要求召开基金份额持有人大会；</w:t>
      </w:r>
    </w:p>
    <w:p>
      <w:pPr>
        <w:pStyle w:val="ListParagraph"/>
        <w:numPr>
          <w:ilvl w:val="1"/>
          <w:numId w:val="47"/>
        </w:numPr>
        <w:tabs>
          <w:tab w:pos="1713" w:val="left" w:leader="none"/>
        </w:tabs>
        <w:spacing w:line="269" w:lineRule="exact" w:before="0" w:after="0"/>
        <w:ind w:left="1712" w:right="0" w:hanging="635"/>
        <w:jc w:val="left"/>
        <w:rPr>
          <w:sz w:val="21"/>
        </w:rPr>
      </w:pPr>
      <w:r>
        <w:rPr>
          <w:spacing w:val="-3"/>
          <w:sz w:val="21"/>
        </w:rPr>
        <w:t>法律、法规或中国证监会规定的其他情形。</w:t>
      </w:r>
    </w:p>
    <w:p>
      <w:pPr>
        <w:pStyle w:val="BodyText"/>
        <w:spacing w:before="6"/>
        <w:rPr>
          <w:sz w:val="15"/>
        </w:rPr>
      </w:pPr>
    </w:p>
    <w:p>
      <w:pPr>
        <w:pStyle w:val="BodyText"/>
        <w:ind w:left="1078"/>
      </w:pPr>
      <w:r>
        <w:rPr/>
        <w:t>有以下单独事由情形之一时，应召开相应基金份额持有人参加的基金份额持有人大会：</w:t>
      </w:r>
    </w:p>
    <w:p>
      <w:pPr>
        <w:pStyle w:val="BodyText"/>
        <w:spacing w:before="7"/>
        <w:rPr>
          <w:sz w:val="15"/>
        </w:rPr>
      </w:pPr>
    </w:p>
    <w:p>
      <w:pPr>
        <w:pStyle w:val="ListParagraph"/>
        <w:numPr>
          <w:ilvl w:val="0"/>
          <w:numId w:val="48"/>
        </w:numPr>
        <w:tabs>
          <w:tab w:pos="1607" w:val="left" w:leader="none"/>
        </w:tabs>
        <w:spacing w:line="240" w:lineRule="auto" w:before="1" w:after="0"/>
        <w:ind w:left="1607" w:right="0" w:hanging="529"/>
        <w:jc w:val="left"/>
        <w:rPr>
          <w:sz w:val="21"/>
        </w:rPr>
      </w:pPr>
      <w:r>
        <w:rPr>
          <w:spacing w:val="-3"/>
          <w:sz w:val="21"/>
        </w:rPr>
        <w:t>决定终止某基金；</w:t>
      </w:r>
    </w:p>
    <w:p>
      <w:pPr>
        <w:pStyle w:val="BodyText"/>
        <w:spacing w:before="6"/>
        <w:rPr>
          <w:sz w:val="15"/>
        </w:rPr>
      </w:pPr>
    </w:p>
    <w:p>
      <w:pPr>
        <w:pStyle w:val="ListParagraph"/>
        <w:numPr>
          <w:ilvl w:val="0"/>
          <w:numId w:val="48"/>
        </w:numPr>
        <w:tabs>
          <w:tab w:pos="1607" w:val="left" w:leader="none"/>
        </w:tabs>
        <w:spacing w:line="417" w:lineRule="auto" w:before="0" w:after="0"/>
        <w:ind w:left="658" w:right="1208" w:firstLine="419"/>
        <w:jc w:val="left"/>
        <w:rPr>
          <w:sz w:val="21"/>
        </w:rPr>
      </w:pPr>
      <w:r>
        <w:rPr>
          <w:spacing w:val="-3"/>
          <w:sz w:val="21"/>
        </w:rPr>
        <w:t>单独或合计持有某基金百分之十或以上基金份额的基金份额持有人</w:t>
      </w:r>
      <w:r>
        <w:rPr>
          <w:sz w:val="21"/>
        </w:rPr>
        <w:t>（</w:t>
      </w:r>
      <w:r>
        <w:rPr>
          <w:spacing w:val="-3"/>
          <w:sz w:val="21"/>
        </w:rPr>
        <w:t>以基金管理人收到提议当日的基金份额计算</w:t>
      </w:r>
      <w:r>
        <w:rPr>
          <w:sz w:val="21"/>
        </w:rPr>
        <w:t>）</w:t>
      </w:r>
      <w:r>
        <w:rPr>
          <w:spacing w:val="-3"/>
          <w:sz w:val="21"/>
        </w:rPr>
        <w:t>就该基金的同一事项书面要求召开基金份额持有人大会；</w:t>
      </w:r>
    </w:p>
    <w:p>
      <w:pPr>
        <w:pStyle w:val="ListParagraph"/>
        <w:numPr>
          <w:ilvl w:val="0"/>
          <w:numId w:val="48"/>
        </w:numPr>
        <w:tabs>
          <w:tab w:pos="1607" w:val="left" w:leader="none"/>
        </w:tabs>
        <w:spacing w:line="269" w:lineRule="exact" w:before="0" w:after="0"/>
        <w:ind w:left="1607" w:right="0" w:hanging="529"/>
        <w:jc w:val="left"/>
        <w:rPr>
          <w:sz w:val="21"/>
        </w:rPr>
      </w:pPr>
      <w:r>
        <w:rPr>
          <w:spacing w:val="-3"/>
          <w:sz w:val="21"/>
        </w:rPr>
        <w:t>基金管理人或基金托管人就仅涉及某基金的事宜要求召开基金份额持有人大会；</w:t>
      </w:r>
    </w:p>
    <w:p>
      <w:pPr>
        <w:pStyle w:val="BodyText"/>
        <w:spacing w:before="7"/>
        <w:rPr>
          <w:sz w:val="15"/>
        </w:rPr>
      </w:pPr>
    </w:p>
    <w:p>
      <w:pPr>
        <w:pStyle w:val="ListParagraph"/>
        <w:numPr>
          <w:ilvl w:val="0"/>
          <w:numId w:val="48"/>
        </w:numPr>
        <w:tabs>
          <w:tab w:pos="1607" w:val="left" w:leader="none"/>
        </w:tabs>
        <w:spacing w:line="417" w:lineRule="auto" w:before="0" w:after="0"/>
        <w:ind w:left="1078" w:right="3637" w:firstLine="0"/>
        <w:jc w:val="left"/>
        <w:rPr>
          <w:sz w:val="21"/>
        </w:rPr>
      </w:pPr>
      <w:r>
        <w:rPr>
          <w:spacing w:val="-3"/>
          <w:sz w:val="21"/>
        </w:rPr>
        <w:t>法律、法规、基金合同或中国证监会规定的其他情形。以下情况不需召开基金份额持有人大会：</w:t>
      </w:r>
    </w:p>
    <w:p>
      <w:pPr>
        <w:pStyle w:val="ListParagraph"/>
        <w:numPr>
          <w:ilvl w:val="0"/>
          <w:numId w:val="49"/>
        </w:numPr>
        <w:tabs>
          <w:tab w:pos="1607" w:val="left" w:leader="none"/>
        </w:tabs>
        <w:spacing w:line="269" w:lineRule="exact" w:before="0" w:after="0"/>
        <w:ind w:left="1607" w:right="0" w:hanging="529"/>
        <w:jc w:val="left"/>
        <w:rPr>
          <w:sz w:val="21"/>
        </w:rPr>
      </w:pPr>
      <w:r>
        <w:rPr>
          <w:spacing w:val="-3"/>
          <w:sz w:val="21"/>
        </w:rPr>
        <w:t>调低基金管理费、基金托管费；</w:t>
      </w:r>
    </w:p>
    <w:p>
      <w:pPr>
        <w:pStyle w:val="BodyText"/>
        <w:spacing w:before="7"/>
        <w:rPr>
          <w:sz w:val="15"/>
        </w:rPr>
      </w:pPr>
    </w:p>
    <w:p>
      <w:pPr>
        <w:pStyle w:val="ListParagraph"/>
        <w:numPr>
          <w:ilvl w:val="0"/>
          <w:numId w:val="49"/>
        </w:numPr>
        <w:tabs>
          <w:tab w:pos="1607" w:val="left" w:leader="none"/>
        </w:tabs>
        <w:spacing w:line="417" w:lineRule="auto" w:before="0" w:after="0"/>
        <w:ind w:left="658" w:right="1309" w:firstLine="419"/>
        <w:jc w:val="left"/>
        <w:rPr>
          <w:sz w:val="21"/>
        </w:rPr>
      </w:pPr>
      <w:r>
        <w:rPr>
          <w:spacing w:val="-3"/>
          <w:sz w:val="21"/>
        </w:rPr>
        <w:t>在法律法规和基金合同规定的范围内变更本系列基金的申购、赎回、转换费率或收费方式；</w:t>
      </w:r>
    </w:p>
    <w:p>
      <w:pPr>
        <w:pStyle w:val="ListParagraph"/>
        <w:numPr>
          <w:ilvl w:val="0"/>
          <w:numId w:val="49"/>
        </w:numPr>
        <w:tabs>
          <w:tab w:pos="1607" w:val="left" w:leader="none"/>
        </w:tabs>
        <w:spacing w:line="269" w:lineRule="exact" w:before="0" w:after="0"/>
        <w:ind w:left="1607" w:right="0" w:hanging="529"/>
        <w:jc w:val="left"/>
        <w:rPr>
          <w:sz w:val="21"/>
        </w:rPr>
      </w:pPr>
      <w:r>
        <w:rPr>
          <w:spacing w:val="-3"/>
          <w:sz w:val="21"/>
        </w:rPr>
        <w:t>因相应的法律、法规发生变动必须对基金合同进行修改；</w:t>
      </w:r>
    </w:p>
    <w:p>
      <w:pPr>
        <w:pStyle w:val="BodyText"/>
        <w:spacing w:before="7"/>
        <w:rPr>
          <w:sz w:val="15"/>
        </w:rPr>
      </w:pPr>
    </w:p>
    <w:p>
      <w:pPr>
        <w:pStyle w:val="ListParagraph"/>
        <w:numPr>
          <w:ilvl w:val="0"/>
          <w:numId w:val="49"/>
        </w:numPr>
        <w:tabs>
          <w:tab w:pos="1607" w:val="left" w:leader="none"/>
        </w:tabs>
        <w:spacing w:line="240" w:lineRule="auto" w:before="0" w:after="0"/>
        <w:ind w:left="1607" w:right="0" w:hanging="529"/>
        <w:jc w:val="left"/>
        <w:rPr>
          <w:sz w:val="21"/>
        </w:rPr>
      </w:pPr>
      <w:r>
        <w:rPr>
          <w:spacing w:val="-3"/>
          <w:sz w:val="21"/>
        </w:rPr>
        <w:t>对基金合同的修改不涉及本基金合同当事人权利义务关系的变化；</w:t>
      </w:r>
    </w:p>
    <w:p>
      <w:pPr>
        <w:pStyle w:val="BodyText"/>
        <w:spacing w:before="7"/>
        <w:rPr>
          <w:sz w:val="15"/>
        </w:rPr>
      </w:pPr>
    </w:p>
    <w:p>
      <w:pPr>
        <w:pStyle w:val="ListParagraph"/>
        <w:numPr>
          <w:ilvl w:val="0"/>
          <w:numId w:val="49"/>
        </w:numPr>
        <w:tabs>
          <w:tab w:pos="1607" w:val="left" w:leader="none"/>
        </w:tabs>
        <w:spacing w:line="240" w:lineRule="auto" w:before="0" w:after="0"/>
        <w:ind w:left="1607" w:right="0" w:hanging="529"/>
        <w:jc w:val="left"/>
        <w:rPr>
          <w:sz w:val="21"/>
        </w:rPr>
      </w:pPr>
      <w:r>
        <w:rPr>
          <w:spacing w:val="-3"/>
          <w:sz w:val="21"/>
        </w:rPr>
        <w:t>对基金合同的修改对基金份额持有人利益无实质性不利影响；</w:t>
      </w:r>
    </w:p>
    <w:p>
      <w:pPr>
        <w:pStyle w:val="BodyText"/>
        <w:spacing w:before="6"/>
        <w:rPr>
          <w:sz w:val="15"/>
        </w:rPr>
      </w:pPr>
    </w:p>
    <w:p>
      <w:pPr>
        <w:pStyle w:val="ListParagraph"/>
        <w:numPr>
          <w:ilvl w:val="0"/>
          <w:numId w:val="49"/>
        </w:numPr>
        <w:tabs>
          <w:tab w:pos="1607" w:val="left" w:leader="none"/>
        </w:tabs>
        <w:spacing w:line="240" w:lineRule="auto" w:before="0" w:after="0"/>
        <w:ind w:left="1607" w:right="0" w:hanging="529"/>
        <w:jc w:val="left"/>
        <w:rPr>
          <w:sz w:val="21"/>
        </w:rPr>
      </w:pPr>
      <w:r>
        <w:rPr>
          <w:spacing w:val="-3"/>
          <w:sz w:val="21"/>
        </w:rPr>
        <w:t>按照法律法规或本基金合同规定不需召开基金份额持有人大会的其他情形。</w:t>
      </w:r>
    </w:p>
    <w:p>
      <w:pPr>
        <w:pStyle w:val="BodyText"/>
        <w:spacing w:before="7"/>
        <w:rPr>
          <w:sz w:val="15"/>
        </w:rPr>
      </w:pPr>
    </w:p>
    <w:p>
      <w:pPr>
        <w:pStyle w:val="BodyText"/>
        <w:ind w:left="1078"/>
      </w:pPr>
      <w:r>
        <w:rPr>
          <w:rFonts w:ascii="Times New Roman" w:eastAsia="Times New Roman"/>
        </w:rPr>
        <w:t>3</w:t>
      </w:r>
      <w:r>
        <w:rPr/>
        <w:t>、召集方式</w:t>
      </w:r>
    </w:p>
    <w:p>
      <w:pPr>
        <w:pStyle w:val="BodyText"/>
        <w:spacing w:before="7"/>
        <w:rPr>
          <w:sz w:val="15"/>
        </w:rPr>
      </w:pPr>
    </w:p>
    <w:p>
      <w:pPr>
        <w:pStyle w:val="ListParagraph"/>
        <w:numPr>
          <w:ilvl w:val="0"/>
          <w:numId w:val="50"/>
        </w:numPr>
        <w:tabs>
          <w:tab w:pos="1607" w:val="left" w:leader="none"/>
        </w:tabs>
        <w:spacing w:line="417" w:lineRule="auto" w:before="1" w:after="0"/>
        <w:ind w:left="658" w:right="1309" w:firstLine="419"/>
        <w:jc w:val="left"/>
        <w:rPr>
          <w:sz w:val="21"/>
        </w:rPr>
      </w:pPr>
      <w:r>
        <w:rPr>
          <w:spacing w:val="-3"/>
          <w:sz w:val="21"/>
        </w:rPr>
        <w:t>除法律法规或基金合同另有规定外，基金份额持有人大会由基金管理人召集，基金份额持有人大会的开会时间、地点及权益登记日由基金管理人选择确定；</w:t>
      </w:r>
    </w:p>
    <w:p>
      <w:pPr>
        <w:pStyle w:val="ListParagraph"/>
        <w:numPr>
          <w:ilvl w:val="0"/>
          <w:numId w:val="50"/>
        </w:numPr>
        <w:tabs>
          <w:tab w:pos="1607" w:val="left" w:leader="none"/>
        </w:tabs>
        <w:spacing w:line="269" w:lineRule="exact" w:before="0" w:after="0"/>
        <w:ind w:left="1607" w:right="0" w:hanging="529"/>
        <w:jc w:val="left"/>
        <w:rPr>
          <w:sz w:val="21"/>
        </w:rPr>
      </w:pPr>
      <w:r>
        <w:rPr>
          <w:spacing w:val="-3"/>
          <w:sz w:val="21"/>
        </w:rPr>
        <w:t>在更换基金管理人或基金管理人未行使召集权的情况下，由基金托管人召集；</w:t>
      </w:r>
    </w:p>
    <w:p>
      <w:pPr>
        <w:pStyle w:val="BodyText"/>
        <w:spacing w:before="6"/>
        <w:rPr>
          <w:sz w:val="15"/>
        </w:rPr>
      </w:pPr>
    </w:p>
    <w:p>
      <w:pPr>
        <w:pStyle w:val="ListParagraph"/>
        <w:numPr>
          <w:ilvl w:val="0"/>
          <w:numId w:val="50"/>
        </w:numPr>
        <w:tabs>
          <w:tab w:pos="1607" w:val="left" w:leader="none"/>
        </w:tabs>
        <w:spacing w:line="417" w:lineRule="auto" w:before="0" w:after="0"/>
        <w:ind w:left="658" w:right="1205" w:firstLine="419"/>
        <w:jc w:val="left"/>
        <w:rPr>
          <w:sz w:val="21"/>
        </w:rPr>
      </w:pPr>
      <w:r>
        <w:rPr>
          <w:spacing w:val="-3"/>
          <w:sz w:val="21"/>
        </w:rPr>
        <w:t>基金托管人认为有必要召开基金份额持有人大会的，应当向基金管理人提出书面</w:t>
      </w:r>
      <w:r>
        <w:rPr>
          <w:spacing w:val="-15"/>
          <w:sz w:val="21"/>
        </w:rPr>
        <w:t>提议。基金管理人应当自收到书面提议之日起十日内决定是否召集，并书面告知基金托管人。</w:t>
      </w:r>
    </w:p>
    <w:p>
      <w:pPr>
        <w:pStyle w:val="BodyText"/>
        <w:spacing w:line="417" w:lineRule="auto"/>
        <w:ind w:left="658" w:right="1309" w:firstLine="419"/>
      </w:pPr>
      <w:r>
        <w:rPr>
          <w:spacing w:val="-9"/>
        </w:rPr>
        <w:t>基金管理人决定召集的，应当自出具书面决定之日起六十日内召开；基金管理人决定不</w:t>
      </w:r>
      <w:r>
        <w:rPr>
          <w:spacing w:val="-5"/>
        </w:rPr>
        <w:t>召集，基金托管人仍认为有必要召开的，应当自行召集。</w:t>
      </w:r>
    </w:p>
    <w:p>
      <w:pPr>
        <w:pStyle w:val="ListParagraph"/>
        <w:numPr>
          <w:ilvl w:val="0"/>
          <w:numId w:val="50"/>
        </w:numPr>
        <w:tabs>
          <w:tab w:pos="1607" w:val="left" w:leader="none"/>
        </w:tabs>
        <w:spacing w:line="417" w:lineRule="auto" w:before="0" w:after="0"/>
        <w:ind w:left="658" w:right="1308" w:firstLine="419"/>
        <w:jc w:val="left"/>
        <w:rPr>
          <w:sz w:val="21"/>
        </w:rPr>
      </w:pPr>
      <w:r>
        <w:rPr>
          <w:spacing w:val="-3"/>
          <w:sz w:val="21"/>
        </w:rPr>
        <w:t>在基金管理人和基金托管人均未行使召集权的情况下，单独或合计持有权益登记</w:t>
      </w:r>
      <w:r>
        <w:rPr>
          <w:spacing w:val="-7"/>
          <w:sz w:val="21"/>
        </w:rPr>
        <w:t>日基金总份额百分之十或以上的基金份额持有人有权自行召集，合计持有某基金百分之十或</w:t>
      </w:r>
    </w:p>
    <w:p>
      <w:pPr>
        <w:spacing w:after="0" w:line="417" w:lineRule="auto"/>
        <w:jc w:val="left"/>
        <w:rPr>
          <w:sz w:val="21"/>
        </w:rPr>
        <w:sectPr>
          <w:footerReference w:type="default" r:id="rId189"/>
          <w:pgSz w:w="11910" w:h="16840"/>
          <w:pgMar w:footer="992" w:header="852" w:top="1220" w:bottom="1180" w:left="1140" w:right="480"/>
          <w:pgNumType w:start="151"/>
        </w:sectPr>
      </w:pPr>
    </w:p>
    <w:p>
      <w:pPr>
        <w:pStyle w:val="BodyText"/>
        <w:spacing w:before="1"/>
        <w:rPr>
          <w:sz w:val="19"/>
        </w:rPr>
      </w:pPr>
    </w:p>
    <w:p>
      <w:pPr>
        <w:pStyle w:val="BodyText"/>
        <w:spacing w:before="71"/>
        <w:ind w:left="658"/>
      </w:pPr>
      <w:r>
        <w:rPr/>
        <w:t>以上份额的持有人可以就单独事由自行推选的持有人代表召集基金份额持有人大会。</w:t>
      </w:r>
    </w:p>
    <w:p>
      <w:pPr>
        <w:pStyle w:val="BodyText"/>
        <w:spacing w:before="7"/>
        <w:rPr>
          <w:sz w:val="15"/>
        </w:rPr>
      </w:pPr>
    </w:p>
    <w:p>
      <w:pPr>
        <w:pStyle w:val="ListParagraph"/>
        <w:numPr>
          <w:ilvl w:val="0"/>
          <w:numId w:val="50"/>
        </w:numPr>
        <w:tabs>
          <w:tab w:pos="1607" w:val="left" w:leader="none"/>
        </w:tabs>
        <w:spacing w:line="417" w:lineRule="auto" w:before="0" w:after="0"/>
        <w:ind w:left="658" w:right="1308" w:firstLine="419"/>
        <w:jc w:val="both"/>
        <w:rPr>
          <w:sz w:val="21"/>
        </w:rPr>
      </w:pPr>
      <w:r>
        <w:rPr>
          <w:spacing w:val="-3"/>
          <w:sz w:val="21"/>
        </w:rPr>
        <w:t>单独或合计持有权益登记日基金总份额百分之十或以上的基金份额持有人认为有</w:t>
      </w:r>
      <w:r>
        <w:rPr>
          <w:spacing w:val="-8"/>
          <w:sz w:val="21"/>
        </w:rPr>
        <w:t>必要召开基金份额持有人大会的，应当向基金管理人提出书面提议。基金管理人应当自收到</w:t>
      </w:r>
      <w:r>
        <w:rPr>
          <w:spacing w:val="-10"/>
          <w:sz w:val="21"/>
        </w:rPr>
        <w:t>书面提议之日起十日内决定是否召集，并书面告知提出提议的基金份额持有人代表和基金托管人。</w:t>
      </w:r>
    </w:p>
    <w:p>
      <w:pPr>
        <w:pStyle w:val="BodyText"/>
        <w:spacing w:line="417" w:lineRule="auto"/>
        <w:ind w:left="658" w:right="1308" w:firstLine="419"/>
        <w:jc w:val="both"/>
      </w:pPr>
      <w:r>
        <w:rPr>
          <w:spacing w:val="-9"/>
        </w:rPr>
        <w:t>基金管理人决定召集的，应当自出具书面决定之日起六十日内召开；基金管理人决定不</w:t>
      </w:r>
      <w:r>
        <w:rPr>
          <w:spacing w:val="-11"/>
        </w:rPr>
        <w:t>召集，代表基金份额百分之十或以上的基金份额持有人仍认为有必要召开的，应当向基金托</w:t>
      </w:r>
      <w:r>
        <w:rPr>
          <w:spacing w:val="-6"/>
        </w:rPr>
        <w:t>管人提出书面提议。</w:t>
      </w:r>
    </w:p>
    <w:p>
      <w:pPr>
        <w:pStyle w:val="BodyText"/>
        <w:spacing w:line="417" w:lineRule="auto"/>
        <w:ind w:left="658" w:right="1309" w:firstLine="419"/>
        <w:jc w:val="both"/>
      </w:pPr>
      <w:r>
        <w:rPr>
          <w:spacing w:val="-7"/>
        </w:rPr>
        <w:t>基金托管人应当自收到书面提议之日起十日内决定是否召集，并书面告知提出提议的基</w:t>
      </w:r>
      <w:r>
        <w:rPr>
          <w:spacing w:val="-10"/>
        </w:rPr>
        <w:t>金份额持有人代表和基金管理人；基金托管人决定召集的，应当自出具书面决定之日起六十</w:t>
      </w:r>
      <w:r>
        <w:rPr>
          <w:spacing w:val="-5"/>
        </w:rPr>
        <w:t>日内召开。</w:t>
      </w:r>
    </w:p>
    <w:p>
      <w:pPr>
        <w:pStyle w:val="ListParagraph"/>
        <w:numPr>
          <w:ilvl w:val="0"/>
          <w:numId w:val="50"/>
        </w:numPr>
        <w:tabs>
          <w:tab w:pos="1607" w:val="left" w:leader="none"/>
        </w:tabs>
        <w:spacing w:line="417" w:lineRule="auto" w:before="0" w:after="0"/>
        <w:ind w:left="658" w:right="1309" w:firstLine="419"/>
        <w:jc w:val="left"/>
        <w:rPr>
          <w:sz w:val="21"/>
        </w:rPr>
      </w:pPr>
      <w:r>
        <w:rPr>
          <w:spacing w:val="-3"/>
          <w:sz w:val="21"/>
        </w:rPr>
        <w:t>基金管理人和基金托管人都不召集基金份额持有人大会的，基金份额持有人可以按照《证券投资基金法》第七十二条第二款的规定自行召集基金份额持有人大会。</w:t>
      </w:r>
    </w:p>
    <w:p>
      <w:pPr>
        <w:pStyle w:val="BodyText"/>
        <w:spacing w:line="417" w:lineRule="auto"/>
        <w:ind w:left="658" w:right="1309" w:firstLine="419"/>
      </w:pPr>
      <w:r>
        <w:rPr>
          <w:spacing w:val="-8"/>
        </w:rPr>
        <w:t>基金份额持有人自行召集基金份额持有人大会的，应当至少提前三十日向中国证监会备案。</w:t>
      </w:r>
    </w:p>
    <w:p>
      <w:pPr>
        <w:pStyle w:val="ListParagraph"/>
        <w:numPr>
          <w:ilvl w:val="0"/>
          <w:numId w:val="50"/>
        </w:numPr>
        <w:tabs>
          <w:tab w:pos="1607" w:val="left" w:leader="none"/>
        </w:tabs>
        <w:spacing w:line="417" w:lineRule="auto" w:before="0" w:after="0"/>
        <w:ind w:left="658" w:right="1309" w:firstLine="419"/>
        <w:jc w:val="left"/>
        <w:rPr>
          <w:sz w:val="21"/>
        </w:rPr>
      </w:pPr>
      <w:r>
        <w:rPr>
          <w:spacing w:val="-3"/>
          <w:sz w:val="21"/>
        </w:rPr>
        <w:t>基金份额持有人依法自行召集基金份额持有人大会的，基金管理人、基金托管人应当配合，不得阻碍、干扰。</w:t>
      </w:r>
    </w:p>
    <w:p>
      <w:pPr>
        <w:pStyle w:val="BodyText"/>
        <w:spacing w:line="269" w:lineRule="exact"/>
        <w:ind w:left="1078"/>
      </w:pPr>
      <w:r>
        <w:rPr>
          <w:rFonts w:ascii="Times New Roman" w:eastAsia="Times New Roman"/>
        </w:rPr>
        <w:t>4</w:t>
      </w:r>
      <w:r>
        <w:rPr/>
        <w:t>、通知</w:t>
      </w:r>
    </w:p>
    <w:p>
      <w:pPr>
        <w:pStyle w:val="BodyText"/>
        <w:spacing w:line="417" w:lineRule="auto" w:before="198"/>
        <w:ind w:left="658" w:right="1308" w:firstLine="419"/>
      </w:pPr>
      <w:r>
        <w:rPr>
          <w:spacing w:val="-9"/>
        </w:rPr>
        <w:t>召开基金份额持有人大会，召集人应在会议召开前三十日，在中国证监会指定媒介公告</w:t>
      </w:r>
      <w:r>
        <w:rPr>
          <w:spacing w:val="-5"/>
        </w:rPr>
        <w:t>通知。基金份额持有人大会通知至少应载明以下内容：</w:t>
      </w:r>
    </w:p>
    <w:p>
      <w:pPr>
        <w:pStyle w:val="ListParagraph"/>
        <w:numPr>
          <w:ilvl w:val="0"/>
          <w:numId w:val="51"/>
        </w:numPr>
        <w:tabs>
          <w:tab w:pos="1607" w:val="left" w:leader="none"/>
        </w:tabs>
        <w:spacing w:line="269" w:lineRule="exact" w:before="0" w:after="0"/>
        <w:ind w:left="1607" w:right="0" w:hanging="529"/>
        <w:jc w:val="left"/>
        <w:rPr>
          <w:sz w:val="21"/>
        </w:rPr>
      </w:pPr>
      <w:r>
        <w:rPr>
          <w:spacing w:val="-3"/>
          <w:sz w:val="21"/>
        </w:rPr>
        <w:t>会议召开的时间、地点和方式；</w:t>
      </w:r>
    </w:p>
    <w:p>
      <w:pPr>
        <w:pStyle w:val="BodyText"/>
        <w:spacing w:before="7"/>
        <w:rPr>
          <w:sz w:val="15"/>
        </w:rPr>
      </w:pPr>
    </w:p>
    <w:p>
      <w:pPr>
        <w:pStyle w:val="ListParagraph"/>
        <w:numPr>
          <w:ilvl w:val="0"/>
          <w:numId w:val="51"/>
        </w:numPr>
        <w:tabs>
          <w:tab w:pos="1607" w:val="left" w:leader="none"/>
        </w:tabs>
        <w:spacing w:line="240" w:lineRule="auto" w:before="0" w:after="0"/>
        <w:ind w:left="1607" w:right="0" w:hanging="529"/>
        <w:jc w:val="left"/>
        <w:rPr>
          <w:sz w:val="21"/>
        </w:rPr>
      </w:pPr>
      <w:r>
        <w:rPr>
          <w:spacing w:val="-3"/>
          <w:sz w:val="21"/>
        </w:rPr>
        <w:t>会议拟审议的主要事项；</w:t>
      </w:r>
    </w:p>
    <w:p>
      <w:pPr>
        <w:pStyle w:val="BodyText"/>
        <w:spacing w:before="6"/>
        <w:rPr>
          <w:sz w:val="15"/>
        </w:rPr>
      </w:pPr>
    </w:p>
    <w:p>
      <w:pPr>
        <w:pStyle w:val="ListParagraph"/>
        <w:numPr>
          <w:ilvl w:val="0"/>
          <w:numId w:val="51"/>
        </w:numPr>
        <w:tabs>
          <w:tab w:pos="1607" w:val="left" w:leader="none"/>
        </w:tabs>
        <w:spacing w:line="240" w:lineRule="auto" w:before="1" w:after="0"/>
        <w:ind w:left="1607" w:right="0" w:hanging="529"/>
        <w:jc w:val="left"/>
        <w:rPr>
          <w:sz w:val="21"/>
        </w:rPr>
      </w:pPr>
      <w:r>
        <w:rPr>
          <w:spacing w:val="-3"/>
          <w:sz w:val="21"/>
        </w:rPr>
        <w:t>会议的议事程序；</w:t>
      </w:r>
    </w:p>
    <w:p>
      <w:pPr>
        <w:pStyle w:val="BodyText"/>
        <w:spacing w:before="6"/>
        <w:rPr>
          <w:sz w:val="15"/>
        </w:rPr>
      </w:pPr>
    </w:p>
    <w:p>
      <w:pPr>
        <w:pStyle w:val="ListParagraph"/>
        <w:numPr>
          <w:ilvl w:val="0"/>
          <w:numId w:val="51"/>
        </w:numPr>
        <w:tabs>
          <w:tab w:pos="1607" w:val="left" w:leader="none"/>
        </w:tabs>
        <w:spacing w:line="240" w:lineRule="auto" w:before="0" w:after="0"/>
        <w:ind w:left="1607" w:right="0" w:hanging="529"/>
        <w:jc w:val="left"/>
        <w:rPr>
          <w:sz w:val="21"/>
        </w:rPr>
      </w:pPr>
      <w:r>
        <w:rPr>
          <w:spacing w:val="-3"/>
          <w:sz w:val="21"/>
        </w:rPr>
        <w:t>会议的表决方式；</w:t>
      </w:r>
    </w:p>
    <w:p>
      <w:pPr>
        <w:pStyle w:val="BodyText"/>
        <w:spacing w:before="7"/>
        <w:rPr>
          <w:sz w:val="15"/>
        </w:rPr>
      </w:pPr>
    </w:p>
    <w:p>
      <w:pPr>
        <w:pStyle w:val="ListParagraph"/>
        <w:numPr>
          <w:ilvl w:val="0"/>
          <w:numId w:val="51"/>
        </w:numPr>
        <w:tabs>
          <w:tab w:pos="1607" w:val="left" w:leader="none"/>
        </w:tabs>
        <w:spacing w:line="240" w:lineRule="auto" w:before="0" w:after="0"/>
        <w:ind w:left="1607" w:right="0" w:hanging="529"/>
        <w:jc w:val="left"/>
        <w:rPr>
          <w:sz w:val="21"/>
        </w:rPr>
      </w:pPr>
      <w:r>
        <w:rPr>
          <w:spacing w:val="-3"/>
          <w:sz w:val="21"/>
        </w:rPr>
        <w:t>有权出席基金份额持有人大会的权益登记日；</w:t>
      </w:r>
    </w:p>
    <w:p>
      <w:pPr>
        <w:pStyle w:val="BodyText"/>
        <w:spacing w:before="7"/>
        <w:rPr>
          <w:sz w:val="15"/>
        </w:rPr>
      </w:pPr>
    </w:p>
    <w:p>
      <w:pPr>
        <w:pStyle w:val="ListParagraph"/>
        <w:numPr>
          <w:ilvl w:val="0"/>
          <w:numId w:val="51"/>
        </w:numPr>
        <w:tabs>
          <w:tab w:pos="1607" w:val="left" w:leader="none"/>
        </w:tabs>
        <w:spacing w:line="240" w:lineRule="auto" w:before="0" w:after="0"/>
        <w:ind w:left="1607" w:right="0" w:hanging="529"/>
        <w:jc w:val="left"/>
        <w:rPr>
          <w:sz w:val="21"/>
        </w:rPr>
      </w:pPr>
      <w:r>
        <w:rPr>
          <w:spacing w:val="-3"/>
          <w:sz w:val="21"/>
        </w:rPr>
        <w:t>代理投票授权委托书送达时间和地点；</w:t>
      </w:r>
    </w:p>
    <w:p>
      <w:pPr>
        <w:pStyle w:val="BodyText"/>
        <w:spacing w:before="6"/>
        <w:rPr>
          <w:sz w:val="15"/>
        </w:rPr>
      </w:pPr>
    </w:p>
    <w:p>
      <w:pPr>
        <w:pStyle w:val="ListParagraph"/>
        <w:numPr>
          <w:ilvl w:val="0"/>
          <w:numId w:val="51"/>
        </w:numPr>
        <w:tabs>
          <w:tab w:pos="1607" w:val="left" w:leader="none"/>
        </w:tabs>
        <w:spacing w:line="240" w:lineRule="auto" w:before="1" w:after="0"/>
        <w:ind w:left="1607" w:right="0" w:hanging="529"/>
        <w:jc w:val="left"/>
        <w:rPr>
          <w:sz w:val="21"/>
        </w:rPr>
      </w:pPr>
      <w:r>
        <w:rPr>
          <w:spacing w:val="-3"/>
          <w:sz w:val="21"/>
        </w:rPr>
        <w:t>会务常设联系人姓名、电话；</w:t>
      </w:r>
    </w:p>
    <w:p>
      <w:pPr>
        <w:pStyle w:val="BodyText"/>
        <w:spacing w:before="6"/>
        <w:rPr>
          <w:sz w:val="15"/>
        </w:rPr>
      </w:pPr>
    </w:p>
    <w:p>
      <w:pPr>
        <w:pStyle w:val="ListParagraph"/>
        <w:numPr>
          <w:ilvl w:val="0"/>
          <w:numId w:val="51"/>
        </w:numPr>
        <w:tabs>
          <w:tab w:pos="1607" w:val="left" w:leader="none"/>
        </w:tabs>
        <w:spacing w:line="240" w:lineRule="auto" w:before="0" w:after="0"/>
        <w:ind w:left="1607" w:right="0" w:hanging="529"/>
        <w:jc w:val="left"/>
        <w:rPr>
          <w:sz w:val="21"/>
        </w:rPr>
      </w:pPr>
      <w:r>
        <w:rPr>
          <w:spacing w:val="-3"/>
          <w:sz w:val="21"/>
        </w:rPr>
        <w:t>召集人需要通知的其他事项。</w:t>
      </w:r>
    </w:p>
    <w:p>
      <w:pPr>
        <w:pStyle w:val="BodyText"/>
        <w:spacing w:before="7"/>
        <w:rPr>
          <w:sz w:val="15"/>
        </w:rPr>
      </w:pPr>
    </w:p>
    <w:p>
      <w:pPr>
        <w:pStyle w:val="BodyText"/>
        <w:spacing w:line="417" w:lineRule="auto" w:before="1"/>
        <w:ind w:left="658" w:right="1205" w:firstLine="419"/>
      </w:pPr>
      <w:r>
        <w:rPr>
          <w:spacing w:val="-9"/>
        </w:rPr>
        <w:t>若采取通讯方式开会并进行表决，会议通知中还应说明本次基金份额持有人大会所采取</w:t>
      </w:r>
      <w:r>
        <w:rPr>
          <w:spacing w:val="-17"/>
        </w:rPr>
        <w:t>的具体通讯方式、委托的公证机关及其联系方式和联系人、书面表决意见的寄交和收取方式。</w:t>
      </w:r>
    </w:p>
    <w:p>
      <w:pPr>
        <w:spacing w:after="0" w:line="417" w:lineRule="auto"/>
        <w:sectPr>
          <w:pgSz w:w="11910" w:h="16840"/>
          <w:pgMar w:header="852" w:footer="992" w:top="1220" w:bottom="1180" w:left="1140" w:right="480"/>
        </w:sectPr>
      </w:pPr>
    </w:p>
    <w:p>
      <w:pPr>
        <w:pStyle w:val="BodyText"/>
        <w:spacing w:before="7"/>
        <w:rPr>
          <w:sz w:val="18"/>
        </w:rPr>
      </w:pPr>
    </w:p>
    <w:p>
      <w:pPr>
        <w:pStyle w:val="BodyText"/>
        <w:spacing w:before="78"/>
        <w:ind w:left="1078"/>
      </w:pPr>
      <w:r>
        <w:rPr>
          <w:rFonts w:ascii="Times New Roman" w:eastAsia="Times New Roman"/>
        </w:rPr>
        <w:t>5</w:t>
      </w:r>
      <w:r>
        <w:rPr/>
        <w:t>、召开方式</w:t>
      </w:r>
    </w:p>
    <w:p>
      <w:pPr>
        <w:pStyle w:val="BodyText"/>
        <w:spacing w:before="7"/>
        <w:rPr>
          <w:sz w:val="15"/>
        </w:rPr>
      </w:pPr>
    </w:p>
    <w:p>
      <w:pPr>
        <w:pStyle w:val="BodyText"/>
        <w:spacing w:line="417" w:lineRule="auto"/>
        <w:ind w:left="658" w:right="1309" w:firstLine="419"/>
      </w:pPr>
      <w:r>
        <w:rPr>
          <w:spacing w:val="-8"/>
        </w:rPr>
        <w:t>基金份额持有人大会可以采取现场方式召开，也可以采取通讯等方式召开。会议的召开</w:t>
      </w:r>
      <w:r>
        <w:rPr>
          <w:spacing w:val="-5"/>
        </w:rPr>
        <w:t>方式由召集人确定。</w:t>
      </w:r>
    </w:p>
    <w:p>
      <w:pPr>
        <w:pStyle w:val="BodyText"/>
        <w:spacing w:line="417" w:lineRule="auto"/>
        <w:ind w:left="658" w:right="1309" w:firstLine="419"/>
        <w:jc w:val="both"/>
      </w:pPr>
      <w:r>
        <w:rPr>
          <w:spacing w:val="-6"/>
        </w:rPr>
        <w:t>基金份额持有人大会应当有代表百分之五十以上基金份额的持有人参加方可召开，但确</w:t>
      </w:r>
      <w:r>
        <w:rPr>
          <w:spacing w:val="-7"/>
        </w:rPr>
        <w:t>定有权出席会议的基金份额持有人资格的权益登记日不应发生变化。就共同事由召开的基金</w:t>
      </w:r>
      <w:r>
        <w:rPr>
          <w:spacing w:val="-12"/>
        </w:rPr>
        <w:t>份额持有人大会，基金总份额指本系列基金的基金总份额。就单独事由召开的基金份额持有</w:t>
      </w:r>
      <w:r>
        <w:rPr>
          <w:spacing w:val="-6"/>
        </w:rPr>
        <w:t>人大会，基金总份额指涉及该单项事由的该只基金的基金总份额。</w:t>
      </w:r>
    </w:p>
    <w:p>
      <w:pPr>
        <w:pStyle w:val="ListParagraph"/>
        <w:numPr>
          <w:ilvl w:val="0"/>
          <w:numId w:val="52"/>
        </w:numPr>
        <w:tabs>
          <w:tab w:pos="1607" w:val="left" w:leader="none"/>
        </w:tabs>
        <w:spacing w:line="417" w:lineRule="auto" w:before="0" w:after="0"/>
        <w:ind w:left="658" w:right="1309" w:firstLine="419"/>
        <w:jc w:val="left"/>
        <w:rPr>
          <w:sz w:val="21"/>
        </w:rPr>
      </w:pPr>
      <w:r>
        <w:rPr>
          <w:spacing w:val="-3"/>
          <w:sz w:val="21"/>
        </w:rPr>
        <w:t>现场开会。由基金份额持有人本人出席或以代理投票授权委托书委派代表出席， 现场开会时基金管理人和基金托管人的授权代表应当列席基金份额持有人大会。</w:t>
      </w:r>
    </w:p>
    <w:p>
      <w:pPr>
        <w:pStyle w:val="BodyText"/>
        <w:spacing w:line="417" w:lineRule="auto"/>
        <w:ind w:left="658" w:right="1208" w:firstLine="419"/>
      </w:pPr>
      <w:r>
        <w:rPr/>
        <w:t>亲自出席会议者应持有基金份额的凭证</w:t>
      </w:r>
      <w:r>
        <w:rPr>
          <w:rFonts w:ascii="Times New Roman" w:eastAsia="Times New Roman"/>
        </w:rPr>
        <w:t>,</w:t>
      </w:r>
      <w:r>
        <w:rPr/>
        <w:t>受托出席会议者应出具的委托人持有基金份额的凭证及委托人的代理投票授权委托书应符合法律、法规、本基金合同和会议通知的规定。</w:t>
      </w:r>
    </w:p>
    <w:p>
      <w:pPr>
        <w:pStyle w:val="ListParagraph"/>
        <w:numPr>
          <w:ilvl w:val="0"/>
          <w:numId w:val="52"/>
        </w:numPr>
        <w:tabs>
          <w:tab w:pos="1607" w:val="left" w:leader="none"/>
        </w:tabs>
        <w:spacing w:line="417" w:lineRule="auto" w:before="0" w:after="0"/>
        <w:ind w:left="1078" w:right="3637" w:firstLine="0"/>
        <w:jc w:val="left"/>
        <w:rPr>
          <w:sz w:val="21"/>
        </w:rPr>
      </w:pPr>
      <w:r>
        <w:rPr>
          <w:spacing w:val="-3"/>
          <w:sz w:val="21"/>
        </w:rPr>
        <w:t>通讯方式开会。通讯方式开会应以书面方式进行表决。在符合以下条件时，通讯开会的方式视为有效：</w:t>
      </w:r>
    </w:p>
    <w:p>
      <w:pPr>
        <w:pStyle w:val="BodyText"/>
        <w:spacing w:line="269" w:lineRule="exact"/>
        <w:ind w:left="1078"/>
      </w:pPr>
      <w:r>
        <w:rPr>
          <w:spacing w:val="-3"/>
        </w:rPr>
        <w:t>①召集人应按本基金合同规定公告会议通知；</w:t>
      </w:r>
    </w:p>
    <w:p>
      <w:pPr>
        <w:pStyle w:val="BodyText"/>
        <w:spacing w:before="6"/>
        <w:rPr>
          <w:sz w:val="15"/>
        </w:rPr>
      </w:pPr>
    </w:p>
    <w:p>
      <w:pPr>
        <w:pStyle w:val="BodyText"/>
        <w:spacing w:line="417" w:lineRule="auto"/>
        <w:ind w:left="658" w:right="1310" w:firstLine="419"/>
      </w:pPr>
      <w:r>
        <w:rPr>
          <w:spacing w:val="-6"/>
        </w:rPr>
        <w:t>②召集人在基金托管人</w:t>
      </w:r>
      <w:r>
        <w:rPr>
          <w:spacing w:val="-3"/>
        </w:rPr>
        <w:t>（</w:t>
      </w:r>
      <w:r>
        <w:rPr>
          <w:spacing w:val="-6"/>
        </w:rPr>
        <w:t>如果基金托管人为召集人，则为基金管理人</w:t>
      </w:r>
      <w:r>
        <w:rPr>
          <w:spacing w:val="-29"/>
        </w:rPr>
        <w:t>）</w:t>
      </w:r>
      <w:r>
        <w:rPr>
          <w:spacing w:val="-3"/>
        </w:rPr>
        <w:t>和公证机关的监督下按照会议通知规定的方式收取基金份额持有人的书面表决意见；</w:t>
      </w:r>
    </w:p>
    <w:p>
      <w:pPr>
        <w:pStyle w:val="BodyText"/>
        <w:spacing w:line="417" w:lineRule="auto"/>
        <w:ind w:left="658" w:right="1308" w:firstLine="419"/>
        <w:jc w:val="both"/>
      </w:pPr>
      <w:r>
        <w:rPr>
          <w:spacing w:val="-6"/>
        </w:rPr>
        <w:t>③直接出具书面意见的基金份额持有人或受托代表他人出具书面意见的代理人，提交的</w:t>
      </w:r>
      <w:r>
        <w:rPr>
          <w:spacing w:val="-12"/>
        </w:rPr>
        <w:t>持有基金份额的凭证、受托出席会议者出具的委托人持有基金份额的凭证及委托人的代理投</w:t>
      </w:r>
      <w:r>
        <w:rPr>
          <w:spacing w:val="-6"/>
        </w:rPr>
        <w:t>票授权委托书应符合法律、法规、本基金合同和会议通知的规定；</w:t>
      </w:r>
    </w:p>
    <w:p>
      <w:pPr>
        <w:pStyle w:val="BodyText"/>
        <w:spacing w:line="269" w:lineRule="exact"/>
        <w:ind w:left="1078"/>
      </w:pPr>
      <w:r>
        <w:rPr>
          <w:rFonts w:ascii="Times New Roman" w:eastAsia="Times New Roman"/>
        </w:rPr>
        <w:t>6</w:t>
      </w:r>
      <w:r>
        <w:rPr/>
        <w:t>、议事内容与程序</w:t>
      </w:r>
    </w:p>
    <w:p>
      <w:pPr>
        <w:pStyle w:val="ListParagraph"/>
        <w:numPr>
          <w:ilvl w:val="0"/>
          <w:numId w:val="53"/>
        </w:numPr>
        <w:tabs>
          <w:tab w:pos="1607" w:val="left" w:leader="none"/>
        </w:tabs>
        <w:spacing w:line="240" w:lineRule="auto" w:before="100" w:after="0"/>
        <w:ind w:left="1607" w:right="0" w:hanging="529"/>
        <w:jc w:val="left"/>
        <w:rPr>
          <w:sz w:val="21"/>
        </w:rPr>
      </w:pPr>
      <w:r>
        <w:rPr>
          <w:spacing w:val="-3"/>
          <w:sz w:val="21"/>
        </w:rPr>
        <w:t>议事内容及提案权</w:t>
      </w:r>
    </w:p>
    <w:p>
      <w:pPr>
        <w:pStyle w:val="BodyText"/>
        <w:spacing w:line="364" w:lineRule="auto" w:before="140"/>
        <w:ind w:left="658" w:right="1204" w:firstLine="419"/>
      </w:pPr>
      <w:r>
        <w:rPr>
          <w:spacing w:val="-4"/>
        </w:rPr>
        <w:t>议事内容为关系基金份额持有人利益的重大事项，如决定终止基金、更换基金管理人、</w:t>
      </w:r>
      <w:r>
        <w:rPr>
          <w:spacing w:val="-12"/>
        </w:rPr>
        <w:t>更换基金托管人、与其他基金合并以及召集人认为需提交基金份额持有人大会讨论的其他事项。</w:t>
      </w:r>
    </w:p>
    <w:p>
      <w:pPr>
        <w:pStyle w:val="BodyText"/>
        <w:spacing w:before="98"/>
        <w:ind w:left="1078"/>
      </w:pPr>
      <w:r>
        <w:rPr/>
        <w:t>基金份额持有人大会不得对未事先公告的议事内容进行表决。</w:t>
      </w:r>
    </w:p>
    <w:p>
      <w:pPr>
        <w:pStyle w:val="BodyText"/>
        <w:spacing w:before="6"/>
        <w:rPr>
          <w:sz w:val="15"/>
        </w:rPr>
      </w:pPr>
    </w:p>
    <w:p>
      <w:pPr>
        <w:pStyle w:val="BodyText"/>
        <w:spacing w:line="417" w:lineRule="auto"/>
        <w:ind w:left="658" w:right="1308" w:firstLine="419"/>
        <w:jc w:val="both"/>
      </w:pPr>
      <w:r>
        <w:rPr>
          <w:spacing w:val="-7"/>
        </w:rPr>
        <w:t>基金份额持有人大会的召集人发出召集会议的通知后，对原有提案的修改应当在基金份</w:t>
      </w:r>
      <w:r>
        <w:rPr>
          <w:spacing w:val="-10"/>
        </w:rPr>
        <w:t>额持有人大会召开日前三十日公告。否则，会议的召开日期应当顺延并保证至少有三十日的</w:t>
      </w:r>
      <w:r>
        <w:rPr>
          <w:spacing w:val="-6"/>
        </w:rPr>
        <w:t>间隔期。</w:t>
      </w:r>
    </w:p>
    <w:p>
      <w:pPr>
        <w:pStyle w:val="BodyText"/>
        <w:spacing w:line="417" w:lineRule="auto"/>
        <w:ind w:left="658" w:right="1309" w:firstLine="419"/>
      </w:pPr>
      <w:r>
        <w:rPr>
          <w:spacing w:val="-12"/>
        </w:rPr>
        <w:t>基金管理人、基金托管人、单独或合并持有权益登记日基金总份额百分之十或以上的基</w:t>
      </w:r>
      <w:r>
        <w:rPr>
          <w:spacing w:val="-8"/>
        </w:rPr>
        <w:t>金份额持有人可以在大会召集人发出会议通知前就共同事由</w:t>
      </w:r>
      <w:r>
        <w:rPr/>
        <w:t>（</w:t>
      </w:r>
      <w:r>
        <w:rPr>
          <w:spacing w:val="-3"/>
        </w:rPr>
        <w:t>单独事由</w:t>
      </w:r>
      <w:r>
        <w:rPr>
          <w:spacing w:val="-44"/>
        </w:rPr>
        <w:t>）</w:t>
      </w:r>
      <w:r>
        <w:rPr>
          <w:spacing w:val="-3"/>
        </w:rPr>
        <w:t>向大会召集人提交</w:t>
      </w:r>
    </w:p>
    <w:p>
      <w:pPr>
        <w:spacing w:after="0" w:line="417" w:lineRule="auto"/>
        <w:sectPr>
          <w:pgSz w:w="11910" w:h="16840"/>
          <w:pgMar w:header="852" w:footer="992" w:top="1220" w:bottom="1180" w:left="1140" w:right="480"/>
        </w:sectPr>
      </w:pPr>
    </w:p>
    <w:p>
      <w:pPr>
        <w:pStyle w:val="BodyText"/>
        <w:spacing w:before="1"/>
        <w:rPr>
          <w:sz w:val="19"/>
        </w:rPr>
      </w:pPr>
    </w:p>
    <w:p>
      <w:pPr>
        <w:pStyle w:val="BodyText"/>
        <w:spacing w:before="71"/>
        <w:ind w:left="658"/>
      </w:pPr>
      <w:r>
        <w:rPr/>
        <w:t>需由基金份额持有人大会审议表决的提案。</w:t>
      </w:r>
    </w:p>
    <w:p>
      <w:pPr>
        <w:pStyle w:val="BodyText"/>
        <w:spacing w:before="7"/>
        <w:rPr>
          <w:sz w:val="15"/>
        </w:rPr>
      </w:pPr>
    </w:p>
    <w:p>
      <w:pPr>
        <w:pStyle w:val="BodyText"/>
        <w:ind w:left="1078"/>
      </w:pPr>
      <w:r>
        <w:rPr/>
        <w:t>对于基金份额持有人提交的提案，大会召集人应当按照以下原则对提案进行审核：</w:t>
      </w:r>
    </w:p>
    <w:p>
      <w:pPr>
        <w:pStyle w:val="BodyText"/>
        <w:spacing w:before="7"/>
        <w:rPr>
          <w:sz w:val="15"/>
        </w:rPr>
      </w:pPr>
    </w:p>
    <w:p>
      <w:pPr>
        <w:pStyle w:val="BodyText"/>
        <w:spacing w:line="417" w:lineRule="auto"/>
        <w:ind w:left="658" w:right="1309" w:firstLine="419"/>
        <w:jc w:val="both"/>
      </w:pPr>
      <w:r>
        <w:rPr>
          <w:spacing w:val="-10"/>
        </w:rPr>
        <w:t>①关联性。大会召集人对于基金份额持有人提案涉及事项与基金有直接关系，并且不超</w:t>
      </w:r>
      <w:r>
        <w:rPr>
          <w:spacing w:val="-11"/>
        </w:rPr>
        <w:t>出法律、法规和基金合同规定的基金份额持有人大会职权范围的，应提交大会审议；对于不</w:t>
      </w:r>
      <w:r>
        <w:rPr>
          <w:spacing w:val="-12"/>
        </w:rPr>
        <w:t>符合上述要求的，不提交基金份额持有人大会审议。如果召集人决定不将基金份额持有人提</w:t>
      </w:r>
      <w:r>
        <w:rPr>
          <w:spacing w:val="-6"/>
        </w:rPr>
        <w:t>案提交大会表决，应当在该次基金份额持有人大会上进行解释和说明。</w:t>
      </w:r>
    </w:p>
    <w:p>
      <w:pPr>
        <w:pStyle w:val="BodyText"/>
        <w:spacing w:line="417" w:lineRule="auto"/>
        <w:ind w:left="658" w:right="1309" w:firstLine="419"/>
        <w:jc w:val="both"/>
      </w:pPr>
      <w:r>
        <w:rPr>
          <w:spacing w:val="-9"/>
        </w:rPr>
        <w:t>②程序性。大会召集人可以对基金份额持有人的提案涉及的程序性问题做出决定。如将</w:t>
      </w:r>
      <w:r>
        <w:rPr>
          <w:spacing w:val="-10"/>
        </w:rPr>
        <w:t>其提案进行分拆或合并表决，需征得原提案人同意；原提案人不同意变更的，大会主持人可</w:t>
      </w:r>
      <w:r>
        <w:rPr>
          <w:spacing w:val="-9"/>
        </w:rPr>
        <w:t>以就程序性问题提请基金份额持有人大会做出决定，并按照基金份额持有人大会决定的程序</w:t>
      </w:r>
      <w:r>
        <w:rPr>
          <w:spacing w:val="-5"/>
        </w:rPr>
        <w:t>进行审议。</w:t>
      </w:r>
    </w:p>
    <w:p>
      <w:pPr>
        <w:pStyle w:val="ListParagraph"/>
        <w:numPr>
          <w:ilvl w:val="0"/>
          <w:numId w:val="53"/>
        </w:numPr>
        <w:tabs>
          <w:tab w:pos="1607" w:val="left" w:leader="none"/>
        </w:tabs>
        <w:spacing w:line="240" w:lineRule="auto" w:before="0" w:after="0"/>
        <w:ind w:left="1607" w:right="0" w:hanging="529"/>
        <w:jc w:val="left"/>
        <w:rPr>
          <w:sz w:val="21"/>
        </w:rPr>
      </w:pPr>
      <w:r>
        <w:rPr>
          <w:spacing w:val="-2"/>
          <w:sz w:val="21"/>
        </w:rPr>
        <w:t>议事程序</w:t>
      </w:r>
    </w:p>
    <w:p>
      <w:pPr>
        <w:pStyle w:val="BodyText"/>
        <w:spacing w:before="6"/>
        <w:rPr>
          <w:sz w:val="15"/>
        </w:rPr>
      </w:pPr>
    </w:p>
    <w:p>
      <w:pPr>
        <w:pStyle w:val="BodyText"/>
        <w:ind w:left="1078"/>
      </w:pPr>
      <w:r>
        <w:rPr/>
        <w:t>①现场开会</w:t>
      </w:r>
    </w:p>
    <w:p>
      <w:pPr>
        <w:pStyle w:val="BodyText"/>
        <w:spacing w:before="6"/>
        <w:rPr>
          <w:sz w:val="15"/>
        </w:rPr>
      </w:pPr>
    </w:p>
    <w:p>
      <w:pPr>
        <w:pStyle w:val="BodyText"/>
        <w:spacing w:line="417" w:lineRule="auto" w:before="1"/>
        <w:ind w:left="658" w:right="1203" w:firstLine="419"/>
      </w:pPr>
      <w:r>
        <w:rPr>
          <w:spacing w:val="-3"/>
        </w:rPr>
        <w:t>大会主持人为基金管理人授权出席会议的代表，在基金管理人未能主持大会的情况下， 由基金托管人授权其出席会议的代表主持；如果基金管理人和基金托管人均未能主持大会， </w:t>
      </w:r>
      <w:r>
        <w:rPr>
          <w:spacing w:val="-5"/>
        </w:rPr>
        <w:t>则由出席大会的基金份额持有人以所代表的基金份额百分之五十以上</w:t>
      </w:r>
      <w:r>
        <w:rPr/>
        <w:t>（</w:t>
      </w:r>
      <w:r>
        <w:rPr>
          <w:spacing w:val="-3"/>
        </w:rPr>
        <w:t>不含百分之五十</w:t>
      </w:r>
      <w:r>
        <w:rPr>
          <w:spacing w:val="-46"/>
        </w:rPr>
        <w:t>）</w:t>
      </w:r>
      <w:r>
        <w:rPr/>
        <w:t>多</w:t>
      </w:r>
      <w:r>
        <w:rPr>
          <w:spacing w:val="-3"/>
        </w:rPr>
        <w:t>数选举产生一名基金份额持有人作为该次基金份额持有人大会的主持人。</w:t>
      </w:r>
    </w:p>
    <w:p>
      <w:pPr>
        <w:pStyle w:val="BodyText"/>
        <w:spacing w:line="417" w:lineRule="auto"/>
        <w:ind w:left="658" w:right="1309" w:firstLine="419"/>
      </w:pPr>
      <w:r>
        <w:rPr>
          <w:spacing w:val="-7"/>
        </w:rPr>
        <w:t>在现场开会的方式下，首先由大会主持人按照下列第</w:t>
      </w:r>
      <w:r>
        <w:rPr>
          <w:spacing w:val="-3"/>
        </w:rPr>
        <w:t>（</w:t>
      </w:r>
      <w:r>
        <w:rPr/>
        <w:t>八</w:t>
      </w:r>
      <w:r>
        <w:rPr>
          <w:spacing w:val="-32"/>
        </w:rPr>
        <w:t>）</w:t>
      </w:r>
      <w:r>
        <w:rPr>
          <w:spacing w:val="-3"/>
        </w:rPr>
        <w:t>款规定程序确定和公布监票人，然后由大会主持人宣读提案，经讨论后进行表决，并形成大会决议。</w:t>
      </w:r>
    </w:p>
    <w:p>
      <w:pPr>
        <w:pStyle w:val="BodyText"/>
        <w:spacing w:line="269" w:lineRule="exact"/>
        <w:ind w:left="1078"/>
      </w:pPr>
      <w:r>
        <w:rPr/>
        <w:t>②通讯方式开会</w:t>
      </w:r>
    </w:p>
    <w:p>
      <w:pPr>
        <w:pStyle w:val="BodyText"/>
        <w:spacing w:before="6"/>
        <w:rPr>
          <w:sz w:val="15"/>
        </w:rPr>
      </w:pPr>
    </w:p>
    <w:p>
      <w:pPr>
        <w:pStyle w:val="BodyText"/>
        <w:spacing w:line="417" w:lineRule="auto"/>
        <w:ind w:left="658" w:right="1308" w:firstLine="419"/>
      </w:pPr>
      <w:r>
        <w:rPr>
          <w:spacing w:val="-9"/>
        </w:rPr>
        <w:t>在通讯方式开会的情况下，由召集人提前三十日公布提案，在所通知的表决截止日期第</w:t>
      </w:r>
      <w:r>
        <w:rPr>
          <w:spacing w:val="-5"/>
        </w:rPr>
        <w:t>二天统计全部有效表决，在公证机构监督下形成决议。</w:t>
      </w:r>
    </w:p>
    <w:p>
      <w:pPr>
        <w:pStyle w:val="BodyText"/>
        <w:ind w:left="1078"/>
      </w:pPr>
      <w:r>
        <w:rPr>
          <w:rFonts w:ascii="Times New Roman" w:eastAsia="Times New Roman"/>
        </w:rPr>
        <w:t>7</w:t>
      </w:r>
      <w:r>
        <w:rPr/>
        <w:t>、表决</w:t>
      </w:r>
    </w:p>
    <w:p>
      <w:pPr>
        <w:pStyle w:val="BodyText"/>
        <w:spacing w:before="7"/>
        <w:rPr>
          <w:sz w:val="15"/>
        </w:rPr>
      </w:pPr>
    </w:p>
    <w:p>
      <w:pPr>
        <w:pStyle w:val="ListParagraph"/>
        <w:numPr>
          <w:ilvl w:val="0"/>
          <w:numId w:val="54"/>
        </w:numPr>
        <w:tabs>
          <w:tab w:pos="1607" w:val="left" w:leader="none"/>
        </w:tabs>
        <w:spacing w:line="240" w:lineRule="auto" w:before="0" w:after="0"/>
        <w:ind w:left="1607" w:right="0" w:hanging="529"/>
        <w:jc w:val="left"/>
        <w:rPr>
          <w:sz w:val="21"/>
        </w:rPr>
      </w:pPr>
      <w:r>
        <w:rPr>
          <w:spacing w:val="-3"/>
          <w:sz w:val="21"/>
        </w:rPr>
        <w:t>基金份额持有人所持每份基金份额有一票表决权。</w:t>
      </w:r>
    </w:p>
    <w:p>
      <w:pPr>
        <w:pStyle w:val="BodyText"/>
        <w:spacing w:before="7"/>
        <w:rPr>
          <w:sz w:val="15"/>
        </w:rPr>
      </w:pPr>
    </w:p>
    <w:p>
      <w:pPr>
        <w:pStyle w:val="ListParagraph"/>
        <w:numPr>
          <w:ilvl w:val="0"/>
          <w:numId w:val="54"/>
        </w:numPr>
        <w:tabs>
          <w:tab w:pos="1607" w:val="left" w:leader="none"/>
        </w:tabs>
        <w:spacing w:line="240" w:lineRule="auto" w:before="0" w:after="0"/>
        <w:ind w:left="1607" w:right="0" w:hanging="529"/>
        <w:jc w:val="left"/>
        <w:rPr>
          <w:sz w:val="21"/>
        </w:rPr>
      </w:pPr>
      <w:r>
        <w:rPr>
          <w:spacing w:val="-3"/>
          <w:sz w:val="21"/>
        </w:rPr>
        <w:t>基金份额持有人大会决议分为一般决议和特别决议：</w:t>
      </w:r>
    </w:p>
    <w:p>
      <w:pPr>
        <w:pStyle w:val="BodyText"/>
        <w:spacing w:before="6"/>
        <w:rPr>
          <w:sz w:val="15"/>
        </w:rPr>
      </w:pPr>
    </w:p>
    <w:p>
      <w:pPr>
        <w:pStyle w:val="BodyText"/>
        <w:spacing w:line="417" w:lineRule="auto" w:before="1"/>
        <w:ind w:left="658" w:right="1203" w:firstLine="419"/>
      </w:pPr>
      <w:r>
        <w:rPr>
          <w:spacing w:val="-12"/>
        </w:rPr>
        <w:t>①一般决议，对于共同事由的一般决议须经出席会议的基金份额持有人所持表决权的百分之五十以上</w:t>
      </w:r>
      <w:r>
        <w:rPr/>
        <w:t>（</w:t>
      </w:r>
      <w:r>
        <w:rPr>
          <w:spacing w:val="-3"/>
        </w:rPr>
        <w:t>不含百分之五十</w:t>
      </w:r>
      <w:r>
        <w:rPr>
          <w:spacing w:val="-32"/>
        </w:rPr>
        <w:t>）</w:t>
      </w:r>
      <w:r>
        <w:rPr>
          <w:spacing w:val="-7"/>
        </w:rPr>
        <w:t>通过方为有效，对于单独事由的一般决议须经出席会议的</w:t>
      </w:r>
      <w:r>
        <w:rPr>
          <w:spacing w:val="-5"/>
        </w:rPr>
        <w:t>该单独事由涉及的基金的基金份额持有人所持表决权的百分之五十以上</w:t>
      </w:r>
      <w:r>
        <w:rPr/>
        <w:t>（</w:t>
      </w:r>
      <w:r>
        <w:rPr>
          <w:spacing w:val="-3"/>
        </w:rPr>
        <w:t>不含百分之五十</w:t>
      </w:r>
      <w:r>
        <w:rPr/>
        <w:t>） </w:t>
      </w:r>
      <w:r>
        <w:rPr>
          <w:spacing w:val="-12"/>
        </w:rPr>
        <w:t>通过方为有效；除下列②所规定的须以特别决议通过事项以外的其他事项均以一般决议的方</w:t>
      </w:r>
      <w:r>
        <w:rPr>
          <w:spacing w:val="-7"/>
        </w:rPr>
        <w:t>式通过。</w:t>
      </w:r>
    </w:p>
    <w:p>
      <w:pPr>
        <w:pStyle w:val="BodyText"/>
        <w:spacing w:line="269" w:lineRule="exact"/>
        <w:ind w:left="1078"/>
      </w:pPr>
      <w:r>
        <w:rPr/>
        <w:t>②特别决议，对于共同事由的特别决议须经代表权益登记日基金总份额的百分之五十以</w:t>
      </w:r>
    </w:p>
    <w:p>
      <w:pPr>
        <w:spacing w:after="0" w:line="269" w:lineRule="exact"/>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8"/>
        <w:jc w:val="both"/>
      </w:pPr>
      <w:r>
        <w:rPr>
          <w:spacing w:val="-29"/>
        </w:rPr>
        <w:t>上</w:t>
      </w:r>
      <w:r>
        <w:rPr>
          <w:spacing w:val="-3"/>
        </w:rPr>
        <w:t>（不含百分之五十</w:t>
      </w:r>
      <w:r>
        <w:rPr>
          <w:spacing w:val="-32"/>
        </w:rPr>
        <w:t>）</w:t>
      </w:r>
      <w:r>
        <w:rPr>
          <w:spacing w:val="-7"/>
        </w:rPr>
        <w:t>通过方可做出，对于单独事由的特别决议须经代表权益登记日该单独事由所涉及的基金总份额的百分之五十以上</w:t>
      </w:r>
      <w:r>
        <w:rPr/>
        <w:t>（</w:t>
      </w:r>
      <w:r>
        <w:rPr>
          <w:spacing w:val="-3"/>
        </w:rPr>
        <w:t>不含百分之五十</w:t>
      </w:r>
      <w:r>
        <w:rPr>
          <w:spacing w:val="-32"/>
        </w:rPr>
        <w:t>）</w:t>
      </w:r>
      <w:r>
        <w:rPr>
          <w:spacing w:val="-7"/>
        </w:rPr>
        <w:t>通过方可做出。更换基金管</w:t>
      </w:r>
      <w:r>
        <w:rPr>
          <w:spacing w:val="-11"/>
        </w:rPr>
        <w:t>理人、更换基金托管人、决定终止基金等重大事项必须以特别决议通过方为有效，但法律法</w:t>
      </w:r>
      <w:r>
        <w:rPr>
          <w:spacing w:val="-6"/>
        </w:rPr>
        <w:t>规、本基金合同另有约定的除外。</w:t>
      </w:r>
    </w:p>
    <w:p>
      <w:pPr>
        <w:pStyle w:val="ListParagraph"/>
        <w:numPr>
          <w:ilvl w:val="0"/>
          <w:numId w:val="54"/>
        </w:numPr>
        <w:tabs>
          <w:tab w:pos="1607" w:val="left" w:leader="none"/>
        </w:tabs>
        <w:spacing w:line="268" w:lineRule="exact" w:before="0" w:after="0"/>
        <w:ind w:left="1607" w:right="0" w:hanging="529"/>
        <w:jc w:val="left"/>
        <w:rPr>
          <w:sz w:val="21"/>
        </w:rPr>
      </w:pPr>
      <w:r>
        <w:rPr>
          <w:spacing w:val="-3"/>
          <w:sz w:val="21"/>
        </w:rPr>
        <w:t>基金份额持有人大会采取记名方式进行投票表决。</w:t>
      </w:r>
    </w:p>
    <w:p>
      <w:pPr>
        <w:pStyle w:val="BodyText"/>
        <w:spacing w:before="7"/>
        <w:rPr>
          <w:sz w:val="15"/>
        </w:rPr>
      </w:pPr>
    </w:p>
    <w:p>
      <w:pPr>
        <w:pStyle w:val="ListParagraph"/>
        <w:numPr>
          <w:ilvl w:val="0"/>
          <w:numId w:val="54"/>
        </w:numPr>
        <w:tabs>
          <w:tab w:pos="1607" w:val="left" w:leader="none"/>
        </w:tabs>
        <w:spacing w:line="417" w:lineRule="auto" w:before="0" w:after="0"/>
        <w:ind w:left="658" w:right="1309" w:firstLine="419"/>
        <w:jc w:val="left"/>
        <w:rPr>
          <w:sz w:val="21"/>
        </w:rPr>
      </w:pPr>
      <w:r>
        <w:rPr>
          <w:spacing w:val="-3"/>
          <w:sz w:val="21"/>
        </w:rPr>
        <w:t>采取通讯方式进行表决时，除非有充分相反证据证明，否则其表面符合法律法规和会议通知规定的书面表决意见视为有效表决。意见模糊或相互矛盾的视为无效表决。</w:t>
      </w:r>
    </w:p>
    <w:p>
      <w:pPr>
        <w:pStyle w:val="ListParagraph"/>
        <w:numPr>
          <w:ilvl w:val="0"/>
          <w:numId w:val="54"/>
        </w:numPr>
        <w:tabs>
          <w:tab w:pos="1607" w:val="left" w:leader="none"/>
        </w:tabs>
        <w:spacing w:line="417" w:lineRule="auto" w:before="0" w:after="0"/>
        <w:ind w:left="658" w:right="1309" w:firstLine="419"/>
        <w:jc w:val="left"/>
        <w:rPr>
          <w:sz w:val="21"/>
        </w:rPr>
      </w:pPr>
      <w:r>
        <w:rPr>
          <w:spacing w:val="-3"/>
          <w:sz w:val="21"/>
        </w:rPr>
        <w:t>基金份额持有人大会的各项提案或同一项提案内并列的各项议题应当分开审议、逐项表决。</w:t>
      </w:r>
    </w:p>
    <w:p>
      <w:pPr>
        <w:pStyle w:val="BodyText"/>
        <w:spacing w:line="269" w:lineRule="exact"/>
        <w:ind w:left="1078"/>
      </w:pPr>
      <w:r>
        <w:rPr>
          <w:rFonts w:ascii="Times New Roman" w:eastAsia="Times New Roman"/>
        </w:rPr>
        <w:t>8</w:t>
      </w:r>
      <w:r>
        <w:rPr/>
        <w:t>、计票</w:t>
      </w:r>
    </w:p>
    <w:p>
      <w:pPr>
        <w:pStyle w:val="BodyText"/>
        <w:spacing w:before="7"/>
        <w:rPr>
          <w:sz w:val="15"/>
        </w:rPr>
      </w:pPr>
    </w:p>
    <w:p>
      <w:pPr>
        <w:pStyle w:val="ListParagraph"/>
        <w:numPr>
          <w:ilvl w:val="0"/>
          <w:numId w:val="55"/>
        </w:numPr>
        <w:tabs>
          <w:tab w:pos="1607" w:val="left" w:leader="none"/>
        </w:tabs>
        <w:spacing w:line="240" w:lineRule="auto" w:before="0" w:after="0"/>
        <w:ind w:left="1607" w:right="0" w:hanging="529"/>
        <w:jc w:val="left"/>
        <w:rPr>
          <w:sz w:val="21"/>
        </w:rPr>
      </w:pPr>
      <w:r>
        <w:rPr>
          <w:spacing w:val="-2"/>
          <w:sz w:val="21"/>
        </w:rPr>
        <w:t>现场开会</w:t>
      </w:r>
    </w:p>
    <w:p>
      <w:pPr>
        <w:pStyle w:val="BodyText"/>
        <w:spacing w:before="7"/>
        <w:rPr>
          <w:sz w:val="15"/>
        </w:rPr>
      </w:pPr>
    </w:p>
    <w:p>
      <w:pPr>
        <w:pStyle w:val="BodyText"/>
        <w:spacing w:line="417" w:lineRule="auto"/>
        <w:ind w:left="658" w:right="1310" w:firstLine="419"/>
        <w:jc w:val="both"/>
      </w:pPr>
      <w:r>
        <w:rPr>
          <w:spacing w:val="-7"/>
        </w:rPr>
        <w:t>①如基金份额持有人大会由基金管理人或基金托管人召集，基金份额持有人大会的主持人应当在会议开始后宣布在出席会议的基金份额持有人中选举两名基金份额持有人代表与</w:t>
      </w:r>
      <w:r>
        <w:rPr>
          <w:spacing w:val="-9"/>
        </w:rPr>
        <w:t>大会召集人授权的一名监督员共同担任监票人；如大会由基金份额持有人自行召集，基金份额持有人大会的主持人应当在会议开始后宣布在出席会议的基金份额持有人中选举三名基</w:t>
      </w:r>
      <w:r>
        <w:rPr>
          <w:spacing w:val="-5"/>
        </w:rPr>
        <w:t>金份额持有人代表担任监票人；</w:t>
      </w:r>
    </w:p>
    <w:p>
      <w:pPr>
        <w:pStyle w:val="BodyText"/>
        <w:spacing w:line="269" w:lineRule="exact"/>
        <w:ind w:left="1078"/>
      </w:pPr>
      <w:r>
        <w:rPr/>
        <w:t>②监票人应在基金份额持有人表决后立即进行清点并由大会主持人当场公布计票结果；</w:t>
      </w:r>
    </w:p>
    <w:p>
      <w:pPr>
        <w:pStyle w:val="BodyText"/>
        <w:spacing w:before="6"/>
        <w:rPr>
          <w:sz w:val="15"/>
        </w:rPr>
      </w:pPr>
    </w:p>
    <w:p>
      <w:pPr>
        <w:pStyle w:val="BodyText"/>
        <w:spacing w:line="417" w:lineRule="auto" w:before="1"/>
        <w:ind w:left="658" w:right="1309" w:firstLine="419"/>
        <w:jc w:val="both"/>
      </w:pPr>
      <w:r>
        <w:rPr>
          <w:spacing w:val="-8"/>
        </w:rPr>
        <w:t>③如果会议主持人对于提交的表决结果有怀疑，可以对所投票数进行重新清点；如果会</w:t>
      </w:r>
      <w:r>
        <w:rPr>
          <w:spacing w:val="-12"/>
        </w:rPr>
        <w:t>议主持人未进行重新清点，而出席会议的基金份额持有人或者基金份额持有人代理人对会议</w:t>
      </w:r>
      <w:r>
        <w:rPr>
          <w:spacing w:val="-11"/>
        </w:rPr>
        <w:t>主持人宣布的表决结果有异议，其有权在宣布表决结果后立即要求重新清点，会议主持人应</w:t>
      </w:r>
      <w:r>
        <w:rPr>
          <w:spacing w:val="-6"/>
        </w:rPr>
        <w:t>当立即重新清点并公布重新清点结果。</w:t>
      </w:r>
    </w:p>
    <w:p>
      <w:pPr>
        <w:pStyle w:val="ListParagraph"/>
        <w:numPr>
          <w:ilvl w:val="0"/>
          <w:numId w:val="55"/>
        </w:numPr>
        <w:tabs>
          <w:tab w:pos="1607" w:val="left" w:leader="none"/>
        </w:tabs>
        <w:spacing w:line="240" w:lineRule="auto" w:before="0" w:after="0"/>
        <w:ind w:left="1607" w:right="0" w:hanging="529"/>
        <w:jc w:val="left"/>
        <w:rPr>
          <w:sz w:val="21"/>
        </w:rPr>
      </w:pPr>
      <w:r>
        <w:rPr>
          <w:spacing w:val="-3"/>
          <w:sz w:val="21"/>
        </w:rPr>
        <w:t>通讯方式开会</w:t>
      </w:r>
    </w:p>
    <w:p>
      <w:pPr>
        <w:pStyle w:val="BodyText"/>
        <w:spacing w:before="6"/>
        <w:rPr>
          <w:sz w:val="15"/>
        </w:rPr>
      </w:pPr>
    </w:p>
    <w:p>
      <w:pPr>
        <w:pStyle w:val="BodyText"/>
        <w:spacing w:line="417" w:lineRule="auto"/>
        <w:ind w:left="658" w:right="1309" w:firstLine="419"/>
      </w:pPr>
      <w:r>
        <w:rPr>
          <w:spacing w:val="-10"/>
        </w:rPr>
        <w:t>在通讯方式开会的情况下，计票方式为：由大会召集人授权的两名监督员在基金托管人</w:t>
      </w:r>
      <w:r>
        <w:rPr>
          <w:spacing w:val="-5"/>
        </w:rPr>
        <w:t>授权代表的监督下进行计票，并由公证机关对其计票过程予以公证。</w:t>
      </w:r>
    </w:p>
    <w:p>
      <w:pPr>
        <w:pStyle w:val="BodyText"/>
        <w:spacing w:line="269" w:lineRule="exact"/>
        <w:ind w:left="1078"/>
      </w:pPr>
      <w:r>
        <w:rPr>
          <w:rFonts w:ascii="Times New Roman" w:eastAsia="Times New Roman"/>
        </w:rPr>
        <w:t>9</w:t>
      </w:r>
      <w:r>
        <w:rPr/>
        <w:t>、生效与公告</w:t>
      </w:r>
    </w:p>
    <w:p>
      <w:pPr>
        <w:pStyle w:val="BodyText"/>
        <w:spacing w:before="7"/>
        <w:rPr>
          <w:sz w:val="15"/>
        </w:rPr>
      </w:pPr>
    </w:p>
    <w:p>
      <w:pPr>
        <w:pStyle w:val="BodyText"/>
        <w:spacing w:line="417" w:lineRule="auto"/>
        <w:ind w:left="658" w:right="1310" w:firstLine="419"/>
      </w:pPr>
      <w:r>
        <w:rPr/>
        <w:t>基金份额持有人大会决议自表决通过之日起五日内报中国证监会或其他有权机构核准或者备案，自其核准之日或相关核准另行确定的日期或出具无异议意见之日起生效。</w:t>
      </w:r>
    </w:p>
    <w:p>
      <w:pPr>
        <w:pStyle w:val="BodyText"/>
        <w:spacing w:line="417" w:lineRule="auto"/>
        <w:ind w:left="1078" w:right="2480"/>
      </w:pPr>
      <w:r>
        <w:rPr/>
        <w:t>生效的基金份额持有人大会决议对全体基金份额持有人均有法律约束力。基金份额持有人大会决议自生效之日起五个工作日内在指定媒介公告。</w:t>
      </w:r>
    </w:p>
    <w:p>
      <w:pPr>
        <w:pStyle w:val="BodyText"/>
        <w:ind w:left="1078"/>
      </w:pPr>
      <w:r>
        <w:rPr/>
        <w:t>法律法规或监管机关对基金份额持有人大会有关事项另有规定的，从其规定。</w:t>
      </w:r>
    </w:p>
    <w:p>
      <w:pPr>
        <w:spacing w:after="0"/>
        <w:sectPr>
          <w:pgSz w:w="11910" w:h="16840"/>
          <w:pgMar w:header="852" w:footer="992" w:top="1220" w:bottom="1180" w:left="1140" w:right="480"/>
        </w:sectPr>
      </w:pPr>
    </w:p>
    <w:p>
      <w:pPr>
        <w:pStyle w:val="BodyText"/>
        <w:rPr>
          <w:sz w:val="20"/>
        </w:rPr>
      </w:pPr>
    </w:p>
    <w:p>
      <w:pPr>
        <w:pStyle w:val="BodyText"/>
        <w:rPr>
          <w:sz w:val="20"/>
        </w:rPr>
      </w:pPr>
    </w:p>
    <w:p>
      <w:pPr>
        <w:pStyle w:val="BodyText"/>
        <w:spacing w:before="7"/>
        <w:rPr>
          <w:sz w:val="15"/>
        </w:rPr>
      </w:pPr>
    </w:p>
    <w:p>
      <w:pPr>
        <w:spacing w:before="72"/>
        <w:ind w:left="658" w:right="0" w:firstLine="0"/>
        <w:jc w:val="left"/>
        <w:rPr>
          <w:b/>
          <w:sz w:val="21"/>
        </w:rPr>
      </w:pPr>
      <w:r>
        <w:rPr>
          <w:b/>
          <w:sz w:val="21"/>
        </w:rPr>
        <w:t>（三）基金合同的终止和基金财产的清算</w:t>
      </w:r>
    </w:p>
    <w:p>
      <w:pPr>
        <w:pStyle w:val="BodyText"/>
        <w:spacing w:before="101"/>
        <w:ind w:left="761"/>
      </w:pPr>
      <w:r>
        <w:rPr>
          <w:rFonts w:ascii="Times New Roman" w:eastAsia="Times New Roman"/>
        </w:rPr>
        <w:t>1</w:t>
      </w:r>
      <w:r>
        <w:rPr/>
        <w:t>、基金的终止</w:t>
      </w:r>
    </w:p>
    <w:p>
      <w:pPr>
        <w:pStyle w:val="BodyText"/>
        <w:spacing w:before="6"/>
        <w:rPr>
          <w:sz w:val="18"/>
        </w:rPr>
      </w:pPr>
    </w:p>
    <w:p>
      <w:pPr>
        <w:pStyle w:val="BodyText"/>
        <w:ind w:left="1078"/>
      </w:pPr>
      <w:r>
        <w:rPr/>
        <w:t>在本系列基金的存续期内，出现下列情形之一时，该基金经中国证监会批准后将终止：</w:t>
      </w:r>
    </w:p>
    <w:p>
      <w:pPr>
        <w:pStyle w:val="BodyText"/>
        <w:spacing w:before="4"/>
        <w:rPr>
          <w:sz w:val="15"/>
        </w:rPr>
      </w:pPr>
    </w:p>
    <w:p>
      <w:pPr>
        <w:pStyle w:val="ListParagraph"/>
        <w:numPr>
          <w:ilvl w:val="1"/>
          <w:numId w:val="55"/>
        </w:numPr>
        <w:tabs>
          <w:tab w:pos="1978" w:val="left" w:leader="none"/>
        </w:tabs>
        <w:spacing w:line="240" w:lineRule="auto" w:before="0" w:after="0"/>
        <w:ind w:left="1978" w:right="0" w:hanging="720"/>
        <w:jc w:val="both"/>
        <w:rPr>
          <w:sz w:val="21"/>
        </w:rPr>
      </w:pPr>
      <w:r>
        <w:rPr>
          <w:spacing w:val="-3"/>
          <w:position w:val="1"/>
          <w:sz w:val="21"/>
        </w:rPr>
        <w:t>因重大违法、违规行为，基金被中国证监会责令终止；</w:t>
      </w:r>
    </w:p>
    <w:p>
      <w:pPr>
        <w:pStyle w:val="BodyText"/>
        <w:spacing w:before="7"/>
        <w:rPr>
          <w:sz w:val="15"/>
        </w:rPr>
      </w:pPr>
    </w:p>
    <w:p>
      <w:pPr>
        <w:pStyle w:val="ListParagraph"/>
        <w:numPr>
          <w:ilvl w:val="1"/>
          <w:numId w:val="55"/>
        </w:numPr>
        <w:tabs>
          <w:tab w:pos="1978" w:val="left" w:leader="none"/>
        </w:tabs>
        <w:spacing w:line="240" w:lineRule="auto" w:before="0" w:after="0"/>
        <w:ind w:left="1978" w:right="0" w:hanging="720"/>
        <w:jc w:val="both"/>
        <w:rPr>
          <w:sz w:val="21"/>
        </w:rPr>
      </w:pPr>
      <w:r>
        <w:rPr>
          <w:spacing w:val="-3"/>
          <w:position w:val="1"/>
          <w:sz w:val="21"/>
        </w:rPr>
        <w:t>基金经持有人大会表决终止；</w:t>
      </w:r>
    </w:p>
    <w:p>
      <w:pPr>
        <w:pStyle w:val="BodyText"/>
        <w:spacing w:before="7"/>
        <w:rPr>
          <w:sz w:val="15"/>
        </w:rPr>
      </w:pPr>
    </w:p>
    <w:p>
      <w:pPr>
        <w:pStyle w:val="ListParagraph"/>
        <w:numPr>
          <w:ilvl w:val="1"/>
          <w:numId w:val="55"/>
        </w:numPr>
        <w:tabs>
          <w:tab w:pos="1978" w:val="left" w:leader="none"/>
        </w:tabs>
        <w:spacing w:line="420" w:lineRule="auto" w:before="0" w:after="0"/>
        <w:ind w:left="1978" w:right="1315" w:hanging="720"/>
        <w:jc w:val="both"/>
        <w:rPr>
          <w:sz w:val="21"/>
        </w:rPr>
      </w:pPr>
      <w:r>
        <w:rPr>
          <w:spacing w:val="-1"/>
          <w:position w:val="1"/>
          <w:sz w:val="21"/>
        </w:rPr>
        <w:t>基金管理人因解散、破产、撤销等事由，不能继续担任基金管理人的职务， </w:t>
      </w:r>
      <w:r>
        <w:rPr>
          <w:spacing w:val="-3"/>
          <w:sz w:val="21"/>
        </w:rPr>
        <w:t>而无其他适当的基金管理人承受其原有权利及义务；</w:t>
      </w:r>
    </w:p>
    <w:p>
      <w:pPr>
        <w:pStyle w:val="ListParagraph"/>
        <w:numPr>
          <w:ilvl w:val="1"/>
          <w:numId w:val="55"/>
        </w:numPr>
        <w:tabs>
          <w:tab w:pos="1978" w:val="left" w:leader="none"/>
        </w:tabs>
        <w:spacing w:line="420" w:lineRule="auto" w:before="0" w:after="0"/>
        <w:ind w:left="1978" w:right="1315" w:hanging="720"/>
        <w:jc w:val="both"/>
        <w:rPr>
          <w:sz w:val="21"/>
        </w:rPr>
      </w:pPr>
      <w:r>
        <w:rPr>
          <w:spacing w:val="-1"/>
          <w:position w:val="1"/>
          <w:sz w:val="21"/>
        </w:rPr>
        <w:t>基金托管人因解散、破产、撤销等事由，不能继续担任基金托管人的职务， </w:t>
      </w:r>
      <w:r>
        <w:rPr>
          <w:spacing w:val="-3"/>
          <w:sz w:val="21"/>
        </w:rPr>
        <w:t>而无其他适当的基金托管人承受其原有权利及义务；</w:t>
      </w:r>
    </w:p>
    <w:p>
      <w:pPr>
        <w:pStyle w:val="ListParagraph"/>
        <w:numPr>
          <w:ilvl w:val="1"/>
          <w:numId w:val="55"/>
        </w:numPr>
        <w:tabs>
          <w:tab w:pos="1978" w:val="left" w:leader="none"/>
        </w:tabs>
        <w:spacing w:line="263" w:lineRule="exact" w:before="0" w:after="0"/>
        <w:ind w:left="1978" w:right="0" w:hanging="720"/>
        <w:jc w:val="both"/>
        <w:rPr>
          <w:sz w:val="21"/>
        </w:rPr>
      </w:pPr>
      <w:r>
        <w:rPr>
          <w:spacing w:val="-3"/>
          <w:position w:val="1"/>
          <w:sz w:val="21"/>
        </w:rPr>
        <w:t>若本系列基金下各基金全部终止，则本系列基金终止；</w:t>
      </w:r>
    </w:p>
    <w:p>
      <w:pPr>
        <w:pStyle w:val="ListParagraph"/>
        <w:numPr>
          <w:ilvl w:val="1"/>
          <w:numId w:val="55"/>
        </w:numPr>
        <w:tabs>
          <w:tab w:pos="1978" w:val="left" w:leader="none"/>
        </w:tabs>
        <w:spacing w:line="417" w:lineRule="auto" w:before="194" w:after="0"/>
        <w:ind w:left="1978" w:right="1315" w:hanging="720"/>
        <w:jc w:val="both"/>
        <w:rPr>
          <w:sz w:val="21"/>
        </w:rPr>
      </w:pPr>
      <w:r>
        <w:rPr>
          <w:spacing w:val="-1"/>
          <w:position w:val="1"/>
          <w:sz w:val="21"/>
        </w:rPr>
        <w:t>若本系列基金仅剩余一只基金，而基金管理人在一年内未能增加一只以上基</w:t>
      </w:r>
      <w:r>
        <w:rPr>
          <w:spacing w:val="-1"/>
          <w:sz w:val="21"/>
        </w:rPr>
        <w:t>金，达到系列结构下至少两只基金的要求，则本系列基金终止，剩余的基金</w:t>
      </w:r>
      <w:r>
        <w:rPr>
          <w:spacing w:val="-3"/>
          <w:sz w:val="21"/>
        </w:rPr>
        <w:t>作为单独基金存续；</w:t>
      </w:r>
    </w:p>
    <w:p>
      <w:pPr>
        <w:pStyle w:val="ListParagraph"/>
        <w:numPr>
          <w:ilvl w:val="1"/>
          <w:numId w:val="55"/>
        </w:numPr>
        <w:tabs>
          <w:tab w:pos="1978" w:val="left" w:leader="none"/>
        </w:tabs>
        <w:spacing w:line="240" w:lineRule="auto" w:before="0" w:after="0"/>
        <w:ind w:left="1978" w:right="0" w:hanging="720"/>
        <w:jc w:val="both"/>
        <w:rPr>
          <w:sz w:val="21"/>
        </w:rPr>
      </w:pPr>
      <w:r>
        <w:rPr>
          <w:spacing w:val="-3"/>
          <w:position w:val="1"/>
          <w:sz w:val="21"/>
        </w:rPr>
        <w:t>法律、法规和规章规定或中国证监会允许的其他情况。</w:t>
      </w:r>
    </w:p>
    <w:p>
      <w:pPr>
        <w:pStyle w:val="BodyText"/>
        <w:spacing w:line="364" w:lineRule="auto" w:before="103"/>
        <w:ind w:left="658" w:right="1309" w:firstLine="419"/>
        <w:jc w:val="both"/>
      </w:pPr>
      <w:r>
        <w:rPr>
          <w:spacing w:val="-10"/>
        </w:rPr>
        <w:t>自基金终止之日，与基金有关的所有交易应立即停止。在基金清算小组组成并接管基金</w:t>
      </w:r>
      <w:r>
        <w:rPr>
          <w:spacing w:val="-12"/>
        </w:rPr>
        <w:t>财产之前，基金管理人和基金托管人应按照本基金合同和托管协议的规定继续履行保护基金</w:t>
      </w:r>
      <w:r>
        <w:rPr>
          <w:spacing w:val="-6"/>
        </w:rPr>
        <w:t>财产安全的职责。</w:t>
      </w:r>
    </w:p>
    <w:p>
      <w:pPr>
        <w:pStyle w:val="BodyText"/>
        <w:spacing w:line="269" w:lineRule="exact"/>
        <w:ind w:left="1078"/>
      </w:pPr>
      <w:r>
        <w:rPr>
          <w:rFonts w:ascii="Times New Roman" w:eastAsia="Times New Roman"/>
        </w:rPr>
        <w:t>2</w:t>
      </w:r>
      <w:r>
        <w:rPr/>
        <w:t>、基金清算小组</w:t>
      </w:r>
    </w:p>
    <w:p>
      <w:pPr>
        <w:pStyle w:val="ListParagraph"/>
        <w:numPr>
          <w:ilvl w:val="0"/>
          <w:numId w:val="56"/>
        </w:numPr>
        <w:tabs>
          <w:tab w:pos="1605" w:val="left" w:leader="none"/>
        </w:tabs>
        <w:spacing w:line="364" w:lineRule="auto" w:before="139" w:after="0"/>
        <w:ind w:left="658" w:right="1308" w:firstLine="419"/>
        <w:jc w:val="both"/>
        <w:rPr>
          <w:sz w:val="21"/>
        </w:rPr>
      </w:pPr>
      <w:r>
        <w:rPr>
          <w:spacing w:val="-9"/>
          <w:sz w:val="21"/>
        </w:rPr>
        <w:t>基金终止之日起 </w:t>
      </w:r>
      <w:r>
        <w:rPr>
          <w:rFonts w:ascii="Times New Roman" w:eastAsia="Times New Roman"/>
          <w:sz w:val="21"/>
        </w:rPr>
        <w:t>30</w:t>
      </w:r>
      <w:r>
        <w:rPr>
          <w:rFonts w:ascii="Times New Roman" w:eastAsia="Times New Roman"/>
          <w:spacing w:val="4"/>
          <w:sz w:val="21"/>
        </w:rPr>
        <w:t> </w:t>
      </w:r>
      <w:r>
        <w:rPr>
          <w:spacing w:val="-7"/>
          <w:sz w:val="21"/>
        </w:rPr>
        <w:t>个工作日内成立清算小组，清算小组必须在中国证监会的监督</w:t>
      </w:r>
      <w:r>
        <w:rPr>
          <w:spacing w:val="-5"/>
          <w:sz w:val="21"/>
        </w:rPr>
        <w:t>下进行基金清算；</w:t>
      </w:r>
    </w:p>
    <w:p>
      <w:pPr>
        <w:pStyle w:val="ListParagraph"/>
        <w:numPr>
          <w:ilvl w:val="0"/>
          <w:numId w:val="56"/>
        </w:numPr>
        <w:tabs>
          <w:tab w:pos="1607" w:val="left" w:leader="none"/>
        </w:tabs>
        <w:spacing w:line="364" w:lineRule="auto" w:before="0" w:after="0"/>
        <w:ind w:left="658" w:right="1308" w:firstLine="419"/>
        <w:jc w:val="both"/>
        <w:rPr>
          <w:sz w:val="21"/>
        </w:rPr>
      </w:pPr>
      <w:r>
        <w:rPr>
          <w:spacing w:val="-3"/>
          <w:sz w:val="21"/>
        </w:rPr>
        <w:t>基金清算小组成员由基金管理人、基金托管人、具有证券从业资格的注册会计师</w:t>
      </w:r>
      <w:r>
        <w:rPr>
          <w:spacing w:val="-10"/>
          <w:sz w:val="21"/>
        </w:rPr>
        <w:t>事务所、律师事务所以及中国证监会指定的人员组成。基金管理人、基金托管人以及上述会</w:t>
      </w:r>
      <w:r>
        <w:rPr>
          <w:spacing w:val="-6"/>
          <w:sz w:val="21"/>
        </w:rPr>
        <w:t>计师事务所和律师事务所应在该基金终止之日起 </w:t>
      </w:r>
      <w:r>
        <w:rPr>
          <w:rFonts w:ascii="Times New Roman" w:eastAsia="Times New Roman"/>
          <w:sz w:val="21"/>
        </w:rPr>
        <w:t>15</w:t>
      </w:r>
      <w:r>
        <w:rPr>
          <w:rFonts w:ascii="Times New Roman" w:eastAsia="Times New Roman"/>
          <w:spacing w:val="25"/>
          <w:sz w:val="21"/>
        </w:rPr>
        <w:t> </w:t>
      </w:r>
      <w:r>
        <w:rPr>
          <w:spacing w:val="-3"/>
          <w:sz w:val="21"/>
        </w:rPr>
        <w:t>个工作日内将本方参加清算小组的具体人员名单函告其他各方。基金清算小组可以聘请必要的工作人员；</w:t>
      </w:r>
    </w:p>
    <w:p>
      <w:pPr>
        <w:pStyle w:val="ListParagraph"/>
        <w:numPr>
          <w:ilvl w:val="0"/>
          <w:numId w:val="56"/>
        </w:numPr>
        <w:tabs>
          <w:tab w:pos="1607" w:val="left" w:leader="none"/>
        </w:tabs>
        <w:spacing w:line="367" w:lineRule="auto" w:before="0" w:after="0"/>
        <w:ind w:left="658" w:right="1311" w:firstLine="419"/>
        <w:jc w:val="left"/>
        <w:rPr>
          <w:sz w:val="21"/>
        </w:rPr>
      </w:pPr>
      <w:r>
        <w:rPr>
          <w:spacing w:val="-12"/>
          <w:sz w:val="21"/>
        </w:rPr>
        <w:t>基金清算小组接管基金财产后，负责基金财产的保管、清理、估价、变现和分配 </w:t>
      </w:r>
      <w:r>
        <w:rPr>
          <w:spacing w:val="-3"/>
          <w:sz w:val="21"/>
        </w:rPr>
        <w:t>。基金清算小组可以依法进行必要的民事活动。</w:t>
      </w:r>
    </w:p>
    <w:p>
      <w:pPr>
        <w:pStyle w:val="BodyText"/>
        <w:spacing w:line="264" w:lineRule="exact"/>
        <w:ind w:left="1078"/>
      </w:pPr>
      <w:r>
        <w:rPr>
          <w:rFonts w:ascii="Times New Roman" w:eastAsia="Times New Roman"/>
        </w:rPr>
        <w:t>3</w:t>
      </w:r>
      <w:r>
        <w:rPr/>
        <w:t>、基金清算小组的工作内容</w:t>
      </w:r>
    </w:p>
    <w:p>
      <w:pPr>
        <w:pStyle w:val="ListParagraph"/>
        <w:numPr>
          <w:ilvl w:val="0"/>
          <w:numId w:val="57"/>
        </w:numPr>
        <w:tabs>
          <w:tab w:pos="1607" w:val="left" w:leader="none"/>
        </w:tabs>
        <w:spacing w:line="240" w:lineRule="auto" w:before="136" w:after="0"/>
        <w:ind w:left="1607" w:right="0" w:hanging="529"/>
        <w:jc w:val="left"/>
        <w:rPr>
          <w:sz w:val="21"/>
        </w:rPr>
      </w:pPr>
      <w:r>
        <w:rPr>
          <w:spacing w:val="-3"/>
          <w:sz w:val="21"/>
        </w:rPr>
        <w:t>基金终止后，发布基金清算公告；</w:t>
      </w:r>
    </w:p>
    <w:p>
      <w:pPr>
        <w:pStyle w:val="ListParagraph"/>
        <w:numPr>
          <w:ilvl w:val="0"/>
          <w:numId w:val="57"/>
        </w:numPr>
        <w:tabs>
          <w:tab w:pos="1607" w:val="left" w:leader="none"/>
        </w:tabs>
        <w:spacing w:line="240" w:lineRule="auto" w:before="139" w:after="0"/>
        <w:ind w:left="1607" w:right="0" w:hanging="529"/>
        <w:jc w:val="left"/>
        <w:rPr>
          <w:sz w:val="21"/>
        </w:rPr>
      </w:pPr>
      <w:r>
        <w:rPr>
          <w:spacing w:val="-3"/>
          <w:sz w:val="21"/>
        </w:rPr>
        <w:t>基金清算小组统一接管终止后的基金财产；</w:t>
      </w:r>
    </w:p>
    <w:p>
      <w:pPr>
        <w:pStyle w:val="ListParagraph"/>
        <w:numPr>
          <w:ilvl w:val="0"/>
          <w:numId w:val="57"/>
        </w:numPr>
        <w:tabs>
          <w:tab w:pos="1607" w:val="left" w:leader="none"/>
        </w:tabs>
        <w:spacing w:line="240" w:lineRule="auto" w:before="139" w:after="0"/>
        <w:ind w:left="1607" w:right="0" w:hanging="529"/>
        <w:jc w:val="left"/>
        <w:rPr>
          <w:sz w:val="21"/>
        </w:rPr>
      </w:pPr>
      <w:r>
        <w:rPr>
          <w:spacing w:val="-3"/>
          <w:sz w:val="21"/>
        </w:rPr>
        <w:t>对终止后的基金财产进行清理和确认；</w:t>
      </w:r>
    </w:p>
    <w:p>
      <w:pPr>
        <w:pStyle w:val="ListParagraph"/>
        <w:numPr>
          <w:ilvl w:val="0"/>
          <w:numId w:val="57"/>
        </w:numPr>
        <w:tabs>
          <w:tab w:pos="1607" w:val="left" w:leader="none"/>
        </w:tabs>
        <w:spacing w:line="240" w:lineRule="auto" w:before="141" w:after="0"/>
        <w:ind w:left="1607" w:right="0" w:hanging="529"/>
        <w:jc w:val="left"/>
        <w:rPr>
          <w:sz w:val="21"/>
        </w:rPr>
      </w:pPr>
      <w:r>
        <w:rPr>
          <w:spacing w:val="-3"/>
          <w:sz w:val="21"/>
        </w:rPr>
        <w:t>对终止后的基金财产进行估价；</w:t>
      </w:r>
    </w:p>
    <w:p>
      <w:pPr>
        <w:spacing w:after="0" w:line="240" w:lineRule="auto"/>
        <w:jc w:val="left"/>
        <w:rPr>
          <w:sz w:val="21"/>
        </w:rPr>
        <w:sectPr>
          <w:pgSz w:w="11910" w:h="16840"/>
          <w:pgMar w:header="852" w:footer="992" w:top="1220" w:bottom="1180" w:left="1140" w:right="480"/>
        </w:sectPr>
      </w:pPr>
    </w:p>
    <w:p>
      <w:pPr>
        <w:pStyle w:val="BodyText"/>
        <w:spacing w:before="11"/>
        <w:rPr>
          <w:sz w:val="10"/>
        </w:rPr>
      </w:pPr>
    </w:p>
    <w:p>
      <w:pPr>
        <w:pStyle w:val="ListParagraph"/>
        <w:numPr>
          <w:ilvl w:val="0"/>
          <w:numId w:val="57"/>
        </w:numPr>
        <w:tabs>
          <w:tab w:pos="1607" w:val="left" w:leader="none"/>
        </w:tabs>
        <w:spacing w:line="240" w:lineRule="auto" w:before="78" w:after="0"/>
        <w:ind w:left="1607" w:right="0" w:hanging="529"/>
        <w:jc w:val="left"/>
        <w:rPr>
          <w:sz w:val="21"/>
        </w:rPr>
      </w:pPr>
      <w:r>
        <w:rPr>
          <w:spacing w:val="-3"/>
          <w:sz w:val="21"/>
        </w:rPr>
        <w:t>对基金财产进行变现；</w:t>
      </w:r>
    </w:p>
    <w:p>
      <w:pPr>
        <w:pStyle w:val="ListParagraph"/>
        <w:numPr>
          <w:ilvl w:val="0"/>
          <w:numId w:val="57"/>
        </w:numPr>
        <w:tabs>
          <w:tab w:pos="1607" w:val="left" w:leader="none"/>
        </w:tabs>
        <w:spacing w:line="240" w:lineRule="auto" w:before="139" w:after="0"/>
        <w:ind w:left="1607" w:right="0" w:hanging="529"/>
        <w:jc w:val="left"/>
        <w:rPr>
          <w:sz w:val="21"/>
        </w:rPr>
      </w:pPr>
      <w:r>
        <w:rPr>
          <w:spacing w:val="-3"/>
          <w:sz w:val="21"/>
        </w:rPr>
        <w:t>将基金清算结果报告中国证监会；</w:t>
      </w:r>
    </w:p>
    <w:p>
      <w:pPr>
        <w:pStyle w:val="ListParagraph"/>
        <w:numPr>
          <w:ilvl w:val="0"/>
          <w:numId w:val="57"/>
        </w:numPr>
        <w:tabs>
          <w:tab w:pos="1607" w:val="left" w:leader="none"/>
        </w:tabs>
        <w:spacing w:line="240" w:lineRule="auto" w:before="139" w:after="0"/>
        <w:ind w:left="1607" w:right="0" w:hanging="529"/>
        <w:jc w:val="left"/>
        <w:rPr>
          <w:sz w:val="21"/>
        </w:rPr>
      </w:pPr>
      <w:r>
        <w:rPr>
          <w:spacing w:val="-3"/>
          <w:sz w:val="21"/>
        </w:rPr>
        <w:t>以自身名义参加与基金有关的民事诉讼；</w:t>
      </w:r>
    </w:p>
    <w:p>
      <w:pPr>
        <w:pStyle w:val="ListParagraph"/>
        <w:numPr>
          <w:ilvl w:val="0"/>
          <w:numId w:val="57"/>
        </w:numPr>
        <w:tabs>
          <w:tab w:pos="1607" w:val="left" w:leader="none"/>
        </w:tabs>
        <w:spacing w:line="240" w:lineRule="auto" w:before="141" w:after="0"/>
        <w:ind w:left="1607" w:right="0" w:hanging="529"/>
        <w:jc w:val="left"/>
        <w:rPr>
          <w:sz w:val="21"/>
        </w:rPr>
      </w:pPr>
      <w:r>
        <w:rPr>
          <w:spacing w:val="-3"/>
          <w:sz w:val="21"/>
        </w:rPr>
        <w:t>公布终止后的基金清算结果公告；</w:t>
      </w:r>
    </w:p>
    <w:p>
      <w:pPr>
        <w:pStyle w:val="ListParagraph"/>
        <w:numPr>
          <w:ilvl w:val="0"/>
          <w:numId w:val="57"/>
        </w:numPr>
        <w:tabs>
          <w:tab w:pos="1607" w:val="left" w:leader="none"/>
        </w:tabs>
        <w:spacing w:line="240" w:lineRule="auto" w:before="139" w:after="0"/>
        <w:ind w:left="1607" w:right="0" w:hanging="529"/>
        <w:jc w:val="left"/>
        <w:rPr>
          <w:sz w:val="21"/>
        </w:rPr>
      </w:pPr>
      <w:r>
        <w:rPr>
          <w:spacing w:val="-3"/>
          <w:sz w:val="21"/>
        </w:rPr>
        <w:t>进行终止后的基金剩余资产的分配。</w:t>
      </w:r>
    </w:p>
    <w:p>
      <w:pPr>
        <w:pStyle w:val="BodyText"/>
        <w:spacing w:before="139"/>
        <w:ind w:left="1078"/>
      </w:pPr>
      <w:r>
        <w:rPr>
          <w:rFonts w:ascii="Times New Roman" w:eastAsia="Times New Roman"/>
        </w:rPr>
        <w:t>4</w:t>
      </w:r>
      <w:r>
        <w:rPr/>
        <w:t>、清算费用</w:t>
      </w:r>
    </w:p>
    <w:p>
      <w:pPr>
        <w:pStyle w:val="BodyText"/>
        <w:spacing w:line="367" w:lineRule="auto" w:before="139"/>
        <w:ind w:left="658" w:right="1310" w:firstLine="419"/>
      </w:pPr>
      <w:r>
        <w:rPr>
          <w:spacing w:val="-6"/>
        </w:rPr>
        <w:t>清算费用是指清算小组在进行基金清算过程中发生的所有合理费用，清算费用由清算小</w:t>
      </w:r>
      <w:r>
        <w:rPr>
          <w:spacing w:val="-4"/>
        </w:rPr>
        <w:t>组优先从终止的基金财产中支付。</w:t>
      </w:r>
    </w:p>
    <w:p>
      <w:pPr>
        <w:pStyle w:val="BodyText"/>
        <w:spacing w:line="265" w:lineRule="exact"/>
        <w:ind w:left="1078"/>
      </w:pPr>
      <w:r>
        <w:rPr>
          <w:rFonts w:ascii="Times New Roman" w:eastAsia="Times New Roman"/>
        </w:rPr>
        <w:t>5</w:t>
      </w:r>
      <w:r>
        <w:rPr/>
        <w:t>、基金财产按下列顺序清偿</w:t>
      </w:r>
    </w:p>
    <w:p>
      <w:pPr>
        <w:pStyle w:val="ListParagraph"/>
        <w:numPr>
          <w:ilvl w:val="0"/>
          <w:numId w:val="58"/>
        </w:numPr>
        <w:tabs>
          <w:tab w:pos="1607" w:val="left" w:leader="none"/>
        </w:tabs>
        <w:spacing w:line="240" w:lineRule="auto" w:before="139" w:after="0"/>
        <w:ind w:left="1607" w:right="0" w:hanging="529"/>
        <w:jc w:val="left"/>
        <w:rPr>
          <w:sz w:val="21"/>
        </w:rPr>
      </w:pPr>
      <w:r>
        <w:rPr>
          <w:spacing w:val="-3"/>
          <w:sz w:val="21"/>
        </w:rPr>
        <w:t>支付清算费用；</w:t>
      </w:r>
    </w:p>
    <w:p>
      <w:pPr>
        <w:pStyle w:val="ListParagraph"/>
        <w:numPr>
          <w:ilvl w:val="0"/>
          <w:numId w:val="58"/>
        </w:numPr>
        <w:tabs>
          <w:tab w:pos="1607" w:val="left" w:leader="none"/>
        </w:tabs>
        <w:spacing w:line="240" w:lineRule="auto" w:before="139" w:after="0"/>
        <w:ind w:left="1607" w:right="0" w:hanging="529"/>
        <w:jc w:val="left"/>
        <w:rPr>
          <w:sz w:val="21"/>
        </w:rPr>
      </w:pPr>
      <w:r>
        <w:rPr>
          <w:spacing w:val="-3"/>
          <w:sz w:val="21"/>
        </w:rPr>
        <w:t>交纳所欠税款；</w:t>
      </w:r>
    </w:p>
    <w:p>
      <w:pPr>
        <w:pStyle w:val="ListParagraph"/>
        <w:numPr>
          <w:ilvl w:val="0"/>
          <w:numId w:val="58"/>
        </w:numPr>
        <w:tabs>
          <w:tab w:pos="1607" w:val="left" w:leader="none"/>
        </w:tabs>
        <w:spacing w:line="240" w:lineRule="auto" w:before="139" w:after="0"/>
        <w:ind w:left="1607" w:right="0" w:hanging="529"/>
        <w:jc w:val="left"/>
        <w:rPr>
          <w:sz w:val="21"/>
        </w:rPr>
      </w:pPr>
      <w:r>
        <w:rPr>
          <w:spacing w:val="-3"/>
          <w:sz w:val="21"/>
        </w:rPr>
        <w:t>清偿终止后的基金债务；</w:t>
      </w:r>
    </w:p>
    <w:p>
      <w:pPr>
        <w:pStyle w:val="ListParagraph"/>
        <w:numPr>
          <w:ilvl w:val="0"/>
          <w:numId w:val="58"/>
        </w:numPr>
        <w:tabs>
          <w:tab w:pos="1607" w:val="left" w:leader="none"/>
        </w:tabs>
        <w:spacing w:line="240" w:lineRule="auto" w:before="141" w:after="0"/>
        <w:ind w:left="1607" w:right="0" w:hanging="529"/>
        <w:jc w:val="left"/>
        <w:rPr>
          <w:sz w:val="21"/>
        </w:rPr>
      </w:pPr>
      <w:r>
        <w:rPr>
          <w:spacing w:val="-3"/>
          <w:sz w:val="21"/>
        </w:rPr>
        <w:t>按终止后的基金份额持有人持有的基金份额比例进行分配；</w:t>
      </w:r>
    </w:p>
    <w:p>
      <w:pPr>
        <w:pStyle w:val="BodyText"/>
        <w:spacing w:before="139"/>
        <w:ind w:left="1078"/>
      </w:pPr>
      <w:r>
        <w:rPr/>
        <w:t>该基金财产未按前款 </w:t>
      </w:r>
      <w:r>
        <w:rPr>
          <w:rFonts w:ascii="Times New Roman" w:eastAsia="Times New Roman"/>
        </w:rPr>
        <w:t>1 </w:t>
      </w:r>
      <w:r>
        <w:rPr/>
        <w:t>至 </w:t>
      </w:r>
      <w:r>
        <w:rPr>
          <w:rFonts w:ascii="Times New Roman" w:eastAsia="Times New Roman"/>
        </w:rPr>
        <w:t>3 </w:t>
      </w:r>
      <w:r>
        <w:rPr/>
        <w:t>项规定清偿前，不分配给该基金份额持有人。</w:t>
      </w:r>
    </w:p>
    <w:p>
      <w:pPr>
        <w:pStyle w:val="BodyText"/>
        <w:spacing w:before="139"/>
        <w:ind w:left="1078"/>
      </w:pPr>
      <w:r>
        <w:rPr>
          <w:rFonts w:ascii="Times New Roman" w:eastAsia="Times New Roman"/>
        </w:rPr>
        <w:t>6</w:t>
      </w:r>
      <w:r>
        <w:rPr/>
        <w:t>、基金清算的公告</w:t>
      </w:r>
    </w:p>
    <w:p>
      <w:pPr>
        <w:pStyle w:val="BodyText"/>
        <w:spacing w:before="7"/>
        <w:rPr>
          <w:sz w:val="18"/>
        </w:rPr>
      </w:pPr>
    </w:p>
    <w:p>
      <w:pPr>
        <w:pStyle w:val="BodyText"/>
        <w:ind w:left="1078"/>
      </w:pPr>
      <w:r>
        <w:rPr/>
        <w:t>基金清算公告于基金终止并报中国证监会备案后 </w:t>
      </w:r>
      <w:r>
        <w:rPr>
          <w:rFonts w:ascii="Times New Roman" w:eastAsia="Times New Roman"/>
        </w:rPr>
        <w:t>5 </w:t>
      </w:r>
      <w:r>
        <w:rPr/>
        <w:t>个工作日内公告；清算过程中的有关</w:t>
      </w:r>
    </w:p>
    <w:p>
      <w:pPr>
        <w:pStyle w:val="BodyText"/>
        <w:spacing w:line="460" w:lineRule="atLeast" w:before="8"/>
        <w:ind w:left="658" w:right="1311"/>
      </w:pPr>
      <w:r>
        <w:rPr>
          <w:spacing w:val="-13"/>
        </w:rPr>
        <w:t>重大事项将及时公告；该基金清算结果由基金清算小组经中国证监会批准后在 </w:t>
      </w:r>
      <w:r>
        <w:rPr>
          <w:rFonts w:ascii="Times New Roman" w:eastAsia="Times New Roman"/>
        </w:rPr>
        <w:t>3 </w:t>
      </w:r>
      <w:r>
        <w:rPr>
          <w:spacing w:val="-3"/>
        </w:rPr>
        <w:t>个工作日内公告。</w:t>
      </w:r>
    </w:p>
    <w:p>
      <w:pPr>
        <w:pStyle w:val="BodyText"/>
        <w:spacing w:before="109"/>
        <w:ind w:left="1078"/>
      </w:pPr>
      <w:r>
        <w:rPr>
          <w:rFonts w:ascii="Times New Roman" w:eastAsia="Times New Roman"/>
        </w:rPr>
        <w:t>7</w:t>
      </w:r>
      <w:r>
        <w:rPr/>
        <w:t>、基金清算账册及文件的保存</w:t>
      </w:r>
    </w:p>
    <w:p>
      <w:pPr>
        <w:pStyle w:val="BodyText"/>
        <w:spacing w:before="139"/>
        <w:ind w:left="1078"/>
      </w:pPr>
      <w:r>
        <w:rPr/>
        <w:t>基金清算账册及有关文件由基金托管人按照国家有关规定保存 </w:t>
      </w:r>
      <w:r>
        <w:rPr>
          <w:rFonts w:ascii="Times New Roman" w:eastAsia="Times New Roman"/>
        </w:rPr>
        <w:t>15 </w:t>
      </w:r>
      <w:r>
        <w:rPr/>
        <w:t>年以上。</w:t>
      </w:r>
    </w:p>
    <w:p>
      <w:pPr>
        <w:pStyle w:val="BodyText"/>
        <w:rPr>
          <w:sz w:val="22"/>
        </w:rPr>
      </w:pPr>
    </w:p>
    <w:p>
      <w:pPr>
        <w:pStyle w:val="BodyText"/>
        <w:rPr>
          <w:sz w:val="22"/>
        </w:rPr>
      </w:pPr>
    </w:p>
    <w:p>
      <w:pPr>
        <w:spacing w:before="144"/>
        <w:ind w:left="658" w:right="0" w:firstLine="0"/>
        <w:jc w:val="left"/>
        <w:rPr>
          <w:b/>
          <w:sz w:val="21"/>
        </w:rPr>
      </w:pPr>
      <w:r>
        <w:rPr>
          <w:b/>
          <w:sz w:val="21"/>
        </w:rPr>
        <w:t>（四）争议的处理</w:t>
      </w:r>
    </w:p>
    <w:p>
      <w:pPr>
        <w:pStyle w:val="BodyText"/>
        <w:spacing w:before="6"/>
        <w:rPr>
          <w:b/>
          <w:sz w:val="15"/>
        </w:rPr>
      </w:pPr>
    </w:p>
    <w:p>
      <w:pPr>
        <w:pStyle w:val="BodyText"/>
        <w:spacing w:line="417" w:lineRule="auto" w:before="1"/>
        <w:ind w:left="658" w:right="1308" w:firstLine="419"/>
        <w:jc w:val="both"/>
      </w:pPr>
      <w:r>
        <w:rPr>
          <w:spacing w:val="-9"/>
        </w:rPr>
        <w:t>对于因本协议的订立、内容、履行和解释或与本协议有关的争议，本基金合同当事人应</w:t>
      </w:r>
      <w:r>
        <w:rPr>
          <w:spacing w:val="-11"/>
        </w:rPr>
        <w:t>尽量通过协商、调解途径解决。不愿或者不能通过协商、调解解决的，任何一方均有权将争</w:t>
      </w:r>
      <w:r>
        <w:rPr>
          <w:spacing w:val="-10"/>
        </w:rPr>
        <w:t>议提交中国国际经济贸易仲裁委员会深圳分会，按照中国国际经济贸易仲裁委员会届时有效</w:t>
      </w:r>
      <w:r>
        <w:rPr>
          <w:spacing w:val="-5"/>
        </w:rPr>
        <w:t>的仲裁规则进行仲裁。仲裁裁决是终局的，对当事人均有约束力。</w:t>
      </w:r>
    </w:p>
    <w:p>
      <w:pPr>
        <w:pStyle w:val="BodyText"/>
        <w:rPr>
          <w:sz w:val="20"/>
        </w:rPr>
      </w:pPr>
    </w:p>
    <w:p>
      <w:pPr>
        <w:pStyle w:val="BodyText"/>
        <w:spacing w:before="6"/>
        <w:rPr>
          <w:sz w:val="16"/>
        </w:rPr>
      </w:pPr>
    </w:p>
    <w:p>
      <w:pPr>
        <w:spacing w:before="0"/>
        <w:ind w:left="658" w:right="0" w:firstLine="0"/>
        <w:jc w:val="left"/>
        <w:rPr>
          <w:b/>
          <w:sz w:val="21"/>
        </w:rPr>
      </w:pPr>
      <w:r>
        <w:rPr>
          <w:b/>
          <w:sz w:val="21"/>
        </w:rPr>
        <w:t>（五）基金合同存放地和投资者取得基金合同的方式</w:t>
      </w:r>
    </w:p>
    <w:p>
      <w:pPr>
        <w:pStyle w:val="BodyText"/>
        <w:spacing w:before="7"/>
        <w:rPr>
          <w:b/>
          <w:sz w:val="15"/>
        </w:rPr>
      </w:pPr>
    </w:p>
    <w:p>
      <w:pPr>
        <w:pStyle w:val="BodyText"/>
        <w:spacing w:line="417" w:lineRule="auto"/>
        <w:ind w:left="658" w:right="1309" w:firstLine="419"/>
        <w:jc w:val="both"/>
      </w:pPr>
      <w:r>
        <w:rPr>
          <w:spacing w:val="-9"/>
        </w:rPr>
        <w:t>本基金合同可印制成册，供投资者在基金管理人、基金托管人、销售代理人和注册登记</w:t>
      </w:r>
      <w:r>
        <w:rPr>
          <w:spacing w:val="-12"/>
        </w:rPr>
        <w:t>人办公场所查阅；投资者也可按工本费购买本基金合同复制件或复印件，但应以本基金合同</w:t>
      </w:r>
      <w:r>
        <w:rPr>
          <w:spacing w:val="-6"/>
        </w:rPr>
        <w:t>正本为准。</w:t>
      </w:r>
    </w:p>
    <w:p>
      <w:pPr>
        <w:spacing w:after="0" w:line="417" w:lineRule="auto"/>
        <w:jc w:val="both"/>
        <w:sectPr>
          <w:pgSz w:w="11910" w:h="16840"/>
          <w:pgMar w:header="852" w:footer="992" w:top="1220" w:bottom="1180" w:left="1140" w:right="480"/>
        </w:sectPr>
      </w:pPr>
    </w:p>
    <w:p>
      <w:pPr>
        <w:pStyle w:val="BodyText"/>
        <w:spacing w:before="11"/>
        <w:rPr>
          <w:sz w:val="17"/>
        </w:rPr>
      </w:pPr>
    </w:p>
    <w:p>
      <w:pPr>
        <w:pStyle w:val="Heading1"/>
        <w:spacing w:before="66"/>
        <w:ind w:left="3005"/>
      </w:pPr>
      <w:bookmarkStart w:name="_bookmark25" w:id="26"/>
      <w:bookmarkEnd w:id="26"/>
      <w:r>
        <w:rPr>
          <w:b w:val="0"/>
        </w:rPr>
      </w:r>
      <w:r>
        <w:rPr/>
        <w:t>二十二、基金托管协议的内容摘要</w:t>
      </w:r>
    </w:p>
    <w:p>
      <w:pPr>
        <w:pStyle w:val="BodyText"/>
        <w:rPr>
          <w:b/>
          <w:sz w:val="20"/>
        </w:rPr>
      </w:pPr>
    </w:p>
    <w:p>
      <w:pPr>
        <w:pStyle w:val="BodyText"/>
        <w:spacing w:before="5"/>
        <w:rPr>
          <w:b/>
          <w:sz w:val="17"/>
        </w:rPr>
      </w:pPr>
    </w:p>
    <w:p>
      <w:pPr>
        <w:spacing w:before="72"/>
        <w:ind w:left="658" w:right="0" w:firstLine="0"/>
        <w:jc w:val="left"/>
        <w:rPr>
          <w:b/>
          <w:sz w:val="21"/>
        </w:rPr>
      </w:pPr>
      <w:r>
        <w:rPr>
          <w:b/>
          <w:sz w:val="21"/>
        </w:rPr>
        <w:t>（一）托管协议当事人</w:t>
      </w:r>
    </w:p>
    <w:p>
      <w:pPr>
        <w:pStyle w:val="BodyText"/>
        <w:spacing w:before="6"/>
        <w:rPr>
          <w:b/>
          <w:sz w:val="18"/>
        </w:rPr>
      </w:pPr>
    </w:p>
    <w:p>
      <w:pPr>
        <w:pStyle w:val="BodyText"/>
        <w:spacing w:line="417" w:lineRule="auto" w:before="1"/>
        <w:ind w:left="1078" w:right="5843"/>
      </w:pPr>
      <w:r>
        <w:rPr>
          <w:w w:val="100"/>
        </w:rPr>
        <w:t>1</w:t>
      </w:r>
      <w:r>
        <w:rPr>
          <w:spacing w:val="-3"/>
          <w:w w:val="100"/>
        </w:rPr>
        <w:t>、基金管理人</w:t>
      </w:r>
      <w:r>
        <w:rPr>
          <w:w w:val="100"/>
        </w:rPr>
        <w:t>（</w:t>
      </w:r>
      <w:r>
        <w:rPr>
          <w:spacing w:val="-17"/>
          <w:w w:val="100"/>
        </w:rPr>
        <w:t>或简称“管理人”</w:t>
      </w:r>
      <w:r>
        <w:rPr>
          <w:spacing w:val="-7"/>
          <w:w w:val="100"/>
        </w:rPr>
        <w:t>）</w:t>
      </w:r>
      <w:r>
        <w:rPr>
          <w:spacing w:val="-3"/>
        </w:rPr>
        <w:t>名称：景顺长城基金管理有限公司</w:t>
      </w:r>
    </w:p>
    <w:p>
      <w:pPr>
        <w:pStyle w:val="BodyText"/>
        <w:spacing w:line="417" w:lineRule="auto"/>
        <w:ind w:left="1078" w:right="4268"/>
      </w:pPr>
      <w:r>
        <w:rPr>
          <w:spacing w:val="-7"/>
        </w:rPr>
        <w:t>住所：深圳市中心四路 </w:t>
      </w:r>
      <w:r>
        <w:rPr/>
        <w:t>1</w:t>
      </w:r>
      <w:r>
        <w:rPr>
          <w:spacing w:val="-13"/>
        </w:rPr>
        <w:t> 号嘉里建设广场第一座 </w:t>
      </w:r>
      <w:r>
        <w:rPr/>
        <w:t>21</w:t>
      </w:r>
      <w:r>
        <w:rPr>
          <w:spacing w:val="-25"/>
        </w:rPr>
        <w:t> 层</w:t>
      </w:r>
      <w:r>
        <w:rPr>
          <w:spacing w:val="-9"/>
        </w:rPr>
        <w:t>法定代表人: 李进</w:t>
      </w:r>
    </w:p>
    <w:p>
      <w:pPr>
        <w:pStyle w:val="BodyText"/>
        <w:ind w:left="1078"/>
      </w:pPr>
      <w:r>
        <w:rPr/>
        <w:t>注册资本：1.3 亿元人民币</w:t>
      </w:r>
    </w:p>
    <w:p>
      <w:pPr>
        <w:pStyle w:val="BodyText"/>
        <w:spacing w:before="6"/>
        <w:rPr>
          <w:sz w:val="15"/>
        </w:rPr>
      </w:pPr>
    </w:p>
    <w:p>
      <w:pPr>
        <w:pStyle w:val="BodyText"/>
        <w:spacing w:line="417" w:lineRule="auto"/>
        <w:ind w:left="1078" w:right="2689"/>
      </w:pPr>
      <w:r>
        <w:rPr/>
        <w:t>经营范围：基金管理业务、发起设立基金、中国证监会批准的其他业务组织形式：有限责任公司</w:t>
      </w:r>
    </w:p>
    <w:p>
      <w:pPr>
        <w:pStyle w:val="BodyText"/>
        <w:spacing w:line="269" w:lineRule="exact"/>
        <w:ind w:left="1078"/>
      </w:pPr>
      <w:r>
        <w:rPr/>
        <w:t>存续期间：持续经营</w:t>
      </w:r>
    </w:p>
    <w:p>
      <w:pPr>
        <w:pStyle w:val="BodyText"/>
        <w:rPr>
          <w:sz w:val="20"/>
        </w:rPr>
      </w:pPr>
    </w:p>
    <w:p>
      <w:pPr>
        <w:pStyle w:val="BodyText"/>
        <w:rPr>
          <w:sz w:val="20"/>
        </w:rPr>
      </w:pPr>
    </w:p>
    <w:p>
      <w:pPr>
        <w:pStyle w:val="BodyText"/>
        <w:tabs>
          <w:tab w:pos="2337" w:val="left" w:leader="none"/>
        </w:tabs>
        <w:spacing w:line="417" w:lineRule="auto" w:before="155"/>
        <w:ind w:left="1078" w:right="5843"/>
      </w:pPr>
      <w:r>
        <w:rPr>
          <w:w w:val="100"/>
        </w:rPr>
        <w:t>2、</w:t>
      </w:r>
      <w:r>
        <w:rPr>
          <w:spacing w:val="-3"/>
          <w:w w:val="100"/>
        </w:rPr>
        <w:t>基</w:t>
      </w:r>
      <w:r>
        <w:rPr>
          <w:w w:val="100"/>
        </w:rPr>
        <w:t>金</w:t>
      </w:r>
      <w:r>
        <w:rPr>
          <w:spacing w:val="-3"/>
          <w:w w:val="100"/>
        </w:rPr>
        <w:t>托</w:t>
      </w:r>
      <w:r>
        <w:rPr>
          <w:w w:val="100"/>
        </w:rPr>
        <w:t>管</w:t>
      </w:r>
      <w:r>
        <w:rPr>
          <w:spacing w:val="-3"/>
          <w:w w:val="100"/>
        </w:rPr>
        <w:t>人</w:t>
      </w:r>
      <w:r>
        <w:rPr>
          <w:w w:val="100"/>
        </w:rPr>
        <w:t>（</w:t>
      </w:r>
      <w:r>
        <w:rPr>
          <w:spacing w:val="-3"/>
          <w:w w:val="100"/>
        </w:rPr>
        <w:t>或</w:t>
      </w:r>
      <w:r>
        <w:rPr>
          <w:w w:val="100"/>
        </w:rPr>
        <w:t>简</w:t>
      </w:r>
      <w:r>
        <w:rPr>
          <w:spacing w:val="-3"/>
          <w:w w:val="100"/>
        </w:rPr>
        <w:t>称“</w:t>
      </w:r>
      <w:r>
        <w:rPr>
          <w:w w:val="100"/>
        </w:rPr>
        <w:t>托管</w:t>
      </w:r>
      <w:r>
        <w:rPr>
          <w:spacing w:val="-3"/>
          <w:w w:val="100"/>
        </w:rPr>
        <w:t>人</w:t>
      </w:r>
      <w:r>
        <w:rPr>
          <w:spacing w:val="-113"/>
          <w:w w:val="100"/>
        </w:rPr>
        <w:t>”</w:t>
      </w:r>
      <w:r>
        <w:rPr>
          <w:spacing w:val="-7"/>
          <w:w w:val="100"/>
        </w:rPr>
        <w:t>）</w:t>
      </w:r>
      <w:r>
        <w:rPr/>
        <w:t>名称：</w:t>
        <w:tab/>
        <w:t>中国</w:t>
      </w:r>
      <w:r>
        <w:rPr>
          <w:spacing w:val="-3"/>
        </w:rPr>
        <w:t>银</w:t>
      </w:r>
      <w:r>
        <w:rPr/>
        <w:t>行</w:t>
      </w:r>
      <w:r>
        <w:rPr>
          <w:spacing w:val="-3"/>
        </w:rPr>
        <w:t>股</w:t>
      </w:r>
      <w:r>
        <w:rPr/>
        <w:t>份</w:t>
      </w:r>
      <w:r>
        <w:rPr>
          <w:spacing w:val="-3"/>
        </w:rPr>
        <w:t>有</w:t>
      </w:r>
      <w:r>
        <w:rPr/>
        <w:t>限</w:t>
      </w:r>
      <w:r>
        <w:rPr>
          <w:spacing w:val="-3"/>
        </w:rPr>
        <w:t>公</w:t>
      </w:r>
      <w:r>
        <w:rPr>
          <w:spacing w:val="-14"/>
        </w:rPr>
        <w:t>司</w:t>
      </w:r>
    </w:p>
    <w:p>
      <w:pPr>
        <w:pStyle w:val="BodyText"/>
        <w:tabs>
          <w:tab w:pos="2337" w:val="left" w:leader="none"/>
        </w:tabs>
        <w:spacing w:line="417" w:lineRule="auto"/>
        <w:ind w:left="1078" w:right="5001"/>
      </w:pPr>
      <w:r>
        <w:rPr/>
        <w:t>住所：</w:t>
        <w:tab/>
        <w:t>北京</w:t>
      </w:r>
      <w:r>
        <w:rPr>
          <w:spacing w:val="-3"/>
        </w:rPr>
        <w:t>市</w:t>
      </w:r>
      <w:r>
        <w:rPr/>
        <w:t>西</w:t>
      </w:r>
      <w:r>
        <w:rPr>
          <w:spacing w:val="-3"/>
        </w:rPr>
        <w:t>城</w:t>
      </w:r>
      <w:r>
        <w:rPr/>
        <w:t>区</w:t>
      </w:r>
      <w:r>
        <w:rPr>
          <w:spacing w:val="-3"/>
        </w:rPr>
        <w:t>复</w:t>
      </w:r>
      <w:r>
        <w:rPr/>
        <w:t>兴</w:t>
      </w:r>
      <w:r>
        <w:rPr>
          <w:spacing w:val="-3"/>
        </w:rPr>
        <w:t>门</w:t>
      </w:r>
      <w:r>
        <w:rPr/>
        <w:t>内</w:t>
      </w:r>
      <w:r>
        <w:rPr>
          <w:spacing w:val="-3"/>
        </w:rPr>
        <w:t>大</w:t>
      </w:r>
      <w:r>
        <w:rPr/>
        <w:t>街</w:t>
      </w:r>
      <w:r>
        <w:rPr>
          <w:spacing w:val="-46"/>
        </w:rPr>
        <w:t> </w:t>
      </w:r>
      <w:r>
        <w:rPr/>
        <w:t>1</w:t>
      </w:r>
      <w:r>
        <w:rPr>
          <w:spacing w:val="-46"/>
        </w:rPr>
        <w:t> </w:t>
      </w:r>
      <w:r>
        <w:rPr>
          <w:spacing w:val="-13"/>
        </w:rPr>
        <w:t>号</w:t>
      </w:r>
      <w:r>
        <w:rPr/>
        <w:t>法定</w:t>
      </w:r>
      <w:r>
        <w:rPr>
          <w:spacing w:val="-3"/>
        </w:rPr>
        <w:t>代</w:t>
      </w:r>
      <w:r>
        <w:rPr/>
        <w:t>表</w:t>
      </w:r>
      <w:r>
        <w:rPr>
          <w:spacing w:val="-3"/>
        </w:rPr>
        <w:t>人</w:t>
      </w:r>
      <w:r>
        <w:rPr/>
        <w:t>: </w:t>
      </w:r>
      <w:r>
        <w:rPr>
          <w:spacing w:val="-3"/>
        </w:rPr>
        <w:t>刘</w:t>
      </w:r>
      <w:r>
        <w:rPr/>
        <w:t>连舸</w:t>
      </w:r>
    </w:p>
    <w:p>
      <w:pPr>
        <w:pStyle w:val="BodyText"/>
        <w:tabs>
          <w:tab w:pos="2340" w:val="left" w:leader="none"/>
        </w:tabs>
        <w:spacing w:line="269" w:lineRule="exact"/>
        <w:ind w:left="1078"/>
      </w:pPr>
      <w:r>
        <w:rPr/>
        <w:t>成立</w:t>
      </w:r>
      <w:r>
        <w:rPr>
          <w:spacing w:val="-3"/>
        </w:rPr>
        <w:t>时</w:t>
      </w:r>
      <w:r>
        <w:rPr/>
        <w:t>间：</w:t>
        <w:tab/>
        <w:t>1983</w:t>
      </w:r>
      <w:r>
        <w:rPr>
          <w:spacing w:val="-55"/>
        </w:rPr>
        <w:t> </w:t>
      </w:r>
      <w:r>
        <w:rPr/>
        <w:t>年</w:t>
      </w:r>
      <w:r>
        <w:rPr>
          <w:spacing w:val="-53"/>
        </w:rPr>
        <w:t> </w:t>
      </w:r>
      <w:r>
        <w:rPr/>
        <w:t>10</w:t>
      </w:r>
      <w:r>
        <w:rPr>
          <w:spacing w:val="-55"/>
        </w:rPr>
        <w:t> </w:t>
      </w:r>
      <w:r>
        <w:rPr/>
        <w:t>月</w:t>
      </w:r>
      <w:r>
        <w:rPr>
          <w:spacing w:val="-53"/>
        </w:rPr>
        <w:t> </w:t>
      </w:r>
      <w:r>
        <w:rPr/>
        <w:t>31</w:t>
      </w:r>
      <w:r>
        <w:rPr>
          <w:spacing w:val="-55"/>
        </w:rPr>
        <w:t> </w:t>
      </w:r>
      <w:r>
        <w:rPr/>
        <w:t>日</w:t>
      </w:r>
    </w:p>
    <w:p>
      <w:pPr>
        <w:pStyle w:val="BodyText"/>
        <w:spacing w:before="6"/>
        <w:rPr>
          <w:sz w:val="15"/>
        </w:rPr>
      </w:pPr>
    </w:p>
    <w:p>
      <w:pPr>
        <w:pStyle w:val="BodyText"/>
        <w:tabs>
          <w:tab w:pos="2340" w:val="left" w:leader="none"/>
        </w:tabs>
        <w:spacing w:line="417" w:lineRule="auto" w:before="1"/>
        <w:ind w:left="1078" w:right="3690"/>
      </w:pPr>
      <w:r>
        <w:rPr/>
        <w:t>基金</w:t>
      </w:r>
      <w:r>
        <w:rPr>
          <w:spacing w:val="-3"/>
        </w:rPr>
        <w:t>托</w:t>
      </w:r>
      <w:r>
        <w:rPr/>
        <w:t>管</w:t>
      </w:r>
      <w:r>
        <w:rPr>
          <w:spacing w:val="-3"/>
        </w:rPr>
        <w:t>业</w:t>
      </w:r>
      <w:r>
        <w:rPr/>
        <w:t>务</w:t>
      </w:r>
      <w:r>
        <w:rPr>
          <w:spacing w:val="-3"/>
        </w:rPr>
        <w:t>批</w:t>
      </w:r>
      <w:r>
        <w:rPr/>
        <w:t>准</w:t>
      </w:r>
      <w:r>
        <w:rPr>
          <w:spacing w:val="-3"/>
        </w:rPr>
        <w:t>文</w:t>
      </w:r>
      <w:r>
        <w:rPr/>
        <w:t>号</w:t>
      </w:r>
      <w:r>
        <w:rPr>
          <w:spacing w:val="-3"/>
        </w:rPr>
        <w:t>：</w:t>
      </w:r>
      <w:r>
        <w:rPr/>
        <w:t>中国</w:t>
      </w:r>
      <w:r>
        <w:rPr>
          <w:spacing w:val="-3"/>
        </w:rPr>
        <w:t>证</w:t>
      </w:r>
      <w:r>
        <w:rPr/>
        <w:t>监</w:t>
      </w:r>
      <w:r>
        <w:rPr>
          <w:spacing w:val="-3"/>
        </w:rPr>
        <w:t>会</w:t>
      </w:r>
      <w:r>
        <w:rPr/>
        <w:t>证</w:t>
      </w:r>
      <w:r>
        <w:rPr>
          <w:spacing w:val="-3"/>
        </w:rPr>
        <w:t>监</w:t>
      </w:r>
      <w:r>
        <w:rPr/>
        <w:t>基</w:t>
      </w:r>
      <w:r>
        <w:rPr>
          <w:spacing w:val="-3"/>
        </w:rPr>
        <w:t>字</w:t>
      </w:r>
      <w:r>
        <w:rPr/>
        <w:t>【1998】24</w:t>
      </w:r>
      <w:r>
        <w:rPr>
          <w:spacing w:val="-37"/>
        </w:rPr>
        <w:t> </w:t>
      </w:r>
      <w:r>
        <w:rPr/>
        <w:t>号组织</w:t>
      </w:r>
      <w:r>
        <w:rPr>
          <w:spacing w:val="-3"/>
        </w:rPr>
        <w:t>形</w:t>
      </w:r>
      <w:r>
        <w:rPr/>
        <w:t>式：</w:t>
        <w:tab/>
      </w:r>
      <w:r>
        <w:rPr>
          <w:spacing w:val="-3"/>
        </w:rPr>
        <w:t>股</w:t>
      </w:r>
      <w:r>
        <w:rPr/>
        <w:t>份</w:t>
      </w:r>
      <w:r>
        <w:rPr>
          <w:spacing w:val="-3"/>
        </w:rPr>
        <w:t>有</w:t>
      </w:r>
      <w:r>
        <w:rPr/>
        <w:t>限</w:t>
      </w:r>
      <w:r>
        <w:rPr>
          <w:spacing w:val="-3"/>
        </w:rPr>
        <w:t>公</w:t>
      </w:r>
      <w:r>
        <w:rPr/>
        <w:t>司</w:t>
      </w:r>
    </w:p>
    <w:p>
      <w:pPr>
        <w:pStyle w:val="BodyText"/>
        <w:tabs>
          <w:tab w:pos="2337" w:val="left" w:leader="none"/>
        </w:tabs>
        <w:spacing w:line="269" w:lineRule="exact"/>
        <w:ind w:left="1078"/>
      </w:pPr>
      <w:r>
        <w:rPr/>
        <w:t>注册</w:t>
      </w:r>
      <w:r>
        <w:rPr>
          <w:spacing w:val="-3"/>
        </w:rPr>
        <w:t>资</w:t>
      </w:r>
      <w:r>
        <w:rPr/>
        <w:t>本：</w:t>
        <w:tab/>
        <w:t>人民</w:t>
      </w:r>
      <w:r>
        <w:rPr>
          <w:spacing w:val="-3"/>
        </w:rPr>
        <w:t>币</w:t>
      </w:r>
      <w:r>
        <w:rPr/>
        <w:t>贰</w:t>
      </w:r>
      <w:r>
        <w:rPr>
          <w:spacing w:val="-3"/>
        </w:rPr>
        <w:t>仟</w:t>
      </w:r>
      <w:r>
        <w:rPr/>
        <w:t>柒</w:t>
      </w:r>
      <w:r>
        <w:rPr>
          <w:spacing w:val="-3"/>
        </w:rPr>
        <w:t>佰</w:t>
      </w:r>
      <w:r>
        <w:rPr/>
        <w:t>玖</w:t>
      </w:r>
      <w:r>
        <w:rPr>
          <w:spacing w:val="-3"/>
        </w:rPr>
        <w:t>拾</w:t>
      </w:r>
      <w:r>
        <w:rPr/>
        <w:t>壹</w:t>
      </w:r>
      <w:r>
        <w:rPr>
          <w:spacing w:val="-3"/>
        </w:rPr>
        <w:t>亿</w:t>
      </w:r>
      <w:r>
        <w:rPr/>
        <w:t>肆仟</w:t>
      </w:r>
      <w:r>
        <w:rPr>
          <w:spacing w:val="-3"/>
        </w:rPr>
        <w:t>柒</w:t>
      </w:r>
      <w:r>
        <w:rPr/>
        <w:t>佰</w:t>
      </w:r>
      <w:r>
        <w:rPr>
          <w:spacing w:val="-3"/>
        </w:rPr>
        <w:t>贰</w:t>
      </w:r>
      <w:r>
        <w:rPr/>
        <w:t>拾</w:t>
      </w:r>
      <w:r>
        <w:rPr>
          <w:spacing w:val="-3"/>
        </w:rPr>
        <w:t>贰</w:t>
      </w:r>
      <w:r>
        <w:rPr/>
        <w:t>万</w:t>
      </w:r>
      <w:r>
        <w:rPr>
          <w:spacing w:val="-3"/>
        </w:rPr>
        <w:t>叁</w:t>
      </w:r>
      <w:r>
        <w:rPr/>
        <w:t>仟</w:t>
      </w:r>
      <w:r>
        <w:rPr>
          <w:spacing w:val="-3"/>
        </w:rPr>
        <w:t>壹</w:t>
      </w:r>
      <w:r>
        <w:rPr/>
        <w:t>佰玖</w:t>
      </w:r>
      <w:r>
        <w:rPr>
          <w:spacing w:val="-3"/>
        </w:rPr>
        <w:t>拾</w:t>
      </w:r>
      <w:r>
        <w:rPr/>
        <w:t>伍</w:t>
      </w:r>
      <w:r>
        <w:rPr>
          <w:spacing w:val="-3"/>
        </w:rPr>
        <w:t>元</w:t>
      </w:r>
      <w:r>
        <w:rPr/>
        <w:t>整</w:t>
      </w:r>
    </w:p>
    <w:p>
      <w:pPr>
        <w:pStyle w:val="BodyText"/>
        <w:spacing w:before="6"/>
        <w:rPr>
          <w:sz w:val="15"/>
        </w:rPr>
      </w:pPr>
    </w:p>
    <w:p>
      <w:pPr>
        <w:pStyle w:val="BodyText"/>
        <w:spacing w:line="417" w:lineRule="auto"/>
        <w:ind w:left="658" w:right="1308" w:firstLine="419"/>
        <w:jc w:val="both"/>
      </w:pPr>
      <w:r>
        <w:rPr>
          <w:spacing w:val="-16"/>
        </w:rPr>
        <w:t>经营范围： 吸收人民币存款；发放短期、中期和长期贷款；办理结算；办理票据贴现； </w:t>
      </w:r>
      <w:r>
        <w:rPr>
          <w:spacing w:val="-13"/>
        </w:rPr>
        <w:t>发行金融债券；代理发行、代理兑付、承销政府债券；买卖政府债券；从事同业拆借；提供</w:t>
      </w:r>
      <w:r>
        <w:rPr>
          <w:spacing w:val="-19"/>
        </w:rPr>
        <w:t>信用证服务及担保；代理收付款项及代理保险业务；提供保险箱服务；外汇存款；外汇贷款； </w:t>
      </w:r>
      <w:r>
        <w:rPr>
          <w:spacing w:val="-14"/>
        </w:rPr>
        <w:t>外汇汇款；外汇兑换；国际结算；同业外汇拆借；外汇票据的承兑和贴现；外汇借款；外汇</w:t>
      </w:r>
      <w:r>
        <w:rPr>
          <w:spacing w:val="-12"/>
        </w:rPr>
        <w:t>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w:t>
      </w:r>
      <w:r>
        <w:rPr>
          <w:spacing w:val="-11"/>
        </w:rPr>
        <w:t>构经营与当地法律许可的一切银行业务；在港澳地区的分行依据当地法令可发行或参与代理</w:t>
      </w:r>
      <w:r>
        <w:rPr>
          <w:spacing w:val="-6"/>
        </w:rPr>
        <w:t>发行当地货币；经中国人民银行批准的其他业务。</w:t>
      </w:r>
    </w:p>
    <w:p>
      <w:pPr>
        <w:pStyle w:val="BodyText"/>
        <w:spacing w:line="269" w:lineRule="exact"/>
        <w:ind w:left="1078"/>
        <w:jc w:val="both"/>
      </w:pPr>
      <w:r>
        <w:rPr/>
        <w:t>存续期间： 持续经营</w:t>
      </w:r>
    </w:p>
    <w:p>
      <w:pPr>
        <w:spacing w:after="0" w:line="269" w:lineRule="exact"/>
        <w:jc w:val="both"/>
        <w:sectPr>
          <w:pgSz w:w="11910" w:h="16840"/>
          <w:pgMar w:header="852" w:footer="992" w:top="1220" w:bottom="1180" w:left="1140" w:right="480"/>
        </w:sectPr>
      </w:pPr>
    </w:p>
    <w:p>
      <w:pPr>
        <w:pStyle w:val="BodyText"/>
        <w:rPr>
          <w:sz w:val="20"/>
        </w:rPr>
      </w:pPr>
    </w:p>
    <w:p>
      <w:pPr>
        <w:pStyle w:val="BodyText"/>
        <w:spacing w:before="11"/>
        <w:rPr>
          <w:sz w:val="27"/>
        </w:rPr>
      </w:pPr>
    </w:p>
    <w:p>
      <w:pPr>
        <w:spacing w:line="451" w:lineRule="auto" w:before="72"/>
        <w:ind w:left="1078" w:right="4566" w:hanging="420"/>
        <w:jc w:val="left"/>
        <w:rPr>
          <w:sz w:val="21"/>
        </w:rPr>
      </w:pPr>
      <w:r>
        <w:rPr>
          <w:b/>
          <w:sz w:val="21"/>
        </w:rPr>
        <w:t>（二）基金托管人与基金管理人之间的业务监督、核查</w:t>
      </w:r>
      <w:r>
        <w:rPr>
          <w:sz w:val="21"/>
        </w:rPr>
        <w:t>1、基金托管人对基金管理人的业务监督、核查</w:t>
      </w:r>
    </w:p>
    <w:p>
      <w:pPr>
        <w:pStyle w:val="BodyText"/>
        <w:spacing w:line="232" w:lineRule="exact"/>
        <w:ind w:left="1078"/>
      </w:pPr>
      <w:r>
        <w:rPr/>
        <w:t>根据《暂行办法》、《试点办法》、《基金合同》和有关证券法规的规定，基金托管人应对</w:t>
      </w:r>
    </w:p>
    <w:p>
      <w:pPr>
        <w:pStyle w:val="BodyText"/>
        <w:spacing w:before="7"/>
        <w:rPr>
          <w:sz w:val="15"/>
        </w:rPr>
      </w:pPr>
    </w:p>
    <w:p>
      <w:pPr>
        <w:pStyle w:val="BodyText"/>
        <w:spacing w:line="417" w:lineRule="auto"/>
        <w:ind w:left="658" w:right="1308"/>
        <w:jc w:val="both"/>
      </w:pPr>
      <w:r>
        <w:rPr>
          <w:spacing w:val="-7"/>
        </w:rPr>
        <w:t>基金管理人就本系列基金的各基金资产的投资对象、基金资产的投资组合比例、基金资产的</w:t>
      </w:r>
      <w:r>
        <w:rPr>
          <w:spacing w:val="-21"/>
        </w:rPr>
        <w:t>核算、基金资产净值的计算、基金管理人报酬的计提和支付、基金托管人报酬的计提和支付、</w:t>
      </w:r>
      <w:r>
        <w:rPr>
          <w:spacing w:val="-8"/>
        </w:rPr>
        <w:t>基金的申购与赎回、基金收益分配等行为的合法性、合规性分别进行监督和核查。</w:t>
      </w:r>
    </w:p>
    <w:p>
      <w:pPr>
        <w:pStyle w:val="BodyText"/>
        <w:spacing w:line="417" w:lineRule="auto"/>
        <w:ind w:left="658" w:right="1310" w:firstLine="419"/>
      </w:pPr>
      <w:r>
        <w:rPr/>
        <w:t>1</w:t>
      </w:r>
      <w:r>
        <w:rPr>
          <w:spacing w:val="-15"/>
        </w:rPr>
        <w:t>、根据《公开募集开放式证券投资基金流动性风险管理规定》，基金托管人对基金管理</w:t>
      </w:r>
      <w:r>
        <w:rPr>
          <w:spacing w:val="-7"/>
        </w:rPr>
        <w:t>人的业务监督、核查增加了以下监督事项：</w:t>
      </w:r>
    </w:p>
    <w:p>
      <w:pPr>
        <w:pStyle w:val="BodyText"/>
        <w:spacing w:line="269" w:lineRule="exact"/>
        <w:ind w:left="1078"/>
      </w:pPr>
      <w:r>
        <w:rPr/>
        <w:t>适用于优选混合型基金、动力平衡基金和货币市场基金的：</w:t>
      </w:r>
    </w:p>
    <w:p>
      <w:pPr>
        <w:pStyle w:val="BodyText"/>
        <w:spacing w:before="7"/>
        <w:rPr>
          <w:sz w:val="15"/>
        </w:rPr>
      </w:pPr>
    </w:p>
    <w:p>
      <w:pPr>
        <w:pStyle w:val="ListParagraph"/>
        <w:numPr>
          <w:ilvl w:val="0"/>
          <w:numId w:val="59"/>
        </w:numPr>
        <w:tabs>
          <w:tab w:pos="1607" w:val="left" w:leader="none"/>
        </w:tabs>
        <w:spacing w:line="417" w:lineRule="auto" w:before="0" w:after="0"/>
        <w:ind w:left="658" w:right="1308" w:firstLine="419"/>
        <w:jc w:val="both"/>
        <w:rPr>
          <w:sz w:val="21"/>
        </w:rPr>
      </w:pPr>
      <w:r>
        <w:rPr>
          <w:spacing w:val="-3"/>
          <w:sz w:val="21"/>
        </w:rPr>
        <w:t>本基金管理人管理且由本托管人托管的全部开放式基金</w:t>
      </w:r>
      <w:r>
        <w:rPr>
          <w:sz w:val="21"/>
        </w:rPr>
        <w:t>（</w:t>
      </w:r>
      <w:r>
        <w:rPr>
          <w:spacing w:val="-3"/>
          <w:sz w:val="21"/>
        </w:rPr>
        <w:t>包括开放式基金以及处于开放期的定期开放基金</w:t>
      </w:r>
      <w:r>
        <w:rPr>
          <w:spacing w:val="-44"/>
          <w:sz w:val="21"/>
        </w:rPr>
        <w:t>）</w:t>
      </w:r>
      <w:r>
        <w:rPr>
          <w:spacing w:val="-6"/>
          <w:sz w:val="21"/>
        </w:rPr>
        <w:t>持有一家上市公司发行的可流通股票，不超过该上市公司可流通</w:t>
      </w:r>
      <w:r>
        <w:rPr>
          <w:spacing w:val="5"/>
          <w:sz w:val="21"/>
        </w:rPr>
        <w:t>股票的 </w:t>
      </w:r>
      <w:r>
        <w:rPr>
          <w:sz w:val="21"/>
        </w:rPr>
        <w:t>15</w:t>
      </w:r>
      <w:r>
        <w:rPr>
          <w:spacing w:val="-3"/>
          <w:sz w:val="21"/>
        </w:rPr>
        <w:t>％；本基金管理人管理且由本托管人托管的全部投资组合持有一家上市公司发行</w:t>
      </w:r>
      <w:r>
        <w:rPr>
          <w:spacing w:val="-10"/>
          <w:sz w:val="21"/>
        </w:rPr>
        <w:t>的可流通股票，不超过该上市公司可流通股票的 </w:t>
      </w:r>
      <w:r>
        <w:rPr>
          <w:spacing w:val="-13"/>
          <w:sz w:val="21"/>
        </w:rPr>
        <w:t>30</w:t>
      </w:r>
      <w:r>
        <w:rPr>
          <w:spacing w:val="-8"/>
          <w:sz w:val="21"/>
        </w:rPr>
        <w:t>％；基金管理人应当在每个交易日 </w:t>
      </w:r>
      <w:r>
        <w:rPr>
          <w:sz w:val="21"/>
        </w:rPr>
        <w:t>10:00</w:t>
      </w:r>
    </w:p>
    <w:p>
      <w:pPr>
        <w:pStyle w:val="BodyText"/>
        <w:spacing w:line="417" w:lineRule="auto"/>
        <w:ind w:left="658" w:right="1205"/>
        <w:jc w:val="both"/>
      </w:pPr>
      <w:r>
        <w:rPr>
          <w:spacing w:val="-5"/>
        </w:rPr>
        <w:t>前将货币市场基金前一交易日前 </w:t>
      </w:r>
      <w:r>
        <w:rPr/>
        <w:t>10</w:t>
      </w:r>
      <w:r>
        <w:rPr>
          <w:spacing w:val="-7"/>
        </w:rPr>
        <w:t> 名基金份额持有人合计持有比例等信息报送基金托管人, </w:t>
      </w:r>
      <w:r>
        <w:rPr>
          <w:spacing w:val="-5"/>
        </w:rPr>
        <w:t>基金托管人依法履行投资监督职责。</w:t>
      </w:r>
    </w:p>
    <w:p>
      <w:pPr>
        <w:pStyle w:val="ListParagraph"/>
        <w:numPr>
          <w:ilvl w:val="0"/>
          <w:numId w:val="59"/>
        </w:numPr>
        <w:tabs>
          <w:tab w:pos="1607" w:val="left" w:leader="none"/>
        </w:tabs>
        <w:spacing w:line="417" w:lineRule="auto" w:before="0" w:after="0"/>
        <w:ind w:left="658" w:right="1309" w:firstLine="419"/>
        <w:jc w:val="both"/>
        <w:rPr>
          <w:sz w:val="21"/>
        </w:rPr>
      </w:pPr>
      <w:r>
        <w:rPr>
          <w:spacing w:val="-3"/>
          <w:sz w:val="21"/>
        </w:rPr>
        <w:t>优选混合型基金或动力平衡基金主动投资于流动性受限资产的市值合计不超过基</w:t>
      </w:r>
      <w:r>
        <w:rPr>
          <w:spacing w:val="-7"/>
          <w:sz w:val="21"/>
        </w:rPr>
        <w:t>金资产的 </w:t>
      </w:r>
      <w:r>
        <w:rPr>
          <w:spacing w:val="-5"/>
          <w:sz w:val="21"/>
        </w:rPr>
        <w:t>15</w:t>
      </w:r>
      <w:r>
        <w:rPr>
          <w:spacing w:val="-7"/>
          <w:sz w:val="21"/>
        </w:rPr>
        <w:t>%；因证券市场波动、证券停牌、基金规模变动等基金管理人之外的因素致使基</w:t>
      </w:r>
      <w:r>
        <w:rPr>
          <w:spacing w:val="-5"/>
          <w:sz w:val="21"/>
        </w:rPr>
        <w:t>金不符合本项所规定的比例限制的，基金管理人不得主动新增流动性受限资产的投资；</w:t>
      </w:r>
    </w:p>
    <w:p>
      <w:pPr>
        <w:pStyle w:val="ListParagraph"/>
        <w:numPr>
          <w:ilvl w:val="0"/>
          <w:numId w:val="59"/>
        </w:numPr>
        <w:tabs>
          <w:tab w:pos="1607" w:val="left" w:leader="none"/>
        </w:tabs>
        <w:spacing w:line="417" w:lineRule="auto" w:before="0" w:after="0"/>
        <w:ind w:left="658" w:right="1308" w:firstLine="419"/>
        <w:jc w:val="both"/>
        <w:rPr>
          <w:sz w:val="21"/>
        </w:rPr>
      </w:pPr>
      <w:r>
        <w:rPr>
          <w:spacing w:val="-3"/>
          <w:sz w:val="21"/>
        </w:rPr>
        <w:t>本系列基金与私募类证券资管产品及中国证监会认定的其他主体为交易对手开展</w:t>
      </w:r>
      <w:r>
        <w:rPr>
          <w:spacing w:val="-10"/>
          <w:sz w:val="21"/>
        </w:rPr>
        <w:t>逆回购交易的，可接受质押品的资质要求应当与投资范围保持一致；本基金管理人承诺本基</w:t>
      </w:r>
      <w:r>
        <w:rPr>
          <w:spacing w:val="-8"/>
          <w:sz w:val="21"/>
        </w:rPr>
        <w:t>金与私募类证券资管产品及中国证监会认定的其他主体为交易对手开展逆回购交易的，可接</w:t>
      </w:r>
      <w:r>
        <w:rPr>
          <w:spacing w:val="-9"/>
          <w:sz w:val="21"/>
        </w:rPr>
        <w:t>受质押品的资质要求与基金合同约定的投资范围保持一致，并承担由于不一致所导致的风险</w:t>
      </w:r>
      <w:r>
        <w:rPr>
          <w:spacing w:val="-6"/>
          <w:sz w:val="21"/>
        </w:rPr>
        <w:t>或损失。</w:t>
      </w:r>
    </w:p>
    <w:p>
      <w:pPr>
        <w:pStyle w:val="BodyText"/>
        <w:spacing w:line="269" w:lineRule="exact"/>
        <w:ind w:left="1078"/>
      </w:pPr>
      <w:r>
        <w:rPr/>
        <w:t>仅适用于货币市场基金的：</w:t>
      </w:r>
    </w:p>
    <w:p>
      <w:pPr>
        <w:pStyle w:val="BodyText"/>
        <w:spacing w:before="5"/>
        <w:rPr>
          <w:sz w:val="15"/>
        </w:rPr>
      </w:pPr>
    </w:p>
    <w:p>
      <w:pPr>
        <w:pStyle w:val="ListParagraph"/>
        <w:numPr>
          <w:ilvl w:val="0"/>
          <w:numId w:val="60"/>
        </w:numPr>
        <w:tabs>
          <w:tab w:pos="1605" w:val="left" w:leader="none"/>
        </w:tabs>
        <w:spacing w:line="417" w:lineRule="auto" w:before="0" w:after="0"/>
        <w:ind w:left="658" w:right="1311" w:firstLine="419"/>
        <w:jc w:val="both"/>
        <w:rPr>
          <w:sz w:val="21"/>
        </w:rPr>
      </w:pPr>
      <w:r>
        <w:rPr>
          <w:spacing w:val="-8"/>
          <w:sz w:val="21"/>
        </w:rPr>
        <w:t>当货币市场基金前 </w:t>
      </w:r>
      <w:r>
        <w:rPr>
          <w:sz w:val="21"/>
        </w:rPr>
        <w:t>10</w:t>
      </w:r>
      <w:r>
        <w:rPr>
          <w:spacing w:val="-10"/>
          <w:sz w:val="21"/>
        </w:rPr>
        <w:t> 名份额持有人的持有份额合计超过基金总份额的 </w:t>
      </w:r>
      <w:r>
        <w:rPr>
          <w:sz w:val="21"/>
        </w:rPr>
        <w:t>50%</w:t>
      </w:r>
      <w:r>
        <w:rPr>
          <w:spacing w:val="-8"/>
          <w:sz w:val="21"/>
        </w:rPr>
        <w:t>时，货</w:t>
      </w:r>
      <w:r>
        <w:rPr>
          <w:spacing w:val="-7"/>
          <w:sz w:val="21"/>
        </w:rPr>
        <w:t>币市场基金投资组合的平均剩余期限不得超过 </w:t>
      </w:r>
      <w:r>
        <w:rPr>
          <w:sz w:val="21"/>
        </w:rPr>
        <w:t>60</w:t>
      </w:r>
      <w:r>
        <w:rPr>
          <w:spacing w:val="-10"/>
          <w:sz w:val="21"/>
        </w:rPr>
        <w:t> 天，平均剩余存续期不得超过 </w:t>
      </w:r>
      <w:r>
        <w:rPr>
          <w:sz w:val="21"/>
        </w:rPr>
        <w:t>120</w:t>
      </w:r>
      <w:r>
        <w:rPr>
          <w:spacing w:val="-12"/>
          <w:sz w:val="21"/>
        </w:rPr>
        <w:t> 天；投</w:t>
      </w:r>
    </w:p>
    <w:p>
      <w:pPr>
        <w:pStyle w:val="BodyText"/>
        <w:spacing w:line="417" w:lineRule="auto"/>
        <w:ind w:left="658" w:right="1308"/>
        <w:jc w:val="both"/>
      </w:pPr>
      <w:r>
        <w:rPr>
          <w:spacing w:val="-13"/>
        </w:rPr>
        <w:t>资组合中现金、国债、中央银行票据、政策性金融债券以及 </w:t>
      </w:r>
      <w:r>
        <w:rPr/>
        <w:t>5</w:t>
      </w:r>
      <w:r>
        <w:rPr>
          <w:spacing w:val="-7"/>
        </w:rPr>
        <w:t> 个交易日内到期的其他金融工</w:t>
      </w:r>
      <w:r>
        <w:rPr>
          <w:spacing w:val="-6"/>
        </w:rPr>
        <w:t>具占基金资产净值的比例合计不得低于 </w:t>
      </w:r>
      <w:r>
        <w:rPr/>
        <w:t>30</w:t>
      </w:r>
      <w:r>
        <w:rPr>
          <w:spacing w:val="-5"/>
        </w:rPr>
        <w:t>%；当货币市场基金前 </w:t>
      </w:r>
      <w:r>
        <w:rPr/>
        <w:t>10</w:t>
      </w:r>
      <w:r>
        <w:rPr>
          <w:spacing w:val="-5"/>
        </w:rPr>
        <w:t> 名份额持有人的持有份</w:t>
      </w:r>
      <w:r>
        <w:rPr>
          <w:spacing w:val="-6"/>
        </w:rPr>
        <w:t>额合计超过基金总份额的 </w:t>
      </w:r>
      <w:r>
        <w:rPr/>
        <w:t>20%</w:t>
      </w:r>
      <w:r>
        <w:rPr>
          <w:spacing w:val="-4"/>
        </w:rPr>
        <w:t>时，货币市场基金投资组合的平均剩余期限不得超过 </w:t>
      </w:r>
      <w:r>
        <w:rPr/>
        <w:t>90</w:t>
      </w:r>
      <w:r>
        <w:rPr>
          <w:spacing w:val="-6"/>
        </w:rPr>
        <w:t> 天，</w:t>
      </w:r>
    </w:p>
    <w:p>
      <w:pPr>
        <w:spacing w:after="0" w:line="417" w:lineRule="auto"/>
        <w:jc w:val="both"/>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8"/>
        <w:jc w:val="both"/>
      </w:pPr>
      <w:r>
        <w:rPr>
          <w:spacing w:val="-6"/>
        </w:rPr>
        <w:t>平均剩余存续期不得超过 </w:t>
      </w:r>
      <w:r>
        <w:rPr/>
        <w:t>180</w:t>
      </w:r>
      <w:r>
        <w:rPr>
          <w:spacing w:val="-13"/>
        </w:rPr>
        <w:t> 天；投资组合中现金、国债、中央银行票据、政策性金融债券</w:t>
      </w:r>
      <w:r>
        <w:rPr>
          <w:spacing w:val="-22"/>
        </w:rPr>
        <w:t>以及 </w:t>
      </w:r>
      <w:r>
        <w:rPr/>
        <w:t>5</w:t>
      </w:r>
      <w:r>
        <w:rPr>
          <w:spacing w:val="-10"/>
        </w:rPr>
        <w:t> 个交易日内到期的其他金融工具占基金资产净值的比例合计不得低于 20%</w:t>
      </w:r>
      <w:r>
        <w:rPr>
          <w:spacing w:val="-4"/>
        </w:rPr>
        <w:t>；基金管理</w:t>
      </w:r>
      <w:r>
        <w:rPr>
          <w:spacing w:val="-7"/>
        </w:rPr>
        <w:t>人应当在每个交易日 </w:t>
      </w:r>
      <w:r>
        <w:rPr/>
        <w:t>10:00</w:t>
      </w:r>
      <w:r>
        <w:rPr>
          <w:spacing w:val="-11"/>
        </w:rPr>
        <w:t> 前将货币市场基金前一交易日前 </w:t>
      </w:r>
      <w:r>
        <w:rPr/>
        <w:t>10</w:t>
      </w:r>
      <w:r>
        <w:rPr>
          <w:spacing w:val="-8"/>
        </w:rPr>
        <w:t> 名基金份额持有人合计持有</w:t>
      </w:r>
      <w:r>
        <w:rPr>
          <w:spacing w:val="-5"/>
        </w:rPr>
        <w:t>比例等信息报送基金托管人,基金托管人依法履行投资监督职责。</w:t>
      </w:r>
    </w:p>
    <w:p>
      <w:pPr>
        <w:pStyle w:val="ListParagraph"/>
        <w:numPr>
          <w:ilvl w:val="0"/>
          <w:numId w:val="60"/>
        </w:numPr>
        <w:tabs>
          <w:tab w:pos="1605" w:val="left" w:leader="none"/>
        </w:tabs>
        <w:spacing w:line="268" w:lineRule="exact" w:before="0" w:after="0"/>
        <w:ind w:left="1604" w:right="0" w:hanging="527"/>
        <w:jc w:val="both"/>
        <w:rPr>
          <w:sz w:val="21"/>
        </w:rPr>
      </w:pPr>
      <w:r>
        <w:rPr>
          <w:spacing w:val="-3"/>
          <w:sz w:val="21"/>
        </w:rPr>
        <w:t>投资组合的平均剩余期限在每个交易日均不得超过 </w:t>
      </w:r>
      <w:r>
        <w:rPr>
          <w:sz w:val="21"/>
        </w:rPr>
        <w:t>120</w:t>
      </w:r>
      <w:r>
        <w:rPr>
          <w:spacing w:val="-8"/>
          <w:sz w:val="21"/>
        </w:rPr>
        <w:t> 天，平均剩余存续期不得</w:t>
      </w:r>
    </w:p>
    <w:p>
      <w:pPr>
        <w:pStyle w:val="BodyText"/>
        <w:spacing w:before="7"/>
        <w:rPr>
          <w:sz w:val="15"/>
        </w:rPr>
      </w:pPr>
    </w:p>
    <w:p>
      <w:pPr>
        <w:pStyle w:val="BodyText"/>
        <w:ind w:left="658"/>
        <w:jc w:val="both"/>
      </w:pPr>
      <w:r>
        <w:rPr/>
        <w:t>超过 240 天，但上述第（1）项另有约定的除外；</w:t>
      </w:r>
    </w:p>
    <w:p>
      <w:pPr>
        <w:pStyle w:val="BodyText"/>
        <w:spacing w:before="7"/>
        <w:rPr>
          <w:sz w:val="15"/>
        </w:rPr>
      </w:pPr>
    </w:p>
    <w:p>
      <w:pPr>
        <w:pStyle w:val="ListParagraph"/>
        <w:numPr>
          <w:ilvl w:val="0"/>
          <w:numId w:val="60"/>
        </w:numPr>
        <w:tabs>
          <w:tab w:pos="1607" w:val="left" w:leader="none"/>
        </w:tabs>
        <w:spacing w:line="417" w:lineRule="auto" w:before="0" w:after="0"/>
        <w:ind w:left="658" w:right="1212" w:firstLine="419"/>
        <w:jc w:val="both"/>
        <w:rPr>
          <w:sz w:val="21"/>
        </w:rPr>
      </w:pPr>
      <w:r>
        <w:rPr>
          <w:spacing w:val="-3"/>
          <w:sz w:val="21"/>
        </w:rPr>
        <w:t>同一机构发行的债券、短期融资券、中期票据及其作为原始权益人的资产支持证券占基金资产净值的比例合计不得超过 </w:t>
      </w:r>
      <w:r>
        <w:rPr>
          <w:sz w:val="21"/>
        </w:rPr>
        <w:t>10</w:t>
      </w:r>
      <w:r>
        <w:rPr>
          <w:spacing w:val="-1"/>
          <w:sz w:val="21"/>
        </w:rPr>
        <w:t>%，国债、中央银行票据、政策性金融债券除外；</w:t>
      </w:r>
    </w:p>
    <w:p>
      <w:pPr>
        <w:pStyle w:val="ListParagraph"/>
        <w:numPr>
          <w:ilvl w:val="0"/>
          <w:numId w:val="60"/>
        </w:numPr>
        <w:tabs>
          <w:tab w:pos="1607" w:val="left" w:leader="none"/>
        </w:tabs>
        <w:spacing w:line="417" w:lineRule="auto" w:before="0" w:after="0"/>
        <w:ind w:left="658" w:right="1309" w:firstLine="419"/>
        <w:jc w:val="both"/>
        <w:rPr>
          <w:sz w:val="21"/>
        </w:rPr>
      </w:pPr>
      <w:r>
        <w:rPr>
          <w:spacing w:val="-2"/>
          <w:sz w:val="21"/>
        </w:rPr>
        <w:t>投资于固定期限银行存款的比例，不得超过基金资产净值的 </w:t>
      </w:r>
      <w:r>
        <w:rPr>
          <w:sz w:val="21"/>
        </w:rPr>
        <w:t>30</w:t>
      </w:r>
      <w:r>
        <w:rPr>
          <w:spacing w:val="-2"/>
          <w:sz w:val="21"/>
        </w:rPr>
        <w:t>%，但如果基金投</w:t>
      </w:r>
      <w:r>
        <w:rPr>
          <w:spacing w:val="-3"/>
          <w:sz w:val="21"/>
        </w:rPr>
        <w:t>资有存款期限，但协议中约定可以提前支取的银行存款，不受该比例限制；</w:t>
      </w:r>
    </w:p>
    <w:p>
      <w:pPr>
        <w:pStyle w:val="ListParagraph"/>
        <w:numPr>
          <w:ilvl w:val="0"/>
          <w:numId w:val="60"/>
        </w:numPr>
        <w:tabs>
          <w:tab w:pos="1607" w:val="left" w:leader="none"/>
        </w:tabs>
        <w:spacing w:line="417" w:lineRule="auto" w:before="0" w:after="0"/>
        <w:ind w:left="658" w:right="1309" w:firstLine="419"/>
        <w:jc w:val="both"/>
        <w:rPr>
          <w:sz w:val="21"/>
        </w:rPr>
      </w:pPr>
      <w:r>
        <w:rPr>
          <w:spacing w:val="-3"/>
          <w:sz w:val="21"/>
        </w:rPr>
        <w:t>投资于具有基金托管资格的同一商业银行的存款、同业存单，合计不得超过基金</w:t>
      </w:r>
      <w:r>
        <w:rPr>
          <w:spacing w:val="-6"/>
          <w:sz w:val="21"/>
        </w:rPr>
        <w:t>资产净值的 </w:t>
      </w:r>
      <w:r>
        <w:rPr>
          <w:spacing w:val="-4"/>
          <w:sz w:val="21"/>
        </w:rPr>
        <w:t>20</w:t>
      </w:r>
      <w:r>
        <w:rPr>
          <w:spacing w:val="-5"/>
          <w:sz w:val="21"/>
        </w:rPr>
        <w:t>%；投资于不具有基金托管资格的同一商业银行的存款、同业存单，合计不得</w:t>
      </w:r>
      <w:r>
        <w:rPr>
          <w:spacing w:val="-9"/>
          <w:sz w:val="21"/>
        </w:rPr>
        <w:t>超过基金资产净值的 </w:t>
      </w:r>
      <w:r>
        <w:rPr>
          <w:sz w:val="21"/>
        </w:rPr>
        <w:t>5%；</w:t>
      </w:r>
    </w:p>
    <w:p>
      <w:pPr>
        <w:pStyle w:val="ListParagraph"/>
        <w:numPr>
          <w:ilvl w:val="0"/>
          <w:numId w:val="60"/>
        </w:numPr>
        <w:tabs>
          <w:tab w:pos="1607" w:val="left" w:leader="none"/>
        </w:tabs>
        <w:spacing w:line="417" w:lineRule="auto" w:before="0" w:after="0"/>
        <w:ind w:left="658" w:right="1309" w:firstLine="419"/>
        <w:jc w:val="both"/>
        <w:rPr>
          <w:sz w:val="21"/>
        </w:rPr>
      </w:pPr>
      <w:r>
        <w:rPr>
          <w:spacing w:val="-3"/>
          <w:sz w:val="21"/>
        </w:rPr>
        <w:t>现金、国债、中央银行票据、政策性金融债券占基金资产净值的比例合计不得低</w:t>
      </w:r>
      <w:r>
        <w:rPr>
          <w:spacing w:val="-28"/>
          <w:sz w:val="21"/>
        </w:rPr>
        <w:t>于 </w:t>
      </w:r>
      <w:r>
        <w:rPr>
          <w:sz w:val="21"/>
        </w:rPr>
        <w:t>5%；</w:t>
      </w:r>
    </w:p>
    <w:p>
      <w:pPr>
        <w:pStyle w:val="ListParagraph"/>
        <w:numPr>
          <w:ilvl w:val="0"/>
          <w:numId w:val="60"/>
        </w:numPr>
        <w:tabs>
          <w:tab w:pos="1607" w:val="left" w:leader="none"/>
        </w:tabs>
        <w:spacing w:line="417" w:lineRule="auto" w:before="0" w:after="0"/>
        <w:ind w:left="658" w:right="1309" w:firstLine="419"/>
        <w:jc w:val="both"/>
        <w:rPr>
          <w:sz w:val="21"/>
        </w:rPr>
      </w:pPr>
      <w:r>
        <w:rPr>
          <w:spacing w:val="-5"/>
          <w:sz w:val="21"/>
        </w:rPr>
        <w:t>现金、国债、中央银行票据、政策性金融债券以及 </w:t>
      </w:r>
      <w:r>
        <w:rPr>
          <w:sz w:val="21"/>
        </w:rPr>
        <w:t>5</w:t>
      </w:r>
      <w:r>
        <w:rPr>
          <w:spacing w:val="-6"/>
          <w:sz w:val="21"/>
        </w:rPr>
        <w:t> 个交易日内到期的其他金融</w:t>
      </w:r>
      <w:r>
        <w:rPr>
          <w:spacing w:val="-7"/>
          <w:sz w:val="21"/>
        </w:rPr>
        <w:t>工具占基金资产净值的比例合计不得低于 </w:t>
      </w:r>
      <w:r>
        <w:rPr>
          <w:sz w:val="21"/>
        </w:rPr>
        <w:t>10</w:t>
      </w:r>
      <w:r>
        <w:rPr>
          <w:spacing w:val="-2"/>
          <w:sz w:val="21"/>
        </w:rPr>
        <w:t>%，但上述第</w:t>
      </w:r>
      <w:r>
        <w:rPr>
          <w:sz w:val="21"/>
        </w:rPr>
        <w:t>（1）</w:t>
      </w:r>
      <w:r>
        <w:rPr>
          <w:spacing w:val="-3"/>
          <w:sz w:val="21"/>
        </w:rPr>
        <w:t>项另有约定的除外；</w:t>
      </w:r>
    </w:p>
    <w:p>
      <w:pPr>
        <w:pStyle w:val="ListParagraph"/>
        <w:numPr>
          <w:ilvl w:val="0"/>
          <w:numId w:val="60"/>
        </w:numPr>
        <w:tabs>
          <w:tab w:pos="1605" w:val="left" w:leader="none"/>
        </w:tabs>
        <w:spacing w:line="417" w:lineRule="auto" w:before="0" w:after="0"/>
        <w:ind w:left="658" w:right="1308" w:firstLine="419"/>
        <w:jc w:val="both"/>
        <w:rPr>
          <w:sz w:val="21"/>
        </w:rPr>
      </w:pPr>
      <w:r>
        <w:rPr>
          <w:spacing w:val="-12"/>
          <w:sz w:val="21"/>
        </w:rPr>
        <w:t>到期日在 </w:t>
      </w:r>
      <w:r>
        <w:rPr>
          <w:sz w:val="21"/>
        </w:rPr>
        <w:t>10</w:t>
      </w:r>
      <w:r>
        <w:rPr>
          <w:spacing w:val="-12"/>
          <w:sz w:val="21"/>
        </w:rPr>
        <w:t> 个交易日以上的逆回购、银行定期存款等流动性受限资产投资占基</w:t>
      </w:r>
      <w:r>
        <w:rPr>
          <w:spacing w:val="-11"/>
          <w:sz w:val="21"/>
        </w:rPr>
        <w:t>金资产净值的比例合计不得超过 </w:t>
      </w:r>
      <w:r>
        <w:rPr>
          <w:sz w:val="21"/>
        </w:rPr>
        <w:t>30%；</w:t>
      </w:r>
    </w:p>
    <w:p>
      <w:pPr>
        <w:pStyle w:val="ListParagraph"/>
        <w:numPr>
          <w:ilvl w:val="0"/>
          <w:numId w:val="60"/>
        </w:numPr>
        <w:tabs>
          <w:tab w:pos="1607" w:val="left" w:leader="none"/>
        </w:tabs>
        <w:spacing w:line="417" w:lineRule="auto" w:before="0" w:after="0"/>
        <w:ind w:left="658" w:right="1309" w:firstLine="419"/>
        <w:jc w:val="both"/>
        <w:rPr>
          <w:sz w:val="21"/>
        </w:rPr>
      </w:pPr>
      <w:r>
        <w:rPr>
          <w:spacing w:val="-6"/>
          <w:sz w:val="21"/>
        </w:rPr>
        <w:t>除发生巨额赎回、连续 </w:t>
      </w:r>
      <w:r>
        <w:rPr>
          <w:sz w:val="21"/>
        </w:rPr>
        <w:t>3</w:t>
      </w:r>
      <w:r>
        <w:rPr>
          <w:spacing w:val="-11"/>
          <w:sz w:val="21"/>
        </w:rPr>
        <w:t> 个交易日累计赎回 </w:t>
      </w:r>
      <w:r>
        <w:rPr>
          <w:sz w:val="21"/>
        </w:rPr>
        <w:t>20</w:t>
      </w:r>
      <w:r>
        <w:rPr>
          <w:spacing w:val="-7"/>
          <w:sz w:val="21"/>
        </w:rPr>
        <w:t>%以上或者连续 </w:t>
      </w:r>
      <w:r>
        <w:rPr>
          <w:sz w:val="21"/>
        </w:rPr>
        <w:t>5</w:t>
      </w:r>
      <w:r>
        <w:rPr>
          <w:spacing w:val="-7"/>
          <w:sz w:val="21"/>
        </w:rPr>
        <w:t> 个交易日累计赎</w:t>
      </w:r>
      <w:r>
        <w:rPr>
          <w:spacing w:val="-29"/>
          <w:sz w:val="21"/>
        </w:rPr>
        <w:t>回 </w:t>
      </w:r>
      <w:r>
        <w:rPr>
          <w:sz w:val="21"/>
        </w:rPr>
        <w:t>30</w:t>
      </w:r>
      <w:r>
        <w:rPr>
          <w:spacing w:val="-5"/>
          <w:sz w:val="21"/>
        </w:rPr>
        <w:t>%以上的情形外，债券正回购的资金余额占基金资产净值的比例不得超过 </w:t>
      </w:r>
      <w:r>
        <w:rPr>
          <w:sz w:val="21"/>
        </w:rPr>
        <w:t>20%；</w:t>
      </w:r>
    </w:p>
    <w:p>
      <w:pPr>
        <w:pStyle w:val="ListParagraph"/>
        <w:numPr>
          <w:ilvl w:val="0"/>
          <w:numId w:val="60"/>
        </w:numPr>
        <w:tabs>
          <w:tab w:pos="1713" w:val="left" w:leader="none"/>
        </w:tabs>
        <w:spacing w:line="417" w:lineRule="auto" w:before="0" w:after="0"/>
        <w:ind w:left="658" w:right="1309" w:firstLine="419"/>
        <w:jc w:val="both"/>
        <w:rPr>
          <w:sz w:val="21"/>
        </w:rPr>
      </w:pPr>
      <w:r>
        <w:rPr>
          <w:spacing w:val="-3"/>
          <w:sz w:val="21"/>
        </w:rPr>
        <w:t>本基金管理人管理的且由本基金托管人托管的全部货币市场基金投资于同一商</w:t>
      </w:r>
      <w:r>
        <w:rPr>
          <w:spacing w:val="-8"/>
          <w:sz w:val="21"/>
        </w:rPr>
        <w:t>业银行的银行存款及其发行的同业存单与债券，不得超过该商业银行最近一个季度末净资产</w:t>
      </w:r>
      <w:r>
        <w:rPr>
          <w:sz w:val="21"/>
        </w:rPr>
        <w:t>的 10%；</w:t>
      </w:r>
    </w:p>
    <w:p>
      <w:pPr>
        <w:pStyle w:val="ListParagraph"/>
        <w:numPr>
          <w:ilvl w:val="0"/>
          <w:numId w:val="60"/>
        </w:numPr>
        <w:tabs>
          <w:tab w:pos="1713" w:val="left" w:leader="none"/>
        </w:tabs>
        <w:spacing w:line="417" w:lineRule="auto" w:before="0" w:after="0"/>
        <w:ind w:left="658" w:right="1310" w:firstLine="419"/>
        <w:jc w:val="both"/>
        <w:rPr>
          <w:sz w:val="21"/>
        </w:rPr>
      </w:pPr>
      <w:r>
        <w:rPr>
          <w:spacing w:val="-2"/>
          <w:sz w:val="21"/>
        </w:rPr>
        <w:t>货币市场基金投资于主体信用评级低于 </w:t>
      </w:r>
      <w:r>
        <w:rPr>
          <w:sz w:val="21"/>
        </w:rPr>
        <w:t>AAA</w:t>
      </w:r>
      <w:r>
        <w:rPr>
          <w:spacing w:val="-3"/>
          <w:sz w:val="21"/>
        </w:rPr>
        <w:t> 的机构发行的金融工具占基金资产</w:t>
      </w:r>
      <w:r>
        <w:rPr>
          <w:spacing w:val="-5"/>
          <w:sz w:val="21"/>
        </w:rPr>
        <w:t>净值的比例合计不得超过 </w:t>
      </w:r>
      <w:r>
        <w:rPr>
          <w:spacing w:val="-10"/>
          <w:sz w:val="21"/>
        </w:rPr>
        <w:t>10%</w:t>
      </w:r>
      <w:r>
        <w:rPr>
          <w:spacing w:val="-4"/>
          <w:sz w:val="21"/>
        </w:rPr>
        <w:t>，其中单一机构发行的金融工具占基金资产净值的比例合计不</w:t>
      </w:r>
      <w:r>
        <w:rPr>
          <w:spacing w:val="6"/>
          <w:sz w:val="21"/>
        </w:rPr>
        <w:t>得超过 </w:t>
      </w:r>
      <w:r>
        <w:rPr>
          <w:sz w:val="21"/>
        </w:rPr>
        <w:t>2</w:t>
      </w:r>
      <w:r>
        <w:rPr>
          <w:spacing w:val="-4"/>
          <w:sz w:val="21"/>
        </w:rPr>
        <w:t>%；前述金融工具包括债券、非金融企业债务融资工具、银行存款、同业存单、相</w:t>
      </w:r>
      <w:r>
        <w:rPr>
          <w:spacing w:val="-3"/>
          <w:sz w:val="21"/>
        </w:rPr>
        <w:t>关机构作为原始权益人的资产支持证券及中国证监会认定的其他品种；</w:t>
      </w:r>
    </w:p>
    <w:p>
      <w:pPr>
        <w:pStyle w:val="BodyText"/>
        <w:spacing w:line="417" w:lineRule="auto"/>
        <w:ind w:left="658" w:right="1308" w:firstLine="419"/>
        <w:jc w:val="both"/>
      </w:pPr>
      <w:r>
        <w:rPr>
          <w:spacing w:val="-4"/>
        </w:rPr>
        <w:t>货币市场基金拟投资于主体信用评级低于 </w:t>
      </w:r>
      <w:r>
        <w:rPr/>
        <w:t>AA</w:t>
      </w:r>
      <w:r>
        <w:rPr>
          <w:spacing w:val="-5"/>
        </w:rPr>
        <w:t>+的商业银行的银行存款与同业存单的，应</w:t>
      </w:r>
      <w:r>
        <w:rPr>
          <w:spacing w:val="-9"/>
        </w:rPr>
        <w:t>当经基金管理人董事会审议批准，相关交易应当事先征得基金托管人的同意，并作为重大事</w:t>
      </w:r>
    </w:p>
    <w:p>
      <w:pPr>
        <w:spacing w:after="0" w:line="417" w:lineRule="auto"/>
        <w:jc w:val="both"/>
        <w:sectPr>
          <w:footerReference w:type="default" r:id="rId190"/>
          <w:pgSz w:w="11910" w:h="16840"/>
          <w:pgMar w:footer="992" w:header="852" w:top="1220" w:bottom="1180" w:left="1140" w:right="480"/>
        </w:sectPr>
      </w:pPr>
    </w:p>
    <w:p>
      <w:pPr>
        <w:pStyle w:val="BodyText"/>
        <w:spacing w:before="1"/>
        <w:rPr>
          <w:sz w:val="19"/>
        </w:rPr>
      </w:pPr>
    </w:p>
    <w:p>
      <w:pPr>
        <w:pStyle w:val="BodyText"/>
        <w:spacing w:before="71"/>
        <w:ind w:left="658"/>
      </w:pPr>
      <w:r>
        <w:rPr/>
        <w:t>项履行信息披露程序；</w:t>
      </w:r>
    </w:p>
    <w:p>
      <w:pPr>
        <w:pStyle w:val="BodyText"/>
        <w:spacing w:before="7"/>
        <w:rPr>
          <w:sz w:val="15"/>
        </w:rPr>
      </w:pPr>
    </w:p>
    <w:p>
      <w:pPr>
        <w:pStyle w:val="ListParagraph"/>
        <w:numPr>
          <w:ilvl w:val="0"/>
          <w:numId w:val="60"/>
        </w:numPr>
        <w:tabs>
          <w:tab w:pos="1711" w:val="left" w:leader="none"/>
        </w:tabs>
        <w:spacing w:line="417" w:lineRule="auto" w:before="0" w:after="0"/>
        <w:ind w:left="658" w:right="1309" w:firstLine="419"/>
        <w:jc w:val="both"/>
        <w:rPr>
          <w:sz w:val="21"/>
        </w:rPr>
      </w:pPr>
      <w:r>
        <w:rPr>
          <w:spacing w:val="-4"/>
          <w:sz w:val="21"/>
        </w:rPr>
        <w:t>货币市场基金主动投资于流动性受限资产的市值合计不超过基金资产的 </w:t>
      </w:r>
      <w:r>
        <w:rPr>
          <w:spacing w:val="-6"/>
          <w:sz w:val="21"/>
        </w:rPr>
        <w:t>10</w:t>
      </w:r>
      <w:r>
        <w:rPr>
          <w:spacing w:val="-11"/>
          <w:sz w:val="21"/>
        </w:rPr>
        <w:t>%；因</w:t>
      </w:r>
      <w:r>
        <w:rPr>
          <w:spacing w:val="-12"/>
          <w:sz w:val="21"/>
        </w:rPr>
        <w:t>证券市场波动、证券停牌、基金规模变动等基金管理人之外的因素致使基金不符合本项所规</w:t>
      </w:r>
      <w:r>
        <w:rPr>
          <w:spacing w:val="-6"/>
          <w:sz w:val="21"/>
        </w:rPr>
        <w:t>定的比例限制的，基金管理人不得主动新增流动性受限资产的投资；</w:t>
      </w:r>
    </w:p>
    <w:p>
      <w:pPr>
        <w:pStyle w:val="ListParagraph"/>
        <w:numPr>
          <w:ilvl w:val="0"/>
          <w:numId w:val="60"/>
        </w:numPr>
        <w:tabs>
          <w:tab w:pos="1713" w:val="left" w:leader="none"/>
        </w:tabs>
        <w:spacing w:line="417" w:lineRule="auto" w:before="0" w:after="0"/>
        <w:ind w:left="658" w:right="1309" w:firstLine="419"/>
        <w:jc w:val="left"/>
        <w:rPr>
          <w:sz w:val="21"/>
        </w:rPr>
      </w:pPr>
      <w:r>
        <w:rPr>
          <w:spacing w:val="-3"/>
          <w:sz w:val="21"/>
        </w:rPr>
        <w:t>本基金与私募类证券资管产品及中国证监会认定的其他主体为交易对手开展逆回购交易的，可接受质押品的资质要求应当与本基金合同约定的投资范围保持一致；</w:t>
      </w:r>
    </w:p>
    <w:p>
      <w:pPr>
        <w:pStyle w:val="ListParagraph"/>
        <w:numPr>
          <w:ilvl w:val="0"/>
          <w:numId w:val="60"/>
        </w:numPr>
        <w:tabs>
          <w:tab w:pos="1713" w:val="left" w:leader="none"/>
        </w:tabs>
        <w:spacing w:line="269" w:lineRule="exact" w:before="0" w:after="0"/>
        <w:ind w:left="1712" w:right="0" w:hanging="635"/>
        <w:jc w:val="left"/>
        <w:rPr>
          <w:sz w:val="21"/>
        </w:rPr>
      </w:pPr>
      <w:r>
        <w:rPr>
          <w:spacing w:val="-3"/>
          <w:sz w:val="21"/>
        </w:rPr>
        <w:t>中国证监会、中国人民银行规定的其他比例限制。</w:t>
      </w:r>
    </w:p>
    <w:p>
      <w:pPr>
        <w:pStyle w:val="BodyText"/>
        <w:spacing w:before="7"/>
        <w:rPr>
          <w:sz w:val="15"/>
        </w:rPr>
      </w:pPr>
    </w:p>
    <w:p>
      <w:pPr>
        <w:pStyle w:val="BodyText"/>
        <w:spacing w:line="417" w:lineRule="auto"/>
        <w:ind w:left="658" w:right="1308" w:firstLine="419"/>
        <w:jc w:val="both"/>
      </w:pPr>
      <w:r>
        <w:rPr/>
        <w:t>2</w:t>
      </w:r>
      <w:r>
        <w:rPr>
          <w:spacing w:val="-20"/>
        </w:rPr>
        <w:t>、基金托管人发现基金管理人有违反《暂行办法》、《试点办法》、《基金合同》和有关</w:t>
      </w:r>
      <w:r>
        <w:rPr>
          <w:spacing w:val="-12"/>
        </w:rPr>
        <w:t>法律、法规规定的行为，应及时以书面形式通知基金管理人限期纠正，基金管理人收到通知</w:t>
      </w:r>
      <w:r>
        <w:rPr>
          <w:spacing w:val="-10"/>
        </w:rPr>
        <w:t>后应及时核对确认并以书面形式对基金托管人发出回函。在限期内，基金托管人有权随时对</w:t>
      </w:r>
      <w:r>
        <w:rPr>
          <w:spacing w:val="-12"/>
        </w:rPr>
        <w:t>通知事项进行复查，督促基金管理人改正。基金管理人对基金托管人通知的违规事项未能在</w:t>
      </w:r>
      <w:r>
        <w:rPr>
          <w:spacing w:val="-6"/>
        </w:rPr>
        <w:t>限期内纠正的，基金托管人应报告中国证监会。</w:t>
      </w:r>
    </w:p>
    <w:p>
      <w:pPr>
        <w:pStyle w:val="BodyText"/>
        <w:spacing w:line="417" w:lineRule="auto"/>
        <w:ind w:left="658" w:right="1308" w:firstLine="419"/>
        <w:jc w:val="both"/>
      </w:pPr>
      <w:r>
        <w:rPr/>
        <w:t>3</w:t>
      </w:r>
      <w:r>
        <w:rPr>
          <w:spacing w:val="-7"/>
        </w:rPr>
        <w:t>、如基金托管人认为基金管理人的作为或不作为违反了法律法规</w:t>
      </w:r>
      <w:r>
        <w:rPr>
          <w:spacing w:val="-20"/>
        </w:rPr>
        <w:t>、《基金合同》或本托</w:t>
      </w:r>
      <w:r>
        <w:rPr>
          <w:spacing w:val="-15"/>
        </w:rPr>
        <w:t>管协议，基金托管人应呈报中国证监会和其他监管部门，有权利并有义务行使法律法规</w:t>
      </w:r>
      <w:r>
        <w:rPr>
          <w:spacing w:val="-58"/>
        </w:rPr>
        <w:t>、《基</w:t>
      </w:r>
      <w:r>
        <w:rPr>
          <w:spacing w:val="-18"/>
        </w:rPr>
        <w:t>金合同》或本托管协议赋予、给予、规定的基金托管人的任何及所有权利和救济措施，以保</w:t>
      </w:r>
      <w:r>
        <w:rPr>
          <w:spacing w:val="-12"/>
        </w:rPr>
        <w:t>护基金资产的安全和基金投资者的利益，包括但不限于就更换基金管理人事宜召集基金份额</w:t>
      </w:r>
      <w:r>
        <w:rPr>
          <w:spacing w:val="-6"/>
        </w:rPr>
        <w:t>持有人大会、代表基金对因基金管理人的过错造成的基金资产的损失向基金管理人索赔。</w:t>
      </w:r>
    </w:p>
    <w:p>
      <w:pPr>
        <w:pStyle w:val="BodyText"/>
        <w:spacing w:line="269" w:lineRule="exact"/>
        <w:ind w:left="1078"/>
      </w:pPr>
      <w:r>
        <w:rPr/>
        <w:t>2、基金管理人对基金托管人的业务监督、核查</w:t>
      </w:r>
    </w:p>
    <w:p>
      <w:pPr>
        <w:pStyle w:val="BodyText"/>
        <w:spacing w:before="6"/>
        <w:rPr>
          <w:sz w:val="15"/>
        </w:rPr>
      </w:pPr>
    </w:p>
    <w:p>
      <w:pPr>
        <w:pStyle w:val="BodyText"/>
        <w:spacing w:line="417" w:lineRule="auto"/>
        <w:ind w:left="658" w:right="1308" w:firstLine="419"/>
        <w:jc w:val="both"/>
      </w:pPr>
      <w:r>
        <w:rPr>
          <w:spacing w:val="-26"/>
        </w:rPr>
        <w:t>根据《暂行办法》、《试点办法》、《基金合同》及其他有关规定，基金管理人就基金托管</w:t>
      </w:r>
      <w:r>
        <w:rPr>
          <w:spacing w:val="-14"/>
        </w:rPr>
        <w:t>人是否及时执行基金管理人的指令、是否将基金资产和自有资产分账管理、是否擅自动用基</w:t>
      </w:r>
      <w:r>
        <w:rPr>
          <w:spacing w:val="-11"/>
        </w:rPr>
        <w:t>金资产、是否按时将分配给基金持有人基金份额持有人的收益划入分红派息账户等事项，对基金托管人进行监督和核查。监督和检查的范围包括了本系列开放式基金的各个基金，按各</w:t>
      </w:r>
      <w:r>
        <w:rPr>
          <w:spacing w:val="-6"/>
        </w:rPr>
        <w:t>个基金独立监督与核查。</w:t>
      </w:r>
    </w:p>
    <w:p>
      <w:pPr>
        <w:pStyle w:val="ListParagraph"/>
        <w:numPr>
          <w:ilvl w:val="0"/>
          <w:numId w:val="61"/>
        </w:numPr>
        <w:tabs>
          <w:tab w:pos="1607" w:val="left" w:leader="none"/>
        </w:tabs>
        <w:spacing w:line="417" w:lineRule="auto" w:before="0" w:after="0"/>
        <w:ind w:left="658" w:right="1308" w:firstLine="419"/>
        <w:jc w:val="both"/>
        <w:rPr>
          <w:sz w:val="21"/>
        </w:rPr>
      </w:pPr>
      <w:r>
        <w:rPr>
          <w:spacing w:val="-3"/>
          <w:sz w:val="21"/>
        </w:rPr>
        <w:t>基金管理人定期对基金托管人保管的基金资产进行核查。基金管理人发现基金托</w:t>
      </w:r>
      <w:r>
        <w:rPr>
          <w:spacing w:val="-8"/>
          <w:sz w:val="21"/>
        </w:rPr>
        <w:t>管人未对基金资产实行分账管理、擅自挪用基金资产、因基金托管人的过错导致基金资产灭</w:t>
      </w:r>
      <w:r>
        <w:rPr>
          <w:spacing w:val="-12"/>
          <w:sz w:val="21"/>
        </w:rPr>
        <w:t>失、减损、或处于危险状态的，基金管理人应立即以书面的方式要求基金托管人予以纠正和</w:t>
      </w:r>
      <w:r>
        <w:rPr>
          <w:spacing w:val="-6"/>
          <w:sz w:val="21"/>
        </w:rPr>
        <w:t>采取必要的补救措施。基金管理人有义务要求基金托管人赔偿基金因此所遭受的损失。</w:t>
      </w:r>
    </w:p>
    <w:p>
      <w:pPr>
        <w:pStyle w:val="ListParagraph"/>
        <w:numPr>
          <w:ilvl w:val="0"/>
          <w:numId w:val="61"/>
        </w:numPr>
        <w:tabs>
          <w:tab w:pos="1607" w:val="left" w:leader="none"/>
        </w:tabs>
        <w:spacing w:line="417" w:lineRule="auto" w:before="0" w:after="0"/>
        <w:ind w:left="658" w:right="1309" w:firstLine="419"/>
        <w:jc w:val="both"/>
        <w:rPr>
          <w:sz w:val="21"/>
        </w:rPr>
      </w:pPr>
      <w:r>
        <w:rPr>
          <w:spacing w:val="-20"/>
          <w:sz w:val="21"/>
        </w:rPr>
        <w:t>基金管理人发现基金托管人的行为违反《暂行办法》、《试点办法》、《基金合同》</w:t>
      </w:r>
      <w:r>
        <w:rPr>
          <w:spacing w:val="-14"/>
          <w:sz w:val="21"/>
        </w:rPr>
        <w:t>和有关法律、法规的规定，应及时以书面形式通知基金托管人限期纠正，基金托管人收到通</w:t>
      </w:r>
      <w:r>
        <w:rPr>
          <w:spacing w:val="-11"/>
          <w:sz w:val="21"/>
        </w:rPr>
        <w:t>知后应及时核对并以书面形式对基金管理人发出回函。在限期内，基金管理人有权随时对通</w:t>
      </w:r>
    </w:p>
    <w:p>
      <w:pPr>
        <w:spacing w:after="0" w:line="417" w:lineRule="auto"/>
        <w:jc w:val="both"/>
        <w:rPr>
          <w:sz w:val="21"/>
        </w:rPr>
        <w:sectPr>
          <w:footerReference w:type="default" r:id="rId191"/>
          <w:pgSz w:w="11910" w:h="16840"/>
          <w:pgMar w:footer="992" w:header="852" w:top="1220" w:bottom="1180" w:left="1140" w:right="480"/>
          <w:pgNumType w:start="161"/>
        </w:sectPr>
      </w:pPr>
    </w:p>
    <w:p>
      <w:pPr>
        <w:pStyle w:val="BodyText"/>
        <w:spacing w:before="1"/>
        <w:rPr>
          <w:sz w:val="19"/>
        </w:rPr>
      </w:pPr>
    </w:p>
    <w:p>
      <w:pPr>
        <w:pStyle w:val="BodyText"/>
        <w:spacing w:line="417" w:lineRule="auto" w:before="71"/>
        <w:ind w:left="658" w:right="1309"/>
      </w:pPr>
      <w:r>
        <w:rPr>
          <w:spacing w:val="-10"/>
        </w:rPr>
        <w:t>知事项进行复查，督促基金托管人改正。基金托管人对基金管理人通知的违规事项未能在限</w:t>
      </w:r>
      <w:r>
        <w:rPr>
          <w:spacing w:val="-5"/>
        </w:rPr>
        <w:t>期内纠正的，基金管理人应报告中国证监会。</w:t>
      </w:r>
    </w:p>
    <w:p>
      <w:pPr>
        <w:pStyle w:val="ListParagraph"/>
        <w:numPr>
          <w:ilvl w:val="0"/>
          <w:numId w:val="61"/>
        </w:numPr>
        <w:tabs>
          <w:tab w:pos="1607" w:val="left" w:leader="none"/>
        </w:tabs>
        <w:spacing w:line="417" w:lineRule="auto" w:before="0" w:after="0"/>
        <w:ind w:left="658" w:right="1203" w:firstLine="419"/>
        <w:jc w:val="left"/>
        <w:rPr>
          <w:sz w:val="21"/>
        </w:rPr>
      </w:pPr>
      <w:r>
        <w:rPr>
          <w:spacing w:val="-3"/>
          <w:sz w:val="21"/>
        </w:rPr>
        <w:t>如基金管理人认为基金托管人的作为或不作为违反了法律法规</w:t>
      </w:r>
      <w:r>
        <w:rPr>
          <w:spacing w:val="-21"/>
          <w:sz w:val="21"/>
        </w:rPr>
        <w:t>、《基金合同》或本</w:t>
      </w:r>
      <w:r>
        <w:rPr>
          <w:spacing w:val="-9"/>
          <w:sz w:val="21"/>
        </w:rPr>
        <w:t>托管协议，基金管理人应呈报中国证监会和其他监管部门，有权利并有义务行使法律法规、</w:t>
      </w:r>
    </w:p>
    <w:p>
      <w:pPr>
        <w:pStyle w:val="BodyText"/>
        <w:spacing w:line="417" w:lineRule="auto"/>
        <w:ind w:left="658" w:right="1102"/>
      </w:pPr>
      <w:r>
        <w:rPr>
          <w:spacing w:val="-3"/>
        </w:rPr>
        <w:t>《基金合同》或本托管协议赋予、给予、规定的基金管理人的任何及所有权利和救济措施， </w:t>
      </w:r>
      <w:r>
        <w:rPr>
          <w:spacing w:val="-8"/>
        </w:rPr>
        <w:t>以保护基金资产的安全和基金投资者的利益，包括但不限于就更换基金托管人事宜召集基金 </w:t>
      </w:r>
      <w:r>
        <w:rPr>
          <w:spacing w:val="-12"/>
        </w:rPr>
        <w:t>份额持有人大会、代表基金对因基金托管人的过错造成的基金资产的损失向基金托管人索赔。</w:t>
      </w:r>
    </w:p>
    <w:p>
      <w:pPr>
        <w:pStyle w:val="BodyText"/>
        <w:spacing w:line="417" w:lineRule="auto"/>
        <w:ind w:left="658" w:right="1203" w:firstLine="419"/>
      </w:pPr>
      <w:r>
        <w:rPr/>
        <w:t>3</w:t>
      </w:r>
      <w:r>
        <w:rPr>
          <w:spacing w:val="-3"/>
        </w:rPr>
        <w:t>、基金管理人和基金托管人有义务配合和协助对方依照本协议对基金业务执行监督、核查。基金管理人或基金托管人无正当理由，拒绝、阻挠对方根据本协议规定行使监督权， </w:t>
      </w:r>
      <w:r>
        <w:rPr>
          <w:spacing w:val="-16"/>
        </w:rPr>
        <w:t>或采取拖延、欺诈等手段妨碍对方进行有效监督，情节严重或经监督方提出警告仍不改正的， </w:t>
      </w:r>
      <w:r>
        <w:rPr>
          <w:spacing w:val="-7"/>
        </w:rPr>
        <w:t>监督方应报告中国证监会。</w:t>
      </w:r>
    </w:p>
    <w:p>
      <w:pPr>
        <w:pStyle w:val="BodyText"/>
        <w:spacing w:before="10"/>
        <w:rPr>
          <w:sz w:val="28"/>
        </w:rPr>
      </w:pPr>
    </w:p>
    <w:p>
      <w:pPr>
        <w:spacing w:before="0"/>
        <w:ind w:left="658" w:right="0" w:firstLine="0"/>
        <w:jc w:val="left"/>
        <w:rPr>
          <w:b/>
          <w:sz w:val="21"/>
        </w:rPr>
      </w:pPr>
      <w:r>
        <w:rPr>
          <w:b/>
          <w:sz w:val="21"/>
        </w:rPr>
        <w:t>（三）基金财产的保管</w:t>
      </w:r>
    </w:p>
    <w:p>
      <w:pPr>
        <w:pStyle w:val="BodyText"/>
        <w:spacing w:before="6"/>
        <w:rPr>
          <w:b/>
          <w:sz w:val="18"/>
        </w:rPr>
      </w:pPr>
    </w:p>
    <w:p>
      <w:pPr>
        <w:pStyle w:val="BodyText"/>
        <w:spacing w:before="1"/>
        <w:ind w:left="1078"/>
      </w:pPr>
      <w:r>
        <w:rPr/>
        <w:t>1、基金资产保管的原则</w:t>
      </w:r>
    </w:p>
    <w:p>
      <w:pPr>
        <w:pStyle w:val="BodyText"/>
        <w:spacing w:before="7"/>
        <w:rPr>
          <w:sz w:val="15"/>
        </w:rPr>
      </w:pPr>
    </w:p>
    <w:p>
      <w:pPr>
        <w:pStyle w:val="ListParagraph"/>
        <w:numPr>
          <w:ilvl w:val="0"/>
          <w:numId w:val="62"/>
        </w:numPr>
        <w:tabs>
          <w:tab w:pos="1607" w:val="left" w:leader="none"/>
        </w:tabs>
        <w:spacing w:line="417" w:lineRule="auto" w:before="0" w:after="0"/>
        <w:ind w:left="658" w:right="1309" w:firstLine="419"/>
        <w:jc w:val="both"/>
        <w:rPr>
          <w:sz w:val="21"/>
        </w:rPr>
      </w:pPr>
      <w:r>
        <w:rPr>
          <w:spacing w:val="-3"/>
          <w:sz w:val="21"/>
        </w:rPr>
        <w:t>本系列基金所有资产的保管责任，由基金托管人承担，而且各基金独立保管。基</w:t>
      </w:r>
      <w:r>
        <w:rPr>
          <w:spacing w:val="-30"/>
          <w:sz w:val="21"/>
        </w:rPr>
        <w:t>金托管人将遵守《信托法》、《暂行办法》、《试点办法》、《基金合同》及其他有关规定，为基</w:t>
      </w:r>
      <w:r>
        <w:rPr>
          <w:spacing w:val="-12"/>
          <w:sz w:val="21"/>
        </w:rPr>
        <w:t>金持有人基金份额持有人的最大利益处理基金事务。基金托管人保证恪尽职守，依照诚实信</w:t>
      </w:r>
      <w:r>
        <w:rPr>
          <w:spacing w:val="-6"/>
          <w:sz w:val="21"/>
        </w:rPr>
        <w:t>用、勤勉尽责的原则，谨慎、有效地持有并保管基金资产。</w:t>
      </w:r>
    </w:p>
    <w:p>
      <w:pPr>
        <w:pStyle w:val="ListParagraph"/>
        <w:numPr>
          <w:ilvl w:val="0"/>
          <w:numId w:val="62"/>
        </w:numPr>
        <w:tabs>
          <w:tab w:pos="1607" w:val="left" w:leader="none"/>
        </w:tabs>
        <w:spacing w:line="417" w:lineRule="auto" w:before="0" w:after="0"/>
        <w:ind w:left="658" w:right="1203" w:firstLine="419"/>
        <w:jc w:val="left"/>
        <w:rPr>
          <w:sz w:val="21"/>
        </w:rPr>
      </w:pPr>
      <w:r>
        <w:rPr>
          <w:spacing w:val="-10"/>
          <w:sz w:val="21"/>
        </w:rPr>
        <w:t>基金托管人应当设立专门的基金托管部，具有符合要求的营业场所，配备足够的、</w:t>
      </w:r>
      <w:r>
        <w:rPr>
          <w:spacing w:val="-15"/>
          <w:sz w:val="21"/>
        </w:rPr>
        <w:t>合格的熟悉基金托管业务的专职人员，负责基金资产托管事宜；建立健全内部风险监控制度， </w:t>
      </w:r>
      <w:r>
        <w:rPr>
          <w:spacing w:val="-7"/>
          <w:sz w:val="21"/>
        </w:rPr>
        <w:t>对负责基金资产托管的部门和人员的行为进行事先控制和事后监督，防范和减少风险。</w:t>
      </w:r>
    </w:p>
    <w:p>
      <w:pPr>
        <w:pStyle w:val="ListParagraph"/>
        <w:numPr>
          <w:ilvl w:val="0"/>
          <w:numId w:val="62"/>
        </w:numPr>
        <w:tabs>
          <w:tab w:pos="1607" w:val="left" w:leader="none"/>
        </w:tabs>
        <w:spacing w:line="417" w:lineRule="auto" w:before="0" w:after="0"/>
        <w:ind w:left="658" w:right="1309" w:firstLine="419"/>
        <w:jc w:val="left"/>
        <w:rPr>
          <w:sz w:val="21"/>
        </w:rPr>
      </w:pPr>
      <w:r>
        <w:rPr>
          <w:spacing w:val="-3"/>
          <w:sz w:val="21"/>
        </w:rPr>
        <w:t>基金托管人应当购置并保持对于基金资产的托管所必要的设备和设施（</w:t>
      </w:r>
      <w:r>
        <w:rPr>
          <w:spacing w:val="-1"/>
          <w:sz w:val="21"/>
        </w:rPr>
        <w:t>包括硬件</w:t>
      </w:r>
      <w:r>
        <w:rPr>
          <w:spacing w:val="-2"/>
          <w:w w:val="100"/>
          <w:sz w:val="21"/>
        </w:rPr>
        <w:t>和软件</w:t>
      </w:r>
      <w:r>
        <w:rPr>
          <w:spacing w:val="-106"/>
          <w:w w:val="100"/>
          <w:sz w:val="21"/>
        </w:rPr>
        <w:t>）</w:t>
      </w:r>
      <w:r>
        <w:rPr>
          <w:spacing w:val="-3"/>
          <w:w w:val="100"/>
          <w:sz w:val="21"/>
        </w:rPr>
        <w:t>，并对设备和设施进行维修、维护和更换，以保持设备和设施的正常运行。</w:t>
      </w:r>
    </w:p>
    <w:p>
      <w:pPr>
        <w:pStyle w:val="ListParagraph"/>
        <w:numPr>
          <w:ilvl w:val="0"/>
          <w:numId w:val="62"/>
        </w:numPr>
        <w:tabs>
          <w:tab w:pos="1607" w:val="left" w:leader="none"/>
        </w:tabs>
        <w:spacing w:line="417" w:lineRule="auto" w:before="0" w:after="0"/>
        <w:ind w:left="658" w:right="1309" w:firstLine="419"/>
        <w:jc w:val="both"/>
        <w:rPr>
          <w:sz w:val="21"/>
        </w:rPr>
      </w:pPr>
      <w:r>
        <w:rPr>
          <w:spacing w:val="-28"/>
          <w:sz w:val="21"/>
        </w:rPr>
        <w:t>除依据《信托法》、《暂行办法》、《试点办法》、《基金合同》及其他有关规定外， </w:t>
      </w:r>
      <w:r>
        <w:rPr>
          <w:spacing w:val="-14"/>
          <w:sz w:val="21"/>
        </w:rPr>
        <w:t>不为自己及任何第三人谋取利益，基金托管人违反此义务，利用基金资产为自己及任何第三</w:t>
      </w:r>
      <w:r>
        <w:rPr>
          <w:spacing w:val="-12"/>
          <w:sz w:val="21"/>
        </w:rPr>
        <w:t>方谋取利益，所得利益归于基金资产；基金托管人不得将基金资产转为其固有财产，不得将</w:t>
      </w:r>
      <w:r>
        <w:rPr>
          <w:spacing w:val="-10"/>
          <w:sz w:val="21"/>
        </w:rPr>
        <w:t>固有资产与基金资产进行交易，或将不同基金资产进行相互交易；违背此款规定的，将承担</w:t>
      </w:r>
      <w:r>
        <w:rPr>
          <w:spacing w:val="-5"/>
          <w:sz w:val="21"/>
        </w:rPr>
        <w:t>相应的责任，包括但不限于恢复基金资产的原状、承担赔偿责任。</w:t>
      </w:r>
    </w:p>
    <w:p>
      <w:pPr>
        <w:pStyle w:val="ListParagraph"/>
        <w:numPr>
          <w:ilvl w:val="0"/>
          <w:numId w:val="62"/>
        </w:numPr>
        <w:tabs>
          <w:tab w:pos="1607" w:val="left" w:leader="none"/>
        </w:tabs>
        <w:spacing w:line="417" w:lineRule="auto" w:before="0" w:after="0"/>
        <w:ind w:left="658" w:right="1309" w:firstLine="419"/>
        <w:jc w:val="left"/>
        <w:rPr>
          <w:sz w:val="21"/>
        </w:rPr>
      </w:pPr>
      <w:r>
        <w:rPr>
          <w:spacing w:val="-3"/>
          <w:sz w:val="21"/>
        </w:rPr>
        <w:t>基金托管人必须将基金资产与自有资产严格分开，将本系列基金各基金资产与其</w:t>
      </w:r>
      <w:r>
        <w:rPr>
          <w:spacing w:val="-8"/>
          <w:sz w:val="21"/>
        </w:rPr>
        <w:t>托管的其他基金资产严格分开；基金托管人应当为各基金分别设立独立的账户，分别建立独</w:t>
      </w:r>
    </w:p>
    <w:p>
      <w:pPr>
        <w:spacing w:after="0" w:line="417" w:lineRule="auto"/>
        <w:jc w:val="left"/>
        <w:rPr>
          <w:sz w:val="21"/>
        </w:rPr>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9"/>
      </w:pPr>
      <w:r>
        <w:rPr>
          <w:spacing w:val="-9"/>
        </w:rPr>
        <w:t>立的账簿，与基金托管人的其他业务和其他基金的托管业务实行严格的分账管理，保证不同</w:t>
      </w:r>
      <w:r>
        <w:rPr>
          <w:spacing w:val="-5"/>
        </w:rPr>
        <w:t>基金之间在名册登记、账户设置、资金划拨、账册记录等方面具有实质的独立性。</w:t>
      </w:r>
    </w:p>
    <w:p>
      <w:pPr>
        <w:pStyle w:val="ListParagraph"/>
        <w:numPr>
          <w:ilvl w:val="0"/>
          <w:numId w:val="62"/>
        </w:numPr>
        <w:tabs>
          <w:tab w:pos="1607" w:val="left" w:leader="none"/>
        </w:tabs>
        <w:spacing w:line="417" w:lineRule="auto" w:before="0" w:after="0"/>
        <w:ind w:left="658" w:right="1309" w:firstLine="419"/>
        <w:jc w:val="left"/>
        <w:rPr>
          <w:sz w:val="21"/>
        </w:rPr>
      </w:pPr>
      <w:r>
        <w:rPr>
          <w:spacing w:val="-28"/>
          <w:sz w:val="21"/>
        </w:rPr>
        <w:t>除依据《信托法》、《暂行办法》、《试点办法》、《基金合同》及其他有关规定外， </w:t>
      </w:r>
      <w:r>
        <w:rPr>
          <w:spacing w:val="-3"/>
          <w:sz w:val="21"/>
        </w:rPr>
        <w:t>基金托管人不得委托第三人托管基金资产；</w:t>
      </w:r>
    </w:p>
    <w:p>
      <w:pPr>
        <w:pStyle w:val="ListParagraph"/>
        <w:numPr>
          <w:ilvl w:val="0"/>
          <w:numId w:val="62"/>
        </w:numPr>
        <w:tabs>
          <w:tab w:pos="1607" w:val="left" w:leader="none"/>
        </w:tabs>
        <w:spacing w:line="417" w:lineRule="auto" w:before="0" w:after="0"/>
        <w:ind w:left="658" w:right="1309" w:firstLine="419"/>
        <w:jc w:val="left"/>
        <w:rPr>
          <w:sz w:val="21"/>
        </w:rPr>
      </w:pPr>
      <w:r>
        <w:rPr>
          <w:spacing w:val="-3"/>
          <w:sz w:val="21"/>
        </w:rPr>
        <w:t>基金托管人应安全、完整地保管基金资产；未经基金管理人的正当指令，不得自行运用、处分、分配基金的任何资产。</w:t>
      </w:r>
    </w:p>
    <w:p>
      <w:pPr>
        <w:pStyle w:val="BodyText"/>
        <w:spacing w:line="269" w:lineRule="exact"/>
        <w:ind w:left="1078"/>
      </w:pPr>
      <w:r>
        <w:rPr/>
        <w:t>2、基金成立时募集资金的验证</w:t>
      </w:r>
    </w:p>
    <w:p>
      <w:pPr>
        <w:pStyle w:val="BodyText"/>
        <w:spacing w:before="7"/>
        <w:rPr>
          <w:sz w:val="15"/>
        </w:rPr>
      </w:pPr>
    </w:p>
    <w:p>
      <w:pPr>
        <w:pStyle w:val="BodyText"/>
        <w:spacing w:line="417" w:lineRule="auto"/>
        <w:ind w:left="658" w:right="1308" w:firstLine="419"/>
        <w:jc w:val="both"/>
      </w:pPr>
      <w:r>
        <w:rPr>
          <w:spacing w:val="-8"/>
        </w:rPr>
        <w:t>基金设立募集期满或基金发起人宣布停止募集时，基金发起人应将设立募集的全部资金</w:t>
      </w:r>
      <w:r>
        <w:rPr>
          <w:spacing w:val="-12"/>
        </w:rPr>
        <w:t>存入该基金的基金募集专户，由基金发起人聘请具有从事证券从业资格的会计师事务所进行</w:t>
      </w:r>
      <w:r>
        <w:rPr>
          <w:spacing w:val="-11"/>
        </w:rPr>
        <w:t>验资，出具验资报告，出具的验资报告应由参加验资的 </w:t>
      </w:r>
      <w:r>
        <w:rPr/>
        <w:t>2</w:t>
      </w:r>
      <w:r>
        <w:rPr>
          <w:spacing w:val="-19"/>
        </w:rPr>
        <w:t> 名以上</w:t>
      </w:r>
      <w:r>
        <w:rPr/>
        <w:t>（</w:t>
      </w:r>
      <w:r>
        <w:rPr>
          <w:spacing w:val="-23"/>
        </w:rPr>
        <w:t>含 </w:t>
      </w:r>
      <w:r>
        <w:rPr/>
        <w:t>2</w:t>
      </w:r>
      <w:r>
        <w:rPr>
          <w:spacing w:val="-23"/>
        </w:rPr>
        <w:t> 名</w:t>
      </w:r>
      <w:r>
        <w:rPr>
          <w:spacing w:val="-25"/>
        </w:rPr>
        <w:t>）</w:t>
      </w:r>
      <w:r>
        <w:rPr>
          <w:spacing w:val="-2"/>
        </w:rPr>
        <w:t>中国注册会计师</w:t>
      </w:r>
      <w:r>
        <w:rPr>
          <w:spacing w:val="-3"/>
        </w:rPr>
        <w:t>签字方为有效。</w:t>
      </w:r>
    </w:p>
    <w:p>
      <w:pPr>
        <w:pStyle w:val="BodyText"/>
        <w:spacing w:line="268" w:lineRule="exact"/>
        <w:ind w:left="1078"/>
      </w:pPr>
      <w:r>
        <w:rPr/>
        <w:t>3、基金的银行账户的开设和管理</w:t>
      </w:r>
    </w:p>
    <w:p>
      <w:pPr>
        <w:pStyle w:val="BodyText"/>
        <w:spacing w:before="6"/>
        <w:rPr>
          <w:sz w:val="15"/>
        </w:rPr>
      </w:pPr>
    </w:p>
    <w:p>
      <w:pPr>
        <w:pStyle w:val="ListParagraph"/>
        <w:numPr>
          <w:ilvl w:val="0"/>
          <w:numId w:val="63"/>
        </w:numPr>
        <w:tabs>
          <w:tab w:pos="1607" w:val="left" w:leader="none"/>
        </w:tabs>
        <w:spacing w:line="240" w:lineRule="auto" w:before="1" w:after="0"/>
        <w:ind w:left="1607" w:right="0" w:hanging="529"/>
        <w:jc w:val="left"/>
        <w:rPr>
          <w:sz w:val="21"/>
        </w:rPr>
      </w:pPr>
      <w:r>
        <w:rPr>
          <w:spacing w:val="-3"/>
          <w:sz w:val="21"/>
        </w:rPr>
        <w:t>基金托管人应负责各基金的银行账户的开设和管理。</w:t>
      </w:r>
    </w:p>
    <w:p>
      <w:pPr>
        <w:pStyle w:val="BodyText"/>
        <w:spacing w:before="6"/>
        <w:rPr>
          <w:sz w:val="15"/>
        </w:rPr>
      </w:pPr>
    </w:p>
    <w:p>
      <w:pPr>
        <w:pStyle w:val="ListParagraph"/>
        <w:numPr>
          <w:ilvl w:val="0"/>
          <w:numId w:val="63"/>
        </w:numPr>
        <w:tabs>
          <w:tab w:pos="1607" w:val="left" w:leader="none"/>
        </w:tabs>
        <w:spacing w:line="417" w:lineRule="auto" w:before="0" w:after="0"/>
        <w:ind w:left="658" w:right="1309" w:firstLine="419"/>
        <w:jc w:val="both"/>
        <w:rPr>
          <w:sz w:val="21"/>
        </w:rPr>
      </w:pPr>
      <w:r>
        <w:rPr>
          <w:spacing w:val="-3"/>
          <w:sz w:val="21"/>
        </w:rPr>
        <w:t>基金托管人以各基金的名义在其营业机构开设该基金的银行账户。各基金的银行</w:t>
      </w:r>
      <w:r>
        <w:rPr>
          <w:spacing w:val="-10"/>
          <w:sz w:val="21"/>
        </w:rPr>
        <w:t>预留印鉴，由基金托管人保管和使用。各基金的一切货币收支活动，包括但不限于投资、支</w:t>
      </w:r>
      <w:r>
        <w:rPr>
          <w:spacing w:val="-5"/>
          <w:sz w:val="21"/>
        </w:rPr>
        <w:t>付赎回金额、支付基金收益、收取申购款，均需通过该基金的银行账户进行。</w:t>
      </w:r>
    </w:p>
    <w:p>
      <w:pPr>
        <w:pStyle w:val="ListParagraph"/>
        <w:numPr>
          <w:ilvl w:val="0"/>
          <w:numId w:val="63"/>
        </w:numPr>
        <w:tabs>
          <w:tab w:pos="1607" w:val="left" w:leader="none"/>
        </w:tabs>
        <w:spacing w:line="417" w:lineRule="auto" w:before="0" w:after="0"/>
        <w:ind w:left="658" w:right="1308" w:firstLine="419"/>
        <w:jc w:val="both"/>
        <w:rPr>
          <w:sz w:val="21"/>
        </w:rPr>
      </w:pPr>
      <w:r>
        <w:rPr>
          <w:spacing w:val="-3"/>
          <w:sz w:val="21"/>
        </w:rPr>
        <w:t>各基金银行账户的开立和使用，限于满足开展各基金业务的需要。基金托管人和</w:t>
      </w:r>
      <w:r>
        <w:rPr>
          <w:spacing w:val="-7"/>
          <w:sz w:val="21"/>
        </w:rPr>
        <w:t>基金管理人不得假借各基金的名义开立其他任何银行账户；亦不得使用基金的任何银行账户</w:t>
      </w:r>
      <w:r>
        <w:rPr>
          <w:spacing w:val="-5"/>
          <w:sz w:val="21"/>
        </w:rPr>
        <w:t>进行该基金业务以外的活动。</w:t>
      </w:r>
    </w:p>
    <w:p>
      <w:pPr>
        <w:pStyle w:val="ListParagraph"/>
        <w:numPr>
          <w:ilvl w:val="0"/>
          <w:numId w:val="63"/>
        </w:numPr>
        <w:tabs>
          <w:tab w:pos="1607" w:val="left" w:leader="none"/>
        </w:tabs>
        <w:spacing w:line="269" w:lineRule="exact" w:before="0" w:after="0"/>
        <w:ind w:left="1607" w:right="0" w:hanging="529"/>
        <w:jc w:val="left"/>
        <w:rPr>
          <w:sz w:val="21"/>
        </w:rPr>
      </w:pPr>
      <w:r>
        <w:rPr>
          <w:spacing w:val="-15"/>
          <w:sz w:val="21"/>
        </w:rPr>
        <w:t>各基金银行账户的管理应符合《中华人民共和国票据法》、《银行账户管理办法》、</w:t>
      </w:r>
    </w:p>
    <w:p>
      <w:pPr>
        <w:pStyle w:val="BodyText"/>
        <w:spacing w:before="7"/>
        <w:rPr>
          <w:sz w:val="15"/>
        </w:rPr>
      </w:pPr>
    </w:p>
    <w:p>
      <w:pPr>
        <w:pStyle w:val="BodyText"/>
        <w:ind w:left="658"/>
      </w:pPr>
      <w:r>
        <w:rPr/>
        <w:t>《现金管理条例》、《中国人民银行利率管理的有关规定》、《关于大额现金支付管理的通知》、</w:t>
      </w:r>
    </w:p>
    <w:p>
      <w:pPr>
        <w:pStyle w:val="BodyText"/>
        <w:spacing w:before="7"/>
        <w:rPr>
          <w:sz w:val="15"/>
        </w:rPr>
      </w:pPr>
    </w:p>
    <w:p>
      <w:pPr>
        <w:pStyle w:val="BodyText"/>
        <w:ind w:left="658"/>
      </w:pPr>
      <w:r>
        <w:rPr/>
        <w:t>《支付结算办法》以及其他有关规定。</w:t>
      </w:r>
    </w:p>
    <w:p>
      <w:pPr>
        <w:pStyle w:val="BodyText"/>
        <w:spacing w:before="7"/>
        <w:rPr>
          <w:sz w:val="15"/>
        </w:rPr>
      </w:pPr>
    </w:p>
    <w:p>
      <w:pPr>
        <w:pStyle w:val="BodyText"/>
        <w:ind w:left="1078"/>
      </w:pPr>
      <w:r>
        <w:rPr/>
        <w:t>4、基金证券账户和资金账户的开设和管理</w:t>
      </w:r>
    </w:p>
    <w:p>
      <w:pPr>
        <w:pStyle w:val="BodyText"/>
        <w:spacing w:before="7"/>
        <w:rPr>
          <w:sz w:val="15"/>
        </w:rPr>
      </w:pPr>
    </w:p>
    <w:p>
      <w:pPr>
        <w:pStyle w:val="ListParagraph"/>
        <w:numPr>
          <w:ilvl w:val="0"/>
          <w:numId w:val="64"/>
        </w:numPr>
        <w:tabs>
          <w:tab w:pos="1607" w:val="left" w:leader="none"/>
        </w:tabs>
        <w:spacing w:line="417" w:lineRule="auto" w:before="0" w:after="0"/>
        <w:ind w:left="658" w:right="1309" w:firstLine="419"/>
        <w:jc w:val="both"/>
        <w:rPr>
          <w:sz w:val="21"/>
        </w:rPr>
      </w:pPr>
      <w:r>
        <w:rPr>
          <w:spacing w:val="-3"/>
          <w:sz w:val="21"/>
        </w:rPr>
        <w:t>基金托管人应当代表本系列基金下的各基金，以托管人和各基金联名的方式在中</w:t>
      </w:r>
      <w:r>
        <w:rPr>
          <w:spacing w:val="-8"/>
          <w:sz w:val="21"/>
        </w:rPr>
        <w:t>国证券登记结算有限责任公司开设证券账户，以各基金的名义在中央国债登记结算有限责任</w:t>
      </w:r>
      <w:r>
        <w:rPr>
          <w:spacing w:val="-5"/>
          <w:sz w:val="21"/>
        </w:rPr>
        <w:t>公司开设证券账户。</w:t>
      </w:r>
    </w:p>
    <w:p>
      <w:pPr>
        <w:pStyle w:val="ListParagraph"/>
        <w:numPr>
          <w:ilvl w:val="0"/>
          <w:numId w:val="64"/>
        </w:numPr>
        <w:tabs>
          <w:tab w:pos="1607" w:val="left" w:leader="none"/>
        </w:tabs>
        <w:spacing w:line="417" w:lineRule="auto" w:before="0" w:after="0"/>
        <w:ind w:left="658" w:right="1309" w:firstLine="419"/>
        <w:jc w:val="both"/>
        <w:rPr>
          <w:sz w:val="21"/>
        </w:rPr>
      </w:pPr>
      <w:r>
        <w:rPr>
          <w:spacing w:val="-3"/>
          <w:sz w:val="21"/>
        </w:rPr>
        <w:t>各基金证券账户的开立和使用，限于满足开展该基金业务的需要。基金托管人和</w:t>
      </w:r>
      <w:r>
        <w:rPr>
          <w:spacing w:val="-6"/>
          <w:sz w:val="21"/>
        </w:rPr>
        <w:t>基金管理人不得出借和未经另一方同意擅自转让本系列基金的任何证券账户；亦不得使用本</w:t>
      </w:r>
      <w:r>
        <w:rPr>
          <w:spacing w:val="-4"/>
          <w:sz w:val="21"/>
        </w:rPr>
        <w:t>系列基金的任何证券账户进行本系列基金业务以外的活动。</w:t>
      </w:r>
    </w:p>
    <w:p>
      <w:pPr>
        <w:pStyle w:val="ListParagraph"/>
        <w:numPr>
          <w:ilvl w:val="0"/>
          <w:numId w:val="64"/>
        </w:numPr>
        <w:tabs>
          <w:tab w:pos="1607" w:val="left" w:leader="none"/>
        </w:tabs>
        <w:spacing w:line="240" w:lineRule="auto" w:before="0" w:after="0"/>
        <w:ind w:left="1607" w:right="0" w:hanging="529"/>
        <w:jc w:val="left"/>
        <w:rPr>
          <w:sz w:val="21"/>
        </w:rPr>
      </w:pPr>
      <w:r>
        <w:rPr>
          <w:spacing w:val="-3"/>
          <w:sz w:val="21"/>
        </w:rPr>
        <w:t>基金托管人应以其名义在中国证券登记结算有限责任公司开立资金结算账户，用</w:t>
      </w:r>
    </w:p>
    <w:p>
      <w:pPr>
        <w:spacing w:after="0" w:line="240" w:lineRule="auto"/>
        <w:jc w:val="left"/>
        <w:rPr>
          <w:sz w:val="21"/>
        </w:rPr>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9"/>
      </w:pPr>
      <w:r>
        <w:rPr>
          <w:spacing w:val="-8"/>
        </w:rPr>
        <w:t>于其托管的本系列基金的证券资金清算；在中央国债登记结算有限责任公司开立国债托管账</w:t>
      </w:r>
      <w:r>
        <w:rPr>
          <w:spacing w:val="-5"/>
        </w:rPr>
        <w:t>户，用于本系列基金各基金国债的交易和清算。</w:t>
      </w:r>
    </w:p>
    <w:p>
      <w:pPr>
        <w:pStyle w:val="ListParagraph"/>
        <w:numPr>
          <w:ilvl w:val="0"/>
          <w:numId w:val="64"/>
        </w:numPr>
        <w:tabs>
          <w:tab w:pos="1607" w:val="left" w:leader="none"/>
        </w:tabs>
        <w:spacing w:line="417" w:lineRule="auto" w:before="0" w:after="0"/>
        <w:ind w:left="658" w:right="1309" w:firstLine="419"/>
        <w:jc w:val="left"/>
        <w:rPr>
          <w:sz w:val="21"/>
        </w:rPr>
      </w:pPr>
      <w:r>
        <w:rPr>
          <w:spacing w:val="-3"/>
          <w:sz w:val="21"/>
        </w:rPr>
        <w:t>基金证券账户和资金账户的开设和管理可以根据当时市场的通行做法办理，而不限于上述关于账户开设、使用的规定。</w:t>
      </w:r>
    </w:p>
    <w:p>
      <w:pPr>
        <w:pStyle w:val="ListParagraph"/>
        <w:numPr>
          <w:ilvl w:val="0"/>
          <w:numId w:val="64"/>
        </w:numPr>
        <w:tabs>
          <w:tab w:pos="1607" w:val="left" w:leader="none"/>
        </w:tabs>
        <w:spacing w:line="417" w:lineRule="auto" w:before="0" w:after="0"/>
        <w:ind w:left="658" w:right="1309" w:firstLine="419"/>
        <w:jc w:val="both"/>
        <w:rPr>
          <w:sz w:val="21"/>
        </w:rPr>
      </w:pPr>
      <w:r>
        <w:rPr>
          <w:spacing w:val="-3"/>
          <w:sz w:val="21"/>
        </w:rPr>
        <w:t>在本托管协议订立日之后，本系列基金被允许从事其他投资品种的投资业务的， </w:t>
      </w:r>
      <w:r>
        <w:rPr>
          <w:spacing w:val="-10"/>
          <w:sz w:val="21"/>
        </w:rPr>
        <w:t>涉及相关账户的开设、使用的，若无相关规定，则基金托管人应当比照并遵守上述关于账户</w:t>
      </w:r>
      <w:r>
        <w:rPr>
          <w:spacing w:val="-5"/>
          <w:sz w:val="21"/>
        </w:rPr>
        <w:t>开设、使用的规定。</w:t>
      </w:r>
    </w:p>
    <w:p>
      <w:pPr>
        <w:pStyle w:val="BodyText"/>
        <w:ind w:left="1078"/>
      </w:pPr>
      <w:r>
        <w:rPr/>
        <w:t>5、基金资产投资的有关实物证券的保管</w:t>
      </w:r>
    </w:p>
    <w:p>
      <w:pPr>
        <w:pStyle w:val="BodyText"/>
        <w:spacing w:before="6"/>
        <w:rPr>
          <w:sz w:val="15"/>
        </w:rPr>
      </w:pPr>
    </w:p>
    <w:p>
      <w:pPr>
        <w:pStyle w:val="BodyText"/>
        <w:spacing w:line="417" w:lineRule="auto"/>
        <w:ind w:left="658" w:right="1309" w:firstLine="419"/>
        <w:jc w:val="both"/>
      </w:pPr>
      <w:r>
        <w:rPr>
          <w:spacing w:val="-8"/>
        </w:rPr>
        <w:t>实物证券由基金托管人存放于托管银行的保管库，但要与非本系列基金的其他实物证券</w:t>
      </w:r>
      <w:r>
        <w:rPr>
          <w:spacing w:val="-12"/>
        </w:rPr>
        <w:t>分开保管；也可存入中央国债登记结算有限责任公司或中国证券登记结算有限责任公司的代保管库，保管凭证由基金托管人持有。实物证券的购买和转让，由基金托管人根据基金管理</w:t>
      </w:r>
      <w:r>
        <w:rPr>
          <w:spacing w:val="-6"/>
        </w:rPr>
        <w:t>人的指令办理。</w:t>
      </w:r>
    </w:p>
    <w:p>
      <w:pPr>
        <w:pStyle w:val="BodyText"/>
        <w:spacing w:line="268" w:lineRule="exact"/>
        <w:ind w:left="1078"/>
      </w:pPr>
      <w:r>
        <w:rPr/>
        <w:t>6、与基金资产有关的重大合同的保管</w:t>
      </w:r>
    </w:p>
    <w:p>
      <w:pPr>
        <w:pStyle w:val="BodyText"/>
        <w:spacing w:before="7"/>
        <w:rPr>
          <w:sz w:val="15"/>
        </w:rPr>
      </w:pPr>
    </w:p>
    <w:p>
      <w:pPr>
        <w:pStyle w:val="BodyText"/>
        <w:spacing w:line="417" w:lineRule="auto"/>
        <w:ind w:left="658" w:right="1310" w:firstLine="419"/>
        <w:jc w:val="both"/>
      </w:pPr>
      <w:r>
        <w:rPr>
          <w:spacing w:val="-6"/>
        </w:rPr>
        <w:t>由基金管理人代表基金签署的与基金有关的重大合同的原件分别由基金托管人、基金管</w:t>
      </w:r>
      <w:r>
        <w:rPr>
          <w:spacing w:val="-12"/>
        </w:rPr>
        <w:t>理人保管。除本协议另有规定外，基金管理人在代表基金签署与基金有关的重大合同时应保</w:t>
      </w:r>
      <w:r>
        <w:rPr>
          <w:spacing w:val="-6"/>
        </w:rPr>
        <w:t>证基金一方持有两份以上的正本，以便基金管理人和基金托管人至少各持有一份正本。</w:t>
      </w:r>
    </w:p>
    <w:p>
      <w:pPr>
        <w:pStyle w:val="BodyText"/>
        <w:ind w:left="1078"/>
      </w:pPr>
      <w:r>
        <w:rPr/>
        <w:t>7、国债托管专户的开设和管理</w:t>
      </w:r>
    </w:p>
    <w:p>
      <w:pPr>
        <w:pStyle w:val="BodyText"/>
        <w:spacing w:before="7"/>
        <w:rPr>
          <w:sz w:val="15"/>
        </w:rPr>
      </w:pPr>
    </w:p>
    <w:p>
      <w:pPr>
        <w:pStyle w:val="ListParagraph"/>
        <w:numPr>
          <w:ilvl w:val="0"/>
          <w:numId w:val="65"/>
        </w:numPr>
        <w:tabs>
          <w:tab w:pos="1607" w:val="left" w:leader="none"/>
        </w:tabs>
        <w:spacing w:line="417" w:lineRule="auto" w:before="0" w:after="0"/>
        <w:ind w:left="658" w:right="1308" w:firstLine="419"/>
        <w:jc w:val="both"/>
        <w:rPr>
          <w:sz w:val="21"/>
        </w:rPr>
      </w:pPr>
      <w:r>
        <w:rPr>
          <w:spacing w:val="-3"/>
          <w:sz w:val="21"/>
        </w:rPr>
        <w:t>基金成立后，基金管理人负责以本系列基金各基金的名义申请并取得进入全国银</w:t>
      </w:r>
      <w:r>
        <w:rPr>
          <w:spacing w:val="-8"/>
          <w:sz w:val="21"/>
        </w:rPr>
        <w:t>行间同业拆借市场的交易资格，并代表基金进行交易；由基金管理人负责向中国人民银行报</w:t>
      </w:r>
      <w:r>
        <w:rPr>
          <w:spacing w:val="-12"/>
          <w:sz w:val="21"/>
        </w:rPr>
        <w:t>备，在上述手续办理完毕之后，基金托管人负责以本系列基金各基金的名义在中央国债登记</w:t>
      </w:r>
      <w:r>
        <w:rPr>
          <w:spacing w:val="-9"/>
          <w:sz w:val="21"/>
        </w:rPr>
        <w:t>结算有限责任公司和银行间市场清算所股份有限公司开设证券托管账户，并代表基金进行债</w:t>
      </w:r>
      <w:r>
        <w:rPr>
          <w:spacing w:val="-5"/>
          <w:sz w:val="21"/>
        </w:rPr>
        <w:t>券和资金的清算。</w:t>
      </w:r>
    </w:p>
    <w:p>
      <w:pPr>
        <w:pStyle w:val="ListParagraph"/>
        <w:numPr>
          <w:ilvl w:val="0"/>
          <w:numId w:val="65"/>
        </w:numPr>
        <w:tabs>
          <w:tab w:pos="1607" w:val="left" w:leader="none"/>
        </w:tabs>
        <w:spacing w:line="269" w:lineRule="exact" w:before="0" w:after="0"/>
        <w:ind w:left="1607" w:right="0" w:hanging="529"/>
        <w:jc w:val="left"/>
        <w:rPr>
          <w:sz w:val="21"/>
        </w:rPr>
      </w:pPr>
      <w:r>
        <w:rPr>
          <w:spacing w:val="-3"/>
          <w:sz w:val="21"/>
        </w:rPr>
        <w:t>基金管理人和基金托管人同时代表本系列基金签订全国银行间债券市场债券回购</w:t>
      </w:r>
    </w:p>
    <w:p>
      <w:pPr>
        <w:pStyle w:val="BodyText"/>
        <w:spacing w:before="6"/>
        <w:rPr>
          <w:sz w:val="15"/>
        </w:rPr>
      </w:pPr>
    </w:p>
    <w:p>
      <w:pPr>
        <w:pStyle w:val="BodyText"/>
        <w:spacing w:before="1"/>
        <w:ind w:left="658"/>
      </w:pPr>
      <w:r>
        <w:rPr/>
        <w:t>主协议，协议正本由基金托管人保管，协议副本由基金管理人保存。</w:t>
      </w:r>
    </w:p>
    <w:p>
      <w:pPr>
        <w:spacing w:before="100"/>
        <w:ind w:left="658" w:right="0" w:firstLine="0"/>
        <w:jc w:val="left"/>
        <w:rPr>
          <w:b/>
          <w:sz w:val="21"/>
        </w:rPr>
      </w:pPr>
      <w:r>
        <w:rPr>
          <w:b/>
          <w:sz w:val="21"/>
        </w:rPr>
        <w:t>（四）基金资产净值计算与复核</w:t>
      </w:r>
    </w:p>
    <w:p>
      <w:pPr>
        <w:pStyle w:val="BodyText"/>
        <w:spacing w:before="7"/>
        <w:rPr>
          <w:b/>
          <w:sz w:val="18"/>
        </w:rPr>
      </w:pPr>
    </w:p>
    <w:p>
      <w:pPr>
        <w:pStyle w:val="BodyText"/>
        <w:ind w:left="1078"/>
      </w:pPr>
      <w:r>
        <w:rPr/>
        <w:t>1、基金资产净值的计算和复核</w:t>
      </w:r>
    </w:p>
    <w:p>
      <w:pPr>
        <w:pStyle w:val="BodyText"/>
        <w:spacing w:before="6"/>
        <w:rPr>
          <w:sz w:val="15"/>
        </w:rPr>
      </w:pPr>
    </w:p>
    <w:p>
      <w:pPr>
        <w:pStyle w:val="ListParagraph"/>
        <w:numPr>
          <w:ilvl w:val="0"/>
          <w:numId w:val="66"/>
        </w:numPr>
        <w:tabs>
          <w:tab w:pos="1607" w:val="left" w:leader="none"/>
        </w:tabs>
        <w:spacing w:line="417" w:lineRule="auto" w:before="1" w:after="0"/>
        <w:ind w:left="658" w:right="1099" w:firstLine="419"/>
        <w:jc w:val="left"/>
        <w:rPr>
          <w:sz w:val="21"/>
        </w:rPr>
      </w:pPr>
      <w:r>
        <w:rPr>
          <w:spacing w:val="-3"/>
          <w:sz w:val="21"/>
        </w:rPr>
        <w:t>本系列基金中各基金资产分别进行估值。基金资产净值是指基金资产总值减去基 </w:t>
      </w:r>
      <w:r>
        <w:rPr>
          <w:spacing w:val="-12"/>
          <w:sz w:val="21"/>
        </w:rPr>
        <w:t>金负债后的价值。基金份额净值是指计算日基金资产净值除以计算日基金份额总数后的价值。货币市场基金的各级基金份额净值是指指开放日闭市之后各级基金资产净值除以当日该级  </w:t>
      </w:r>
      <w:r>
        <w:rPr>
          <w:spacing w:val="-6"/>
          <w:sz w:val="21"/>
        </w:rPr>
        <w:t>基金份额的余额。</w:t>
      </w:r>
    </w:p>
    <w:p>
      <w:pPr>
        <w:spacing w:after="0" w:line="417" w:lineRule="auto"/>
        <w:jc w:val="left"/>
        <w:rPr>
          <w:sz w:val="21"/>
        </w:rPr>
        <w:sectPr>
          <w:pgSz w:w="11910" w:h="16840"/>
          <w:pgMar w:header="852" w:footer="992" w:top="1220" w:bottom="1180" w:left="1140" w:right="480"/>
        </w:sectPr>
      </w:pPr>
    </w:p>
    <w:p>
      <w:pPr>
        <w:pStyle w:val="BodyText"/>
        <w:spacing w:before="1"/>
        <w:rPr>
          <w:sz w:val="19"/>
        </w:rPr>
      </w:pPr>
    </w:p>
    <w:p>
      <w:pPr>
        <w:pStyle w:val="ListParagraph"/>
        <w:numPr>
          <w:ilvl w:val="0"/>
          <w:numId w:val="66"/>
        </w:numPr>
        <w:tabs>
          <w:tab w:pos="1607" w:val="left" w:leader="none"/>
        </w:tabs>
        <w:spacing w:line="417" w:lineRule="auto" w:before="71" w:after="0"/>
        <w:ind w:left="658" w:right="1100" w:firstLine="419"/>
        <w:jc w:val="left"/>
        <w:rPr>
          <w:sz w:val="21"/>
        </w:rPr>
      </w:pPr>
      <w:r>
        <w:rPr>
          <w:spacing w:val="-3"/>
          <w:sz w:val="21"/>
        </w:rPr>
        <w:t>基金管理人应每工作日对基金资产估值。估值原则应符合《基金合同》的规定。 </w:t>
      </w:r>
      <w:r>
        <w:rPr>
          <w:spacing w:val="-6"/>
          <w:sz w:val="21"/>
        </w:rPr>
        <w:t>用于基金信息披露的基金资产净值和基金份额净值由基金管理人负责计算，基金托管人复核。</w:t>
      </w:r>
      <w:r>
        <w:rPr>
          <w:spacing w:val="-8"/>
          <w:sz w:val="21"/>
        </w:rPr>
        <w:t>基金管理人应于每个工作日结束后计算得出当日的基金份额净值，并在盖章后以加密传真方 </w:t>
      </w:r>
      <w:r>
        <w:rPr>
          <w:spacing w:val="-11"/>
          <w:sz w:val="21"/>
        </w:rPr>
        <w:t>式发送给基金托管人。基金托管人应在收到上述传真后对净值计算结果进行复核，若核对一 致，则并在盖章后以加密传真方式将复核结果传送给基金管理人；如果基金托管人的复核结 果与基金管理人的计算结果存在差异，且双方经协商未能达成一致，基金管理人有权按照其 </w:t>
      </w:r>
      <w:r>
        <w:rPr>
          <w:spacing w:val="-6"/>
          <w:sz w:val="21"/>
        </w:rPr>
        <w:t>对基金净值的计算结果对外予以公布，基金托管人有权将相关情况报中国证监会备案。</w:t>
      </w:r>
    </w:p>
    <w:p>
      <w:pPr>
        <w:pStyle w:val="BodyText"/>
        <w:spacing w:line="268" w:lineRule="exact"/>
        <w:ind w:left="1078"/>
      </w:pPr>
      <w:r>
        <w:rPr/>
        <w:t>2、基金账册的建账和对账</w:t>
      </w:r>
    </w:p>
    <w:p>
      <w:pPr>
        <w:pStyle w:val="BodyText"/>
        <w:spacing w:before="7"/>
        <w:rPr>
          <w:sz w:val="15"/>
        </w:rPr>
      </w:pPr>
    </w:p>
    <w:p>
      <w:pPr>
        <w:pStyle w:val="ListParagraph"/>
        <w:numPr>
          <w:ilvl w:val="0"/>
          <w:numId w:val="67"/>
        </w:numPr>
        <w:tabs>
          <w:tab w:pos="1607" w:val="left" w:leader="none"/>
        </w:tabs>
        <w:spacing w:line="417" w:lineRule="auto" w:before="0" w:after="0"/>
        <w:ind w:left="658" w:right="1309" w:firstLine="419"/>
        <w:jc w:val="both"/>
        <w:rPr>
          <w:sz w:val="21"/>
        </w:rPr>
      </w:pPr>
      <w:r>
        <w:rPr>
          <w:spacing w:val="-3"/>
          <w:sz w:val="21"/>
        </w:rPr>
        <w:t>基金管理人和基金托管人在本系列基金成立后，应按照双方约定的同一记账方法</w:t>
      </w:r>
      <w:r>
        <w:rPr>
          <w:spacing w:val="-10"/>
          <w:sz w:val="21"/>
        </w:rPr>
        <w:t>和会计处理原则，分别独立地设置、登录和保管本系列基金的全套账册，对双方各自的账册</w:t>
      </w:r>
      <w:r>
        <w:rPr>
          <w:spacing w:val="-12"/>
          <w:sz w:val="21"/>
        </w:rPr>
        <w:t>定期进行核对，互相监督，以保证基金资产的安全。若双方对会计处理方法存在分歧，应以</w:t>
      </w:r>
      <w:r>
        <w:rPr>
          <w:spacing w:val="-6"/>
          <w:sz w:val="21"/>
        </w:rPr>
        <w:t>基金管理人的处理方法为准。</w:t>
      </w:r>
    </w:p>
    <w:p>
      <w:pPr>
        <w:pStyle w:val="ListParagraph"/>
        <w:numPr>
          <w:ilvl w:val="0"/>
          <w:numId w:val="67"/>
        </w:numPr>
        <w:tabs>
          <w:tab w:pos="1607" w:val="left" w:leader="none"/>
        </w:tabs>
        <w:spacing w:line="417" w:lineRule="auto" w:before="0" w:after="0"/>
        <w:ind w:left="658" w:right="1309" w:firstLine="419"/>
        <w:jc w:val="left"/>
        <w:rPr>
          <w:sz w:val="21"/>
        </w:rPr>
      </w:pPr>
      <w:r>
        <w:rPr>
          <w:spacing w:val="-3"/>
          <w:sz w:val="21"/>
        </w:rPr>
        <w:t>双方应每日核对账目，如发现双方的账目存在不符的，基金管理人和基金托管人必须及时查明原因并纠正，保证双方平行登录的账册记录完全相符。</w:t>
      </w:r>
    </w:p>
    <w:p>
      <w:pPr>
        <w:pStyle w:val="BodyText"/>
        <w:ind w:left="1078"/>
      </w:pPr>
      <w:r>
        <w:rPr/>
        <w:t>3、基金财务报表与报告的编制和复核</w:t>
      </w:r>
    </w:p>
    <w:p>
      <w:pPr>
        <w:pStyle w:val="BodyText"/>
        <w:spacing w:before="6"/>
        <w:rPr>
          <w:sz w:val="15"/>
        </w:rPr>
      </w:pPr>
    </w:p>
    <w:p>
      <w:pPr>
        <w:pStyle w:val="ListParagraph"/>
        <w:numPr>
          <w:ilvl w:val="0"/>
          <w:numId w:val="68"/>
        </w:numPr>
        <w:tabs>
          <w:tab w:pos="1607" w:val="left" w:leader="none"/>
        </w:tabs>
        <w:spacing w:line="417" w:lineRule="auto" w:before="0" w:after="0"/>
        <w:ind w:left="658" w:right="1309" w:firstLine="419"/>
        <w:jc w:val="left"/>
        <w:rPr>
          <w:sz w:val="21"/>
        </w:rPr>
      </w:pPr>
      <w:r>
        <w:rPr>
          <w:spacing w:val="-3"/>
          <w:sz w:val="21"/>
        </w:rPr>
        <w:t>基金财务报表由基金管理人和基金托管人每月分别独立编制。月度报表的编制， </w:t>
      </w:r>
      <w:r>
        <w:rPr>
          <w:spacing w:val="-2"/>
          <w:sz w:val="21"/>
        </w:rPr>
        <w:t>应于每月终了后 </w:t>
      </w:r>
      <w:r>
        <w:rPr>
          <w:sz w:val="21"/>
        </w:rPr>
        <w:t>5</w:t>
      </w:r>
      <w:r>
        <w:rPr>
          <w:spacing w:val="-13"/>
          <w:sz w:val="21"/>
        </w:rPr>
        <w:t> 日内完成；季度报告应在季度结束之日起 </w:t>
      </w:r>
      <w:r>
        <w:rPr>
          <w:sz w:val="21"/>
        </w:rPr>
        <w:t>15</w:t>
      </w:r>
      <w:r>
        <w:rPr>
          <w:spacing w:val="-8"/>
          <w:sz w:val="21"/>
        </w:rPr>
        <w:t> 个工作日内编制完毕并予以</w:t>
      </w:r>
    </w:p>
    <w:p>
      <w:pPr>
        <w:pStyle w:val="BodyText"/>
        <w:spacing w:line="417" w:lineRule="auto"/>
        <w:ind w:left="658" w:right="1308"/>
      </w:pPr>
      <w:r>
        <w:rPr>
          <w:spacing w:val="-5"/>
        </w:rPr>
        <w:t>公告。投资组合公告在本系列基金成立后每季度公告一次，在该等期间届满后 </w:t>
      </w:r>
      <w:r>
        <w:rPr/>
        <w:t>15</w:t>
      </w:r>
      <w:r>
        <w:rPr>
          <w:spacing w:val="-10"/>
        </w:rPr>
        <w:t> 个工作日</w:t>
      </w:r>
      <w:r>
        <w:rPr>
          <w:spacing w:val="-5"/>
        </w:rPr>
        <w:t>内公告；公开说明书</w:t>
      </w:r>
    </w:p>
    <w:p>
      <w:pPr>
        <w:pStyle w:val="BodyText"/>
        <w:spacing w:line="269" w:lineRule="exact"/>
        <w:ind w:left="1078"/>
      </w:pPr>
      <w:r>
        <w:rPr>
          <w:spacing w:val="-3"/>
        </w:rPr>
        <w:t>在本系列基金成立后每六个月公告一次，于该等期间届满后后 </w:t>
      </w:r>
      <w:r>
        <w:rPr/>
        <w:t>1</w:t>
      </w:r>
      <w:r>
        <w:rPr>
          <w:spacing w:val="-1"/>
        </w:rPr>
        <w:t> 个月内公告。中期报</w:t>
      </w:r>
    </w:p>
    <w:p>
      <w:pPr>
        <w:pStyle w:val="BodyText"/>
        <w:spacing w:before="6"/>
        <w:rPr>
          <w:sz w:val="15"/>
        </w:rPr>
      </w:pPr>
    </w:p>
    <w:p>
      <w:pPr>
        <w:pStyle w:val="BodyText"/>
        <w:spacing w:before="1"/>
        <w:ind w:left="658"/>
        <w:jc w:val="both"/>
      </w:pPr>
      <w:r>
        <w:rPr>
          <w:spacing w:val="4"/>
        </w:rPr>
        <w:t>告在上半年结束之日起两个月内编制完毕并予以公告年中报告在会计年度半年终了后 </w:t>
      </w:r>
      <w:r>
        <w:rPr/>
        <w:t>30</w:t>
      </w:r>
    </w:p>
    <w:p>
      <w:pPr>
        <w:pStyle w:val="BodyText"/>
        <w:spacing w:before="7"/>
        <w:rPr>
          <w:sz w:val="15"/>
        </w:rPr>
      </w:pPr>
    </w:p>
    <w:p>
      <w:pPr>
        <w:pStyle w:val="BodyText"/>
        <w:ind w:left="658"/>
        <w:jc w:val="both"/>
      </w:pPr>
      <w:r>
        <w:rPr>
          <w:spacing w:val="-2"/>
        </w:rPr>
        <w:t>个工作日内编制完毕并于会计年度半年终了后 </w:t>
      </w:r>
      <w:r>
        <w:rPr/>
        <w:t>60</w:t>
      </w:r>
      <w:r>
        <w:rPr>
          <w:spacing w:val="-10"/>
        </w:rPr>
        <w:t> 日内予以公告；年度报告在每年结束之日</w:t>
      </w:r>
    </w:p>
    <w:p>
      <w:pPr>
        <w:pStyle w:val="BodyText"/>
        <w:spacing w:before="6"/>
        <w:rPr>
          <w:sz w:val="15"/>
        </w:rPr>
      </w:pPr>
    </w:p>
    <w:p>
      <w:pPr>
        <w:pStyle w:val="BodyText"/>
        <w:spacing w:before="1"/>
        <w:ind w:left="658"/>
        <w:jc w:val="both"/>
      </w:pPr>
      <w:r>
        <w:rPr>
          <w:spacing w:val="-8"/>
        </w:rPr>
        <w:t>起三个月内编制完毕并予以公告。年度报告在会计年度结束后 </w:t>
      </w:r>
      <w:r>
        <w:rPr/>
        <w:t>60</w:t>
      </w:r>
      <w:r>
        <w:rPr>
          <w:spacing w:val="-2"/>
        </w:rPr>
        <w:t> 工作日内编制完毕并于会</w:t>
      </w:r>
    </w:p>
    <w:p>
      <w:pPr>
        <w:pStyle w:val="BodyText"/>
        <w:spacing w:before="6"/>
        <w:rPr>
          <w:sz w:val="15"/>
        </w:rPr>
      </w:pPr>
    </w:p>
    <w:p>
      <w:pPr>
        <w:pStyle w:val="BodyText"/>
        <w:ind w:left="658"/>
        <w:jc w:val="both"/>
      </w:pPr>
      <w:r>
        <w:rPr/>
        <w:t>计年度终了后 90 日内予以公告。</w:t>
      </w:r>
    </w:p>
    <w:p>
      <w:pPr>
        <w:pStyle w:val="BodyText"/>
        <w:spacing w:before="7"/>
        <w:rPr>
          <w:sz w:val="15"/>
        </w:rPr>
      </w:pPr>
    </w:p>
    <w:p>
      <w:pPr>
        <w:pStyle w:val="BodyText"/>
        <w:spacing w:line="417" w:lineRule="auto"/>
        <w:ind w:left="658" w:right="1308" w:firstLine="419"/>
        <w:jc w:val="both"/>
      </w:pPr>
      <w:r>
        <w:rPr>
          <w:spacing w:val="-7"/>
        </w:rPr>
        <w:t>招募说明书应当最大限度地披露影响基金投资者决策的全部事项，说明基金认购、申购</w:t>
      </w:r>
      <w:r>
        <w:rPr>
          <w:spacing w:val="-22"/>
        </w:rPr>
        <w:t>和赎回安排、基金投资、基金产品特性、风险揭示、信息披露及基金份额持有人服务等内容。</w:t>
      </w:r>
      <w:r>
        <w:rPr>
          <w:spacing w:val="-13"/>
        </w:rPr>
        <w:t>本基金合同生效后，基金招募说明书的信息发生重大变更的，基金管理人应当在三个工作日</w:t>
      </w:r>
      <w:r>
        <w:rPr>
          <w:spacing w:val="-11"/>
        </w:rPr>
        <w:t>内，更新基金招募说明书并登载在指定网站上；基金招募说明书其他信息发生变更的，基金</w:t>
      </w:r>
      <w:r>
        <w:rPr>
          <w:spacing w:val="-6"/>
        </w:rPr>
        <w:t>管理人至少每年更新一次。基金终止运作的，基金管理人不再更新基金招募说明书。</w:t>
      </w:r>
    </w:p>
    <w:p>
      <w:pPr>
        <w:pStyle w:val="ListParagraph"/>
        <w:numPr>
          <w:ilvl w:val="0"/>
          <w:numId w:val="68"/>
        </w:numPr>
        <w:tabs>
          <w:tab w:pos="1607" w:val="left" w:leader="none"/>
        </w:tabs>
        <w:spacing w:line="269" w:lineRule="exact" w:before="0" w:after="0"/>
        <w:ind w:left="1607" w:right="0" w:hanging="529"/>
        <w:jc w:val="left"/>
        <w:rPr>
          <w:sz w:val="21"/>
        </w:rPr>
      </w:pPr>
      <w:r>
        <w:rPr>
          <w:spacing w:val="-3"/>
          <w:sz w:val="21"/>
        </w:rPr>
        <w:t>基金管理人在月度报表完成当日，将报表盖章后提供基金托管人复核；基金托管</w:t>
      </w:r>
    </w:p>
    <w:p>
      <w:pPr>
        <w:spacing w:after="0" w:line="269" w:lineRule="exact"/>
        <w:jc w:val="left"/>
        <w:rPr>
          <w:sz w:val="21"/>
        </w:rPr>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9"/>
        <w:jc w:val="both"/>
      </w:pPr>
      <w:r>
        <w:rPr>
          <w:spacing w:val="-9"/>
        </w:rPr>
        <w:t>人在收到后应立即进行复核，并将复核结果及时书面通知基金管理人。基金管理人在公开说</w:t>
      </w:r>
      <w:r>
        <w:rPr>
          <w:spacing w:val="-10"/>
        </w:rPr>
        <w:t>明书招募说明书或中期年中报告完成当日，将有关报告提供基金托管人复核，基金托管人应</w:t>
      </w:r>
      <w:r>
        <w:rPr>
          <w:spacing w:val="-5"/>
        </w:rPr>
        <w:t>在收到后 </w:t>
      </w:r>
      <w:r>
        <w:rPr/>
        <w:t>3</w:t>
      </w:r>
      <w:r>
        <w:rPr>
          <w:spacing w:val="-3"/>
        </w:rPr>
        <w:t> 个工作日内完成复核，并将复核结果书面通知基金管理人。基金管理人在年度</w:t>
      </w:r>
    </w:p>
    <w:p>
      <w:pPr>
        <w:pStyle w:val="BodyText"/>
        <w:spacing w:line="417" w:lineRule="auto"/>
        <w:ind w:left="658" w:right="1309"/>
        <w:jc w:val="both"/>
      </w:pPr>
      <w:r>
        <w:rPr/>
        <w:t>报告完成当日，将有关报告提供基金托管人复核，基金托管人应在收到后 7 个工作日内完成复核，并将复核结果书面通知基金管理人。</w:t>
      </w:r>
    </w:p>
    <w:p>
      <w:pPr>
        <w:pStyle w:val="BodyText"/>
        <w:spacing w:line="417" w:lineRule="auto"/>
        <w:ind w:left="658" w:right="1102" w:firstLine="419"/>
      </w:pPr>
      <w:r>
        <w:rPr>
          <w:spacing w:val="-3"/>
        </w:rPr>
        <w:t>基金管理人和基金托管人之间的上述文件往来均以加密传真的方式进行</w:t>
      </w:r>
      <w:r>
        <w:rPr>
          <w:spacing w:val="-152"/>
        </w:rPr>
        <w:t>。</w:t>
      </w:r>
      <w:r>
        <w:rPr>
          <w:spacing w:val="-17"/>
        </w:rPr>
        <w:t>（3）</w:t>
      </w:r>
      <w:r>
        <w:rPr>
          <w:spacing w:val="-1"/>
        </w:rPr>
        <w:t>基金托管 </w:t>
      </w:r>
      <w:r>
        <w:rPr>
          <w:spacing w:val="-3"/>
        </w:rPr>
        <w:t>人在复核过程中，发现双方的报表存在不符时，基金管理人和基金托管人应共同查明原因， </w:t>
      </w:r>
      <w:r>
        <w:rPr>
          <w:spacing w:val="-11"/>
        </w:rPr>
        <w:t>进行调整，调整以双方认可的账务处理方式为准；若双方无法达成一致以基金管理人的账务 </w:t>
      </w:r>
      <w:r>
        <w:rPr>
          <w:spacing w:val="-12"/>
        </w:rPr>
        <w:t>处理为准。核对无误后，基金托管人在基金管理人提供的报告上加盖公章，双方各自留存一 </w:t>
      </w:r>
      <w:r>
        <w:rPr>
          <w:spacing w:val="-10"/>
        </w:rPr>
        <w:t>份。如果基金管理人与基金托管人不能于应当发布公告之日之前就相关报表达成一致，基金 管理人有权按照其编制的报表对外发布公告，基金托管人有权就相关情况报中国证监会备案。</w:t>
      </w:r>
    </w:p>
    <w:p>
      <w:pPr>
        <w:pStyle w:val="BodyText"/>
        <w:spacing w:before="10"/>
        <w:rPr>
          <w:sz w:val="28"/>
        </w:rPr>
      </w:pPr>
    </w:p>
    <w:p>
      <w:pPr>
        <w:spacing w:before="0"/>
        <w:ind w:left="658" w:right="0" w:firstLine="0"/>
        <w:jc w:val="left"/>
        <w:rPr>
          <w:b/>
          <w:sz w:val="21"/>
        </w:rPr>
      </w:pPr>
      <w:r>
        <w:rPr>
          <w:b/>
          <w:sz w:val="21"/>
        </w:rPr>
        <w:t>（五）基金份额持有人名册的登记与保管</w:t>
      </w:r>
    </w:p>
    <w:p>
      <w:pPr>
        <w:pStyle w:val="BodyText"/>
        <w:spacing w:before="6"/>
        <w:rPr>
          <w:b/>
          <w:sz w:val="18"/>
        </w:rPr>
      </w:pPr>
    </w:p>
    <w:p>
      <w:pPr>
        <w:pStyle w:val="BodyText"/>
        <w:spacing w:line="417" w:lineRule="auto" w:before="1"/>
        <w:ind w:left="658" w:right="1100" w:firstLine="419"/>
      </w:pPr>
      <w:r>
        <w:rPr>
          <w:spacing w:val="-9"/>
        </w:rPr>
        <w:t>基金持有人基金份额持有人名册，包括基金设立募集期结束时的基金持有人基金份额持 </w:t>
      </w:r>
      <w:r>
        <w:rPr>
          <w:spacing w:val="-10"/>
        </w:rPr>
        <w:t>有人名册、基金权益登记日的基金持有人基金份额持有人名册、基金份额持有人大会登记日 </w:t>
      </w:r>
      <w:r>
        <w:rPr>
          <w:spacing w:val="-11"/>
        </w:rPr>
        <w:t>的基金持有人基金份额持有人名册、每月最后一个交易日的基金持有人基金份额持有人名册， </w:t>
      </w:r>
      <w:r>
        <w:rPr>
          <w:spacing w:val="-9"/>
        </w:rPr>
        <w:t>应当根据有关法律法规的规定妥善保管之。为基金托管人履行有关法律法规、《基金合同》 </w:t>
      </w:r>
      <w:r>
        <w:rPr>
          <w:spacing w:val="-5"/>
        </w:rPr>
        <w:t>规定的职责之目的，基金管理人</w:t>
      </w:r>
      <w:r>
        <w:rPr/>
        <w:t>（</w:t>
      </w:r>
      <w:r>
        <w:rPr>
          <w:spacing w:val="-3"/>
        </w:rPr>
        <w:t>注册登记人</w:t>
      </w:r>
      <w:r>
        <w:rPr/>
        <w:t>）</w:t>
      </w:r>
      <w:r>
        <w:rPr>
          <w:spacing w:val="-3"/>
        </w:rPr>
        <w:t>应当提供任何必要的协助。</w:t>
      </w:r>
    </w:p>
    <w:p>
      <w:pPr>
        <w:pStyle w:val="BodyText"/>
        <w:spacing w:before="10"/>
        <w:rPr>
          <w:sz w:val="28"/>
        </w:rPr>
      </w:pPr>
    </w:p>
    <w:p>
      <w:pPr>
        <w:spacing w:before="0"/>
        <w:ind w:left="658" w:right="0" w:firstLine="0"/>
        <w:jc w:val="left"/>
        <w:rPr>
          <w:b/>
          <w:sz w:val="21"/>
        </w:rPr>
      </w:pPr>
      <w:r>
        <w:rPr>
          <w:b/>
          <w:sz w:val="21"/>
        </w:rPr>
        <w:t>（六）争议解决方式</w:t>
      </w:r>
    </w:p>
    <w:p>
      <w:pPr>
        <w:pStyle w:val="BodyText"/>
        <w:spacing w:before="6"/>
        <w:rPr>
          <w:b/>
          <w:sz w:val="18"/>
        </w:rPr>
      </w:pPr>
    </w:p>
    <w:p>
      <w:pPr>
        <w:pStyle w:val="BodyText"/>
        <w:spacing w:before="1"/>
        <w:ind w:left="1078"/>
      </w:pPr>
      <w:r>
        <w:rPr/>
        <w:t>1、本协议适用中华人民共和国法律并从其解释。</w:t>
      </w:r>
    </w:p>
    <w:p>
      <w:pPr>
        <w:pStyle w:val="BodyText"/>
        <w:spacing w:before="7"/>
        <w:rPr>
          <w:sz w:val="15"/>
        </w:rPr>
      </w:pPr>
    </w:p>
    <w:p>
      <w:pPr>
        <w:pStyle w:val="BodyText"/>
        <w:spacing w:line="417" w:lineRule="auto"/>
        <w:ind w:left="658" w:right="1308" w:firstLine="419"/>
        <w:jc w:val="both"/>
      </w:pPr>
      <w:r>
        <w:rPr/>
        <w:t>2</w:t>
      </w:r>
      <w:r>
        <w:rPr>
          <w:spacing w:val="-3"/>
        </w:rPr>
        <w:t>、基金管理人、基金托管人之间因本协议产生的或与本协议有关的争议可通过友好协</w:t>
      </w:r>
      <w:r>
        <w:rPr>
          <w:spacing w:val="-5"/>
        </w:rPr>
        <w:t>商解决，但若自一方书面提出协商解决争议之日起 </w:t>
      </w:r>
      <w:r>
        <w:rPr/>
        <w:t>60</w:t>
      </w:r>
      <w:r>
        <w:rPr>
          <w:spacing w:val="-6"/>
        </w:rPr>
        <w:t> 日内争议未能以协商方式解决的，则</w:t>
      </w:r>
      <w:r>
        <w:rPr>
          <w:spacing w:val="-8"/>
        </w:rPr>
        <w:t>任何一方有权将争议提交中国国际经济贸易仲裁委员会深圳分会，根据提交仲裁时该会的仲</w:t>
      </w:r>
      <w:r>
        <w:rPr>
          <w:spacing w:val="-11"/>
        </w:rPr>
        <w:t>裁规则进行仲裁。仲裁裁决是终局的，对仲裁各方当事人均具有约束力。除提交仲裁的争议之外，各方当事人仍应履行本协议的其他规定。争议处理期间，双方当事人应恪守基金管理</w:t>
      </w:r>
      <w:r>
        <w:rPr>
          <w:spacing w:val="-12"/>
        </w:rPr>
        <w:t>人和基金托管人职责，各自继续忠实、勤勉、尽责地履行《基金合同》和托管协议规定的义</w:t>
      </w:r>
      <w:r>
        <w:rPr>
          <w:spacing w:val="-6"/>
        </w:rPr>
        <w:t>务，维护基金份额持有人的合法权益。</w:t>
      </w:r>
    </w:p>
    <w:p>
      <w:pPr>
        <w:pStyle w:val="BodyText"/>
        <w:spacing w:before="10"/>
        <w:rPr>
          <w:sz w:val="28"/>
        </w:rPr>
      </w:pPr>
    </w:p>
    <w:p>
      <w:pPr>
        <w:spacing w:before="0"/>
        <w:ind w:left="658" w:right="0" w:firstLine="0"/>
        <w:jc w:val="left"/>
        <w:rPr>
          <w:b/>
          <w:sz w:val="21"/>
        </w:rPr>
      </w:pPr>
      <w:r>
        <w:rPr>
          <w:b/>
          <w:sz w:val="21"/>
        </w:rPr>
        <w:t>（七）托管协议的修改与终止</w:t>
      </w:r>
    </w:p>
    <w:p>
      <w:pPr>
        <w:spacing w:after="0"/>
        <w:jc w:val="left"/>
        <w:rPr>
          <w:sz w:val="21"/>
        </w:rPr>
        <w:sectPr>
          <w:pgSz w:w="11910" w:h="16840"/>
          <w:pgMar w:header="852" w:footer="992" w:top="1220" w:bottom="1180" w:left="1140" w:right="480"/>
        </w:sectPr>
      </w:pPr>
    </w:p>
    <w:p>
      <w:pPr>
        <w:pStyle w:val="BodyText"/>
        <w:spacing w:before="1"/>
        <w:rPr>
          <w:b/>
          <w:sz w:val="19"/>
        </w:rPr>
      </w:pPr>
    </w:p>
    <w:p>
      <w:pPr>
        <w:pStyle w:val="BodyText"/>
        <w:spacing w:line="417" w:lineRule="auto" w:before="71"/>
        <w:ind w:left="658" w:right="1309" w:firstLine="419"/>
      </w:pPr>
      <w:r>
        <w:rPr/>
        <w:t>1、本协议双方当事人经协商一致，可以对协议进行修改。修改后的新协议，其内容不得与《基金合同》的规定有任何冲突。修改后的新协议，报中国证监会批准后生效。</w:t>
      </w:r>
    </w:p>
    <w:p>
      <w:pPr>
        <w:pStyle w:val="BodyText"/>
        <w:spacing w:line="269" w:lineRule="exact"/>
        <w:ind w:left="1078"/>
      </w:pPr>
      <w:r>
        <w:rPr/>
        <w:t>2、发生以下情况，本托管协议终止：</w:t>
      </w:r>
    </w:p>
    <w:p>
      <w:pPr>
        <w:pStyle w:val="BodyText"/>
        <w:spacing w:before="7"/>
        <w:rPr>
          <w:sz w:val="15"/>
        </w:rPr>
      </w:pPr>
    </w:p>
    <w:p>
      <w:pPr>
        <w:pStyle w:val="ListParagraph"/>
        <w:numPr>
          <w:ilvl w:val="0"/>
          <w:numId w:val="69"/>
        </w:numPr>
        <w:tabs>
          <w:tab w:pos="1607" w:val="left" w:leader="none"/>
        </w:tabs>
        <w:spacing w:line="240" w:lineRule="auto" w:before="0" w:after="0"/>
        <w:ind w:left="1607" w:right="0" w:hanging="529"/>
        <w:jc w:val="left"/>
        <w:rPr>
          <w:sz w:val="21"/>
        </w:rPr>
      </w:pPr>
      <w:r>
        <w:rPr>
          <w:spacing w:val="-3"/>
          <w:sz w:val="21"/>
        </w:rPr>
        <w:t>基金或《基金合同》终止；</w:t>
      </w:r>
    </w:p>
    <w:p>
      <w:pPr>
        <w:pStyle w:val="BodyText"/>
        <w:spacing w:before="7"/>
        <w:rPr>
          <w:sz w:val="15"/>
        </w:rPr>
      </w:pPr>
    </w:p>
    <w:p>
      <w:pPr>
        <w:pStyle w:val="ListParagraph"/>
        <w:numPr>
          <w:ilvl w:val="0"/>
          <w:numId w:val="69"/>
        </w:numPr>
        <w:tabs>
          <w:tab w:pos="1607" w:val="left" w:leader="none"/>
        </w:tabs>
        <w:spacing w:line="240" w:lineRule="auto" w:before="0" w:after="0"/>
        <w:ind w:left="1607" w:right="0" w:hanging="529"/>
        <w:jc w:val="left"/>
        <w:rPr>
          <w:sz w:val="21"/>
        </w:rPr>
      </w:pPr>
      <w:r>
        <w:rPr>
          <w:spacing w:val="-3"/>
          <w:sz w:val="21"/>
        </w:rPr>
        <w:t>本系列基金更换基金托管人；</w:t>
      </w:r>
    </w:p>
    <w:p>
      <w:pPr>
        <w:pStyle w:val="BodyText"/>
        <w:spacing w:before="6"/>
        <w:rPr>
          <w:sz w:val="15"/>
        </w:rPr>
      </w:pPr>
    </w:p>
    <w:p>
      <w:pPr>
        <w:pStyle w:val="ListParagraph"/>
        <w:numPr>
          <w:ilvl w:val="0"/>
          <w:numId w:val="69"/>
        </w:numPr>
        <w:tabs>
          <w:tab w:pos="1607" w:val="left" w:leader="none"/>
        </w:tabs>
        <w:spacing w:line="240" w:lineRule="auto" w:before="1" w:after="0"/>
        <w:ind w:left="1607" w:right="0" w:hanging="529"/>
        <w:jc w:val="left"/>
        <w:rPr>
          <w:sz w:val="21"/>
        </w:rPr>
      </w:pPr>
      <w:r>
        <w:rPr>
          <w:spacing w:val="-3"/>
          <w:sz w:val="21"/>
        </w:rPr>
        <w:t>本系列基金更换基金管理人；</w:t>
      </w:r>
    </w:p>
    <w:p>
      <w:pPr>
        <w:pStyle w:val="BodyText"/>
        <w:spacing w:before="6"/>
        <w:rPr>
          <w:sz w:val="15"/>
        </w:rPr>
      </w:pPr>
    </w:p>
    <w:p>
      <w:pPr>
        <w:pStyle w:val="ListParagraph"/>
        <w:numPr>
          <w:ilvl w:val="0"/>
          <w:numId w:val="69"/>
        </w:numPr>
        <w:tabs>
          <w:tab w:pos="1607" w:val="left" w:leader="none"/>
        </w:tabs>
        <w:spacing w:line="240" w:lineRule="auto" w:before="0" w:after="0"/>
        <w:ind w:left="1607" w:right="0" w:hanging="529"/>
        <w:jc w:val="left"/>
        <w:rPr>
          <w:sz w:val="21"/>
        </w:rPr>
      </w:pPr>
      <w:r>
        <w:rPr>
          <w:spacing w:val="-17"/>
          <w:sz w:val="21"/>
        </w:rPr>
        <w:t>发生《暂行办法》、《试点办法》或其他法律法规规定的终止事项。</w:t>
      </w:r>
    </w:p>
    <w:p>
      <w:pPr>
        <w:spacing w:after="0" w:line="240" w:lineRule="auto"/>
        <w:jc w:val="left"/>
        <w:rPr>
          <w:sz w:val="21"/>
        </w:rPr>
        <w:sectPr>
          <w:pgSz w:w="11910" w:h="16840"/>
          <w:pgMar w:header="852" w:footer="992" w:top="1220" w:bottom="1180" w:left="1140" w:right="480"/>
        </w:sectPr>
      </w:pPr>
    </w:p>
    <w:p>
      <w:pPr>
        <w:pStyle w:val="BodyText"/>
        <w:spacing w:before="11"/>
        <w:rPr>
          <w:sz w:val="17"/>
        </w:rPr>
      </w:pPr>
    </w:p>
    <w:p>
      <w:pPr>
        <w:pStyle w:val="Heading1"/>
        <w:spacing w:before="66"/>
        <w:ind w:left="3005"/>
      </w:pPr>
      <w:bookmarkStart w:name="_bookmark26" w:id="27"/>
      <w:bookmarkEnd w:id="27"/>
      <w:r>
        <w:rPr>
          <w:b w:val="0"/>
        </w:rPr>
      </w:r>
      <w:r>
        <w:rPr>
          <w:rFonts w:ascii="黑体" w:eastAsia="黑体" w:hint="eastAsia"/>
          <w:b w:val="0"/>
        </w:rPr>
        <w:t>二</w:t>
      </w:r>
      <w:r>
        <w:rPr/>
        <w:t>十三、对基金份额持有人的服务</w:t>
      </w:r>
    </w:p>
    <w:p>
      <w:pPr>
        <w:pStyle w:val="BodyText"/>
        <w:rPr>
          <w:b/>
          <w:sz w:val="35"/>
        </w:rPr>
      </w:pPr>
    </w:p>
    <w:p>
      <w:pPr>
        <w:pStyle w:val="BodyText"/>
        <w:spacing w:line="470" w:lineRule="atLeast"/>
        <w:ind w:left="658" w:right="1309" w:firstLine="419"/>
      </w:pPr>
      <w:r>
        <w:rPr>
          <w:spacing w:val="-7"/>
        </w:rPr>
        <w:t>基金管理人承诺为基金份额持有人提供一系列的服务，以下是主要的服务内容，基金管</w:t>
      </w:r>
      <w:r>
        <w:rPr>
          <w:spacing w:val="-5"/>
        </w:rPr>
        <w:t>理人根据基金份额持有人的需要和市场的变化，有权增加和修改以下服务项目：</w:t>
      </w:r>
    </w:p>
    <w:p>
      <w:pPr>
        <w:spacing w:before="99"/>
        <w:ind w:left="658" w:right="0" w:firstLine="0"/>
        <w:jc w:val="left"/>
        <w:rPr>
          <w:b/>
          <w:sz w:val="21"/>
        </w:rPr>
      </w:pPr>
      <w:r>
        <w:rPr>
          <w:b/>
          <w:sz w:val="21"/>
        </w:rPr>
        <w:t>（一）基金份额持有人交易资料的寄送服务</w:t>
      </w:r>
    </w:p>
    <w:p>
      <w:pPr>
        <w:pStyle w:val="BodyText"/>
        <w:spacing w:before="6"/>
        <w:rPr>
          <w:b/>
          <w:sz w:val="18"/>
        </w:rPr>
      </w:pPr>
    </w:p>
    <w:p>
      <w:pPr>
        <w:pStyle w:val="BodyText"/>
        <w:ind w:left="1078"/>
      </w:pPr>
      <w:r>
        <w:rPr/>
        <w:t>1</w:t>
      </w:r>
      <w:r>
        <w:rPr>
          <w:spacing w:val="-3"/>
        </w:rPr>
        <w:t>、登记机构保留基金份额持有人名册上列明的所有基金份额持有人的基金交易记录；</w:t>
      </w:r>
    </w:p>
    <w:p>
      <w:pPr>
        <w:pStyle w:val="BodyText"/>
        <w:spacing w:before="7"/>
        <w:rPr>
          <w:sz w:val="15"/>
        </w:rPr>
      </w:pPr>
    </w:p>
    <w:p>
      <w:pPr>
        <w:pStyle w:val="BodyText"/>
        <w:ind w:left="1078"/>
      </w:pPr>
      <w:r>
        <w:rPr/>
        <w:t>2</w:t>
      </w:r>
      <w:r>
        <w:rPr>
          <w:spacing w:val="-17"/>
        </w:rPr>
        <w:t>、我公司于 </w:t>
      </w:r>
      <w:r>
        <w:rPr/>
        <w:t>2017</w:t>
      </w:r>
      <w:r>
        <w:rPr>
          <w:spacing w:val="-33"/>
        </w:rPr>
        <w:t> 年 </w:t>
      </w:r>
      <w:r>
        <w:rPr/>
        <w:t>12</w:t>
      </w:r>
      <w:r>
        <w:rPr>
          <w:spacing w:val="-32"/>
        </w:rPr>
        <w:t> 年 </w:t>
      </w:r>
      <w:r>
        <w:rPr/>
        <w:t>21</w:t>
      </w:r>
      <w:r>
        <w:rPr>
          <w:spacing w:val="-12"/>
        </w:rPr>
        <w:t> 日发布《景顺长城基金管理有限公司关于调整旗下基金对</w:t>
      </w:r>
    </w:p>
    <w:p>
      <w:pPr>
        <w:pStyle w:val="BodyText"/>
        <w:spacing w:before="7"/>
        <w:rPr>
          <w:sz w:val="15"/>
        </w:rPr>
      </w:pPr>
    </w:p>
    <w:p>
      <w:pPr>
        <w:pStyle w:val="BodyText"/>
        <w:spacing w:line="417" w:lineRule="auto"/>
        <w:ind w:left="658" w:right="1309"/>
      </w:pPr>
      <w:r>
        <w:rPr>
          <w:spacing w:val="-19"/>
        </w:rPr>
        <w:t>账单服务形式的公告》，自 </w:t>
      </w:r>
      <w:r>
        <w:rPr/>
        <w:t>2018</w:t>
      </w:r>
      <w:r>
        <w:rPr>
          <w:spacing w:val="-32"/>
        </w:rPr>
        <w:t> 年 </w:t>
      </w:r>
      <w:r>
        <w:rPr/>
        <w:t>1</w:t>
      </w:r>
      <w:r>
        <w:rPr>
          <w:spacing w:val="-32"/>
        </w:rPr>
        <w:t> 月 </w:t>
      </w:r>
      <w:r>
        <w:rPr/>
        <w:t>1</w:t>
      </w:r>
      <w:r>
        <w:rPr>
          <w:spacing w:val="-11"/>
        </w:rPr>
        <w:t> 日起，本公司按照投资者成功定制的服务形式提供</w:t>
      </w:r>
      <w:r>
        <w:rPr>
          <w:spacing w:val="-6"/>
        </w:rPr>
        <w:t>基金对账单服务，对于未定制账单服务的投资者不再主动提供对账单。</w:t>
      </w:r>
    </w:p>
    <w:p>
      <w:pPr>
        <w:pStyle w:val="ListParagraph"/>
        <w:numPr>
          <w:ilvl w:val="0"/>
          <w:numId w:val="70"/>
        </w:numPr>
        <w:tabs>
          <w:tab w:pos="1607" w:val="left" w:leader="none"/>
        </w:tabs>
        <w:spacing w:line="269" w:lineRule="exact" w:before="0" w:after="0"/>
        <w:ind w:left="1607" w:right="0" w:hanging="529"/>
        <w:jc w:val="left"/>
        <w:rPr>
          <w:sz w:val="21"/>
        </w:rPr>
      </w:pPr>
      <w:r>
        <w:rPr>
          <w:spacing w:val="-6"/>
          <w:sz w:val="21"/>
        </w:rPr>
        <w:t>月度电子邮件对账单：每月初 </w:t>
      </w:r>
      <w:r>
        <w:rPr>
          <w:sz w:val="21"/>
        </w:rPr>
        <w:t>5</w:t>
      </w:r>
      <w:r>
        <w:rPr>
          <w:spacing w:val="-8"/>
          <w:sz w:val="21"/>
        </w:rPr>
        <w:t> 个工作日内，本公司以电子邮件方式给截至上月</w:t>
      </w:r>
    </w:p>
    <w:p>
      <w:pPr>
        <w:pStyle w:val="BodyText"/>
        <w:spacing w:before="7"/>
        <w:rPr>
          <w:sz w:val="15"/>
        </w:rPr>
      </w:pPr>
    </w:p>
    <w:p>
      <w:pPr>
        <w:pStyle w:val="BodyText"/>
        <w:spacing w:line="417" w:lineRule="auto"/>
        <w:ind w:left="658" w:right="1309"/>
      </w:pPr>
      <w:r>
        <w:rPr/>
        <w:t>最后一个交易日仍持有本公司基金份额或者账户余额为 0 但当期有交易发生的定制投资者发送月度电子邮件对账单。</w:t>
      </w:r>
    </w:p>
    <w:p>
      <w:pPr>
        <w:pStyle w:val="ListParagraph"/>
        <w:numPr>
          <w:ilvl w:val="0"/>
          <w:numId w:val="70"/>
        </w:numPr>
        <w:tabs>
          <w:tab w:pos="1607" w:val="left" w:leader="none"/>
        </w:tabs>
        <w:spacing w:line="417" w:lineRule="auto" w:before="0" w:after="0"/>
        <w:ind w:left="658" w:right="1309" w:firstLine="419"/>
        <w:jc w:val="left"/>
        <w:rPr>
          <w:sz w:val="21"/>
        </w:rPr>
      </w:pPr>
      <w:r>
        <w:rPr>
          <w:spacing w:val="-5"/>
          <w:sz w:val="21"/>
        </w:rPr>
        <w:t>月度短信对账单：每月初 </w:t>
      </w:r>
      <w:r>
        <w:rPr>
          <w:sz w:val="21"/>
        </w:rPr>
        <w:t>5</w:t>
      </w:r>
      <w:r>
        <w:rPr>
          <w:spacing w:val="-6"/>
          <w:sz w:val="21"/>
        </w:rPr>
        <w:t> 个工作日内，本公司以短信方式给截至上月最后一个</w:t>
      </w:r>
      <w:r>
        <w:rPr>
          <w:spacing w:val="-4"/>
          <w:sz w:val="21"/>
        </w:rPr>
        <w:t>交易日仍持有本公司基金份额的定制投资者发送月度短信对账单。</w:t>
      </w:r>
    </w:p>
    <w:p>
      <w:pPr>
        <w:pStyle w:val="ListParagraph"/>
        <w:numPr>
          <w:ilvl w:val="0"/>
          <w:numId w:val="70"/>
        </w:numPr>
        <w:tabs>
          <w:tab w:pos="1607" w:val="left" w:leader="none"/>
        </w:tabs>
        <w:spacing w:line="240" w:lineRule="auto" w:before="0" w:after="0"/>
        <w:ind w:left="1607" w:right="0" w:hanging="529"/>
        <w:jc w:val="left"/>
        <w:rPr>
          <w:sz w:val="21"/>
        </w:rPr>
      </w:pPr>
      <w:r>
        <w:rPr>
          <w:spacing w:val="-7"/>
          <w:sz w:val="21"/>
        </w:rPr>
        <w:t>月度微信对账单：每月初 </w:t>
      </w:r>
      <w:r>
        <w:rPr>
          <w:sz w:val="21"/>
        </w:rPr>
        <w:t>5</w:t>
      </w:r>
      <w:r>
        <w:rPr>
          <w:spacing w:val="-8"/>
          <w:sz w:val="21"/>
        </w:rPr>
        <w:t> 个工作日内，本公司以微信方式给截至上月最后一个</w:t>
      </w:r>
    </w:p>
    <w:p>
      <w:pPr>
        <w:pStyle w:val="BodyText"/>
        <w:spacing w:before="6"/>
        <w:rPr>
          <w:sz w:val="15"/>
        </w:rPr>
      </w:pPr>
    </w:p>
    <w:p>
      <w:pPr>
        <w:pStyle w:val="BodyText"/>
        <w:spacing w:line="417" w:lineRule="auto" w:before="1"/>
        <w:ind w:left="658" w:right="1100"/>
      </w:pPr>
      <w:r>
        <w:rPr>
          <w:spacing w:val="-5"/>
        </w:rPr>
        <w:t>交易日仍持有本公司基金份额或者账户余额为 </w:t>
      </w:r>
      <w:r>
        <w:rPr/>
        <w:t>0</w:t>
      </w:r>
      <w:r>
        <w:rPr>
          <w:spacing w:val="-14"/>
        </w:rPr>
        <w:t> 但当期有交易发生、且已在“景顺长城基金” </w:t>
      </w:r>
      <w:r>
        <w:rPr>
          <w:spacing w:val="-7"/>
        </w:rPr>
        <w:t>微信公众号上成功绑定账户的投资者发送月度微信对账单。</w:t>
      </w:r>
    </w:p>
    <w:p>
      <w:pPr>
        <w:pStyle w:val="ListParagraph"/>
        <w:numPr>
          <w:ilvl w:val="0"/>
          <w:numId w:val="70"/>
        </w:numPr>
        <w:tabs>
          <w:tab w:pos="1607" w:val="left" w:leader="none"/>
        </w:tabs>
        <w:spacing w:line="417" w:lineRule="auto" w:before="0" w:after="0"/>
        <w:ind w:left="658" w:right="1309" w:firstLine="419"/>
        <w:jc w:val="both"/>
        <w:rPr>
          <w:sz w:val="21"/>
        </w:rPr>
      </w:pPr>
      <w:r>
        <w:rPr>
          <w:spacing w:val="-3"/>
          <w:sz w:val="21"/>
        </w:rPr>
        <w:t>季度及年度纸质对账单：每年一、二、三季度结束后，本公司向定制纸质对账单</w:t>
      </w:r>
      <w:r>
        <w:rPr>
          <w:spacing w:val="-8"/>
          <w:sz w:val="21"/>
        </w:rPr>
        <w:t>且在当季度内有交易的投资者寄送季度对账单；每年度结束后，本公司向定制纸质对账单且在第四季度内有基金交易或者年度最后一个交易日仍持有本公司基金份额的投资者寄送年</w:t>
      </w:r>
      <w:r>
        <w:rPr>
          <w:spacing w:val="-5"/>
          <w:sz w:val="21"/>
        </w:rPr>
        <w:t>度纸质对账单。</w:t>
      </w:r>
    </w:p>
    <w:p>
      <w:pPr>
        <w:pStyle w:val="BodyText"/>
        <w:spacing w:line="417" w:lineRule="auto"/>
        <w:ind w:left="658" w:right="1203" w:firstLine="419"/>
      </w:pPr>
      <w:r>
        <w:rPr>
          <w:spacing w:val="-5"/>
        </w:rPr>
        <w:t>因提供的个人信息</w:t>
      </w:r>
      <w:r>
        <w:rPr/>
        <w:t>（</w:t>
      </w:r>
      <w:r>
        <w:rPr>
          <w:spacing w:val="-7"/>
        </w:rPr>
        <w:t>包括但不限于姓名、电子邮件地址、邮寄地址、邮编等</w:t>
      </w:r>
      <w:r>
        <w:rPr>
          <w:spacing w:val="-15"/>
        </w:rPr>
        <w:t>）</w:t>
      </w:r>
      <w:r>
        <w:rPr>
          <w:spacing w:val="-6"/>
        </w:rPr>
        <w:t>不详、错</w:t>
      </w:r>
      <w:r>
        <w:rPr>
          <w:spacing w:val="-5"/>
        </w:rPr>
        <w:t>误、变更或邮局投递差错、通讯故障、延误等原因有可能造成对账单无法按时或准确送达。</w:t>
      </w:r>
      <w:r>
        <w:rPr>
          <w:spacing w:val="-10"/>
        </w:rPr>
        <w:t>因上述原因无法正常收取对账单的，请及时到原基金销售网点或本公司网站办理联系方式变</w:t>
      </w:r>
      <w:r>
        <w:rPr>
          <w:spacing w:val="-5"/>
          <w:w w:val="100"/>
        </w:rPr>
        <w:t>更手续。详询</w:t>
      </w:r>
      <w:r>
        <w:rPr>
          <w:spacing w:val="-5"/>
        </w:rPr>
        <w:t> </w:t>
      </w:r>
      <w:r>
        <w:rPr>
          <w:spacing w:val="-3"/>
          <w:w w:val="100"/>
        </w:rPr>
        <w:t>4</w:t>
      </w:r>
      <w:r>
        <w:rPr>
          <w:w w:val="100"/>
        </w:rPr>
        <w:t>0</w:t>
      </w:r>
      <w:r>
        <w:rPr>
          <w:spacing w:val="-1"/>
          <w:w w:val="100"/>
        </w:rPr>
        <w:t>0</w:t>
      </w:r>
      <w:r>
        <w:rPr>
          <w:w w:val="100"/>
        </w:rPr>
        <w:t>-</w:t>
      </w:r>
      <w:r>
        <w:rPr>
          <w:spacing w:val="-3"/>
          <w:w w:val="100"/>
        </w:rPr>
        <w:t>8</w:t>
      </w:r>
      <w:r>
        <w:rPr>
          <w:w w:val="100"/>
        </w:rPr>
        <w:t>888</w:t>
      </w:r>
      <w:r>
        <w:rPr>
          <w:spacing w:val="-3"/>
          <w:w w:val="100"/>
        </w:rPr>
        <w:t>-6</w:t>
      </w:r>
      <w:r>
        <w:rPr>
          <w:w w:val="100"/>
        </w:rPr>
        <w:t>0</w:t>
      </w:r>
      <w:r>
        <w:rPr>
          <w:spacing w:val="-1"/>
          <w:w w:val="100"/>
        </w:rPr>
        <w:t>6</w:t>
      </w:r>
      <w:r>
        <w:rPr>
          <w:spacing w:val="-3"/>
          <w:w w:val="100"/>
        </w:rPr>
        <w:t>，或通过本公司网站（</w:t>
      </w:r>
      <w:hyperlink r:id="rId7">
        <w:r>
          <w:rPr>
            <w:spacing w:val="-3"/>
            <w:w w:val="100"/>
          </w:rPr>
          <w:t>w</w:t>
        </w:r>
        <w:r>
          <w:rPr>
            <w:w w:val="100"/>
          </w:rPr>
          <w:t>ww.ig</w:t>
        </w:r>
        <w:r>
          <w:rPr>
            <w:spacing w:val="-3"/>
            <w:w w:val="100"/>
          </w:rPr>
          <w:t>w</w:t>
        </w:r>
        <w:r>
          <w:rPr>
            <w:w w:val="100"/>
          </w:rPr>
          <w:t>fmc</w:t>
        </w:r>
        <w:r>
          <w:rPr>
            <w:spacing w:val="-3"/>
            <w:w w:val="100"/>
          </w:rPr>
          <w:t>.</w:t>
        </w:r>
        <w:r>
          <w:rPr>
            <w:w w:val="100"/>
          </w:rPr>
          <w:t>co</w:t>
        </w:r>
        <w:r>
          <w:rPr>
            <w:spacing w:val="-1"/>
            <w:w w:val="100"/>
          </w:rPr>
          <w:t>m</w:t>
        </w:r>
      </w:hyperlink>
      <w:r>
        <w:rPr>
          <w:spacing w:val="-108"/>
          <w:w w:val="100"/>
        </w:rPr>
        <w:t>）</w:t>
      </w:r>
      <w:r>
        <w:rPr>
          <w:spacing w:val="-3"/>
          <w:w w:val="100"/>
        </w:rPr>
        <w:t>“在线客服”咨询。</w:t>
      </w:r>
    </w:p>
    <w:p>
      <w:pPr>
        <w:pStyle w:val="BodyText"/>
        <w:spacing w:before="9"/>
        <w:rPr>
          <w:sz w:val="28"/>
        </w:rPr>
      </w:pPr>
    </w:p>
    <w:p>
      <w:pPr>
        <w:spacing w:before="0"/>
        <w:ind w:left="658" w:right="0" w:firstLine="0"/>
        <w:jc w:val="left"/>
        <w:rPr>
          <w:b/>
          <w:sz w:val="21"/>
        </w:rPr>
      </w:pPr>
      <w:r>
        <w:rPr>
          <w:b/>
          <w:sz w:val="21"/>
        </w:rPr>
        <w:t>（二）红利再投资服务</w:t>
      </w:r>
    </w:p>
    <w:p>
      <w:pPr>
        <w:pStyle w:val="BodyText"/>
        <w:spacing w:before="7"/>
        <w:rPr>
          <w:b/>
          <w:sz w:val="18"/>
        </w:rPr>
      </w:pPr>
    </w:p>
    <w:p>
      <w:pPr>
        <w:pStyle w:val="BodyText"/>
        <w:spacing w:line="417" w:lineRule="auto"/>
        <w:ind w:left="658" w:right="1208" w:firstLine="419"/>
        <w:jc w:val="both"/>
      </w:pPr>
      <w:r>
        <w:rPr>
          <w:spacing w:val="-7"/>
        </w:rPr>
        <w:t>若基金份额持有人选择将基金收益以基金份额形式进行分配，该持有人当期分配所得的</w:t>
      </w:r>
      <w:r>
        <w:rPr>
          <w:spacing w:val="-9"/>
        </w:rPr>
        <w:t>红利将按照除息日的基金份额净值自动转为该基金份额，并免收申购费用。投资者红利再投</w:t>
      </w:r>
      <w:r>
        <w:rPr>
          <w:spacing w:val="-5"/>
        </w:rPr>
        <w:t>所得基金份额自基金除权日的下一工作日起计入投资者基金账户，持有时间自该日起计算。</w:t>
      </w:r>
    </w:p>
    <w:p>
      <w:pPr>
        <w:spacing w:after="0" w:line="417" w:lineRule="auto"/>
        <w:jc w:val="both"/>
        <w:sectPr>
          <w:pgSz w:w="11910" w:h="16840"/>
          <w:pgMar w:header="852" w:footer="992" w:top="1220" w:bottom="1180" w:left="1140" w:right="480"/>
        </w:sectPr>
      </w:pPr>
    </w:p>
    <w:p>
      <w:pPr>
        <w:pStyle w:val="BodyText"/>
        <w:rPr>
          <w:sz w:val="20"/>
        </w:rPr>
      </w:pPr>
    </w:p>
    <w:p>
      <w:pPr>
        <w:pStyle w:val="BodyText"/>
        <w:spacing w:before="11"/>
        <w:rPr>
          <w:sz w:val="27"/>
        </w:rPr>
      </w:pPr>
    </w:p>
    <w:p>
      <w:pPr>
        <w:spacing w:before="72"/>
        <w:ind w:left="658" w:right="0" w:firstLine="0"/>
        <w:jc w:val="left"/>
        <w:rPr>
          <w:b/>
          <w:sz w:val="21"/>
        </w:rPr>
      </w:pPr>
      <w:r>
        <w:rPr>
          <w:b/>
          <w:sz w:val="21"/>
        </w:rPr>
        <w:t>（三）定期定额投资计划</w:t>
      </w:r>
    </w:p>
    <w:p>
      <w:pPr>
        <w:pStyle w:val="BodyText"/>
        <w:spacing w:before="7"/>
        <w:rPr>
          <w:b/>
          <w:sz w:val="18"/>
        </w:rPr>
      </w:pPr>
    </w:p>
    <w:p>
      <w:pPr>
        <w:pStyle w:val="BodyText"/>
        <w:spacing w:line="417" w:lineRule="auto"/>
        <w:ind w:left="658" w:right="1309" w:firstLine="419"/>
      </w:pPr>
      <w:r>
        <w:rPr>
          <w:spacing w:val="-8"/>
        </w:rPr>
        <w:t>基金管理人为投资者提供定期定额投资的服务。通过定期定额投资计划，投资者可以通</w:t>
      </w:r>
      <w:r>
        <w:rPr>
          <w:spacing w:val="-5"/>
        </w:rPr>
        <w:t>过固定的渠道，定期定额申购基金份额。</w:t>
      </w:r>
    </w:p>
    <w:p>
      <w:pPr>
        <w:pStyle w:val="BodyText"/>
        <w:spacing w:line="269" w:lineRule="exact"/>
        <w:ind w:left="1078"/>
      </w:pPr>
      <w:r>
        <w:rPr/>
        <w:t>定期定额投资计划的有关规则另行公告。</w:t>
      </w:r>
    </w:p>
    <w:p>
      <w:pPr>
        <w:pStyle w:val="BodyText"/>
        <w:rPr>
          <w:sz w:val="20"/>
        </w:rPr>
      </w:pPr>
    </w:p>
    <w:p>
      <w:pPr>
        <w:pStyle w:val="BodyText"/>
        <w:spacing w:before="4"/>
        <w:rPr>
          <w:sz w:val="24"/>
        </w:rPr>
      </w:pPr>
    </w:p>
    <w:p>
      <w:pPr>
        <w:spacing w:before="1"/>
        <w:ind w:left="658" w:right="0" w:firstLine="0"/>
        <w:jc w:val="left"/>
        <w:rPr>
          <w:b/>
          <w:sz w:val="21"/>
        </w:rPr>
      </w:pPr>
      <w:r>
        <w:rPr>
          <w:b/>
          <w:sz w:val="21"/>
        </w:rPr>
        <w:t>（四）基金转换</w:t>
      </w:r>
    </w:p>
    <w:p>
      <w:pPr>
        <w:pStyle w:val="BodyText"/>
        <w:spacing w:before="7"/>
        <w:rPr>
          <w:b/>
          <w:sz w:val="18"/>
        </w:rPr>
      </w:pPr>
    </w:p>
    <w:p>
      <w:pPr>
        <w:pStyle w:val="BodyText"/>
        <w:spacing w:line="417" w:lineRule="auto"/>
        <w:ind w:left="658" w:right="1309" w:firstLine="412"/>
        <w:jc w:val="both"/>
      </w:pPr>
      <w:r>
        <w:rPr>
          <w:spacing w:val="-9"/>
        </w:rPr>
        <w:t>投资者可在同时销售转出基金、转入基金并开办基金转换业务的销售机构办理基金转换</w:t>
      </w:r>
      <w:r>
        <w:rPr>
          <w:spacing w:val="-11"/>
        </w:rPr>
        <w:t>业务。基金转换需遵守基金管理人关于基金转换的业务规则，具体业务规则详见本公司发布</w:t>
      </w:r>
      <w:r>
        <w:rPr>
          <w:spacing w:val="-6"/>
        </w:rPr>
        <w:t>在指定信息披露媒体及本公司网站上的公告。</w:t>
      </w:r>
    </w:p>
    <w:p>
      <w:pPr>
        <w:pStyle w:val="BodyText"/>
        <w:spacing w:before="10"/>
        <w:rPr>
          <w:sz w:val="28"/>
        </w:rPr>
      </w:pPr>
    </w:p>
    <w:p>
      <w:pPr>
        <w:spacing w:before="0"/>
        <w:ind w:left="658" w:right="0" w:firstLine="0"/>
        <w:jc w:val="left"/>
        <w:rPr>
          <w:b/>
          <w:sz w:val="21"/>
        </w:rPr>
      </w:pPr>
      <w:r>
        <w:rPr>
          <w:b/>
          <w:sz w:val="21"/>
        </w:rPr>
        <w:t>（五）网络在线服务</w:t>
      </w:r>
    </w:p>
    <w:p>
      <w:pPr>
        <w:pStyle w:val="BodyText"/>
        <w:spacing w:before="9"/>
        <w:rPr>
          <w:b/>
          <w:sz w:val="18"/>
        </w:rPr>
      </w:pPr>
    </w:p>
    <w:p>
      <w:pPr>
        <w:pStyle w:val="BodyText"/>
        <w:spacing w:line="417" w:lineRule="auto"/>
        <w:ind w:left="658" w:right="1203" w:firstLine="419"/>
      </w:pPr>
      <w:r>
        <w:rPr>
          <w:spacing w:val="-13"/>
          <w:w w:val="100"/>
        </w:rPr>
        <w:t>基金管理人利用其网站</w:t>
      </w:r>
      <w:hyperlink r:id="rId7">
        <w:r>
          <w:rPr>
            <w:w w:val="100"/>
          </w:rPr>
          <w:t>（w</w:t>
        </w:r>
        <w:r>
          <w:rPr>
            <w:spacing w:val="-3"/>
            <w:w w:val="100"/>
          </w:rPr>
          <w:t>w</w:t>
        </w:r>
        <w:r>
          <w:rPr>
            <w:w w:val="100"/>
          </w:rPr>
          <w:t>w.igw</w:t>
        </w:r>
        <w:r>
          <w:rPr>
            <w:spacing w:val="-3"/>
            <w:w w:val="100"/>
          </w:rPr>
          <w:t>f</w:t>
        </w:r>
        <w:r>
          <w:rPr>
            <w:w w:val="100"/>
          </w:rPr>
          <w:t>mc.</w:t>
        </w:r>
        <w:r>
          <w:rPr>
            <w:spacing w:val="-3"/>
            <w:w w:val="100"/>
          </w:rPr>
          <w:t>c</w:t>
        </w:r>
        <w:r>
          <w:rPr>
            <w:w w:val="100"/>
          </w:rPr>
          <w:t>o</w:t>
        </w:r>
        <w:r>
          <w:rPr>
            <w:spacing w:val="-3"/>
            <w:w w:val="100"/>
          </w:rPr>
          <w:t>m</w:t>
        </w:r>
      </w:hyperlink>
      <w:r>
        <w:rPr>
          <w:spacing w:val="-97"/>
          <w:w w:val="100"/>
        </w:rPr>
        <w:t>）</w:t>
      </w:r>
      <w:r>
        <w:rPr>
          <w:spacing w:val="-3"/>
          <w:w w:val="100"/>
        </w:rPr>
        <w:t>定期或不定期为投资者提供基金管理人信息、</w:t>
      </w:r>
      <w:r>
        <w:rPr>
          <w:spacing w:val="-10"/>
        </w:rPr>
        <w:t>基金产品信息、账户查询、投资策略分析报告、热点问答等服务。投资者可以登陆该网站修</w:t>
      </w:r>
      <w:r>
        <w:rPr>
          <w:spacing w:val="-5"/>
        </w:rPr>
        <w:t>改基金查询密码。</w:t>
      </w:r>
    </w:p>
    <w:p>
      <w:pPr>
        <w:pStyle w:val="BodyText"/>
        <w:ind w:left="1078"/>
      </w:pPr>
      <w:r>
        <w:rPr/>
        <w:t>对于直销个人客户，基金管理人同时提供网上交易服务。</w:t>
      </w:r>
    </w:p>
    <w:p>
      <w:pPr>
        <w:pStyle w:val="BodyText"/>
        <w:rPr>
          <w:sz w:val="20"/>
        </w:rPr>
      </w:pPr>
    </w:p>
    <w:p>
      <w:pPr>
        <w:pStyle w:val="BodyText"/>
        <w:spacing w:before="5"/>
        <w:rPr>
          <w:sz w:val="24"/>
        </w:rPr>
      </w:pPr>
    </w:p>
    <w:p>
      <w:pPr>
        <w:spacing w:before="0"/>
        <w:ind w:left="658" w:right="0" w:firstLine="0"/>
        <w:jc w:val="left"/>
        <w:rPr>
          <w:b/>
          <w:sz w:val="21"/>
        </w:rPr>
      </w:pPr>
      <w:r>
        <w:rPr>
          <w:b/>
          <w:sz w:val="21"/>
        </w:rPr>
        <w:t>（六）客户服务中心（</w:t>
      </w:r>
      <w:r>
        <w:rPr>
          <w:rFonts w:ascii="Times New Roman" w:eastAsia="Times New Roman"/>
          <w:b/>
          <w:sz w:val="21"/>
        </w:rPr>
        <w:t>Call Center</w:t>
      </w:r>
      <w:r>
        <w:rPr>
          <w:b/>
          <w:sz w:val="21"/>
        </w:rPr>
        <w:t>）电话服务</w:t>
      </w:r>
    </w:p>
    <w:p>
      <w:pPr>
        <w:pStyle w:val="BodyText"/>
        <w:spacing w:before="7"/>
        <w:rPr>
          <w:b/>
          <w:sz w:val="18"/>
        </w:rPr>
      </w:pPr>
    </w:p>
    <w:p>
      <w:pPr>
        <w:pStyle w:val="BodyText"/>
        <w:spacing w:line="417" w:lineRule="auto"/>
        <w:ind w:left="658" w:right="1309" w:firstLine="419"/>
      </w:pPr>
      <w:r>
        <w:rPr>
          <w:spacing w:val="-9"/>
        </w:rPr>
        <w:t>投资者想要了解交易情况、基金账户余额、基金产品与服务信息或进行投诉等，可拨打</w:t>
      </w:r>
      <w:r>
        <w:rPr>
          <w:spacing w:val="-5"/>
        </w:rPr>
        <w:t>基金管理人客户服务电话</w:t>
      </w:r>
      <w:r>
        <w:rPr/>
        <w:t>：400 8888 606（</w:t>
      </w:r>
      <w:r>
        <w:rPr>
          <w:spacing w:val="-3"/>
        </w:rPr>
        <w:t>免长途费</w:t>
      </w:r>
      <w:r>
        <w:rPr>
          <w:spacing w:val="-106"/>
        </w:rPr>
        <w:t>）</w:t>
      </w:r>
      <w:r>
        <w:rPr/>
        <w:t>。</w:t>
      </w:r>
    </w:p>
    <w:p>
      <w:pPr>
        <w:pStyle w:val="BodyText"/>
        <w:spacing w:line="417" w:lineRule="auto"/>
        <w:ind w:left="658" w:right="1309" w:firstLine="419"/>
      </w:pPr>
      <w:r>
        <w:rPr>
          <w:spacing w:val="-8"/>
        </w:rPr>
        <w:t>客户服务中心的人工坐席服务时间为每周一至周五</w:t>
      </w:r>
      <w:r>
        <w:rPr>
          <w:spacing w:val="-3"/>
        </w:rPr>
        <w:t>（法定节假日及因此导致的证券交易所休市日除外</w:t>
      </w:r>
      <w:r>
        <w:rPr/>
        <w:t>）9：00—17：00。</w:t>
      </w:r>
    </w:p>
    <w:p>
      <w:pPr>
        <w:pStyle w:val="BodyText"/>
        <w:spacing w:before="10"/>
        <w:rPr>
          <w:sz w:val="28"/>
        </w:rPr>
      </w:pPr>
    </w:p>
    <w:p>
      <w:pPr>
        <w:spacing w:before="1"/>
        <w:ind w:left="658" w:right="0" w:firstLine="0"/>
        <w:jc w:val="left"/>
        <w:rPr>
          <w:b/>
          <w:sz w:val="21"/>
        </w:rPr>
      </w:pPr>
      <w:r>
        <w:rPr>
          <w:b/>
          <w:sz w:val="21"/>
        </w:rPr>
        <w:t>（七）客户投诉受理服务</w:t>
      </w:r>
    </w:p>
    <w:p>
      <w:pPr>
        <w:pStyle w:val="BodyText"/>
        <w:spacing w:before="6"/>
        <w:rPr>
          <w:b/>
          <w:sz w:val="18"/>
        </w:rPr>
      </w:pPr>
    </w:p>
    <w:p>
      <w:pPr>
        <w:pStyle w:val="BodyText"/>
        <w:spacing w:line="417" w:lineRule="auto"/>
        <w:ind w:left="658" w:right="1204" w:firstLine="419"/>
      </w:pPr>
      <w:r>
        <w:rPr>
          <w:spacing w:val="-4"/>
        </w:rPr>
        <w:t>投资者可以通过各销售机构网点柜台、基金管理人网站留言栏目、自动语音留言栏目、</w:t>
      </w:r>
      <w:r>
        <w:rPr>
          <w:spacing w:val="-10"/>
        </w:rPr>
        <w:t>客户服务中心人工热线、书信、电子邮件等六种不同的渠道对基金管理人和销售网点所提供</w:t>
      </w:r>
      <w:r>
        <w:rPr>
          <w:spacing w:val="-5"/>
        </w:rPr>
        <w:t>的服务以及基金管理人的政策规定进行投诉。</w:t>
      </w:r>
    </w:p>
    <w:p>
      <w:pPr>
        <w:pStyle w:val="BodyText"/>
        <w:spacing w:line="417" w:lineRule="auto"/>
        <w:ind w:left="658" w:right="1309" w:firstLine="419"/>
        <w:jc w:val="both"/>
      </w:pPr>
      <w:r>
        <w:rPr>
          <w:spacing w:val="-8"/>
        </w:rPr>
        <w:t>基金管理人承诺在工作日收到的投诉，将在下一个工作日内作出回应，在非工作日收到</w:t>
      </w:r>
      <w:r>
        <w:rPr>
          <w:spacing w:val="-11"/>
        </w:rPr>
        <w:t>的投诉，将顺延至下一个工作日当日或者次日回复。对于不能及时解决的投诉，基金管理人</w:t>
      </w:r>
      <w:r>
        <w:rPr>
          <w:spacing w:val="-6"/>
        </w:rPr>
        <w:t>就投诉处理进度向投诉人作出定期更新。</w:t>
      </w:r>
    </w:p>
    <w:p>
      <w:pPr>
        <w:spacing w:after="0" w:line="417" w:lineRule="auto"/>
        <w:jc w:val="both"/>
        <w:sectPr>
          <w:pgSz w:w="11910" w:h="16840"/>
          <w:pgMar w:header="852" w:footer="992" w:top="1220" w:bottom="1180" w:left="1140" w:right="480"/>
        </w:sectPr>
      </w:pPr>
    </w:p>
    <w:p>
      <w:pPr>
        <w:pStyle w:val="BodyText"/>
        <w:rPr>
          <w:sz w:val="20"/>
        </w:rPr>
      </w:pPr>
    </w:p>
    <w:p>
      <w:pPr>
        <w:pStyle w:val="BodyText"/>
        <w:rPr>
          <w:sz w:val="20"/>
        </w:rPr>
      </w:pPr>
    </w:p>
    <w:p>
      <w:pPr>
        <w:pStyle w:val="BodyText"/>
        <w:spacing w:before="7"/>
        <w:rPr>
          <w:sz w:val="15"/>
        </w:rPr>
      </w:pPr>
    </w:p>
    <w:p>
      <w:pPr>
        <w:pStyle w:val="BodyText"/>
        <w:spacing w:line="417" w:lineRule="auto" w:before="72"/>
        <w:ind w:left="658" w:right="1311"/>
      </w:pPr>
      <w:r>
        <w:rPr>
          <w:b/>
        </w:rPr>
        <w:t>（八）</w:t>
      </w:r>
      <w:r>
        <w:rPr/>
        <w:t>如本招募说明书存在任何您/贵机构无法理解的内容，请通过上述方式联系本基金管理人。请确保投资前，您/贵机构已经全面理解了本招募说明书。</w:t>
      </w:r>
    </w:p>
    <w:p>
      <w:pPr>
        <w:spacing w:after="0" w:line="417" w:lineRule="auto"/>
        <w:sectPr>
          <w:footerReference w:type="default" r:id="rId192"/>
          <w:pgSz w:w="11910" w:h="16840"/>
          <w:pgMar w:footer="992" w:header="852" w:top="1220" w:bottom="1180" w:left="1140" w:right="480"/>
        </w:sectPr>
      </w:pPr>
    </w:p>
    <w:p>
      <w:pPr>
        <w:pStyle w:val="BodyText"/>
        <w:spacing w:before="11"/>
        <w:rPr>
          <w:sz w:val="17"/>
        </w:rPr>
      </w:pPr>
    </w:p>
    <w:p>
      <w:pPr>
        <w:pStyle w:val="Heading1"/>
        <w:spacing w:before="66"/>
        <w:ind w:left="3488"/>
      </w:pPr>
      <w:bookmarkStart w:name="_bookmark27" w:id="28"/>
      <w:bookmarkEnd w:id="28"/>
      <w:r>
        <w:rPr>
          <w:b w:val="0"/>
        </w:rPr>
      </w:r>
      <w:r>
        <w:rPr/>
        <w:t>二十四、其他应披露事项</w:t>
      </w:r>
    </w:p>
    <w:p>
      <w:pPr>
        <w:pStyle w:val="BodyText"/>
        <w:spacing w:line="417" w:lineRule="auto" w:before="181"/>
        <w:ind w:left="658" w:right="1308" w:firstLine="419"/>
      </w:pPr>
      <w:r>
        <w:rPr/>
        <w:t>2019</w:t>
      </w:r>
      <w:r>
        <w:rPr>
          <w:spacing w:val="-31"/>
        </w:rPr>
        <w:t> 年 </w:t>
      </w:r>
      <w:r>
        <w:rPr/>
        <w:t>9</w:t>
      </w:r>
      <w:r>
        <w:rPr>
          <w:spacing w:val="-31"/>
        </w:rPr>
        <w:t> 月 </w:t>
      </w:r>
      <w:r>
        <w:rPr/>
        <w:t>26</w:t>
      </w:r>
      <w:r>
        <w:rPr>
          <w:spacing w:val="-11"/>
        </w:rPr>
        <w:t> 日发布《景顺长城基金管理有限公司关于旗下部分基金在平安证券开通</w:t>
      </w:r>
      <w:r>
        <w:rPr>
          <w:spacing w:val="-6"/>
        </w:rPr>
        <w:t>基金转换业务的公告》</w:t>
      </w:r>
    </w:p>
    <w:p>
      <w:pPr>
        <w:pStyle w:val="BodyText"/>
        <w:spacing w:line="417" w:lineRule="auto"/>
        <w:ind w:left="658" w:right="1308" w:firstLine="419"/>
      </w:pPr>
      <w:r>
        <w:rPr/>
        <w:t>2019</w:t>
      </w:r>
      <w:r>
        <w:rPr>
          <w:spacing w:val="-31"/>
        </w:rPr>
        <w:t> 年 </w:t>
      </w:r>
      <w:r>
        <w:rPr/>
        <w:t>9</w:t>
      </w:r>
      <w:r>
        <w:rPr>
          <w:spacing w:val="-31"/>
        </w:rPr>
        <w:t> 月 </w:t>
      </w:r>
      <w:r>
        <w:rPr/>
        <w:t>18</w:t>
      </w:r>
      <w:r>
        <w:rPr>
          <w:spacing w:val="-11"/>
        </w:rPr>
        <w:t> 日发布《景顺长城基金管理有限公司关于旗下部分基金新增江苏银行股</w:t>
      </w:r>
      <w:r>
        <w:rPr>
          <w:spacing w:val="-6"/>
        </w:rPr>
        <w:t>份有限公司为销售机构并开通基金“定期定额投资业务”和基金转换业务的公告》</w:t>
      </w:r>
    </w:p>
    <w:p>
      <w:pPr>
        <w:pStyle w:val="BodyText"/>
        <w:spacing w:line="417" w:lineRule="auto"/>
        <w:ind w:left="658" w:right="1308" w:firstLine="419"/>
      </w:pPr>
      <w:r>
        <w:rPr/>
        <w:t>2019</w:t>
      </w:r>
      <w:r>
        <w:rPr>
          <w:spacing w:val="-31"/>
        </w:rPr>
        <w:t> 年 </w:t>
      </w:r>
      <w:r>
        <w:rPr/>
        <w:t>9</w:t>
      </w:r>
      <w:r>
        <w:rPr>
          <w:spacing w:val="-31"/>
        </w:rPr>
        <w:t> 月 </w:t>
      </w:r>
      <w:r>
        <w:rPr/>
        <w:t>12</w:t>
      </w:r>
      <w:r>
        <w:rPr>
          <w:spacing w:val="-11"/>
        </w:rPr>
        <w:t> 日发布《景顺长城基金管理有限公司关于旗下部分基金新增联储证券为</w:t>
      </w:r>
      <w:r>
        <w:rPr>
          <w:spacing w:val="-6"/>
        </w:rPr>
        <w:t>销售机构并开通基金定期定额投资业务和基金转换业务的公告》</w:t>
      </w:r>
    </w:p>
    <w:p>
      <w:pPr>
        <w:pStyle w:val="BodyText"/>
        <w:spacing w:line="417" w:lineRule="auto"/>
        <w:ind w:left="658" w:right="1308" w:firstLine="419"/>
      </w:pPr>
      <w:r>
        <w:rPr/>
        <w:t>2019</w:t>
      </w:r>
      <w:r>
        <w:rPr>
          <w:spacing w:val="-31"/>
        </w:rPr>
        <w:t> 年 </w:t>
      </w:r>
      <w:r>
        <w:rPr/>
        <w:t>9</w:t>
      </w:r>
      <w:r>
        <w:rPr>
          <w:spacing w:val="-31"/>
        </w:rPr>
        <w:t> 月 </w:t>
      </w:r>
      <w:r>
        <w:rPr/>
        <w:t>12</w:t>
      </w:r>
      <w:r>
        <w:rPr>
          <w:spacing w:val="-11"/>
        </w:rPr>
        <w:t> 日发布《景顺长城基金管理有限公司关于旗下部分基金参加联储证券有</w:t>
      </w:r>
      <w:r>
        <w:rPr>
          <w:spacing w:val="-6"/>
        </w:rPr>
        <w:t>限责任公司基金申购及定期定额投资申购费率优惠活动的公告》</w:t>
      </w:r>
    </w:p>
    <w:p>
      <w:pPr>
        <w:pStyle w:val="BodyText"/>
        <w:spacing w:line="417" w:lineRule="auto"/>
        <w:ind w:left="658" w:right="1308" w:firstLine="419"/>
      </w:pPr>
      <w:r>
        <w:rPr/>
        <w:t>2019</w:t>
      </w:r>
      <w:r>
        <w:rPr>
          <w:spacing w:val="-23"/>
        </w:rPr>
        <w:t> 年 </w:t>
      </w:r>
      <w:r>
        <w:rPr/>
        <w:t>9</w:t>
      </w:r>
      <w:r>
        <w:rPr>
          <w:spacing w:val="-22"/>
        </w:rPr>
        <w:t> 月 </w:t>
      </w:r>
      <w:r>
        <w:rPr/>
        <w:t>5</w:t>
      </w:r>
      <w:r>
        <w:rPr>
          <w:spacing w:val="-7"/>
        </w:rPr>
        <w:t> 日发布《景顺长城基金管理有限公司关于旗下部分基金在嘉实财富开通</w:t>
      </w:r>
      <w:r>
        <w:rPr>
          <w:spacing w:val="-5"/>
        </w:rPr>
        <w:t>基金“定期定额投资业务”的公告》</w:t>
      </w:r>
    </w:p>
    <w:p>
      <w:pPr>
        <w:pStyle w:val="BodyText"/>
        <w:spacing w:line="417" w:lineRule="auto"/>
        <w:ind w:left="658" w:right="1308" w:firstLine="419"/>
      </w:pPr>
      <w:r>
        <w:rPr/>
        <w:t>2019</w:t>
      </w:r>
      <w:r>
        <w:rPr>
          <w:spacing w:val="-23"/>
        </w:rPr>
        <w:t> 年 </w:t>
      </w:r>
      <w:r>
        <w:rPr/>
        <w:t>9</w:t>
      </w:r>
      <w:r>
        <w:rPr>
          <w:spacing w:val="-22"/>
        </w:rPr>
        <w:t> 月 </w:t>
      </w:r>
      <w:r>
        <w:rPr/>
        <w:t>5</w:t>
      </w:r>
      <w:r>
        <w:rPr>
          <w:spacing w:val="-7"/>
        </w:rPr>
        <w:t> 日发布《景顺长城基金管理有限公司关于旗下部分基金新增江苏汇林保</w:t>
      </w:r>
      <w:r>
        <w:rPr>
          <w:spacing w:val="-5"/>
        </w:rPr>
        <w:t>大基金销售有限公司为销售机构并开通基金转换业务的公告》</w:t>
      </w:r>
    </w:p>
    <w:p>
      <w:pPr>
        <w:pStyle w:val="BodyText"/>
        <w:spacing w:line="417" w:lineRule="auto"/>
        <w:ind w:left="658" w:right="1308" w:firstLine="419"/>
      </w:pPr>
      <w:r>
        <w:rPr/>
        <w:t>2019</w:t>
      </w:r>
      <w:r>
        <w:rPr>
          <w:spacing w:val="-23"/>
        </w:rPr>
        <w:t> 年 </w:t>
      </w:r>
      <w:r>
        <w:rPr/>
        <w:t>9</w:t>
      </w:r>
      <w:r>
        <w:rPr>
          <w:spacing w:val="-22"/>
        </w:rPr>
        <w:t> 月 </w:t>
      </w:r>
      <w:r>
        <w:rPr/>
        <w:t>5</w:t>
      </w:r>
      <w:r>
        <w:rPr>
          <w:spacing w:val="-7"/>
        </w:rPr>
        <w:t> 日发布《景顺长城基金管理有限公司关于旗下部分基金参加江苏汇林保</w:t>
      </w:r>
      <w:r>
        <w:rPr>
          <w:spacing w:val="-5"/>
        </w:rPr>
        <w:t>大基金销售有限公司基金申购费率优惠活动的公告》</w:t>
      </w:r>
    </w:p>
    <w:p>
      <w:pPr>
        <w:pStyle w:val="BodyText"/>
        <w:spacing w:line="417" w:lineRule="auto"/>
        <w:ind w:left="658" w:right="1308" w:firstLine="419"/>
      </w:pPr>
      <w:r>
        <w:rPr/>
        <w:t>2019</w:t>
      </w:r>
      <w:r>
        <w:rPr>
          <w:spacing w:val="-23"/>
        </w:rPr>
        <w:t> 年 </w:t>
      </w:r>
      <w:r>
        <w:rPr/>
        <w:t>9</w:t>
      </w:r>
      <w:r>
        <w:rPr>
          <w:spacing w:val="-22"/>
        </w:rPr>
        <w:t> 月 </w:t>
      </w:r>
      <w:r>
        <w:rPr/>
        <w:t>5</w:t>
      </w:r>
      <w:r>
        <w:rPr>
          <w:spacing w:val="-7"/>
        </w:rPr>
        <w:t> 日发布《景顺长城基金管理有限公司关于旗下部分基金参加嘉实财富管</w:t>
      </w:r>
      <w:r>
        <w:rPr>
          <w:spacing w:val="-5"/>
        </w:rPr>
        <w:t>理有限公司基金定期定额投资申购费率优惠活动的公告》</w:t>
      </w:r>
    </w:p>
    <w:p>
      <w:pPr>
        <w:pStyle w:val="BodyText"/>
        <w:spacing w:line="417" w:lineRule="auto"/>
        <w:ind w:left="658" w:right="1308" w:firstLine="419"/>
      </w:pPr>
      <w:r>
        <w:rPr/>
        <w:t>2019</w:t>
      </w:r>
      <w:r>
        <w:rPr>
          <w:spacing w:val="-23"/>
        </w:rPr>
        <w:t> 年 </w:t>
      </w:r>
      <w:r>
        <w:rPr/>
        <w:t>9</w:t>
      </w:r>
      <w:r>
        <w:rPr>
          <w:spacing w:val="-22"/>
        </w:rPr>
        <w:t> 月 </w:t>
      </w:r>
      <w:r>
        <w:rPr/>
        <w:t>3</w:t>
      </w:r>
      <w:r>
        <w:rPr>
          <w:spacing w:val="-7"/>
        </w:rPr>
        <w:t> 日发布《景顺长城基金管理有限公司关于旗下部分基金新增宁波银行股</w:t>
      </w:r>
      <w:r>
        <w:rPr>
          <w:spacing w:val="-5"/>
        </w:rPr>
        <w:t>份有限公司为销售机构并开通基金“定期定额投资业务”和基金转换业务的公告》</w:t>
      </w:r>
    </w:p>
    <w:p>
      <w:pPr>
        <w:pStyle w:val="BodyText"/>
        <w:spacing w:line="417" w:lineRule="auto"/>
        <w:ind w:left="658" w:right="1308" w:firstLine="419"/>
      </w:pPr>
      <w:r>
        <w:rPr/>
        <w:t>2019</w:t>
      </w:r>
      <w:r>
        <w:rPr>
          <w:spacing w:val="-31"/>
        </w:rPr>
        <w:t> 年 </w:t>
      </w:r>
      <w:r>
        <w:rPr/>
        <w:t>8</w:t>
      </w:r>
      <w:r>
        <w:rPr>
          <w:spacing w:val="-31"/>
        </w:rPr>
        <w:t> 月 </w:t>
      </w:r>
      <w:r>
        <w:rPr/>
        <w:t>28</w:t>
      </w:r>
      <w:r>
        <w:rPr>
          <w:spacing w:val="-11"/>
        </w:rPr>
        <w:t> 日发布《景顺长城基金管理有限公司关于旗下部分基金新增上海陆享基</w:t>
      </w:r>
      <w:r>
        <w:rPr>
          <w:spacing w:val="-6"/>
        </w:rPr>
        <w:t>金销售有限公司为销售机构的公告》</w:t>
      </w:r>
    </w:p>
    <w:p>
      <w:pPr>
        <w:pStyle w:val="BodyText"/>
        <w:spacing w:line="417" w:lineRule="auto"/>
        <w:ind w:left="658" w:right="1308" w:firstLine="419"/>
      </w:pPr>
      <w:r>
        <w:rPr/>
        <w:t>2019</w:t>
      </w:r>
      <w:r>
        <w:rPr>
          <w:spacing w:val="-31"/>
        </w:rPr>
        <w:t> 年 </w:t>
      </w:r>
      <w:r>
        <w:rPr/>
        <w:t>8</w:t>
      </w:r>
      <w:r>
        <w:rPr>
          <w:spacing w:val="-31"/>
        </w:rPr>
        <w:t> 月 </w:t>
      </w:r>
      <w:r>
        <w:rPr/>
        <w:t>28</w:t>
      </w:r>
      <w:r>
        <w:rPr>
          <w:spacing w:val="-11"/>
        </w:rPr>
        <w:t> 日发布《景顺长城基金管理有限公司关于旗下部分基金参加上海陆享基</w:t>
      </w:r>
      <w:r>
        <w:rPr>
          <w:spacing w:val="-6"/>
        </w:rPr>
        <w:t>金销售有限公司基金申购费率优惠活动的公告》</w:t>
      </w:r>
    </w:p>
    <w:p>
      <w:pPr>
        <w:pStyle w:val="BodyText"/>
        <w:spacing w:line="417" w:lineRule="auto"/>
        <w:ind w:left="658" w:right="1308" w:firstLine="419"/>
      </w:pPr>
      <w:r>
        <w:rPr/>
        <w:t>2019</w:t>
      </w:r>
      <w:r>
        <w:rPr>
          <w:spacing w:val="-27"/>
        </w:rPr>
        <w:t> 年 </w:t>
      </w:r>
      <w:r>
        <w:rPr/>
        <w:t>8</w:t>
      </w:r>
      <w:r>
        <w:rPr>
          <w:spacing w:val="-26"/>
        </w:rPr>
        <w:t> 月 </w:t>
      </w:r>
      <w:r>
        <w:rPr/>
        <w:t>23</w:t>
      </w:r>
      <w:r>
        <w:rPr>
          <w:spacing w:val="-10"/>
        </w:rPr>
        <w:t> 日发布《景顺长城货币市场证券投资基金 </w:t>
      </w:r>
      <w:r>
        <w:rPr/>
        <w:t>2019</w:t>
      </w:r>
      <w:r>
        <w:rPr>
          <w:spacing w:val="-8"/>
        </w:rPr>
        <w:t> 年半年度报告》及《摘要》</w:t>
      </w:r>
    </w:p>
    <w:p>
      <w:pPr>
        <w:pStyle w:val="BodyText"/>
        <w:spacing w:line="417" w:lineRule="auto"/>
        <w:ind w:left="658" w:right="1308" w:firstLine="419"/>
      </w:pPr>
      <w:r>
        <w:rPr/>
        <w:t>2019</w:t>
      </w:r>
      <w:r>
        <w:rPr>
          <w:spacing w:val="-27"/>
        </w:rPr>
        <w:t> 年 </w:t>
      </w:r>
      <w:r>
        <w:rPr/>
        <w:t>8</w:t>
      </w:r>
      <w:r>
        <w:rPr>
          <w:spacing w:val="-26"/>
        </w:rPr>
        <w:t> 月 </w:t>
      </w:r>
      <w:r>
        <w:rPr/>
        <w:t>23</w:t>
      </w:r>
      <w:r>
        <w:rPr>
          <w:spacing w:val="-10"/>
        </w:rPr>
        <w:t> 日发布《景顺长城动力平衡证券投资基金 </w:t>
      </w:r>
      <w:r>
        <w:rPr/>
        <w:t>2019</w:t>
      </w:r>
      <w:r>
        <w:rPr>
          <w:spacing w:val="-8"/>
        </w:rPr>
        <w:t> 年半年度报告》及《摘要》</w:t>
      </w:r>
    </w:p>
    <w:p>
      <w:pPr>
        <w:pStyle w:val="BodyText"/>
        <w:spacing w:line="417" w:lineRule="auto"/>
        <w:ind w:left="658" w:right="1308" w:firstLine="419"/>
      </w:pPr>
      <w:r>
        <w:rPr/>
        <w:t>2019</w:t>
      </w:r>
      <w:r>
        <w:rPr>
          <w:spacing w:val="-33"/>
        </w:rPr>
        <w:t> 年 </w:t>
      </w:r>
      <w:r>
        <w:rPr/>
        <w:t>8</w:t>
      </w:r>
      <w:r>
        <w:rPr>
          <w:spacing w:val="-33"/>
        </w:rPr>
        <w:t> 月 </w:t>
      </w:r>
      <w:r>
        <w:rPr/>
        <w:t>23</w:t>
      </w:r>
      <w:r>
        <w:rPr>
          <w:spacing w:val="-13"/>
        </w:rPr>
        <w:t> 日发布《景顺长城优选混合型证券投资基金 </w:t>
      </w:r>
      <w:r>
        <w:rPr/>
        <w:t>2019</w:t>
      </w:r>
      <w:r>
        <w:rPr>
          <w:spacing w:val="-17"/>
        </w:rPr>
        <w:t> 年半年度报告》及《摘要》</w:t>
      </w:r>
    </w:p>
    <w:p>
      <w:pPr>
        <w:pStyle w:val="BodyText"/>
        <w:ind w:left="1078"/>
      </w:pPr>
      <w:r>
        <w:rPr/>
        <w:t>2019 年 8 月 12 日发布《景顺长城基金管理有限公司关于旗下部分基金参加海通证券基</w:t>
      </w:r>
    </w:p>
    <w:p>
      <w:pPr>
        <w:spacing w:after="0"/>
        <w:sectPr>
          <w:footerReference w:type="default" r:id="rId193"/>
          <w:pgSz w:w="11910" w:h="16840"/>
          <w:pgMar w:footer="992" w:header="852" w:top="1220" w:bottom="1180" w:left="1140" w:right="480"/>
          <w:pgNumType w:start="171"/>
        </w:sectPr>
      </w:pPr>
    </w:p>
    <w:p>
      <w:pPr>
        <w:pStyle w:val="BodyText"/>
        <w:spacing w:before="1"/>
        <w:rPr>
          <w:sz w:val="19"/>
        </w:rPr>
      </w:pPr>
    </w:p>
    <w:p>
      <w:pPr>
        <w:pStyle w:val="BodyText"/>
        <w:spacing w:before="71"/>
        <w:ind w:left="658"/>
      </w:pPr>
      <w:r>
        <w:rPr/>
        <w:t>金申购及定期定额投资申购费率优惠活动的公告》</w:t>
      </w:r>
    </w:p>
    <w:p>
      <w:pPr>
        <w:pStyle w:val="BodyText"/>
        <w:spacing w:before="7"/>
        <w:rPr>
          <w:sz w:val="15"/>
        </w:rPr>
      </w:pPr>
    </w:p>
    <w:p>
      <w:pPr>
        <w:pStyle w:val="BodyText"/>
        <w:spacing w:line="417" w:lineRule="auto"/>
        <w:ind w:left="658" w:right="1308" w:firstLine="419"/>
      </w:pPr>
      <w:r>
        <w:rPr/>
        <w:t>2019</w:t>
      </w:r>
      <w:r>
        <w:rPr>
          <w:spacing w:val="-23"/>
        </w:rPr>
        <w:t> 年 </w:t>
      </w:r>
      <w:r>
        <w:rPr/>
        <w:t>8</w:t>
      </w:r>
      <w:r>
        <w:rPr>
          <w:spacing w:val="-22"/>
        </w:rPr>
        <w:t> 月 </w:t>
      </w:r>
      <w:r>
        <w:rPr/>
        <w:t>5</w:t>
      </w:r>
      <w:r>
        <w:rPr>
          <w:spacing w:val="-7"/>
        </w:rPr>
        <w:t> 日发布《景顺长城基金管理有限公司关于旗下部分基金新增浙江网商银</w:t>
      </w:r>
      <w:r>
        <w:rPr>
          <w:spacing w:val="-5"/>
        </w:rPr>
        <w:t>行股份有限公司为销售机构的公告》</w:t>
      </w:r>
    </w:p>
    <w:p>
      <w:pPr>
        <w:pStyle w:val="BodyText"/>
        <w:spacing w:line="417" w:lineRule="auto"/>
        <w:ind w:left="658" w:right="1308" w:firstLine="419"/>
      </w:pPr>
      <w:r>
        <w:rPr/>
        <w:t>2019</w:t>
      </w:r>
      <w:r>
        <w:rPr>
          <w:spacing w:val="-23"/>
        </w:rPr>
        <w:t> 年 </w:t>
      </w:r>
      <w:r>
        <w:rPr/>
        <w:t>8</w:t>
      </w:r>
      <w:r>
        <w:rPr>
          <w:spacing w:val="-22"/>
        </w:rPr>
        <w:t> 月 </w:t>
      </w:r>
      <w:r>
        <w:rPr/>
        <w:t>5</w:t>
      </w:r>
      <w:r>
        <w:rPr>
          <w:spacing w:val="-7"/>
        </w:rPr>
        <w:t> 日发布《景顺长城货币市场证券投资基金限制壹仟万元以上申购</w:t>
      </w:r>
      <w:r>
        <w:rPr/>
        <w:t>（</w:t>
      </w:r>
      <w:r>
        <w:rPr>
          <w:spacing w:val="-2"/>
        </w:rPr>
        <w:t>含日</w:t>
      </w:r>
      <w:r>
        <w:rPr>
          <w:spacing w:val="-3"/>
        </w:rPr>
        <w:t>常申购和定期定额投资）及转换转入业务的公告》</w:t>
      </w:r>
    </w:p>
    <w:p>
      <w:pPr>
        <w:pStyle w:val="BodyText"/>
        <w:spacing w:line="417" w:lineRule="auto"/>
        <w:ind w:left="658" w:right="1308" w:firstLine="419"/>
      </w:pPr>
      <w:r>
        <w:rPr/>
        <w:t>2019</w:t>
      </w:r>
      <w:r>
        <w:rPr>
          <w:spacing w:val="-23"/>
        </w:rPr>
        <w:t> 年 </w:t>
      </w:r>
      <w:r>
        <w:rPr/>
        <w:t>8</w:t>
      </w:r>
      <w:r>
        <w:rPr>
          <w:spacing w:val="-22"/>
        </w:rPr>
        <w:t> 月 </w:t>
      </w:r>
      <w:r>
        <w:rPr/>
        <w:t>2</w:t>
      </w:r>
      <w:r>
        <w:rPr>
          <w:spacing w:val="-7"/>
        </w:rPr>
        <w:t> 日发布《景顺长城基金管理有限公司关于景顺长城景泰盈利纯债债券型</w:t>
      </w:r>
      <w:r>
        <w:rPr>
          <w:spacing w:val="-5"/>
        </w:rPr>
        <w:t>证券投资基金在直销网上交易系统开展转换费率优惠活动的公告》</w:t>
      </w:r>
    </w:p>
    <w:p>
      <w:pPr>
        <w:pStyle w:val="BodyText"/>
        <w:spacing w:line="417" w:lineRule="auto"/>
        <w:ind w:left="658" w:right="1308" w:firstLine="419"/>
      </w:pPr>
      <w:r>
        <w:rPr/>
        <w:t>2019</w:t>
      </w:r>
      <w:r>
        <w:rPr>
          <w:spacing w:val="-31"/>
        </w:rPr>
        <w:t> 年 </w:t>
      </w:r>
      <w:r>
        <w:rPr/>
        <w:t>7</w:t>
      </w:r>
      <w:r>
        <w:rPr>
          <w:spacing w:val="-31"/>
        </w:rPr>
        <w:t> 月 </w:t>
      </w:r>
      <w:r>
        <w:rPr/>
        <w:t>30</w:t>
      </w:r>
      <w:r>
        <w:rPr>
          <w:spacing w:val="-11"/>
        </w:rPr>
        <w:t> 日发布《景顺长城基金管理有限公司关于旗下部分基金参加安信证券股</w:t>
      </w:r>
      <w:r>
        <w:rPr>
          <w:spacing w:val="-6"/>
        </w:rPr>
        <w:t>份有限公司基金定期定额投资申购费率优惠活动的公告》</w:t>
      </w:r>
    </w:p>
    <w:p>
      <w:pPr>
        <w:pStyle w:val="BodyText"/>
        <w:spacing w:line="269" w:lineRule="exact"/>
        <w:ind w:left="1078"/>
      </w:pPr>
      <w:r>
        <w:rPr/>
        <w:t>2019 年 7 月 29 日发布《景顺长城景系列开放式证券投资基金托管协议》</w:t>
      </w:r>
    </w:p>
    <w:p>
      <w:pPr>
        <w:pStyle w:val="BodyText"/>
        <w:spacing w:before="6"/>
        <w:rPr>
          <w:sz w:val="15"/>
        </w:rPr>
      </w:pPr>
    </w:p>
    <w:p>
      <w:pPr>
        <w:pStyle w:val="BodyText"/>
        <w:ind w:left="1078"/>
      </w:pPr>
      <w:r>
        <w:rPr/>
        <w:t>2019</w:t>
      </w:r>
      <w:r>
        <w:rPr>
          <w:spacing w:val="-36"/>
        </w:rPr>
        <w:t> 年 </w:t>
      </w:r>
      <w:r>
        <w:rPr/>
        <w:t>7</w:t>
      </w:r>
      <w:r>
        <w:rPr>
          <w:spacing w:val="-36"/>
        </w:rPr>
        <w:t> 月 </w:t>
      </w:r>
      <w:r>
        <w:rPr/>
        <w:t>29</w:t>
      </w:r>
      <w:r>
        <w:rPr>
          <w:spacing w:val="-8"/>
        </w:rPr>
        <w:t> 日发布《景顺长城景系列开放式证券投资基金基金合同</w:t>
      </w:r>
      <w:r>
        <w:rPr/>
        <w:t>（</w:t>
      </w:r>
      <w:r>
        <w:rPr>
          <w:spacing w:val="-2"/>
        </w:rPr>
        <w:t>修订稿</w:t>
      </w:r>
      <w:r>
        <w:rPr>
          <w:spacing w:val="-108"/>
        </w:rPr>
        <w:t>）</w:t>
      </w:r>
      <w:r>
        <w:rPr/>
        <w:t>》</w:t>
      </w:r>
    </w:p>
    <w:p>
      <w:pPr>
        <w:pStyle w:val="BodyText"/>
        <w:spacing w:before="7"/>
        <w:rPr>
          <w:sz w:val="15"/>
        </w:rPr>
      </w:pPr>
    </w:p>
    <w:p>
      <w:pPr>
        <w:pStyle w:val="BodyText"/>
        <w:spacing w:line="417" w:lineRule="auto"/>
        <w:ind w:left="658" w:right="1308" w:firstLine="419"/>
      </w:pPr>
      <w:r>
        <w:rPr/>
        <w:t>2019</w:t>
      </w:r>
      <w:r>
        <w:rPr>
          <w:spacing w:val="-31"/>
        </w:rPr>
        <w:t> 年 </w:t>
      </w:r>
      <w:r>
        <w:rPr/>
        <w:t>7</w:t>
      </w:r>
      <w:r>
        <w:rPr>
          <w:spacing w:val="-31"/>
        </w:rPr>
        <w:t> 月 </w:t>
      </w:r>
      <w:r>
        <w:rPr/>
        <w:t>29</w:t>
      </w:r>
      <w:r>
        <w:rPr>
          <w:spacing w:val="-11"/>
        </w:rPr>
        <w:t> 日发布《景顺长城基金管理有限公司关于调整景顺长城货币市场证券投</w:t>
      </w:r>
      <w:r>
        <w:rPr>
          <w:spacing w:val="-6"/>
        </w:rPr>
        <w:t>资基金的基金管理费率和基金托管费率并修改基金合同的公告》</w:t>
      </w:r>
    </w:p>
    <w:p>
      <w:pPr>
        <w:pStyle w:val="BodyText"/>
        <w:spacing w:line="417" w:lineRule="auto"/>
        <w:ind w:left="658" w:right="1308" w:firstLine="419"/>
      </w:pPr>
      <w:r>
        <w:rPr/>
        <w:t>2019</w:t>
      </w:r>
      <w:r>
        <w:rPr>
          <w:spacing w:val="-31"/>
        </w:rPr>
        <w:t> 年 </w:t>
      </w:r>
      <w:r>
        <w:rPr/>
        <w:t>7</w:t>
      </w:r>
      <w:r>
        <w:rPr>
          <w:spacing w:val="-31"/>
        </w:rPr>
        <w:t> 月 </w:t>
      </w:r>
      <w:r>
        <w:rPr/>
        <w:t>18</w:t>
      </w:r>
      <w:r>
        <w:rPr>
          <w:spacing w:val="-11"/>
        </w:rPr>
        <w:t> 日发布《景顺长城基金管理有限公司关于旗下部分基金参加上海天天基</w:t>
      </w:r>
      <w:r>
        <w:rPr>
          <w:spacing w:val="-6"/>
        </w:rPr>
        <w:t>金销售有限公司认</w:t>
      </w:r>
      <w:r>
        <w:rPr>
          <w:spacing w:val="-3"/>
        </w:rPr>
        <w:t>/</w:t>
      </w:r>
      <w:r>
        <w:rPr>
          <w:spacing w:val="-2"/>
        </w:rPr>
        <w:t>申购</w:t>
      </w:r>
      <w:r>
        <w:rPr>
          <w:spacing w:val="-3"/>
        </w:rPr>
        <w:t>（含定期定额投资申购</w:t>
      </w:r>
      <w:r>
        <w:rPr/>
        <w:t>）</w:t>
      </w:r>
      <w:r>
        <w:rPr>
          <w:spacing w:val="-3"/>
        </w:rPr>
        <w:t>费率优惠活动的公告》</w:t>
      </w:r>
    </w:p>
    <w:p>
      <w:pPr>
        <w:pStyle w:val="BodyText"/>
        <w:ind w:left="1078"/>
      </w:pPr>
      <w:r>
        <w:rPr/>
        <w:t>2019</w:t>
      </w:r>
      <w:r>
        <w:rPr>
          <w:spacing w:val="-34"/>
        </w:rPr>
        <w:t> 年 </w:t>
      </w:r>
      <w:r>
        <w:rPr/>
        <w:t>7</w:t>
      </w:r>
      <w:r>
        <w:rPr>
          <w:spacing w:val="-34"/>
        </w:rPr>
        <w:t> 月 </w:t>
      </w:r>
      <w:r>
        <w:rPr/>
        <w:t>17</w:t>
      </w:r>
      <w:r>
        <w:rPr>
          <w:spacing w:val="-11"/>
        </w:rPr>
        <w:t> 日发布《景顺长城货币市场证券投资基金 </w:t>
      </w:r>
      <w:r>
        <w:rPr/>
        <w:t>2019</w:t>
      </w:r>
      <w:r>
        <w:rPr>
          <w:spacing w:val="-26"/>
        </w:rPr>
        <w:t> 年第 </w:t>
      </w:r>
      <w:r>
        <w:rPr/>
        <w:t>2</w:t>
      </w:r>
      <w:r>
        <w:rPr>
          <w:spacing w:val="-10"/>
        </w:rPr>
        <w:t> 季度报告》</w:t>
      </w:r>
    </w:p>
    <w:p>
      <w:pPr>
        <w:pStyle w:val="BodyText"/>
        <w:spacing w:before="6"/>
        <w:rPr>
          <w:sz w:val="15"/>
        </w:rPr>
      </w:pPr>
    </w:p>
    <w:p>
      <w:pPr>
        <w:pStyle w:val="BodyText"/>
        <w:spacing w:before="1"/>
        <w:ind w:left="1078"/>
      </w:pPr>
      <w:r>
        <w:rPr/>
        <w:t>2019</w:t>
      </w:r>
      <w:r>
        <w:rPr>
          <w:spacing w:val="-34"/>
        </w:rPr>
        <w:t> 年 </w:t>
      </w:r>
      <w:r>
        <w:rPr/>
        <w:t>7</w:t>
      </w:r>
      <w:r>
        <w:rPr>
          <w:spacing w:val="-34"/>
        </w:rPr>
        <w:t> 月 </w:t>
      </w:r>
      <w:r>
        <w:rPr/>
        <w:t>17</w:t>
      </w:r>
      <w:r>
        <w:rPr>
          <w:spacing w:val="-11"/>
        </w:rPr>
        <w:t> 日发布《景顺长城动力平衡证券投资基金 </w:t>
      </w:r>
      <w:r>
        <w:rPr/>
        <w:t>2019</w:t>
      </w:r>
      <w:r>
        <w:rPr>
          <w:spacing w:val="-26"/>
        </w:rPr>
        <w:t> 年第 </w:t>
      </w:r>
      <w:r>
        <w:rPr/>
        <w:t>2</w:t>
      </w:r>
      <w:r>
        <w:rPr>
          <w:spacing w:val="-10"/>
        </w:rPr>
        <w:t> 季度报告》</w:t>
      </w:r>
    </w:p>
    <w:p>
      <w:pPr>
        <w:pStyle w:val="BodyText"/>
        <w:spacing w:before="6"/>
        <w:rPr>
          <w:sz w:val="15"/>
        </w:rPr>
      </w:pPr>
    </w:p>
    <w:p>
      <w:pPr>
        <w:pStyle w:val="BodyText"/>
        <w:ind w:left="1078"/>
      </w:pPr>
      <w:r>
        <w:rPr/>
        <w:t>2019 年 7 月 17 日发布《景顺长城优选混合型证券投资基金 2019 年第 2 季度报告》</w:t>
      </w:r>
    </w:p>
    <w:p>
      <w:pPr>
        <w:pStyle w:val="BodyText"/>
        <w:spacing w:before="7"/>
        <w:rPr>
          <w:sz w:val="15"/>
        </w:rPr>
      </w:pPr>
    </w:p>
    <w:p>
      <w:pPr>
        <w:pStyle w:val="BodyText"/>
        <w:spacing w:line="417" w:lineRule="auto"/>
        <w:ind w:left="658" w:right="1308" w:firstLine="419"/>
      </w:pPr>
      <w:r>
        <w:rPr/>
        <w:t>2019</w:t>
      </w:r>
      <w:r>
        <w:rPr>
          <w:spacing w:val="-23"/>
        </w:rPr>
        <w:t> 年 </w:t>
      </w:r>
      <w:r>
        <w:rPr/>
        <w:t>7</w:t>
      </w:r>
      <w:r>
        <w:rPr>
          <w:spacing w:val="-22"/>
        </w:rPr>
        <w:t> 月 </w:t>
      </w:r>
      <w:r>
        <w:rPr/>
        <w:t>9</w:t>
      </w:r>
      <w:r>
        <w:rPr>
          <w:spacing w:val="-7"/>
        </w:rPr>
        <w:t> 日发布《景顺长城基金管理有限公司关于旗下部分基金参加上海浦东发</w:t>
      </w:r>
      <w:r>
        <w:rPr>
          <w:spacing w:val="-5"/>
        </w:rPr>
        <w:t>展银行基金定期定额投资申购费率优惠活动的公告》</w:t>
      </w:r>
    </w:p>
    <w:p>
      <w:pPr>
        <w:pStyle w:val="BodyText"/>
        <w:spacing w:line="417" w:lineRule="auto"/>
        <w:ind w:left="658" w:right="1308" w:firstLine="419"/>
      </w:pPr>
      <w:r>
        <w:rPr/>
        <w:t>2019</w:t>
      </w:r>
      <w:r>
        <w:rPr>
          <w:spacing w:val="-23"/>
        </w:rPr>
        <w:t> 年 </w:t>
      </w:r>
      <w:r>
        <w:rPr/>
        <w:t>7</w:t>
      </w:r>
      <w:r>
        <w:rPr>
          <w:spacing w:val="-22"/>
        </w:rPr>
        <w:t> 月 </w:t>
      </w:r>
      <w:r>
        <w:rPr/>
        <w:t>1</w:t>
      </w:r>
      <w:r>
        <w:rPr>
          <w:spacing w:val="-7"/>
        </w:rPr>
        <w:t> 日发布《景顺长城基金管理有限公司关于旗下部分基金参加中信证券等</w:t>
      </w:r>
      <w:r>
        <w:rPr>
          <w:spacing w:val="-5"/>
        </w:rPr>
        <w:t>多家销售机构基金转换费率优惠活动的公告》</w:t>
      </w:r>
    </w:p>
    <w:p>
      <w:pPr>
        <w:pStyle w:val="BodyText"/>
        <w:spacing w:line="417" w:lineRule="auto"/>
        <w:ind w:left="658" w:right="1308" w:firstLine="419"/>
      </w:pPr>
      <w:r>
        <w:rPr/>
        <w:t>2019</w:t>
      </w:r>
      <w:r>
        <w:rPr>
          <w:spacing w:val="-23"/>
        </w:rPr>
        <w:t> 年 </w:t>
      </w:r>
      <w:r>
        <w:rPr/>
        <w:t>7</w:t>
      </w:r>
      <w:r>
        <w:rPr>
          <w:spacing w:val="-22"/>
        </w:rPr>
        <w:t> 月 </w:t>
      </w:r>
      <w:r>
        <w:rPr/>
        <w:t>1</w:t>
      </w:r>
      <w:r>
        <w:rPr>
          <w:spacing w:val="-7"/>
        </w:rPr>
        <w:t> 日发布《景顺长城基金管理有限公司关于旗下部分基金参加中信证券等</w:t>
      </w:r>
      <w:r>
        <w:rPr>
          <w:spacing w:val="-5"/>
        </w:rPr>
        <w:t>多家销售机构基金申购及定期定额投资申购费率优惠活动的公告》</w:t>
      </w:r>
    </w:p>
    <w:p>
      <w:pPr>
        <w:pStyle w:val="BodyText"/>
        <w:spacing w:line="417" w:lineRule="auto"/>
        <w:ind w:left="658" w:right="1308" w:firstLine="419"/>
      </w:pPr>
      <w:r>
        <w:rPr/>
        <w:t>2019</w:t>
      </w:r>
      <w:r>
        <w:rPr>
          <w:spacing w:val="-31"/>
        </w:rPr>
        <w:t> 年 </w:t>
      </w:r>
      <w:r>
        <w:rPr/>
        <w:t>6</w:t>
      </w:r>
      <w:r>
        <w:rPr>
          <w:spacing w:val="-31"/>
        </w:rPr>
        <w:t> 月 </w:t>
      </w:r>
      <w:r>
        <w:rPr/>
        <w:t>27</w:t>
      </w:r>
      <w:r>
        <w:rPr>
          <w:spacing w:val="-11"/>
        </w:rPr>
        <w:t> 日发布《景顺长城基金管理有限公司关于旗下部分基金参加中国银行基</w:t>
      </w:r>
      <w:r>
        <w:rPr>
          <w:spacing w:val="-6"/>
        </w:rPr>
        <w:t>金定期定额投资申购费率优惠活动的公告》</w:t>
      </w:r>
    </w:p>
    <w:p>
      <w:pPr>
        <w:pStyle w:val="BodyText"/>
        <w:spacing w:line="417" w:lineRule="auto"/>
        <w:ind w:left="658" w:right="1308" w:firstLine="419"/>
      </w:pPr>
      <w:r>
        <w:rPr/>
        <w:t>2019</w:t>
      </w:r>
      <w:r>
        <w:rPr>
          <w:spacing w:val="-31"/>
        </w:rPr>
        <w:t> 年 </w:t>
      </w:r>
      <w:r>
        <w:rPr/>
        <w:t>6</w:t>
      </w:r>
      <w:r>
        <w:rPr>
          <w:spacing w:val="-31"/>
        </w:rPr>
        <w:t> 月 </w:t>
      </w:r>
      <w:r>
        <w:rPr/>
        <w:t>21</w:t>
      </w:r>
      <w:r>
        <w:rPr>
          <w:spacing w:val="-11"/>
        </w:rPr>
        <w:t> 日发布《景顺长城基金管理有限公司关于旗下部分基金可投资科创板股</w:t>
      </w:r>
      <w:r>
        <w:rPr>
          <w:spacing w:val="-6"/>
        </w:rPr>
        <w:t>票的公告》</w:t>
      </w:r>
    </w:p>
    <w:p>
      <w:pPr>
        <w:pStyle w:val="BodyText"/>
        <w:ind w:left="1078"/>
      </w:pPr>
      <w:r>
        <w:rPr/>
        <w:t>2019 年 6 月 15 日发布《景顺长城景系列开放式证券投资基金托管协议》</w:t>
      </w:r>
    </w:p>
    <w:p>
      <w:pPr>
        <w:pStyle w:val="BodyText"/>
        <w:spacing w:before="6"/>
        <w:rPr>
          <w:sz w:val="15"/>
        </w:rPr>
      </w:pPr>
    </w:p>
    <w:p>
      <w:pPr>
        <w:pStyle w:val="BodyText"/>
        <w:ind w:left="1078"/>
      </w:pPr>
      <w:r>
        <w:rPr/>
        <w:t>2019</w:t>
      </w:r>
      <w:r>
        <w:rPr>
          <w:spacing w:val="-36"/>
        </w:rPr>
        <w:t> 年 </w:t>
      </w:r>
      <w:r>
        <w:rPr/>
        <w:t>6</w:t>
      </w:r>
      <w:r>
        <w:rPr>
          <w:spacing w:val="-36"/>
        </w:rPr>
        <w:t> 月 </w:t>
      </w:r>
      <w:r>
        <w:rPr/>
        <w:t>15</w:t>
      </w:r>
      <w:r>
        <w:rPr>
          <w:spacing w:val="-8"/>
        </w:rPr>
        <w:t> 日发布《景顺长城景系列开放式证券投资基金基金合同</w:t>
      </w:r>
      <w:r>
        <w:rPr/>
        <w:t>（</w:t>
      </w:r>
      <w:r>
        <w:rPr>
          <w:spacing w:val="-2"/>
        </w:rPr>
        <w:t>修订稿</w:t>
      </w:r>
      <w:r>
        <w:rPr>
          <w:spacing w:val="-108"/>
        </w:rPr>
        <w:t>）</w:t>
      </w:r>
      <w:r>
        <w:rPr/>
        <w:t>》</w:t>
      </w:r>
    </w:p>
    <w:p>
      <w:pPr>
        <w:spacing w:after="0"/>
        <w:sectPr>
          <w:pgSz w:w="11910" w:h="16840"/>
          <w:pgMar w:header="852" w:footer="992" w:top="1220" w:bottom="1180" w:left="1140" w:right="480"/>
        </w:sectPr>
      </w:pPr>
    </w:p>
    <w:p>
      <w:pPr>
        <w:pStyle w:val="BodyText"/>
        <w:spacing w:before="1"/>
        <w:rPr>
          <w:sz w:val="19"/>
        </w:rPr>
      </w:pPr>
    </w:p>
    <w:p>
      <w:pPr>
        <w:pStyle w:val="BodyText"/>
        <w:spacing w:line="417" w:lineRule="auto" w:before="71"/>
        <w:ind w:left="658" w:right="1308" w:firstLine="419"/>
        <w:jc w:val="both"/>
      </w:pPr>
      <w:r>
        <w:rPr/>
        <w:t>2019</w:t>
      </w:r>
      <w:r>
        <w:rPr>
          <w:spacing w:val="-31"/>
        </w:rPr>
        <w:t> 年 </w:t>
      </w:r>
      <w:r>
        <w:rPr/>
        <w:t>6</w:t>
      </w:r>
      <w:r>
        <w:rPr>
          <w:spacing w:val="-31"/>
        </w:rPr>
        <w:t> 月 </w:t>
      </w:r>
      <w:r>
        <w:rPr/>
        <w:t>15</w:t>
      </w:r>
      <w:r>
        <w:rPr>
          <w:spacing w:val="-11"/>
        </w:rPr>
        <w:t> 日发布《景顺长城基金管理有限公司关于景顺长城货币市场证券投资基</w:t>
      </w:r>
      <w:r>
        <w:rPr>
          <w:spacing w:val="-6"/>
        </w:rPr>
        <w:t>金基金份额持有人大会表决结果暨决议生效的公告》</w:t>
      </w:r>
    </w:p>
    <w:p>
      <w:pPr>
        <w:pStyle w:val="BodyText"/>
        <w:spacing w:line="417" w:lineRule="auto"/>
        <w:ind w:left="658" w:right="1308" w:firstLine="419"/>
        <w:jc w:val="both"/>
      </w:pPr>
      <w:r>
        <w:rPr/>
        <w:t>2019</w:t>
      </w:r>
      <w:r>
        <w:rPr>
          <w:spacing w:val="-17"/>
        </w:rPr>
        <w:t> 年 </w:t>
      </w:r>
      <w:r>
        <w:rPr/>
        <w:t>6</w:t>
      </w:r>
      <w:r>
        <w:rPr>
          <w:spacing w:val="-17"/>
        </w:rPr>
        <w:t> 月 </w:t>
      </w:r>
      <w:r>
        <w:rPr/>
        <w:t>15</w:t>
      </w:r>
      <w:r>
        <w:rPr>
          <w:spacing w:val="-6"/>
        </w:rPr>
        <w:t> 日发布《景顺长城货币市场证券投资基金收益支付公告</w:t>
      </w:r>
      <w:r>
        <w:rPr/>
        <w:t>（2019</w:t>
      </w:r>
      <w:r>
        <w:rPr>
          <w:spacing w:val="-13"/>
        </w:rPr>
        <w:t> 年第 </w:t>
      </w:r>
      <w:r>
        <w:rPr/>
        <w:t>6 号</w:t>
      </w:r>
      <w:r>
        <w:rPr>
          <w:spacing w:val="-106"/>
        </w:rPr>
        <w:t>）</w:t>
      </w:r>
      <w:r>
        <w:rPr/>
        <w:t>》</w:t>
      </w:r>
    </w:p>
    <w:p>
      <w:pPr>
        <w:pStyle w:val="BodyText"/>
        <w:spacing w:line="417" w:lineRule="auto"/>
        <w:ind w:left="658" w:right="1308" w:firstLine="419"/>
        <w:jc w:val="both"/>
      </w:pPr>
      <w:r>
        <w:rPr/>
        <w:t>2019</w:t>
      </w:r>
      <w:r>
        <w:rPr>
          <w:spacing w:val="-28"/>
        </w:rPr>
        <w:t> 年 </w:t>
      </w:r>
      <w:r>
        <w:rPr/>
        <w:t>6</w:t>
      </w:r>
      <w:r>
        <w:rPr>
          <w:spacing w:val="-29"/>
        </w:rPr>
        <w:t> 月 </w:t>
      </w:r>
      <w:r>
        <w:rPr/>
        <w:t>15</w:t>
      </w:r>
      <w:r>
        <w:rPr>
          <w:spacing w:val="-10"/>
        </w:rPr>
        <w:t> 日发布《景顺长城景系列开放式证券投资基金 </w:t>
      </w:r>
      <w:r>
        <w:rPr/>
        <w:t>2019</w:t>
      </w:r>
      <w:r>
        <w:rPr>
          <w:spacing w:val="-22"/>
        </w:rPr>
        <w:t> 年第 </w:t>
      </w:r>
      <w:r>
        <w:rPr/>
        <w:t>2</w:t>
      </w:r>
      <w:r>
        <w:rPr>
          <w:spacing w:val="-10"/>
        </w:rPr>
        <w:t> 号更新招募</w:t>
      </w:r>
      <w:r>
        <w:rPr>
          <w:spacing w:val="-5"/>
        </w:rPr>
        <w:t>说明书》及《摘要》</w:t>
      </w:r>
    </w:p>
    <w:p>
      <w:pPr>
        <w:pStyle w:val="BodyText"/>
        <w:spacing w:line="417" w:lineRule="auto"/>
        <w:ind w:left="658" w:right="1308" w:firstLine="419"/>
        <w:jc w:val="both"/>
      </w:pPr>
      <w:r>
        <w:rPr/>
        <w:t>2019</w:t>
      </w:r>
      <w:r>
        <w:rPr>
          <w:spacing w:val="-31"/>
        </w:rPr>
        <w:t> 年 </w:t>
      </w:r>
      <w:r>
        <w:rPr/>
        <w:t>6</w:t>
      </w:r>
      <w:r>
        <w:rPr>
          <w:spacing w:val="-31"/>
        </w:rPr>
        <w:t> 月 </w:t>
      </w:r>
      <w:r>
        <w:rPr/>
        <w:t>14</w:t>
      </w:r>
      <w:r>
        <w:rPr>
          <w:spacing w:val="-11"/>
        </w:rPr>
        <w:t> 日发布《景顺长城基金管理有限公司关于调整旗下景顺长城货币市场证</w:t>
      </w:r>
      <w:r>
        <w:rPr>
          <w:spacing w:val="4"/>
        </w:rPr>
        <w:t>券投资基金</w:t>
      </w:r>
      <w:r>
        <w:rPr/>
        <w:t>A</w:t>
      </w:r>
      <w:r>
        <w:rPr>
          <w:spacing w:val="-17"/>
        </w:rPr>
        <w:t> 级、</w:t>
      </w:r>
      <w:r>
        <w:rPr/>
        <w:t>B</w:t>
      </w:r>
      <w:r>
        <w:rPr>
          <w:spacing w:val="-9"/>
        </w:rPr>
        <w:t> 级基金份额首次申购、定期定额投资、转换转出最低份额和最低持有份</w:t>
      </w:r>
      <w:r>
        <w:rPr>
          <w:spacing w:val="-5"/>
        </w:rPr>
        <w:t>额数额限制的公告》</w:t>
      </w:r>
    </w:p>
    <w:p>
      <w:pPr>
        <w:pStyle w:val="BodyText"/>
        <w:spacing w:line="417" w:lineRule="auto"/>
        <w:ind w:left="658" w:right="1308" w:firstLine="419"/>
        <w:jc w:val="both"/>
      </w:pPr>
      <w:r>
        <w:rPr/>
        <w:t>2019</w:t>
      </w:r>
      <w:r>
        <w:rPr>
          <w:spacing w:val="-31"/>
        </w:rPr>
        <w:t> 年 </w:t>
      </w:r>
      <w:r>
        <w:rPr/>
        <w:t>6</w:t>
      </w:r>
      <w:r>
        <w:rPr>
          <w:spacing w:val="-31"/>
        </w:rPr>
        <w:t> 月 </w:t>
      </w:r>
      <w:r>
        <w:rPr/>
        <w:t>14</w:t>
      </w:r>
      <w:r>
        <w:rPr>
          <w:spacing w:val="-11"/>
        </w:rPr>
        <w:t> 日发布《关于调整景顺长城货币市场证券投资基金基金份额升降级规则</w:t>
      </w:r>
      <w:r>
        <w:rPr>
          <w:spacing w:val="-7"/>
        </w:rPr>
        <w:t>的公告》</w:t>
      </w:r>
    </w:p>
    <w:p>
      <w:pPr>
        <w:pStyle w:val="BodyText"/>
        <w:spacing w:line="417" w:lineRule="auto"/>
        <w:ind w:left="658" w:right="1309" w:firstLine="419"/>
        <w:jc w:val="both"/>
      </w:pPr>
      <w:r>
        <w:rPr/>
        <w:t>2019</w:t>
      </w:r>
      <w:r>
        <w:rPr>
          <w:spacing w:val="-34"/>
        </w:rPr>
        <w:t> 年 </w:t>
      </w:r>
      <w:r>
        <w:rPr/>
        <w:t>6</w:t>
      </w:r>
      <w:r>
        <w:rPr>
          <w:spacing w:val="-34"/>
        </w:rPr>
        <w:t> 月 </w:t>
      </w:r>
      <w:r>
        <w:rPr/>
        <w:t>6</w:t>
      </w:r>
      <w:r>
        <w:rPr>
          <w:spacing w:val="-13"/>
        </w:rPr>
        <w:t> 日发布《景顺长城景系列开放式证券投资基金 </w:t>
      </w:r>
      <w:r>
        <w:rPr/>
        <w:t>2019</w:t>
      </w:r>
      <w:r>
        <w:rPr>
          <w:spacing w:val="-27"/>
        </w:rPr>
        <w:t> 年第 </w:t>
      </w:r>
      <w:r>
        <w:rPr/>
        <w:t>1</w:t>
      </w:r>
      <w:r>
        <w:rPr>
          <w:spacing w:val="-10"/>
        </w:rPr>
        <w:t> 号更新招募说</w:t>
      </w:r>
      <w:r>
        <w:rPr>
          <w:spacing w:val="-5"/>
        </w:rPr>
        <w:t>明书》及《摘要》</w:t>
      </w:r>
    </w:p>
    <w:p>
      <w:pPr>
        <w:pStyle w:val="BodyText"/>
        <w:spacing w:line="417" w:lineRule="auto"/>
        <w:ind w:left="658" w:right="1308" w:firstLine="419"/>
        <w:jc w:val="both"/>
      </w:pPr>
      <w:r>
        <w:rPr/>
        <w:t>2019</w:t>
      </w:r>
      <w:r>
        <w:rPr>
          <w:spacing w:val="-31"/>
        </w:rPr>
        <w:t> 年 </w:t>
      </w:r>
      <w:r>
        <w:rPr/>
        <w:t>5</w:t>
      </w:r>
      <w:r>
        <w:rPr>
          <w:spacing w:val="-31"/>
        </w:rPr>
        <w:t> 月 </w:t>
      </w:r>
      <w:r>
        <w:rPr/>
        <w:t>16</w:t>
      </w:r>
      <w:r>
        <w:rPr>
          <w:spacing w:val="-11"/>
        </w:rPr>
        <w:t> 日发布《景顺长城基金管理有限公司关于旗下部分基金参加中国民生银</w:t>
      </w:r>
      <w:r>
        <w:rPr>
          <w:spacing w:val="-6"/>
        </w:rPr>
        <w:t>行直销银行“基金通”平台基金申购及定期定额投资申购费率优惠活动的公告》</w:t>
      </w:r>
    </w:p>
    <w:p>
      <w:pPr>
        <w:pStyle w:val="BodyText"/>
        <w:spacing w:line="417" w:lineRule="auto"/>
        <w:ind w:left="658" w:right="1308" w:firstLine="419"/>
        <w:jc w:val="both"/>
      </w:pPr>
      <w:r>
        <w:rPr/>
        <w:t>2019</w:t>
      </w:r>
      <w:r>
        <w:rPr>
          <w:spacing w:val="-31"/>
        </w:rPr>
        <w:t> 年 </w:t>
      </w:r>
      <w:r>
        <w:rPr/>
        <w:t>5</w:t>
      </w:r>
      <w:r>
        <w:rPr>
          <w:spacing w:val="-31"/>
        </w:rPr>
        <w:t> 月 </w:t>
      </w:r>
      <w:r>
        <w:rPr/>
        <w:t>15</w:t>
      </w:r>
      <w:r>
        <w:rPr>
          <w:spacing w:val="-11"/>
        </w:rPr>
        <w:t> 日发布《景顺长城基金管理有限公司关于以通讯开会方式召开景顺长城</w:t>
      </w:r>
      <w:r>
        <w:rPr>
          <w:spacing w:val="-6"/>
        </w:rPr>
        <w:t>货币市场证券投资基金基金份额持有人大会的第二次提示性公告》</w:t>
      </w:r>
    </w:p>
    <w:p>
      <w:pPr>
        <w:pStyle w:val="BodyText"/>
        <w:spacing w:line="417" w:lineRule="auto"/>
        <w:ind w:left="658" w:right="1308" w:firstLine="419"/>
        <w:jc w:val="both"/>
      </w:pPr>
      <w:r>
        <w:rPr/>
        <w:t>2019</w:t>
      </w:r>
      <w:r>
        <w:rPr>
          <w:spacing w:val="-17"/>
        </w:rPr>
        <w:t> 年 </w:t>
      </w:r>
      <w:r>
        <w:rPr/>
        <w:t>5</w:t>
      </w:r>
      <w:r>
        <w:rPr>
          <w:spacing w:val="-17"/>
        </w:rPr>
        <w:t> 月 </w:t>
      </w:r>
      <w:r>
        <w:rPr/>
        <w:t>15</w:t>
      </w:r>
      <w:r>
        <w:rPr>
          <w:spacing w:val="-6"/>
        </w:rPr>
        <w:t> 日发布《景顺长城货币市场证券投资基金收益支付公告</w:t>
      </w:r>
      <w:r>
        <w:rPr/>
        <w:t>（2019</w:t>
      </w:r>
      <w:r>
        <w:rPr>
          <w:spacing w:val="-13"/>
        </w:rPr>
        <w:t> 年第 </w:t>
      </w:r>
      <w:r>
        <w:rPr/>
        <w:t>5 号</w:t>
      </w:r>
      <w:r>
        <w:rPr>
          <w:spacing w:val="-106"/>
        </w:rPr>
        <w:t>）</w:t>
      </w:r>
      <w:r>
        <w:rPr/>
        <w:t>》</w:t>
      </w:r>
    </w:p>
    <w:p>
      <w:pPr>
        <w:pStyle w:val="BodyText"/>
        <w:spacing w:line="417" w:lineRule="auto"/>
        <w:ind w:left="658" w:right="1308" w:firstLine="419"/>
        <w:jc w:val="both"/>
      </w:pPr>
      <w:r>
        <w:rPr/>
        <w:t>2019</w:t>
      </w:r>
      <w:r>
        <w:rPr>
          <w:spacing w:val="-31"/>
        </w:rPr>
        <w:t> 年 </w:t>
      </w:r>
      <w:r>
        <w:rPr/>
        <w:t>5</w:t>
      </w:r>
      <w:r>
        <w:rPr>
          <w:spacing w:val="-31"/>
        </w:rPr>
        <w:t> 月 </w:t>
      </w:r>
      <w:r>
        <w:rPr/>
        <w:t>14</w:t>
      </w:r>
      <w:r>
        <w:rPr>
          <w:spacing w:val="-11"/>
        </w:rPr>
        <w:t> 日发布《景顺长城基金管理有限公司关于以通讯开会方式召开景顺长城</w:t>
      </w:r>
      <w:r>
        <w:rPr>
          <w:spacing w:val="-6"/>
        </w:rPr>
        <w:t>货币市场证券投资基金基金份额持有人大会的第一次提示性公告》</w:t>
      </w:r>
    </w:p>
    <w:p>
      <w:pPr>
        <w:pStyle w:val="BodyText"/>
        <w:spacing w:line="417" w:lineRule="auto"/>
        <w:ind w:left="658" w:right="1308" w:firstLine="419"/>
        <w:jc w:val="both"/>
      </w:pPr>
      <w:r>
        <w:rPr/>
        <w:t>2019</w:t>
      </w:r>
      <w:r>
        <w:rPr>
          <w:spacing w:val="-31"/>
        </w:rPr>
        <w:t> 年 </w:t>
      </w:r>
      <w:r>
        <w:rPr/>
        <w:t>5</w:t>
      </w:r>
      <w:r>
        <w:rPr>
          <w:spacing w:val="-31"/>
        </w:rPr>
        <w:t> 月 </w:t>
      </w:r>
      <w:r>
        <w:rPr/>
        <w:t>13</w:t>
      </w:r>
      <w:r>
        <w:rPr>
          <w:spacing w:val="-11"/>
        </w:rPr>
        <w:t> 日发布《景顺长城基金管理有限公司关于以通讯开会方式召开景顺长城</w:t>
      </w:r>
      <w:r>
        <w:rPr>
          <w:spacing w:val="-6"/>
        </w:rPr>
        <w:t>货币市场证券投资基金基金份额持有人大会的公告》</w:t>
      </w:r>
    </w:p>
    <w:p>
      <w:pPr>
        <w:spacing w:after="0" w:line="417" w:lineRule="auto"/>
        <w:jc w:val="both"/>
        <w:sectPr>
          <w:pgSz w:w="11910" w:h="16840"/>
          <w:pgMar w:header="852" w:footer="992" w:top="1220" w:bottom="1180" w:left="1140" w:right="480"/>
        </w:sectPr>
      </w:pPr>
    </w:p>
    <w:p>
      <w:pPr>
        <w:pStyle w:val="BodyText"/>
        <w:spacing w:before="11"/>
        <w:rPr>
          <w:sz w:val="17"/>
        </w:rPr>
      </w:pPr>
    </w:p>
    <w:p>
      <w:pPr>
        <w:pStyle w:val="Heading1"/>
        <w:spacing w:before="66"/>
        <w:ind w:left="2765"/>
      </w:pPr>
      <w:bookmarkStart w:name="_bookmark28" w:id="29"/>
      <w:bookmarkEnd w:id="29"/>
      <w:r>
        <w:rPr>
          <w:b w:val="0"/>
        </w:rPr>
      </w:r>
      <w:r>
        <w:rPr/>
        <w:t>二十五、招募说明书存放及其查阅方式</w:t>
      </w:r>
    </w:p>
    <w:p>
      <w:pPr>
        <w:pStyle w:val="BodyText"/>
        <w:rPr>
          <w:b/>
          <w:sz w:val="24"/>
        </w:rPr>
      </w:pPr>
    </w:p>
    <w:p>
      <w:pPr>
        <w:pStyle w:val="BodyText"/>
        <w:spacing w:before="9"/>
        <w:rPr>
          <w:b/>
          <w:sz w:val="26"/>
        </w:rPr>
      </w:pPr>
    </w:p>
    <w:p>
      <w:pPr>
        <w:pStyle w:val="BodyText"/>
        <w:spacing w:line="417" w:lineRule="auto"/>
        <w:ind w:left="658" w:right="1309" w:firstLine="419"/>
        <w:jc w:val="both"/>
      </w:pPr>
      <w:r>
        <w:rPr>
          <w:spacing w:val="-8"/>
        </w:rPr>
        <w:t>本招募说明书存放在本系列基金管理人、基金托管人、销售代理人和注册登记人的办公</w:t>
      </w:r>
      <w:r>
        <w:rPr>
          <w:spacing w:val="-11"/>
        </w:rPr>
        <w:t>场所，投资者可在办公时间免费查阅；也可按工本费购买基金合同复制件或复印件，但应以</w:t>
      </w:r>
      <w:r>
        <w:rPr>
          <w:spacing w:val="-6"/>
        </w:rPr>
        <w:t>基金合同正本为准。</w:t>
      </w:r>
    </w:p>
    <w:p>
      <w:pPr>
        <w:pStyle w:val="BodyText"/>
        <w:spacing w:line="269" w:lineRule="exact"/>
        <w:ind w:left="1078"/>
      </w:pPr>
      <w:r>
        <w:rPr/>
        <w:t>基金管理人和基金托管人保证文本的内容与所公告的内容完全一致。</w:t>
      </w:r>
    </w:p>
    <w:p>
      <w:pPr>
        <w:spacing w:after="0" w:line="269" w:lineRule="exact"/>
        <w:sectPr>
          <w:pgSz w:w="11910" w:h="16840"/>
          <w:pgMar w:header="852" w:footer="992" w:top="1220" w:bottom="1180" w:left="1140" w:right="480"/>
        </w:sectPr>
      </w:pPr>
    </w:p>
    <w:p>
      <w:pPr>
        <w:pStyle w:val="BodyText"/>
        <w:spacing w:before="11"/>
        <w:rPr>
          <w:sz w:val="17"/>
        </w:rPr>
      </w:pPr>
    </w:p>
    <w:p>
      <w:pPr>
        <w:pStyle w:val="Heading1"/>
        <w:spacing w:before="66"/>
        <w:ind w:left="1902" w:right="2558"/>
        <w:jc w:val="center"/>
      </w:pPr>
      <w:bookmarkStart w:name="_bookmark29" w:id="30"/>
      <w:bookmarkEnd w:id="30"/>
      <w:r>
        <w:rPr>
          <w:b w:val="0"/>
        </w:rPr>
      </w:r>
      <w:r>
        <w:rPr/>
        <w:t>二十六、备查文件</w:t>
      </w:r>
    </w:p>
    <w:p>
      <w:pPr>
        <w:pStyle w:val="BodyText"/>
        <w:rPr>
          <w:b/>
          <w:sz w:val="24"/>
        </w:rPr>
      </w:pPr>
    </w:p>
    <w:p>
      <w:pPr>
        <w:pStyle w:val="BodyText"/>
        <w:spacing w:before="9"/>
        <w:rPr>
          <w:b/>
          <w:sz w:val="26"/>
        </w:rPr>
      </w:pPr>
    </w:p>
    <w:p>
      <w:pPr>
        <w:pStyle w:val="BodyText"/>
        <w:ind w:left="972"/>
      </w:pPr>
      <w:r>
        <w:rPr/>
        <w:t>（一）中国证监会批准景顺长城景系列证券投资基金设立的文件；</w:t>
      </w:r>
    </w:p>
    <w:p>
      <w:pPr>
        <w:pStyle w:val="BodyText"/>
        <w:spacing w:before="6"/>
        <w:rPr>
          <w:sz w:val="15"/>
        </w:rPr>
      </w:pPr>
    </w:p>
    <w:p>
      <w:pPr>
        <w:pStyle w:val="BodyText"/>
        <w:spacing w:before="1"/>
        <w:ind w:left="972"/>
      </w:pPr>
      <w:r>
        <w:rPr/>
        <w:t>（二</w:t>
      </w:r>
      <w:r>
        <w:rPr>
          <w:spacing w:val="-108"/>
        </w:rPr>
        <w:t>）</w:t>
      </w:r>
      <w:r>
        <w:rPr>
          <w:spacing w:val="-8"/>
        </w:rPr>
        <w:t>《景顺长城景系列开放式证券投资基金基金合同》；</w:t>
      </w:r>
    </w:p>
    <w:p>
      <w:pPr>
        <w:pStyle w:val="BodyText"/>
        <w:spacing w:before="6"/>
        <w:rPr>
          <w:sz w:val="15"/>
        </w:rPr>
      </w:pPr>
    </w:p>
    <w:p>
      <w:pPr>
        <w:pStyle w:val="BodyText"/>
        <w:ind w:left="972"/>
      </w:pPr>
      <w:r>
        <w:rPr/>
        <w:t>（三</w:t>
      </w:r>
      <w:r>
        <w:rPr>
          <w:spacing w:val="-108"/>
        </w:rPr>
        <w:t>）</w:t>
      </w:r>
      <w:r>
        <w:rPr>
          <w:spacing w:val="-8"/>
        </w:rPr>
        <w:t>《景顺长城基金管理有限公司开放式基金业务规则》；</w:t>
      </w:r>
    </w:p>
    <w:p>
      <w:pPr>
        <w:pStyle w:val="BodyText"/>
        <w:spacing w:before="7"/>
        <w:rPr>
          <w:sz w:val="15"/>
        </w:rPr>
      </w:pPr>
    </w:p>
    <w:p>
      <w:pPr>
        <w:pStyle w:val="BodyText"/>
        <w:ind w:left="972"/>
      </w:pPr>
      <w:r>
        <w:rPr/>
        <w:t>（四）法律意见书；</w:t>
      </w:r>
    </w:p>
    <w:p>
      <w:pPr>
        <w:pStyle w:val="BodyText"/>
        <w:spacing w:before="7"/>
        <w:rPr>
          <w:sz w:val="15"/>
        </w:rPr>
      </w:pPr>
    </w:p>
    <w:p>
      <w:pPr>
        <w:pStyle w:val="BodyText"/>
        <w:ind w:left="972"/>
      </w:pPr>
      <w:r>
        <w:rPr/>
        <w:t>（五）基金管理人业务资格批件、营业执照和公司章程；</w:t>
      </w:r>
    </w:p>
    <w:p>
      <w:pPr>
        <w:pStyle w:val="BodyText"/>
        <w:spacing w:before="7"/>
        <w:rPr>
          <w:sz w:val="15"/>
        </w:rPr>
      </w:pPr>
    </w:p>
    <w:p>
      <w:pPr>
        <w:pStyle w:val="BodyText"/>
        <w:ind w:left="972"/>
      </w:pPr>
      <w:r>
        <w:rPr/>
        <w:t>（六）基金托管人业务资格批件、营业执照；</w:t>
      </w:r>
    </w:p>
    <w:p>
      <w:pPr>
        <w:pStyle w:val="BodyText"/>
        <w:spacing w:before="7"/>
        <w:rPr>
          <w:sz w:val="15"/>
        </w:rPr>
      </w:pPr>
    </w:p>
    <w:p>
      <w:pPr>
        <w:pStyle w:val="BodyText"/>
        <w:ind w:left="972"/>
      </w:pPr>
      <w:r>
        <w:rPr/>
        <w:t>（七</w:t>
      </w:r>
      <w:r>
        <w:rPr>
          <w:spacing w:val="-3"/>
        </w:rPr>
        <w:t>）景顺长城景系列开放式证券投资基金基金代销协议；</w:t>
      </w:r>
    </w:p>
    <w:p>
      <w:pPr>
        <w:pStyle w:val="BodyText"/>
        <w:spacing w:before="6"/>
        <w:rPr>
          <w:sz w:val="15"/>
        </w:rPr>
      </w:pPr>
    </w:p>
    <w:p>
      <w:pPr>
        <w:pStyle w:val="BodyText"/>
        <w:spacing w:before="1"/>
        <w:ind w:left="972"/>
      </w:pPr>
      <w:r>
        <w:rPr/>
        <w:t>（八</w:t>
      </w:r>
      <w:r>
        <w:rPr>
          <w:spacing w:val="-3"/>
        </w:rPr>
        <w:t>）景顺长城景系列开放式证券投资基金基金托管协议；</w:t>
      </w:r>
    </w:p>
    <w:p>
      <w:pPr>
        <w:pStyle w:val="BodyText"/>
        <w:spacing w:before="6"/>
        <w:rPr>
          <w:sz w:val="15"/>
        </w:rPr>
      </w:pPr>
    </w:p>
    <w:p>
      <w:pPr>
        <w:pStyle w:val="BodyText"/>
        <w:ind w:left="972"/>
      </w:pPr>
      <w:r>
        <w:rPr/>
        <w:t>（九）中国证监会要求的其他文件。</w:t>
      </w:r>
    </w:p>
    <w:p>
      <w:pPr>
        <w:pStyle w:val="BodyText"/>
        <w:rPr>
          <w:sz w:val="20"/>
        </w:rPr>
      </w:pPr>
    </w:p>
    <w:p>
      <w:pPr>
        <w:pStyle w:val="BodyText"/>
        <w:rPr>
          <w:sz w:val="20"/>
        </w:rPr>
      </w:pPr>
    </w:p>
    <w:p>
      <w:pPr>
        <w:pStyle w:val="BodyText"/>
        <w:rPr>
          <w:sz w:val="20"/>
        </w:rPr>
      </w:pPr>
    </w:p>
    <w:p>
      <w:pPr>
        <w:pStyle w:val="BodyText"/>
        <w:spacing w:before="8"/>
        <w:rPr>
          <w:sz w:val="28"/>
        </w:rPr>
      </w:pPr>
    </w:p>
    <w:p>
      <w:pPr>
        <w:pStyle w:val="BodyText"/>
        <w:spacing w:line="417" w:lineRule="auto"/>
        <w:ind w:left="6750" w:right="1313" w:hanging="351"/>
      </w:pPr>
      <w:r>
        <w:rPr/>
        <w:t>景顺长城基金管理有限公司二〇二〇年十一月四日</w:t>
      </w:r>
    </w:p>
    <w:sectPr>
      <w:pgSz w:w="11910" w:h="16840"/>
      <w:pgMar w:header="852" w:footer="992" w:top="1220" w:bottom="1180" w:left="11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209991pt;margin-top:781.299988pt;width:13.15pt;height:12pt;mso-position-horizontal-relative:page;mso-position-vertical-relative:page;z-index:-26502348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299988pt;width:15.7pt;height:12pt;mso-position-horizontal-relative:page;mso-position-vertical-relative:page;z-index:-265014272"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299988pt;width:17.7pt;height:12pt;mso-position-horizontal-relative:page;mso-position-vertical-relative:page;z-index:-2650132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299988pt;width:15.7pt;height:12pt;mso-position-horizontal-relative:page;mso-position-vertical-relative:page;z-index:-265012224"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299988pt;width:17.7pt;height:12pt;mso-position-horizontal-relative:page;mso-position-vertical-relative:page;z-index:-2650112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299988pt;width:15.7pt;height:12pt;mso-position-horizontal-relative:page;mso-position-vertical-relative:page;z-index:-265010176"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299988pt;width:17.7pt;height:12pt;mso-position-horizontal-relative:page;mso-position-vertical-relative:page;z-index:-2650091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299988pt;width:15.7pt;height:12pt;mso-position-horizontal-relative:page;mso-position-vertical-relative:page;z-index:-265008128" type="#_x0000_t202" filled="false" stroked="false">
          <v:textbox inset="0,0,0,0">
            <w:txbxContent>
              <w:p>
                <w:pPr>
                  <w:spacing w:before="12"/>
                  <w:ind w:left="20" w:right="0" w:firstLine="0"/>
                  <w:jc w:val="left"/>
                  <w:rPr>
                    <w:rFonts w:ascii="Times New Roman"/>
                    <w:sz w:val="18"/>
                  </w:rPr>
                </w:pPr>
                <w:r>
                  <w:rPr>
                    <w:rFonts w:ascii="Times New Roman"/>
                    <w:sz w:val="18"/>
                  </w:rPr>
                  <w:t>160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299988pt;width:17.7pt;height:12pt;mso-position-horizontal-relative:page;mso-position-vertical-relative:page;z-index:-2650071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299988pt;width:15.7pt;height:12pt;mso-position-horizontal-relative:page;mso-position-vertical-relative:page;z-index:-265006080" type="#_x0000_t202" filled="false" stroked="false">
          <v:textbox inset="0,0,0,0">
            <w:txbxContent>
              <w:p>
                <w:pPr>
                  <w:spacing w:before="12"/>
                  <w:ind w:left="20" w:right="0" w:firstLine="0"/>
                  <w:jc w:val="left"/>
                  <w:rPr>
                    <w:rFonts w:ascii="Times New Roman"/>
                    <w:sz w:val="18"/>
                  </w:rPr>
                </w:pPr>
                <w:r>
                  <w:rPr>
                    <w:rFonts w:ascii="Times New Roman"/>
                    <w:sz w:val="18"/>
                  </w:rPr>
                  <w:t>170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299988pt;width:17.7pt;height:12pt;mso-position-horizontal-relative:page;mso-position-vertical-relative:page;z-index:-2650050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171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209991pt;margin-top:781.299988pt;width:13.15pt;height:12pt;mso-position-horizontal-relative:page;mso-position-vertical-relative:page;z-index:-26502246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64</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209991pt;margin-top:781.299988pt;width:13.15pt;height:12pt;mso-position-horizontal-relative:page;mso-position-vertical-relative:page;z-index:-26502144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66</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209991pt;margin-top:781.299988pt;width:13.15pt;height:12pt;mso-position-horizontal-relative:page;mso-position-vertical-relative:page;z-index:-2650204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68</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299988pt;width:17.7pt;height:12pt;mso-position-horizontal-relative:page;mso-position-vertical-relative:page;z-index:-2650193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299988pt;width:15.7pt;height:12pt;mso-position-horizontal-relative:page;mso-position-vertical-relative:page;z-index:-265018368" type="#_x0000_t202" filled="false" stroked="false">
          <v:textbox inset="0,0,0,0">
            <w:txbxContent>
              <w:p>
                <w:pPr>
                  <w:spacing w:before="12"/>
                  <w:ind w:left="20" w:right="0" w:firstLine="0"/>
                  <w:jc w:val="left"/>
                  <w:rPr>
                    <w:rFonts w:ascii="Times New Roman"/>
                    <w:sz w:val="18"/>
                  </w:rPr>
                </w:pPr>
                <w:r>
                  <w:rPr>
                    <w:rFonts w:ascii="Times New Roman"/>
                    <w:sz w:val="18"/>
                  </w:rPr>
                  <w:t>110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299988pt;width:17.7pt;height:12pt;mso-position-horizontal-relative:page;mso-position-vertical-relative:page;z-index:-26501734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299988pt;width:15.7pt;height:12pt;mso-position-horizontal-relative:page;mso-position-vertical-relative:page;z-index:-265016320" type="#_x0000_t202" filled="false" stroked="false">
          <v:textbox inset="0,0,0,0">
            <w:txbxContent>
              <w:p>
                <w:pPr>
                  <w:spacing w:before="12"/>
                  <w:ind w:left="20" w:right="0" w:firstLine="0"/>
                  <w:jc w:val="left"/>
                  <w:rPr>
                    <w:rFonts w:ascii="Times New Roman"/>
                    <w:sz w:val="18"/>
                  </w:rPr>
                </w:pPr>
                <w:r>
                  <w:rPr>
                    <w:rFonts w:ascii="Times New Roman"/>
                    <w:sz w:val="18"/>
                  </w:rPr>
                  <w:t>120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299988pt;width:17.7pt;height:12pt;mso-position-horizontal-relative:page;mso-position-vertical-relative:page;z-index:-2650152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38289920">
          <wp:simplePos x="0" y="0"/>
          <wp:positionH relativeFrom="page">
            <wp:posOffset>2046604</wp:posOffset>
          </wp:positionH>
          <wp:positionV relativeFrom="page">
            <wp:posOffset>541019</wp:posOffset>
          </wp:positionV>
          <wp:extent cx="847725" cy="18034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847725" cy="180340"/>
                  </a:xfrm>
                  <a:prstGeom prst="rect">
                    <a:avLst/>
                  </a:prstGeom>
                </pic:spPr>
              </pic:pic>
            </a:graphicData>
          </a:graphic>
        </wp:anchor>
      </w:drawing>
    </w:r>
    <w:r>
      <w:rPr/>
      <w:pict>
        <v:line style="position:absolute;mso-position-horizontal-relative:page;mso-position-vertical-relative:page;z-index:-265025536" from="88.463997pt,60.839981pt" to="506.973997pt,60.839981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27.649994pt;margin-top:48.145607pt;width:209pt;height:11pt;mso-position-horizontal-relative:page;mso-position-vertical-relative:page;z-index:-265024512" type="#_x0000_t202" filled="false" stroked="false">
          <v:textbox inset="0,0,0,0">
            <w:txbxContent>
              <w:p>
                <w:pPr>
                  <w:spacing w:line="220" w:lineRule="exact" w:before="0"/>
                  <w:ind w:left="20" w:right="0" w:firstLine="0"/>
                  <w:jc w:val="left"/>
                  <w:rPr>
                    <w:sz w:val="18"/>
                  </w:rPr>
                </w:pPr>
                <w:r>
                  <w:rPr>
                    <w:sz w:val="18"/>
                  </w:rPr>
                  <w:t>景顺长城景系列开放式证券投资基金更新招募说明书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1"/>
      <w:numFmt w:val="decimal"/>
      <w:lvlText w:val="(%1)"/>
      <w:lvlJc w:val="left"/>
      <w:pPr>
        <w:ind w:left="658" w:hanging="318"/>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622" w:hanging="318"/>
      </w:pPr>
      <w:rPr>
        <w:rFonts w:hint="default"/>
        <w:lang w:val="zh-CN" w:eastAsia="zh-CN" w:bidi="zh-CN"/>
      </w:rPr>
    </w:lvl>
    <w:lvl w:ilvl="2">
      <w:start w:val="0"/>
      <w:numFmt w:val="bullet"/>
      <w:lvlText w:val="•"/>
      <w:lvlJc w:val="left"/>
      <w:pPr>
        <w:ind w:left="2585" w:hanging="318"/>
      </w:pPr>
      <w:rPr>
        <w:rFonts w:hint="default"/>
        <w:lang w:val="zh-CN" w:eastAsia="zh-CN" w:bidi="zh-CN"/>
      </w:rPr>
    </w:lvl>
    <w:lvl w:ilvl="3">
      <w:start w:val="0"/>
      <w:numFmt w:val="bullet"/>
      <w:lvlText w:val="•"/>
      <w:lvlJc w:val="left"/>
      <w:pPr>
        <w:ind w:left="3547" w:hanging="318"/>
      </w:pPr>
      <w:rPr>
        <w:rFonts w:hint="default"/>
        <w:lang w:val="zh-CN" w:eastAsia="zh-CN" w:bidi="zh-CN"/>
      </w:rPr>
    </w:lvl>
    <w:lvl w:ilvl="4">
      <w:start w:val="0"/>
      <w:numFmt w:val="bullet"/>
      <w:lvlText w:val="•"/>
      <w:lvlJc w:val="left"/>
      <w:pPr>
        <w:ind w:left="4510" w:hanging="318"/>
      </w:pPr>
      <w:rPr>
        <w:rFonts w:hint="default"/>
        <w:lang w:val="zh-CN" w:eastAsia="zh-CN" w:bidi="zh-CN"/>
      </w:rPr>
    </w:lvl>
    <w:lvl w:ilvl="5">
      <w:start w:val="0"/>
      <w:numFmt w:val="bullet"/>
      <w:lvlText w:val="•"/>
      <w:lvlJc w:val="left"/>
      <w:pPr>
        <w:ind w:left="5473" w:hanging="318"/>
      </w:pPr>
      <w:rPr>
        <w:rFonts w:hint="default"/>
        <w:lang w:val="zh-CN" w:eastAsia="zh-CN" w:bidi="zh-CN"/>
      </w:rPr>
    </w:lvl>
    <w:lvl w:ilvl="6">
      <w:start w:val="0"/>
      <w:numFmt w:val="bullet"/>
      <w:lvlText w:val="•"/>
      <w:lvlJc w:val="left"/>
      <w:pPr>
        <w:ind w:left="6435" w:hanging="318"/>
      </w:pPr>
      <w:rPr>
        <w:rFonts w:hint="default"/>
        <w:lang w:val="zh-CN" w:eastAsia="zh-CN" w:bidi="zh-CN"/>
      </w:rPr>
    </w:lvl>
    <w:lvl w:ilvl="7">
      <w:start w:val="0"/>
      <w:numFmt w:val="bullet"/>
      <w:lvlText w:val="•"/>
      <w:lvlJc w:val="left"/>
      <w:pPr>
        <w:ind w:left="7398" w:hanging="318"/>
      </w:pPr>
      <w:rPr>
        <w:rFonts w:hint="default"/>
        <w:lang w:val="zh-CN" w:eastAsia="zh-CN" w:bidi="zh-CN"/>
      </w:rPr>
    </w:lvl>
    <w:lvl w:ilvl="8">
      <w:start w:val="0"/>
      <w:numFmt w:val="bullet"/>
      <w:lvlText w:val="•"/>
      <w:lvlJc w:val="left"/>
      <w:pPr>
        <w:ind w:left="8361" w:hanging="318"/>
      </w:pPr>
      <w:rPr>
        <w:rFonts w:hint="default"/>
        <w:lang w:val="zh-CN" w:eastAsia="zh-CN" w:bidi="zh-CN"/>
      </w:rPr>
    </w:lvl>
  </w:abstractNum>
  <w:abstractNum w:abstractNumId="32">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16">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69">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68">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67">
    <w:multiLevelType w:val="hybridMultilevel"/>
    <w:lvl w:ilvl="0">
      <w:start w:val="1"/>
      <w:numFmt w:val="decimal"/>
      <w:lvlText w:val="（%1）"/>
      <w:lvlJc w:val="left"/>
      <w:pPr>
        <w:ind w:left="658" w:hanging="529"/>
        <w:jc w:val="left"/>
      </w:pPr>
      <w:rPr>
        <w:rFonts w:hint="default" w:ascii="宋体" w:hAnsi="宋体" w:eastAsia="宋体" w:cs="宋体"/>
        <w:spacing w:val="-89"/>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66">
    <w:multiLevelType w:val="hybridMultilevel"/>
    <w:lvl w:ilvl="0">
      <w:start w:val="1"/>
      <w:numFmt w:val="decimal"/>
      <w:lvlText w:val="（%1）"/>
      <w:lvlJc w:val="left"/>
      <w:pPr>
        <w:ind w:left="658" w:hanging="529"/>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65">
    <w:multiLevelType w:val="hybridMultilevel"/>
    <w:lvl w:ilvl="0">
      <w:start w:val="1"/>
      <w:numFmt w:val="decimal"/>
      <w:lvlText w:val="（%1）"/>
      <w:lvlJc w:val="left"/>
      <w:pPr>
        <w:ind w:left="658" w:hanging="529"/>
        <w:jc w:val="left"/>
      </w:pPr>
      <w:rPr>
        <w:rFonts w:hint="default" w:ascii="宋体" w:hAnsi="宋体" w:eastAsia="宋体" w:cs="宋体"/>
        <w:spacing w:val="-89"/>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64">
    <w:multiLevelType w:val="hybridMultilevel"/>
    <w:lvl w:ilvl="0">
      <w:start w:val="1"/>
      <w:numFmt w:val="decimal"/>
      <w:lvlText w:val="（%1）"/>
      <w:lvlJc w:val="left"/>
      <w:pPr>
        <w:ind w:left="658" w:hanging="529"/>
        <w:jc w:val="left"/>
      </w:pPr>
      <w:rPr>
        <w:rFonts w:hint="default" w:ascii="宋体" w:hAnsi="宋体" w:eastAsia="宋体" w:cs="宋体"/>
        <w:spacing w:val="-89"/>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63">
    <w:multiLevelType w:val="hybridMultilevel"/>
    <w:lvl w:ilvl="0">
      <w:start w:val="1"/>
      <w:numFmt w:val="decimal"/>
      <w:lvlText w:val="（%1）"/>
      <w:lvlJc w:val="left"/>
      <w:pPr>
        <w:ind w:left="658" w:hanging="529"/>
        <w:jc w:val="left"/>
      </w:pPr>
      <w:rPr>
        <w:rFonts w:hint="default" w:ascii="宋体" w:hAnsi="宋体" w:eastAsia="宋体" w:cs="宋体"/>
        <w:spacing w:val="-92"/>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62">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61">
    <w:multiLevelType w:val="hybridMultilevel"/>
    <w:lvl w:ilvl="0">
      <w:start w:val="1"/>
      <w:numFmt w:val="decimal"/>
      <w:lvlText w:val="（%1）"/>
      <w:lvlJc w:val="left"/>
      <w:pPr>
        <w:ind w:left="658"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60">
    <w:multiLevelType w:val="hybridMultilevel"/>
    <w:lvl w:ilvl="0">
      <w:start w:val="1"/>
      <w:numFmt w:val="decimal"/>
      <w:lvlText w:val="（%1）"/>
      <w:lvlJc w:val="left"/>
      <w:pPr>
        <w:ind w:left="65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59">
    <w:multiLevelType w:val="hybridMultilevel"/>
    <w:lvl w:ilvl="0">
      <w:start w:val="1"/>
      <w:numFmt w:val="decimal"/>
      <w:lvlText w:val="（%1）"/>
      <w:lvlJc w:val="left"/>
      <w:pPr>
        <w:ind w:left="658" w:hanging="527"/>
        <w:jc w:val="left"/>
      </w:pPr>
      <w:rPr>
        <w:rFonts w:hint="default" w:ascii="宋体" w:hAnsi="宋体" w:eastAsia="宋体" w:cs="宋体"/>
        <w:spacing w:val="-17"/>
        <w:w w:val="100"/>
        <w:sz w:val="19"/>
        <w:szCs w:val="19"/>
        <w:lang w:val="zh-CN" w:eastAsia="zh-CN" w:bidi="zh-CN"/>
      </w:rPr>
    </w:lvl>
    <w:lvl w:ilvl="1">
      <w:start w:val="0"/>
      <w:numFmt w:val="bullet"/>
      <w:lvlText w:val="•"/>
      <w:lvlJc w:val="left"/>
      <w:pPr>
        <w:ind w:left="1622" w:hanging="527"/>
      </w:pPr>
      <w:rPr>
        <w:rFonts w:hint="default"/>
        <w:lang w:val="zh-CN" w:eastAsia="zh-CN" w:bidi="zh-CN"/>
      </w:rPr>
    </w:lvl>
    <w:lvl w:ilvl="2">
      <w:start w:val="0"/>
      <w:numFmt w:val="bullet"/>
      <w:lvlText w:val="•"/>
      <w:lvlJc w:val="left"/>
      <w:pPr>
        <w:ind w:left="2585" w:hanging="527"/>
      </w:pPr>
      <w:rPr>
        <w:rFonts w:hint="default"/>
        <w:lang w:val="zh-CN" w:eastAsia="zh-CN" w:bidi="zh-CN"/>
      </w:rPr>
    </w:lvl>
    <w:lvl w:ilvl="3">
      <w:start w:val="0"/>
      <w:numFmt w:val="bullet"/>
      <w:lvlText w:val="•"/>
      <w:lvlJc w:val="left"/>
      <w:pPr>
        <w:ind w:left="3547" w:hanging="527"/>
      </w:pPr>
      <w:rPr>
        <w:rFonts w:hint="default"/>
        <w:lang w:val="zh-CN" w:eastAsia="zh-CN" w:bidi="zh-CN"/>
      </w:rPr>
    </w:lvl>
    <w:lvl w:ilvl="4">
      <w:start w:val="0"/>
      <w:numFmt w:val="bullet"/>
      <w:lvlText w:val="•"/>
      <w:lvlJc w:val="left"/>
      <w:pPr>
        <w:ind w:left="4510" w:hanging="527"/>
      </w:pPr>
      <w:rPr>
        <w:rFonts w:hint="default"/>
        <w:lang w:val="zh-CN" w:eastAsia="zh-CN" w:bidi="zh-CN"/>
      </w:rPr>
    </w:lvl>
    <w:lvl w:ilvl="5">
      <w:start w:val="0"/>
      <w:numFmt w:val="bullet"/>
      <w:lvlText w:val="•"/>
      <w:lvlJc w:val="left"/>
      <w:pPr>
        <w:ind w:left="5473" w:hanging="527"/>
      </w:pPr>
      <w:rPr>
        <w:rFonts w:hint="default"/>
        <w:lang w:val="zh-CN" w:eastAsia="zh-CN" w:bidi="zh-CN"/>
      </w:rPr>
    </w:lvl>
    <w:lvl w:ilvl="6">
      <w:start w:val="0"/>
      <w:numFmt w:val="bullet"/>
      <w:lvlText w:val="•"/>
      <w:lvlJc w:val="left"/>
      <w:pPr>
        <w:ind w:left="6435" w:hanging="527"/>
      </w:pPr>
      <w:rPr>
        <w:rFonts w:hint="default"/>
        <w:lang w:val="zh-CN" w:eastAsia="zh-CN" w:bidi="zh-CN"/>
      </w:rPr>
    </w:lvl>
    <w:lvl w:ilvl="7">
      <w:start w:val="0"/>
      <w:numFmt w:val="bullet"/>
      <w:lvlText w:val="•"/>
      <w:lvlJc w:val="left"/>
      <w:pPr>
        <w:ind w:left="7398" w:hanging="527"/>
      </w:pPr>
      <w:rPr>
        <w:rFonts w:hint="default"/>
        <w:lang w:val="zh-CN" w:eastAsia="zh-CN" w:bidi="zh-CN"/>
      </w:rPr>
    </w:lvl>
    <w:lvl w:ilvl="8">
      <w:start w:val="0"/>
      <w:numFmt w:val="bullet"/>
      <w:lvlText w:val="•"/>
      <w:lvlJc w:val="left"/>
      <w:pPr>
        <w:ind w:left="8361" w:hanging="527"/>
      </w:pPr>
      <w:rPr>
        <w:rFonts w:hint="default"/>
        <w:lang w:val="zh-CN" w:eastAsia="zh-CN" w:bidi="zh-CN"/>
      </w:rPr>
    </w:lvl>
  </w:abstractNum>
  <w:abstractNum w:abstractNumId="58">
    <w:multiLevelType w:val="hybridMultilevel"/>
    <w:lvl w:ilvl="0">
      <w:start w:val="1"/>
      <w:numFmt w:val="decimal"/>
      <w:lvlText w:val="（%1）"/>
      <w:lvlJc w:val="left"/>
      <w:pPr>
        <w:ind w:left="658" w:hanging="529"/>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57">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56">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55">
    <w:multiLevelType w:val="hybridMultilevel"/>
    <w:lvl w:ilvl="0">
      <w:start w:val="1"/>
      <w:numFmt w:val="decimal"/>
      <w:lvlText w:val="（%1）"/>
      <w:lvlJc w:val="left"/>
      <w:pPr>
        <w:ind w:left="658" w:hanging="527"/>
        <w:jc w:val="left"/>
      </w:pPr>
      <w:rPr>
        <w:rFonts w:hint="default" w:ascii="宋体" w:hAnsi="宋体" w:eastAsia="宋体" w:cs="宋体"/>
        <w:spacing w:val="-44"/>
        <w:w w:val="100"/>
        <w:sz w:val="19"/>
        <w:szCs w:val="19"/>
        <w:lang w:val="zh-CN" w:eastAsia="zh-CN" w:bidi="zh-CN"/>
      </w:rPr>
    </w:lvl>
    <w:lvl w:ilvl="1">
      <w:start w:val="0"/>
      <w:numFmt w:val="bullet"/>
      <w:lvlText w:val="•"/>
      <w:lvlJc w:val="left"/>
      <w:pPr>
        <w:ind w:left="1622" w:hanging="527"/>
      </w:pPr>
      <w:rPr>
        <w:rFonts w:hint="default"/>
        <w:lang w:val="zh-CN" w:eastAsia="zh-CN" w:bidi="zh-CN"/>
      </w:rPr>
    </w:lvl>
    <w:lvl w:ilvl="2">
      <w:start w:val="0"/>
      <w:numFmt w:val="bullet"/>
      <w:lvlText w:val="•"/>
      <w:lvlJc w:val="left"/>
      <w:pPr>
        <w:ind w:left="2585" w:hanging="527"/>
      </w:pPr>
      <w:rPr>
        <w:rFonts w:hint="default"/>
        <w:lang w:val="zh-CN" w:eastAsia="zh-CN" w:bidi="zh-CN"/>
      </w:rPr>
    </w:lvl>
    <w:lvl w:ilvl="3">
      <w:start w:val="0"/>
      <w:numFmt w:val="bullet"/>
      <w:lvlText w:val="•"/>
      <w:lvlJc w:val="left"/>
      <w:pPr>
        <w:ind w:left="3547" w:hanging="527"/>
      </w:pPr>
      <w:rPr>
        <w:rFonts w:hint="default"/>
        <w:lang w:val="zh-CN" w:eastAsia="zh-CN" w:bidi="zh-CN"/>
      </w:rPr>
    </w:lvl>
    <w:lvl w:ilvl="4">
      <w:start w:val="0"/>
      <w:numFmt w:val="bullet"/>
      <w:lvlText w:val="•"/>
      <w:lvlJc w:val="left"/>
      <w:pPr>
        <w:ind w:left="4510" w:hanging="527"/>
      </w:pPr>
      <w:rPr>
        <w:rFonts w:hint="default"/>
        <w:lang w:val="zh-CN" w:eastAsia="zh-CN" w:bidi="zh-CN"/>
      </w:rPr>
    </w:lvl>
    <w:lvl w:ilvl="5">
      <w:start w:val="0"/>
      <w:numFmt w:val="bullet"/>
      <w:lvlText w:val="•"/>
      <w:lvlJc w:val="left"/>
      <w:pPr>
        <w:ind w:left="5473" w:hanging="527"/>
      </w:pPr>
      <w:rPr>
        <w:rFonts w:hint="default"/>
        <w:lang w:val="zh-CN" w:eastAsia="zh-CN" w:bidi="zh-CN"/>
      </w:rPr>
    </w:lvl>
    <w:lvl w:ilvl="6">
      <w:start w:val="0"/>
      <w:numFmt w:val="bullet"/>
      <w:lvlText w:val="•"/>
      <w:lvlJc w:val="left"/>
      <w:pPr>
        <w:ind w:left="6435" w:hanging="527"/>
      </w:pPr>
      <w:rPr>
        <w:rFonts w:hint="default"/>
        <w:lang w:val="zh-CN" w:eastAsia="zh-CN" w:bidi="zh-CN"/>
      </w:rPr>
    </w:lvl>
    <w:lvl w:ilvl="7">
      <w:start w:val="0"/>
      <w:numFmt w:val="bullet"/>
      <w:lvlText w:val="•"/>
      <w:lvlJc w:val="left"/>
      <w:pPr>
        <w:ind w:left="7398" w:hanging="527"/>
      </w:pPr>
      <w:rPr>
        <w:rFonts w:hint="default"/>
        <w:lang w:val="zh-CN" w:eastAsia="zh-CN" w:bidi="zh-CN"/>
      </w:rPr>
    </w:lvl>
    <w:lvl w:ilvl="8">
      <w:start w:val="0"/>
      <w:numFmt w:val="bullet"/>
      <w:lvlText w:val="•"/>
      <w:lvlJc w:val="left"/>
      <w:pPr>
        <w:ind w:left="8361" w:hanging="527"/>
      </w:pPr>
      <w:rPr>
        <w:rFonts w:hint="default"/>
        <w:lang w:val="zh-CN" w:eastAsia="zh-CN" w:bidi="zh-CN"/>
      </w:rPr>
    </w:lvl>
  </w:abstractNum>
  <w:abstractNum w:abstractNumId="54">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1978" w:hanging="720"/>
        <w:jc w:val="left"/>
      </w:pPr>
      <w:rPr>
        <w:rFonts w:hint="default" w:ascii="宋体" w:hAnsi="宋体" w:eastAsia="宋体" w:cs="宋体"/>
        <w:w w:val="100"/>
        <w:position w:val="1"/>
        <w:sz w:val="21"/>
        <w:szCs w:val="21"/>
        <w:lang w:val="zh-CN" w:eastAsia="zh-CN" w:bidi="zh-CN"/>
      </w:rPr>
    </w:lvl>
    <w:lvl w:ilvl="2">
      <w:start w:val="0"/>
      <w:numFmt w:val="bullet"/>
      <w:lvlText w:val="•"/>
      <w:lvlJc w:val="left"/>
      <w:pPr>
        <w:ind w:left="2902" w:hanging="720"/>
      </w:pPr>
      <w:rPr>
        <w:rFonts w:hint="default"/>
        <w:lang w:val="zh-CN" w:eastAsia="zh-CN" w:bidi="zh-CN"/>
      </w:rPr>
    </w:lvl>
    <w:lvl w:ilvl="3">
      <w:start w:val="0"/>
      <w:numFmt w:val="bullet"/>
      <w:lvlText w:val="•"/>
      <w:lvlJc w:val="left"/>
      <w:pPr>
        <w:ind w:left="3825" w:hanging="720"/>
      </w:pPr>
      <w:rPr>
        <w:rFonts w:hint="default"/>
        <w:lang w:val="zh-CN" w:eastAsia="zh-CN" w:bidi="zh-CN"/>
      </w:rPr>
    </w:lvl>
    <w:lvl w:ilvl="4">
      <w:start w:val="0"/>
      <w:numFmt w:val="bullet"/>
      <w:lvlText w:val="•"/>
      <w:lvlJc w:val="left"/>
      <w:pPr>
        <w:ind w:left="4748" w:hanging="720"/>
      </w:pPr>
      <w:rPr>
        <w:rFonts w:hint="default"/>
        <w:lang w:val="zh-CN" w:eastAsia="zh-CN" w:bidi="zh-CN"/>
      </w:rPr>
    </w:lvl>
    <w:lvl w:ilvl="5">
      <w:start w:val="0"/>
      <w:numFmt w:val="bullet"/>
      <w:lvlText w:val="•"/>
      <w:lvlJc w:val="left"/>
      <w:pPr>
        <w:ind w:left="5671" w:hanging="720"/>
      </w:pPr>
      <w:rPr>
        <w:rFonts w:hint="default"/>
        <w:lang w:val="zh-CN" w:eastAsia="zh-CN" w:bidi="zh-CN"/>
      </w:rPr>
    </w:lvl>
    <w:lvl w:ilvl="6">
      <w:start w:val="0"/>
      <w:numFmt w:val="bullet"/>
      <w:lvlText w:val="•"/>
      <w:lvlJc w:val="left"/>
      <w:pPr>
        <w:ind w:left="6594" w:hanging="720"/>
      </w:pPr>
      <w:rPr>
        <w:rFonts w:hint="default"/>
        <w:lang w:val="zh-CN" w:eastAsia="zh-CN" w:bidi="zh-CN"/>
      </w:rPr>
    </w:lvl>
    <w:lvl w:ilvl="7">
      <w:start w:val="0"/>
      <w:numFmt w:val="bullet"/>
      <w:lvlText w:val="•"/>
      <w:lvlJc w:val="left"/>
      <w:pPr>
        <w:ind w:left="7517" w:hanging="720"/>
      </w:pPr>
      <w:rPr>
        <w:rFonts w:hint="default"/>
        <w:lang w:val="zh-CN" w:eastAsia="zh-CN" w:bidi="zh-CN"/>
      </w:rPr>
    </w:lvl>
    <w:lvl w:ilvl="8">
      <w:start w:val="0"/>
      <w:numFmt w:val="bullet"/>
      <w:lvlText w:val="•"/>
      <w:lvlJc w:val="left"/>
      <w:pPr>
        <w:ind w:left="8440" w:hanging="720"/>
      </w:pPr>
      <w:rPr>
        <w:rFonts w:hint="default"/>
        <w:lang w:val="zh-CN" w:eastAsia="zh-CN" w:bidi="zh-CN"/>
      </w:rPr>
    </w:lvl>
  </w:abstractNum>
  <w:abstractNum w:abstractNumId="53">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52">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51">
    <w:multiLevelType w:val="hybridMultilevel"/>
    <w:lvl w:ilvl="0">
      <w:start w:val="1"/>
      <w:numFmt w:val="decimal"/>
      <w:lvlText w:val="（%1）"/>
      <w:lvlJc w:val="left"/>
      <w:pPr>
        <w:ind w:left="6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50">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49">
    <w:multiLevelType w:val="hybridMultilevel"/>
    <w:lvl w:ilvl="0">
      <w:start w:val="1"/>
      <w:numFmt w:val="decimal"/>
      <w:lvlText w:val="（%1）"/>
      <w:lvlJc w:val="left"/>
      <w:pPr>
        <w:ind w:left="6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48">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47">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46">
    <w:multiLevelType w:val="hybridMultilevel"/>
    <w:lvl w:ilvl="0">
      <w:start w:val="1"/>
      <w:numFmt w:val="decimal"/>
      <w:lvlText w:val="（%1）"/>
      <w:lvlJc w:val="left"/>
      <w:pPr>
        <w:ind w:left="1558" w:hanging="720"/>
        <w:jc w:val="left"/>
      </w:pPr>
      <w:rPr>
        <w:rFonts w:hint="default" w:ascii="宋体" w:hAnsi="宋体" w:eastAsia="宋体" w:cs="宋体"/>
        <w:spacing w:val="-1"/>
        <w:w w:val="100"/>
        <w:sz w:val="21"/>
        <w:szCs w:val="21"/>
        <w:lang w:val="zh-CN" w:eastAsia="zh-CN" w:bidi="zh-CN"/>
      </w:rPr>
    </w:lvl>
    <w:lvl w:ilvl="1">
      <w:start w:val="1"/>
      <w:numFmt w:val="decimal"/>
      <w:lvlText w:val="（%2）"/>
      <w:lvlJc w:val="left"/>
      <w:pPr>
        <w:ind w:left="658"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529" w:hanging="529"/>
      </w:pPr>
      <w:rPr>
        <w:rFonts w:hint="default"/>
        <w:lang w:val="zh-CN" w:eastAsia="zh-CN" w:bidi="zh-CN"/>
      </w:rPr>
    </w:lvl>
    <w:lvl w:ilvl="3">
      <w:start w:val="0"/>
      <w:numFmt w:val="bullet"/>
      <w:lvlText w:val="•"/>
      <w:lvlJc w:val="left"/>
      <w:pPr>
        <w:ind w:left="3499" w:hanging="529"/>
      </w:pPr>
      <w:rPr>
        <w:rFonts w:hint="default"/>
        <w:lang w:val="zh-CN" w:eastAsia="zh-CN" w:bidi="zh-CN"/>
      </w:rPr>
    </w:lvl>
    <w:lvl w:ilvl="4">
      <w:start w:val="0"/>
      <w:numFmt w:val="bullet"/>
      <w:lvlText w:val="•"/>
      <w:lvlJc w:val="left"/>
      <w:pPr>
        <w:ind w:left="4468" w:hanging="529"/>
      </w:pPr>
      <w:rPr>
        <w:rFonts w:hint="default"/>
        <w:lang w:val="zh-CN" w:eastAsia="zh-CN" w:bidi="zh-CN"/>
      </w:rPr>
    </w:lvl>
    <w:lvl w:ilvl="5">
      <w:start w:val="0"/>
      <w:numFmt w:val="bullet"/>
      <w:lvlText w:val="•"/>
      <w:lvlJc w:val="left"/>
      <w:pPr>
        <w:ind w:left="5438" w:hanging="529"/>
      </w:pPr>
      <w:rPr>
        <w:rFonts w:hint="default"/>
        <w:lang w:val="zh-CN" w:eastAsia="zh-CN" w:bidi="zh-CN"/>
      </w:rPr>
    </w:lvl>
    <w:lvl w:ilvl="6">
      <w:start w:val="0"/>
      <w:numFmt w:val="bullet"/>
      <w:lvlText w:val="•"/>
      <w:lvlJc w:val="left"/>
      <w:pPr>
        <w:ind w:left="6408" w:hanging="529"/>
      </w:pPr>
      <w:rPr>
        <w:rFonts w:hint="default"/>
        <w:lang w:val="zh-CN" w:eastAsia="zh-CN" w:bidi="zh-CN"/>
      </w:rPr>
    </w:lvl>
    <w:lvl w:ilvl="7">
      <w:start w:val="0"/>
      <w:numFmt w:val="bullet"/>
      <w:lvlText w:val="•"/>
      <w:lvlJc w:val="left"/>
      <w:pPr>
        <w:ind w:left="7377" w:hanging="529"/>
      </w:pPr>
      <w:rPr>
        <w:rFonts w:hint="default"/>
        <w:lang w:val="zh-CN" w:eastAsia="zh-CN" w:bidi="zh-CN"/>
      </w:rPr>
    </w:lvl>
    <w:lvl w:ilvl="8">
      <w:start w:val="0"/>
      <w:numFmt w:val="bullet"/>
      <w:lvlText w:val="•"/>
      <w:lvlJc w:val="left"/>
      <w:pPr>
        <w:ind w:left="8347" w:hanging="529"/>
      </w:pPr>
      <w:rPr>
        <w:rFonts w:hint="default"/>
        <w:lang w:val="zh-CN" w:eastAsia="zh-CN" w:bidi="zh-CN"/>
      </w:rPr>
    </w:lvl>
  </w:abstractNum>
  <w:abstractNum w:abstractNumId="45">
    <w:multiLevelType w:val="hybridMultilevel"/>
    <w:lvl w:ilvl="0">
      <w:start w:val="1"/>
      <w:numFmt w:val="decimal"/>
      <w:lvlText w:val="（%1）"/>
      <w:lvlJc w:val="left"/>
      <w:pPr>
        <w:ind w:left="1558" w:hanging="720"/>
        <w:jc w:val="left"/>
      </w:pPr>
      <w:rPr>
        <w:rFonts w:hint="default" w:ascii="宋体" w:hAnsi="宋体" w:eastAsia="宋体" w:cs="宋体"/>
        <w:spacing w:val="-1"/>
        <w:w w:val="100"/>
        <w:sz w:val="21"/>
        <w:szCs w:val="21"/>
        <w:lang w:val="zh-CN" w:eastAsia="zh-CN" w:bidi="zh-CN"/>
      </w:rPr>
    </w:lvl>
    <w:lvl w:ilvl="1">
      <w:start w:val="0"/>
      <w:numFmt w:val="bullet"/>
      <w:lvlText w:val="•"/>
      <w:lvlJc w:val="left"/>
      <w:pPr>
        <w:ind w:left="2432" w:hanging="720"/>
      </w:pPr>
      <w:rPr>
        <w:rFonts w:hint="default"/>
        <w:lang w:val="zh-CN" w:eastAsia="zh-CN" w:bidi="zh-CN"/>
      </w:rPr>
    </w:lvl>
    <w:lvl w:ilvl="2">
      <w:start w:val="0"/>
      <w:numFmt w:val="bullet"/>
      <w:lvlText w:val="•"/>
      <w:lvlJc w:val="left"/>
      <w:pPr>
        <w:ind w:left="3305" w:hanging="720"/>
      </w:pPr>
      <w:rPr>
        <w:rFonts w:hint="default"/>
        <w:lang w:val="zh-CN" w:eastAsia="zh-CN" w:bidi="zh-CN"/>
      </w:rPr>
    </w:lvl>
    <w:lvl w:ilvl="3">
      <w:start w:val="0"/>
      <w:numFmt w:val="bullet"/>
      <w:lvlText w:val="•"/>
      <w:lvlJc w:val="left"/>
      <w:pPr>
        <w:ind w:left="4177" w:hanging="720"/>
      </w:pPr>
      <w:rPr>
        <w:rFonts w:hint="default"/>
        <w:lang w:val="zh-CN" w:eastAsia="zh-CN" w:bidi="zh-CN"/>
      </w:rPr>
    </w:lvl>
    <w:lvl w:ilvl="4">
      <w:start w:val="0"/>
      <w:numFmt w:val="bullet"/>
      <w:lvlText w:val="•"/>
      <w:lvlJc w:val="left"/>
      <w:pPr>
        <w:ind w:left="5050" w:hanging="720"/>
      </w:pPr>
      <w:rPr>
        <w:rFonts w:hint="default"/>
        <w:lang w:val="zh-CN" w:eastAsia="zh-CN" w:bidi="zh-CN"/>
      </w:rPr>
    </w:lvl>
    <w:lvl w:ilvl="5">
      <w:start w:val="0"/>
      <w:numFmt w:val="bullet"/>
      <w:lvlText w:val="•"/>
      <w:lvlJc w:val="left"/>
      <w:pPr>
        <w:ind w:left="5923" w:hanging="720"/>
      </w:pPr>
      <w:rPr>
        <w:rFonts w:hint="default"/>
        <w:lang w:val="zh-CN" w:eastAsia="zh-CN" w:bidi="zh-CN"/>
      </w:rPr>
    </w:lvl>
    <w:lvl w:ilvl="6">
      <w:start w:val="0"/>
      <w:numFmt w:val="bullet"/>
      <w:lvlText w:val="•"/>
      <w:lvlJc w:val="left"/>
      <w:pPr>
        <w:ind w:left="6795" w:hanging="720"/>
      </w:pPr>
      <w:rPr>
        <w:rFonts w:hint="default"/>
        <w:lang w:val="zh-CN" w:eastAsia="zh-CN" w:bidi="zh-CN"/>
      </w:rPr>
    </w:lvl>
    <w:lvl w:ilvl="7">
      <w:start w:val="0"/>
      <w:numFmt w:val="bullet"/>
      <w:lvlText w:val="•"/>
      <w:lvlJc w:val="left"/>
      <w:pPr>
        <w:ind w:left="7668" w:hanging="720"/>
      </w:pPr>
      <w:rPr>
        <w:rFonts w:hint="default"/>
        <w:lang w:val="zh-CN" w:eastAsia="zh-CN" w:bidi="zh-CN"/>
      </w:rPr>
    </w:lvl>
    <w:lvl w:ilvl="8">
      <w:start w:val="0"/>
      <w:numFmt w:val="bullet"/>
      <w:lvlText w:val="•"/>
      <w:lvlJc w:val="left"/>
      <w:pPr>
        <w:ind w:left="8541" w:hanging="720"/>
      </w:pPr>
      <w:rPr>
        <w:rFonts w:hint="default"/>
        <w:lang w:val="zh-CN" w:eastAsia="zh-CN" w:bidi="zh-CN"/>
      </w:rPr>
    </w:lvl>
  </w:abstractNum>
  <w:abstractNum w:abstractNumId="44">
    <w:multiLevelType w:val="hybridMultilevel"/>
    <w:lvl w:ilvl="0">
      <w:start w:val="1"/>
      <w:numFmt w:val="decimal"/>
      <w:lvlText w:val="（%1）"/>
      <w:lvlJc w:val="left"/>
      <w:pPr>
        <w:ind w:left="1558" w:hanging="720"/>
        <w:jc w:val="left"/>
      </w:pPr>
      <w:rPr>
        <w:rFonts w:hint="default" w:ascii="宋体" w:hAnsi="宋体" w:eastAsia="宋体" w:cs="宋体"/>
        <w:spacing w:val="-1"/>
        <w:w w:val="100"/>
        <w:sz w:val="21"/>
        <w:szCs w:val="21"/>
        <w:lang w:val="zh-CN" w:eastAsia="zh-CN" w:bidi="zh-CN"/>
      </w:rPr>
    </w:lvl>
    <w:lvl w:ilvl="1">
      <w:start w:val="0"/>
      <w:numFmt w:val="bullet"/>
      <w:lvlText w:val="•"/>
      <w:lvlJc w:val="left"/>
      <w:pPr>
        <w:ind w:left="2432" w:hanging="720"/>
      </w:pPr>
      <w:rPr>
        <w:rFonts w:hint="default"/>
        <w:lang w:val="zh-CN" w:eastAsia="zh-CN" w:bidi="zh-CN"/>
      </w:rPr>
    </w:lvl>
    <w:lvl w:ilvl="2">
      <w:start w:val="0"/>
      <w:numFmt w:val="bullet"/>
      <w:lvlText w:val="•"/>
      <w:lvlJc w:val="left"/>
      <w:pPr>
        <w:ind w:left="3305" w:hanging="720"/>
      </w:pPr>
      <w:rPr>
        <w:rFonts w:hint="default"/>
        <w:lang w:val="zh-CN" w:eastAsia="zh-CN" w:bidi="zh-CN"/>
      </w:rPr>
    </w:lvl>
    <w:lvl w:ilvl="3">
      <w:start w:val="0"/>
      <w:numFmt w:val="bullet"/>
      <w:lvlText w:val="•"/>
      <w:lvlJc w:val="left"/>
      <w:pPr>
        <w:ind w:left="4177" w:hanging="720"/>
      </w:pPr>
      <w:rPr>
        <w:rFonts w:hint="default"/>
        <w:lang w:val="zh-CN" w:eastAsia="zh-CN" w:bidi="zh-CN"/>
      </w:rPr>
    </w:lvl>
    <w:lvl w:ilvl="4">
      <w:start w:val="0"/>
      <w:numFmt w:val="bullet"/>
      <w:lvlText w:val="•"/>
      <w:lvlJc w:val="left"/>
      <w:pPr>
        <w:ind w:left="5050" w:hanging="720"/>
      </w:pPr>
      <w:rPr>
        <w:rFonts w:hint="default"/>
        <w:lang w:val="zh-CN" w:eastAsia="zh-CN" w:bidi="zh-CN"/>
      </w:rPr>
    </w:lvl>
    <w:lvl w:ilvl="5">
      <w:start w:val="0"/>
      <w:numFmt w:val="bullet"/>
      <w:lvlText w:val="•"/>
      <w:lvlJc w:val="left"/>
      <w:pPr>
        <w:ind w:left="5923" w:hanging="720"/>
      </w:pPr>
      <w:rPr>
        <w:rFonts w:hint="default"/>
        <w:lang w:val="zh-CN" w:eastAsia="zh-CN" w:bidi="zh-CN"/>
      </w:rPr>
    </w:lvl>
    <w:lvl w:ilvl="6">
      <w:start w:val="0"/>
      <w:numFmt w:val="bullet"/>
      <w:lvlText w:val="•"/>
      <w:lvlJc w:val="left"/>
      <w:pPr>
        <w:ind w:left="6795" w:hanging="720"/>
      </w:pPr>
      <w:rPr>
        <w:rFonts w:hint="default"/>
        <w:lang w:val="zh-CN" w:eastAsia="zh-CN" w:bidi="zh-CN"/>
      </w:rPr>
    </w:lvl>
    <w:lvl w:ilvl="7">
      <w:start w:val="0"/>
      <w:numFmt w:val="bullet"/>
      <w:lvlText w:val="•"/>
      <w:lvlJc w:val="left"/>
      <w:pPr>
        <w:ind w:left="7668" w:hanging="720"/>
      </w:pPr>
      <w:rPr>
        <w:rFonts w:hint="default"/>
        <w:lang w:val="zh-CN" w:eastAsia="zh-CN" w:bidi="zh-CN"/>
      </w:rPr>
    </w:lvl>
    <w:lvl w:ilvl="8">
      <w:start w:val="0"/>
      <w:numFmt w:val="bullet"/>
      <w:lvlText w:val="•"/>
      <w:lvlJc w:val="left"/>
      <w:pPr>
        <w:ind w:left="8541" w:hanging="720"/>
      </w:pPr>
      <w:rPr>
        <w:rFonts w:hint="default"/>
        <w:lang w:val="zh-CN" w:eastAsia="zh-CN" w:bidi="zh-CN"/>
      </w:rPr>
    </w:lvl>
  </w:abstractNum>
  <w:abstractNum w:abstractNumId="43">
    <w:multiLevelType w:val="hybridMultilevel"/>
    <w:lvl w:ilvl="0">
      <w:start w:val="1"/>
      <w:numFmt w:val="decimal"/>
      <w:lvlText w:val="（%1）"/>
      <w:lvlJc w:val="left"/>
      <w:pPr>
        <w:ind w:left="1558" w:hanging="720"/>
        <w:jc w:val="left"/>
      </w:pPr>
      <w:rPr>
        <w:rFonts w:hint="default" w:ascii="宋体" w:hAnsi="宋体" w:eastAsia="宋体" w:cs="宋体"/>
        <w:spacing w:val="-1"/>
        <w:w w:val="100"/>
        <w:sz w:val="21"/>
        <w:szCs w:val="21"/>
        <w:lang w:val="zh-CN" w:eastAsia="zh-CN" w:bidi="zh-CN"/>
      </w:rPr>
    </w:lvl>
    <w:lvl w:ilvl="1">
      <w:start w:val="0"/>
      <w:numFmt w:val="bullet"/>
      <w:lvlText w:val="•"/>
      <w:lvlJc w:val="left"/>
      <w:pPr>
        <w:ind w:left="2432" w:hanging="720"/>
      </w:pPr>
      <w:rPr>
        <w:rFonts w:hint="default"/>
        <w:lang w:val="zh-CN" w:eastAsia="zh-CN" w:bidi="zh-CN"/>
      </w:rPr>
    </w:lvl>
    <w:lvl w:ilvl="2">
      <w:start w:val="0"/>
      <w:numFmt w:val="bullet"/>
      <w:lvlText w:val="•"/>
      <w:lvlJc w:val="left"/>
      <w:pPr>
        <w:ind w:left="3305" w:hanging="720"/>
      </w:pPr>
      <w:rPr>
        <w:rFonts w:hint="default"/>
        <w:lang w:val="zh-CN" w:eastAsia="zh-CN" w:bidi="zh-CN"/>
      </w:rPr>
    </w:lvl>
    <w:lvl w:ilvl="3">
      <w:start w:val="0"/>
      <w:numFmt w:val="bullet"/>
      <w:lvlText w:val="•"/>
      <w:lvlJc w:val="left"/>
      <w:pPr>
        <w:ind w:left="4177" w:hanging="720"/>
      </w:pPr>
      <w:rPr>
        <w:rFonts w:hint="default"/>
        <w:lang w:val="zh-CN" w:eastAsia="zh-CN" w:bidi="zh-CN"/>
      </w:rPr>
    </w:lvl>
    <w:lvl w:ilvl="4">
      <w:start w:val="0"/>
      <w:numFmt w:val="bullet"/>
      <w:lvlText w:val="•"/>
      <w:lvlJc w:val="left"/>
      <w:pPr>
        <w:ind w:left="5050" w:hanging="720"/>
      </w:pPr>
      <w:rPr>
        <w:rFonts w:hint="default"/>
        <w:lang w:val="zh-CN" w:eastAsia="zh-CN" w:bidi="zh-CN"/>
      </w:rPr>
    </w:lvl>
    <w:lvl w:ilvl="5">
      <w:start w:val="0"/>
      <w:numFmt w:val="bullet"/>
      <w:lvlText w:val="•"/>
      <w:lvlJc w:val="left"/>
      <w:pPr>
        <w:ind w:left="5923" w:hanging="720"/>
      </w:pPr>
      <w:rPr>
        <w:rFonts w:hint="default"/>
        <w:lang w:val="zh-CN" w:eastAsia="zh-CN" w:bidi="zh-CN"/>
      </w:rPr>
    </w:lvl>
    <w:lvl w:ilvl="6">
      <w:start w:val="0"/>
      <w:numFmt w:val="bullet"/>
      <w:lvlText w:val="•"/>
      <w:lvlJc w:val="left"/>
      <w:pPr>
        <w:ind w:left="6795" w:hanging="720"/>
      </w:pPr>
      <w:rPr>
        <w:rFonts w:hint="default"/>
        <w:lang w:val="zh-CN" w:eastAsia="zh-CN" w:bidi="zh-CN"/>
      </w:rPr>
    </w:lvl>
    <w:lvl w:ilvl="7">
      <w:start w:val="0"/>
      <w:numFmt w:val="bullet"/>
      <w:lvlText w:val="•"/>
      <w:lvlJc w:val="left"/>
      <w:pPr>
        <w:ind w:left="7668" w:hanging="720"/>
      </w:pPr>
      <w:rPr>
        <w:rFonts w:hint="default"/>
        <w:lang w:val="zh-CN" w:eastAsia="zh-CN" w:bidi="zh-CN"/>
      </w:rPr>
    </w:lvl>
    <w:lvl w:ilvl="8">
      <w:start w:val="0"/>
      <w:numFmt w:val="bullet"/>
      <w:lvlText w:val="•"/>
      <w:lvlJc w:val="left"/>
      <w:pPr>
        <w:ind w:left="8541" w:hanging="720"/>
      </w:pPr>
      <w:rPr>
        <w:rFonts w:hint="default"/>
        <w:lang w:val="zh-CN" w:eastAsia="zh-CN" w:bidi="zh-CN"/>
      </w:rPr>
    </w:lvl>
  </w:abstractNum>
  <w:abstractNum w:abstractNumId="42">
    <w:multiLevelType w:val="hybridMultilevel"/>
    <w:lvl w:ilvl="0">
      <w:start w:val="1"/>
      <w:numFmt w:val="decimal"/>
      <w:lvlText w:val="（%1）"/>
      <w:lvlJc w:val="left"/>
      <w:pPr>
        <w:ind w:left="1558" w:hanging="720"/>
        <w:jc w:val="left"/>
      </w:pPr>
      <w:rPr>
        <w:rFonts w:hint="default" w:ascii="宋体" w:hAnsi="宋体" w:eastAsia="宋体" w:cs="宋体"/>
        <w:spacing w:val="-1"/>
        <w:w w:val="100"/>
        <w:sz w:val="21"/>
        <w:szCs w:val="21"/>
        <w:lang w:val="zh-CN" w:eastAsia="zh-CN" w:bidi="zh-CN"/>
      </w:rPr>
    </w:lvl>
    <w:lvl w:ilvl="1">
      <w:start w:val="0"/>
      <w:numFmt w:val="bullet"/>
      <w:lvlText w:val="•"/>
      <w:lvlJc w:val="left"/>
      <w:pPr>
        <w:ind w:left="2432" w:hanging="720"/>
      </w:pPr>
      <w:rPr>
        <w:rFonts w:hint="default"/>
        <w:lang w:val="zh-CN" w:eastAsia="zh-CN" w:bidi="zh-CN"/>
      </w:rPr>
    </w:lvl>
    <w:lvl w:ilvl="2">
      <w:start w:val="0"/>
      <w:numFmt w:val="bullet"/>
      <w:lvlText w:val="•"/>
      <w:lvlJc w:val="left"/>
      <w:pPr>
        <w:ind w:left="3305" w:hanging="720"/>
      </w:pPr>
      <w:rPr>
        <w:rFonts w:hint="default"/>
        <w:lang w:val="zh-CN" w:eastAsia="zh-CN" w:bidi="zh-CN"/>
      </w:rPr>
    </w:lvl>
    <w:lvl w:ilvl="3">
      <w:start w:val="0"/>
      <w:numFmt w:val="bullet"/>
      <w:lvlText w:val="•"/>
      <w:lvlJc w:val="left"/>
      <w:pPr>
        <w:ind w:left="4177" w:hanging="720"/>
      </w:pPr>
      <w:rPr>
        <w:rFonts w:hint="default"/>
        <w:lang w:val="zh-CN" w:eastAsia="zh-CN" w:bidi="zh-CN"/>
      </w:rPr>
    </w:lvl>
    <w:lvl w:ilvl="4">
      <w:start w:val="0"/>
      <w:numFmt w:val="bullet"/>
      <w:lvlText w:val="•"/>
      <w:lvlJc w:val="left"/>
      <w:pPr>
        <w:ind w:left="5050" w:hanging="720"/>
      </w:pPr>
      <w:rPr>
        <w:rFonts w:hint="default"/>
        <w:lang w:val="zh-CN" w:eastAsia="zh-CN" w:bidi="zh-CN"/>
      </w:rPr>
    </w:lvl>
    <w:lvl w:ilvl="5">
      <w:start w:val="0"/>
      <w:numFmt w:val="bullet"/>
      <w:lvlText w:val="•"/>
      <w:lvlJc w:val="left"/>
      <w:pPr>
        <w:ind w:left="5923" w:hanging="720"/>
      </w:pPr>
      <w:rPr>
        <w:rFonts w:hint="default"/>
        <w:lang w:val="zh-CN" w:eastAsia="zh-CN" w:bidi="zh-CN"/>
      </w:rPr>
    </w:lvl>
    <w:lvl w:ilvl="6">
      <w:start w:val="0"/>
      <w:numFmt w:val="bullet"/>
      <w:lvlText w:val="•"/>
      <w:lvlJc w:val="left"/>
      <w:pPr>
        <w:ind w:left="6795" w:hanging="720"/>
      </w:pPr>
      <w:rPr>
        <w:rFonts w:hint="default"/>
        <w:lang w:val="zh-CN" w:eastAsia="zh-CN" w:bidi="zh-CN"/>
      </w:rPr>
    </w:lvl>
    <w:lvl w:ilvl="7">
      <w:start w:val="0"/>
      <w:numFmt w:val="bullet"/>
      <w:lvlText w:val="•"/>
      <w:lvlJc w:val="left"/>
      <w:pPr>
        <w:ind w:left="7668" w:hanging="720"/>
      </w:pPr>
      <w:rPr>
        <w:rFonts w:hint="default"/>
        <w:lang w:val="zh-CN" w:eastAsia="zh-CN" w:bidi="zh-CN"/>
      </w:rPr>
    </w:lvl>
    <w:lvl w:ilvl="8">
      <w:start w:val="0"/>
      <w:numFmt w:val="bullet"/>
      <w:lvlText w:val="•"/>
      <w:lvlJc w:val="left"/>
      <w:pPr>
        <w:ind w:left="8541" w:hanging="720"/>
      </w:pPr>
      <w:rPr>
        <w:rFonts w:hint="default"/>
        <w:lang w:val="zh-CN" w:eastAsia="zh-CN" w:bidi="zh-CN"/>
      </w:rPr>
    </w:lvl>
  </w:abstractNum>
  <w:abstractNum w:abstractNumId="41">
    <w:multiLevelType w:val="hybridMultilevel"/>
    <w:lvl w:ilvl="0">
      <w:start w:val="1"/>
      <w:numFmt w:val="decimal"/>
      <w:lvlText w:val="（%1）"/>
      <w:lvlJc w:val="left"/>
      <w:pPr>
        <w:ind w:left="1558" w:hanging="720"/>
        <w:jc w:val="left"/>
      </w:pPr>
      <w:rPr>
        <w:rFonts w:hint="default" w:ascii="宋体" w:hAnsi="宋体" w:eastAsia="宋体" w:cs="宋体"/>
        <w:spacing w:val="-1"/>
        <w:w w:val="100"/>
        <w:sz w:val="21"/>
        <w:szCs w:val="21"/>
        <w:lang w:val="zh-CN" w:eastAsia="zh-CN" w:bidi="zh-CN"/>
      </w:rPr>
    </w:lvl>
    <w:lvl w:ilvl="1">
      <w:start w:val="0"/>
      <w:numFmt w:val="bullet"/>
      <w:lvlText w:val="•"/>
      <w:lvlJc w:val="left"/>
      <w:pPr>
        <w:ind w:left="2432" w:hanging="720"/>
      </w:pPr>
      <w:rPr>
        <w:rFonts w:hint="default"/>
        <w:lang w:val="zh-CN" w:eastAsia="zh-CN" w:bidi="zh-CN"/>
      </w:rPr>
    </w:lvl>
    <w:lvl w:ilvl="2">
      <w:start w:val="0"/>
      <w:numFmt w:val="bullet"/>
      <w:lvlText w:val="•"/>
      <w:lvlJc w:val="left"/>
      <w:pPr>
        <w:ind w:left="3305" w:hanging="720"/>
      </w:pPr>
      <w:rPr>
        <w:rFonts w:hint="default"/>
        <w:lang w:val="zh-CN" w:eastAsia="zh-CN" w:bidi="zh-CN"/>
      </w:rPr>
    </w:lvl>
    <w:lvl w:ilvl="3">
      <w:start w:val="0"/>
      <w:numFmt w:val="bullet"/>
      <w:lvlText w:val="•"/>
      <w:lvlJc w:val="left"/>
      <w:pPr>
        <w:ind w:left="4177" w:hanging="720"/>
      </w:pPr>
      <w:rPr>
        <w:rFonts w:hint="default"/>
        <w:lang w:val="zh-CN" w:eastAsia="zh-CN" w:bidi="zh-CN"/>
      </w:rPr>
    </w:lvl>
    <w:lvl w:ilvl="4">
      <w:start w:val="0"/>
      <w:numFmt w:val="bullet"/>
      <w:lvlText w:val="•"/>
      <w:lvlJc w:val="left"/>
      <w:pPr>
        <w:ind w:left="5050" w:hanging="720"/>
      </w:pPr>
      <w:rPr>
        <w:rFonts w:hint="default"/>
        <w:lang w:val="zh-CN" w:eastAsia="zh-CN" w:bidi="zh-CN"/>
      </w:rPr>
    </w:lvl>
    <w:lvl w:ilvl="5">
      <w:start w:val="0"/>
      <w:numFmt w:val="bullet"/>
      <w:lvlText w:val="•"/>
      <w:lvlJc w:val="left"/>
      <w:pPr>
        <w:ind w:left="5923" w:hanging="720"/>
      </w:pPr>
      <w:rPr>
        <w:rFonts w:hint="default"/>
        <w:lang w:val="zh-CN" w:eastAsia="zh-CN" w:bidi="zh-CN"/>
      </w:rPr>
    </w:lvl>
    <w:lvl w:ilvl="6">
      <w:start w:val="0"/>
      <w:numFmt w:val="bullet"/>
      <w:lvlText w:val="•"/>
      <w:lvlJc w:val="left"/>
      <w:pPr>
        <w:ind w:left="6795" w:hanging="720"/>
      </w:pPr>
      <w:rPr>
        <w:rFonts w:hint="default"/>
        <w:lang w:val="zh-CN" w:eastAsia="zh-CN" w:bidi="zh-CN"/>
      </w:rPr>
    </w:lvl>
    <w:lvl w:ilvl="7">
      <w:start w:val="0"/>
      <w:numFmt w:val="bullet"/>
      <w:lvlText w:val="•"/>
      <w:lvlJc w:val="left"/>
      <w:pPr>
        <w:ind w:left="7668" w:hanging="720"/>
      </w:pPr>
      <w:rPr>
        <w:rFonts w:hint="default"/>
        <w:lang w:val="zh-CN" w:eastAsia="zh-CN" w:bidi="zh-CN"/>
      </w:rPr>
    </w:lvl>
    <w:lvl w:ilvl="8">
      <w:start w:val="0"/>
      <w:numFmt w:val="bullet"/>
      <w:lvlText w:val="•"/>
      <w:lvlJc w:val="left"/>
      <w:pPr>
        <w:ind w:left="8541" w:hanging="720"/>
      </w:pPr>
      <w:rPr>
        <w:rFonts w:hint="default"/>
        <w:lang w:val="zh-CN" w:eastAsia="zh-CN" w:bidi="zh-CN"/>
      </w:rPr>
    </w:lvl>
  </w:abstractNum>
  <w:abstractNum w:abstractNumId="40">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39">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38">
    <w:multiLevelType w:val="hybridMultilevel"/>
    <w:lvl w:ilvl="0">
      <w:start w:val="1"/>
      <w:numFmt w:val="decimal"/>
      <w:lvlText w:val="（%1）"/>
      <w:lvlJc w:val="left"/>
      <w:pPr>
        <w:ind w:left="658" w:hanging="527"/>
        <w:jc w:val="left"/>
      </w:pPr>
      <w:rPr>
        <w:rFonts w:hint="default" w:ascii="宋体" w:hAnsi="宋体" w:eastAsia="宋体" w:cs="宋体"/>
        <w:spacing w:val="-44"/>
        <w:w w:val="100"/>
        <w:sz w:val="19"/>
        <w:szCs w:val="19"/>
        <w:lang w:val="zh-CN" w:eastAsia="zh-CN" w:bidi="zh-CN"/>
      </w:rPr>
    </w:lvl>
    <w:lvl w:ilvl="1">
      <w:start w:val="0"/>
      <w:numFmt w:val="bullet"/>
      <w:lvlText w:val="•"/>
      <w:lvlJc w:val="left"/>
      <w:pPr>
        <w:ind w:left="1622" w:hanging="527"/>
      </w:pPr>
      <w:rPr>
        <w:rFonts w:hint="default"/>
        <w:lang w:val="zh-CN" w:eastAsia="zh-CN" w:bidi="zh-CN"/>
      </w:rPr>
    </w:lvl>
    <w:lvl w:ilvl="2">
      <w:start w:val="0"/>
      <w:numFmt w:val="bullet"/>
      <w:lvlText w:val="•"/>
      <w:lvlJc w:val="left"/>
      <w:pPr>
        <w:ind w:left="2585" w:hanging="527"/>
      </w:pPr>
      <w:rPr>
        <w:rFonts w:hint="default"/>
        <w:lang w:val="zh-CN" w:eastAsia="zh-CN" w:bidi="zh-CN"/>
      </w:rPr>
    </w:lvl>
    <w:lvl w:ilvl="3">
      <w:start w:val="0"/>
      <w:numFmt w:val="bullet"/>
      <w:lvlText w:val="•"/>
      <w:lvlJc w:val="left"/>
      <w:pPr>
        <w:ind w:left="3547" w:hanging="527"/>
      </w:pPr>
      <w:rPr>
        <w:rFonts w:hint="default"/>
        <w:lang w:val="zh-CN" w:eastAsia="zh-CN" w:bidi="zh-CN"/>
      </w:rPr>
    </w:lvl>
    <w:lvl w:ilvl="4">
      <w:start w:val="0"/>
      <w:numFmt w:val="bullet"/>
      <w:lvlText w:val="•"/>
      <w:lvlJc w:val="left"/>
      <w:pPr>
        <w:ind w:left="4510" w:hanging="527"/>
      </w:pPr>
      <w:rPr>
        <w:rFonts w:hint="default"/>
        <w:lang w:val="zh-CN" w:eastAsia="zh-CN" w:bidi="zh-CN"/>
      </w:rPr>
    </w:lvl>
    <w:lvl w:ilvl="5">
      <w:start w:val="0"/>
      <w:numFmt w:val="bullet"/>
      <w:lvlText w:val="•"/>
      <w:lvlJc w:val="left"/>
      <w:pPr>
        <w:ind w:left="5473" w:hanging="527"/>
      </w:pPr>
      <w:rPr>
        <w:rFonts w:hint="default"/>
        <w:lang w:val="zh-CN" w:eastAsia="zh-CN" w:bidi="zh-CN"/>
      </w:rPr>
    </w:lvl>
    <w:lvl w:ilvl="6">
      <w:start w:val="0"/>
      <w:numFmt w:val="bullet"/>
      <w:lvlText w:val="•"/>
      <w:lvlJc w:val="left"/>
      <w:pPr>
        <w:ind w:left="6435" w:hanging="527"/>
      </w:pPr>
      <w:rPr>
        <w:rFonts w:hint="default"/>
        <w:lang w:val="zh-CN" w:eastAsia="zh-CN" w:bidi="zh-CN"/>
      </w:rPr>
    </w:lvl>
    <w:lvl w:ilvl="7">
      <w:start w:val="0"/>
      <w:numFmt w:val="bullet"/>
      <w:lvlText w:val="•"/>
      <w:lvlJc w:val="left"/>
      <w:pPr>
        <w:ind w:left="7398" w:hanging="527"/>
      </w:pPr>
      <w:rPr>
        <w:rFonts w:hint="default"/>
        <w:lang w:val="zh-CN" w:eastAsia="zh-CN" w:bidi="zh-CN"/>
      </w:rPr>
    </w:lvl>
    <w:lvl w:ilvl="8">
      <w:start w:val="0"/>
      <w:numFmt w:val="bullet"/>
      <w:lvlText w:val="•"/>
      <w:lvlJc w:val="left"/>
      <w:pPr>
        <w:ind w:left="8361" w:hanging="527"/>
      </w:pPr>
      <w:rPr>
        <w:rFonts w:hint="default"/>
        <w:lang w:val="zh-CN" w:eastAsia="zh-CN" w:bidi="zh-CN"/>
      </w:rPr>
    </w:lvl>
  </w:abstractNum>
  <w:abstractNum w:abstractNumId="37">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35">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34">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33">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31">
    <w:multiLevelType w:val="hybridMultilevel"/>
    <w:lvl w:ilvl="0">
      <w:start w:val="1"/>
      <w:numFmt w:val="decimal"/>
      <w:lvlText w:val="（%1）"/>
      <w:lvlJc w:val="left"/>
      <w:pPr>
        <w:ind w:left="6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30">
    <w:multiLevelType w:val="hybridMultilevel"/>
    <w:lvl w:ilvl="0">
      <w:start w:val="1"/>
      <w:numFmt w:val="decimal"/>
      <w:lvlText w:val="（%1）"/>
      <w:lvlJc w:val="left"/>
      <w:pPr>
        <w:ind w:left="65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29">
    <w:multiLevelType w:val="hybridMultilevel"/>
    <w:lvl w:ilvl="0">
      <w:start w:val="1"/>
      <w:numFmt w:val="decimal"/>
      <w:lvlText w:val="%1."/>
      <w:lvlJc w:val="left"/>
      <w:pPr>
        <w:ind w:left="658" w:hanging="213"/>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622" w:hanging="213"/>
      </w:pPr>
      <w:rPr>
        <w:rFonts w:hint="default"/>
        <w:lang w:val="zh-CN" w:eastAsia="zh-CN" w:bidi="zh-CN"/>
      </w:rPr>
    </w:lvl>
    <w:lvl w:ilvl="2">
      <w:start w:val="0"/>
      <w:numFmt w:val="bullet"/>
      <w:lvlText w:val="•"/>
      <w:lvlJc w:val="left"/>
      <w:pPr>
        <w:ind w:left="2585" w:hanging="213"/>
      </w:pPr>
      <w:rPr>
        <w:rFonts w:hint="default"/>
        <w:lang w:val="zh-CN" w:eastAsia="zh-CN" w:bidi="zh-CN"/>
      </w:rPr>
    </w:lvl>
    <w:lvl w:ilvl="3">
      <w:start w:val="0"/>
      <w:numFmt w:val="bullet"/>
      <w:lvlText w:val="•"/>
      <w:lvlJc w:val="left"/>
      <w:pPr>
        <w:ind w:left="3547" w:hanging="213"/>
      </w:pPr>
      <w:rPr>
        <w:rFonts w:hint="default"/>
        <w:lang w:val="zh-CN" w:eastAsia="zh-CN" w:bidi="zh-CN"/>
      </w:rPr>
    </w:lvl>
    <w:lvl w:ilvl="4">
      <w:start w:val="0"/>
      <w:numFmt w:val="bullet"/>
      <w:lvlText w:val="•"/>
      <w:lvlJc w:val="left"/>
      <w:pPr>
        <w:ind w:left="4510" w:hanging="213"/>
      </w:pPr>
      <w:rPr>
        <w:rFonts w:hint="default"/>
        <w:lang w:val="zh-CN" w:eastAsia="zh-CN" w:bidi="zh-CN"/>
      </w:rPr>
    </w:lvl>
    <w:lvl w:ilvl="5">
      <w:start w:val="0"/>
      <w:numFmt w:val="bullet"/>
      <w:lvlText w:val="•"/>
      <w:lvlJc w:val="left"/>
      <w:pPr>
        <w:ind w:left="5473" w:hanging="213"/>
      </w:pPr>
      <w:rPr>
        <w:rFonts w:hint="default"/>
        <w:lang w:val="zh-CN" w:eastAsia="zh-CN" w:bidi="zh-CN"/>
      </w:rPr>
    </w:lvl>
    <w:lvl w:ilvl="6">
      <w:start w:val="0"/>
      <w:numFmt w:val="bullet"/>
      <w:lvlText w:val="•"/>
      <w:lvlJc w:val="left"/>
      <w:pPr>
        <w:ind w:left="6435" w:hanging="213"/>
      </w:pPr>
      <w:rPr>
        <w:rFonts w:hint="default"/>
        <w:lang w:val="zh-CN" w:eastAsia="zh-CN" w:bidi="zh-CN"/>
      </w:rPr>
    </w:lvl>
    <w:lvl w:ilvl="7">
      <w:start w:val="0"/>
      <w:numFmt w:val="bullet"/>
      <w:lvlText w:val="•"/>
      <w:lvlJc w:val="left"/>
      <w:pPr>
        <w:ind w:left="7398" w:hanging="213"/>
      </w:pPr>
      <w:rPr>
        <w:rFonts w:hint="default"/>
        <w:lang w:val="zh-CN" w:eastAsia="zh-CN" w:bidi="zh-CN"/>
      </w:rPr>
    </w:lvl>
    <w:lvl w:ilvl="8">
      <w:start w:val="0"/>
      <w:numFmt w:val="bullet"/>
      <w:lvlText w:val="•"/>
      <w:lvlJc w:val="left"/>
      <w:pPr>
        <w:ind w:left="8361" w:hanging="213"/>
      </w:pPr>
      <w:rPr>
        <w:rFonts w:hint="default"/>
        <w:lang w:val="zh-CN" w:eastAsia="zh-CN" w:bidi="zh-CN"/>
      </w:rPr>
    </w:lvl>
  </w:abstractNum>
  <w:abstractNum w:abstractNumId="28">
    <w:multiLevelType w:val="hybridMultilevel"/>
    <w:lvl w:ilvl="0">
      <w:start w:val="1"/>
      <w:numFmt w:val="decimal"/>
      <w:lvlText w:val="（%1）"/>
      <w:lvlJc w:val="left"/>
      <w:pPr>
        <w:ind w:left="6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27">
    <w:multiLevelType w:val="hybridMultilevel"/>
    <w:lvl w:ilvl="0">
      <w:start w:val="1"/>
      <w:numFmt w:val="decimal"/>
      <w:lvlText w:val="%1."/>
      <w:lvlJc w:val="left"/>
      <w:pPr>
        <w:ind w:left="922" w:hanging="264"/>
        <w:jc w:val="left"/>
      </w:pPr>
      <w:rPr>
        <w:rFonts w:hint="default" w:ascii="Cambria" w:hAnsi="Cambria" w:eastAsia="Cambria" w:cs="Cambria"/>
        <w:b/>
        <w:bCs/>
        <w:spacing w:val="-1"/>
        <w:w w:val="100"/>
        <w:sz w:val="24"/>
        <w:szCs w:val="24"/>
        <w:lang w:val="zh-CN" w:eastAsia="zh-CN" w:bidi="zh-CN"/>
      </w:rPr>
    </w:lvl>
    <w:lvl w:ilvl="1">
      <w:start w:val="1"/>
      <w:numFmt w:val="decimal"/>
      <w:lvlText w:val="%1.%2"/>
      <w:lvlJc w:val="left"/>
      <w:pPr>
        <w:ind w:left="658" w:hanging="550"/>
        <w:jc w:val="left"/>
      </w:pPr>
      <w:rPr>
        <w:rFonts w:hint="default"/>
        <w:b/>
        <w:bCs/>
        <w:spacing w:val="-1"/>
        <w:w w:val="100"/>
        <w:lang w:val="zh-CN" w:eastAsia="zh-CN" w:bidi="zh-CN"/>
      </w:rPr>
    </w:lvl>
    <w:lvl w:ilvl="2">
      <w:start w:val="1"/>
      <w:numFmt w:val="decimal"/>
      <w:lvlText w:val="（%3）"/>
      <w:lvlJc w:val="left"/>
      <w:pPr>
        <w:ind w:left="658" w:hanging="529"/>
        <w:jc w:val="left"/>
      </w:pPr>
      <w:rPr>
        <w:rFonts w:hint="default" w:ascii="宋体" w:hAnsi="宋体" w:eastAsia="宋体" w:cs="宋体"/>
        <w:spacing w:val="-25"/>
        <w:w w:val="100"/>
        <w:sz w:val="19"/>
        <w:szCs w:val="19"/>
        <w:lang w:val="zh-CN" w:eastAsia="zh-CN" w:bidi="zh-CN"/>
      </w:rPr>
    </w:lvl>
    <w:lvl w:ilvl="3">
      <w:start w:val="0"/>
      <w:numFmt w:val="bullet"/>
      <w:lvlText w:val="•"/>
      <w:lvlJc w:val="left"/>
      <w:pPr>
        <w:ind w:left="1200" w:hanging="529"/>
      </w:pPr>
      <w:rPr>
        <w:rFonts w:hint="default"/>
        <w:lang w:val="zh-CN" w:eastAsia="zh-CN" w:bidi="zh-CN"/>
      </w:rPr>
    </w:lvl>
    <w:lvl w:ilvl="4">
      <w:start w:val="0"/>
      <w:numFmt w:val="bullet"/>
      <w:lvlText w:val="•"/>
      <w:lvlJc w:val="left"/>
      <w:pPr>
        <w:ind w:left="2498" w:hanging="529"/>
      </w:pPr>
      <w:rPr>
        <w:rFonts w:hint="default"/>
        <w:lang w:val="zh-CN" w:eastAsia="zh-CN" w:bidi="zh-CN"/>
      </w:rPr>
    </w:lvl>
    <w:lvl w:ilvl="5">
      <w:start w:val="0"/>
      <w:numFmt w:val="bullet"/>
      <w:lvlText w:val="•"/>
      <w:lvlJc w:val="left"/>
      <w:pPr>
        <w:ind w:left="3796" w:hanging="529"/>
      </w:pPr>
      <w:rPr>
        <w:rFonts w:hint="default"/>
        <w:lang w:val="zh-CN" w:eastAsia="zh-CN" w:bidi="zh-CN"/>
      </w:rPr>
    </w:lvl>
    <w:lvl w:ilvl="6">
      <w:start w:val="0"/>
      <w:numFmt w:val="bullet"/>
      <w:lvlText w:val="•"/>
      <w:lvlJc w:val="left"/>
      <w:pPr>
        <w:ind w:left="5094" w:hanging="529"/>
      </w:pPr>
      <w:rPr>
        <w:rFonts w:hint="default"/>
        <w:lang w:val="zh-CN" w:eastAsia="zh-CN" w:bidi="zh-CN"/>
      </w:rPr>
    </w:lvl>
    <w:lvl w:ilvl="7">
      <w:start w:val="0"/>
      <w:numFmt w:val="bullet"/>
      <w:lvlText w:val="•"/>
      <w:lvlJc w:val="left"/>
      <w:pPr>
        <w:ind w:left="6392" w:hanging="529"/>
      </w:pPr>
      <w:rPr>
        <w:rFonts w:hint="default"/>
        <w:lang w:val="zh-CN" w:eastAsia="zh-CN" w:bidi="zh-CN"/>
      </w:rPr>
    </w:lvl>
    <w:lvl w:ilvl="8">
      <w:start w:val="0"/>
      <w:numFmt w:val="bullet"/>
      <w:lvlText w:val="•"/>
      <w:lvlJc w:val="left"/>
      <w:pPr>
        <w:ind w:left="7690" w:hanging="529"/>
      </w:pPr>
      <w:rPr>
        <w:rFonts w:hint="default"/>
        <w:lang w:val="zh-CN" w:eastAsia="zh-CN" w:bidi="zh-CN"/>
      </w:rPr>
    </w:lvl>
  </w:abstractNum>
  <w:abstractNum w:abstractNumId="26">
    <w:multiLevelType w:val="hybridMultilevel"/>
    <w:lvl w:ilvl="0">
      <w:start w:val="1"/>
      <w:numFmt w:val="decimal"/>
      <w:lvlText w:val="%1."/>
      <w:lvlJc w:val="left"/>
      <w:pPr>
        <w:ind w:left="922" w:hanging="264"/>
        <w:jc w:val="left"/>
      </w:pPr>
      <w:rPr>
        <w:rFonts w:hint="default"/>
        <w:b/>
        <w:bCs/>
        <w:spacing w:val="-1"/>
        <w:w w:val="100"/>
        <w:lang w:val="zh-CN" w:eastAsia="zh-CN" w:bidi="zh-CN"/>
      </w:rPr>
    </w:lvl>
    <w:lvl w:ilvl="1">
      <w:start w:val="1"/>
      <w:numFmt w:val="decimal"/>
      <w:lvlText w:val="%1.%2"/>
      <w:lvlJc w:val="left"/>
      <w:pPr>
        <w:ind w:left="1063" w:hanging="406"/>
        <w:jc w:val="left"/>
      </w:pPr>
      <w:rPr>
        <w:rFonts w:hint="default" w:ascii="Cambria" w:hAnsi="Cambria" w:eastAsia="Cambria" w:cs="Cambria"/>
        <w:b/>
        <w:bCs/>
        <w:spacing w:val="-1"/>
        <w:w w:val="100"/>
        <w:sz w:val="24"/>
        <w:szCs w:val="24"/>
        <w:lang w:val="zh-CN" w:eastAsia="zh-CN" w:bidi="zh-CN"/>
      </w:rPr>
    </w:lvl>
    <w:lvl w:ilvl="2">
      <w:start w:val="0"/>
      <w:numFmt w:val="bullet"/>
      <w:lvlText w:val="•"/>
      <w:lvlJc w:val="left"/>
      <w:pPr>
        <w:ind w:left="1060" w:hanging="406"/>
      </w:pPr>
      <w:rPr>
        <w:rFonts w:hint="default"/>
        <w:lang w:val="zh-CN" w:eastAsia="zh-CN" w:bidi="zh-CN"/>
      </w:rPr>
    </w:lvl>
    <w:lvl w:ilvl="3">
      <w:start w:val="0"/>
      <w:numFmt w:val="bullet"/>
      <w:lvlText w:val="•"/>
      <w:lvlJc w:val="left"/>
      <w:pPr>
        <w:ind w:left="2213" w:hanging="406"/>
      </w:pPr>
      <w:rPr>
        <w:rFonts w:hint="default"/>
        <w:lang w:val="zh-CN" w:eastAsia="zh-CN" w:bidi="zh-CN"/>
      </w:rPr>
    </w:lvl>
    <w:lvl w:ilvl="4">
      <w:start w:val="0"/>
      <w:numFmt w:val="bullet"/>
      <w:lvlText w:val="•"/>
      <w:lvlJc w:val="left"/>
      <w:pPr>
        <w:ind w:left="3366" w:hanging="406"/>
      </w:pPr>
      <w:rPr>
        <w:rFonts w:hint="default"/>
        <w:lang w:val="zh-CN" w:eastAsia="zh-CN" w:bidi="zh-CN"/>
      </w:rPr>
    </w:lvl>
    <w:lvl w:ilvl="5">
      <w:start w:val="0"/>
      <w:numFmt w:val="bullet"/>
      <w:lvlText w:val="•"/>
      <w:lvlJc w:val="left"/>
      <w:pPr>
        <w:ind w:left="4519" w:hanging="406"/>
      </w:pPr>
      <w:rPr>
        <w:rFonts w:hint="default"/>
        <w:lang w:val="zh-CN" w:eastAsia="zh-CN" w:bidi="zh-CN"/>
      </w:rPr>
    </w:lvl>
    <w:lvl w:ilvl="6">
      <w:start w:val="0"/>
      <w:numFmt w:val="bullet"/>
      <w:lvlText w:val="•"/>
      <w:lvlJc w:val="left"/>
      <w:pPr>
        <w:ind w:left="5673" w:hanging="406"/>
      </w:pPr>
      <w:rPr>
        <w:rFonts w:hint="default"/>
        <w:lang w:val="zh-CN" w:eastAsia="zh-CN" w:bidi="zh-CN"/>
      </w:rPr>
    </w:lvl>
    <w:lvl w:ilvl="7">
      <w:start w:val="0"/>
      <w:numFmt w:val="bullet"/>
      <w:lvlText w:val="•"/>
      <w:lvlJc w:val="left"/>
      <w:pPr>
        <w:ind w:left="6826" w:hanging="406"/>
      </w:pPr>
      <w:rPr>
        <w:rFonts w:hint="default"/>
        <w:lang w:val="zh-CN" w:eastAsia="zh-CN" w:bidi="zh-CN"/>
      </w:rPr>
    </w:lvl>
    <w:lvl w:ilvl="8">
      <w:start w:val="0"/>
      <w:numFmt w:val="bullet"/>
      <w:lvlText w:val="•"/>
      <w:lvlJc w:val="left"/>
      <w:pPr>
        <w:ind w:left="7979" w:hanging="406"/>
      </w:pPr>
      <w:rPr>
        <w:rFonts w:hint="default"/>
        <w:lang w:val="zh-CN" w:eastAsia="zh-CN" w:bidi="zh-CN"/>
      </w:rPr>
    </w:lvl>
  </w:abstractNum>
  <w:abstractNum w:abstractNumId="25">
    <w:multiLevelType w:val="hybridMultilevel"/>
    <w:lvl w:ilvl="0">
      <w:start w:val="1"/>
      <w:numFmt w:val="decimal"/>
      <w:lvlText w:val="%1."/>
      <w:lvlJc w:val="left"/>
      <w:pPr>
        <w:ind w:left="922" w:hanging="264"/>
        <w:jc w:val="left"/>
      </w:pPr>
      <w:rPr>
        <w:rFonts w:hint="default" w:ascii="Cambria" w:hAnsi="Cambria" w:eastAsia="Cambria" w:cs="Cambria"/>
        <w:b/>
        <w:bCs/>
        <w:spacing w:val="-1"/>
        <w:w w:val="100"/>
        <w:sz w:val="24"/>
        <w:szCs w:val="24"/>
        <w:lang w:val="zh-CN" w:eastAsia="zh-CN" w:bidi="zh-CN"/>
      </w:rPr>
    </w:lvl>
    <w:lvl w:ilvl="1">
      <w:start w:val="1"/>
      <w:numFmt w:val="decimal"/>
      <w:lvlText w:val="%1.%2"/>
      <w:lvlJc w:val="left"/>
      <w:pPr>
        <w:ind w:left="658" w:hanging="550"/>
        <w:jc w:val="left"/>
      </w:pPr>
      <w:rPr>
        <w:rFonts w:hint="default"/>
        <w:b/>
        <w:bCs/>
        <w:spacing w:val="-1"/>
        <w:w w:val="100"/>
        <w:lang w:val="zh-CN" w:eastAsia="zh-CN" w:bidi="zh-CN"/>
      </w:rPr>
    </w:lvl>
    <w:lvl w:ilvl="2">
      <w:start w:val="0"/>
      <w:numFmt w:val="bullet"/>
      <w:lvlText w:val="•"/>
      <w:lvlJc w:val="left"/>
      <w:pPr>
        <w:ind w:left="1060" w:hanging="550"/>
      </w:pPr>
      <w:rPr>
        <w:rFonts w:hint="default"/>
        <w:lang w:val="zh-CN" w:eastAsia="zh-CN" w:bidi="zh-CN"/>
      </w:rPr>
    </w:lvl>
    <w:lvl w:ilvl="3">
      <w:start w:val="0"/>
      <w:numFmt w:val="bullet"/>
      <w:lvlText w:val="•"/>
      <w:lvlJc w:val="left"/>
      <w:pPr>
        <w:ind w:left="1200" w:hanging="550"/>
      </w:pPr>
      <w:rPr>
        <w:rFonts w:hint="default"/>
        <w:lang w:val="zh-CN" w:eastAsia="zh-CN" w:bidi="zh-CN"/>
      </w:rPr>
    </w:lvl>
    <w:lvl w:ilvl="4">
      <w:start w:val="0"/>
      <w:numFmt w:val="bullet"/>
      <w:lvlText w:val="•"/>
      <w:lvlJc w:val="left"/>
      <w:pPr>
        <w:ind w:left="2498" w:hanging="550"/>
      </w:pPr>
      <w:rPr>
        <w:rFonts w:hint="default"/>
        <w:lang w:val="zh-CN" w:eastAsia="zh-CN" w:bidi="zh-CN"/>
      </w:rPr>
    </w:lvl>
    <w:lvl w:ilvl="5">
      <w:start w:val="0"/>
      <w:numFmt w:val="bullet"/>
      <w:lvlText w:val="•"/>
      <w:lvlJc w:val="left"/>
      <w:pPr>
        <w:ind w:left="3796" w:hanging="550"/>
      </w:pPr>
      <w:rPr>
        <w:rFonts w:hint="default"/>
        <w:lang w:val="zh-CN" w:eastAsia="zh-CN" w:bidi="zh-CN"/>
      </w:rPr>
    </w:lvl>
    <w:lvl w:ilvl="6">
      <w:start w:val="0"/>
      <w:numFmt w:val="bullet"/>
      <w:lvlText w:val="•"/>
      <w:lvlJc w:val="left"/>
      <w:pPr>
        <w:ind w:left="5094" w:hanging="550"/>
      </w:pPr>
      <w:rPr>
        <w:rFonts w:hint="default"/>
        <w:lang w:val="zh-CN" w:eastAsia="zh-CN" w:bidi="zh-CN"/>
      </w:rPr>
    </w:lvl>
    <w:lvl w:ilvl="7">
      <w:start w:val="0"/>
      <w:numFmt w:val="bullet"/>
      <w:lvlText w:val="•"/>
      <w:lvlJc w:val="left"/>
      <w:pPr>
        <w:ind w:left="6392" w:hanging="550"/>
      </w:pPr>
      <w:rPr>
        <w:rFonts w:hint="default"/>
        <w:lang w:val="zh-CN" w:eastAsia="zh-CN" w:bidi="zh-CN"/>
      </w:rPr>
    </w:lvl>
    <w:lvl w:ilvl="8">
      <w:start w:val="0"/>
      <w:numFmt w:val="bullet"/>
      <w:lvlText w:val="•"/>
      <w:lvlJc w:val="left"/>
      <w:pPr>
        <w:ind w:left="7690" w:hanging="550"/>
      </w:pPr>
      <w:rPr>
        <w:rFonts w:hint="default"/>
        <w:lang w:val="zh-CN" w:eastAsia="zh-CN" w:bidi="zh-CN"/>
      </w:rPr>
    </w:lvl>
  </w:abstractNum>
  <w:abstractNum w:abstractNumId="24">
    <w:multiLevelType w:val="hybridMultilevel"/>
    <w:lvl w:ilvl="0">
      <w:start w:val="1"/>
      <w:numFmt w:val="decimal"/>
      <w:lvlText w:val="（%1）"/>
      <w:lvlJc w:val="left"/>
      <w:pPr>
        <w:ind w:left="658" w:hanging="529"/>
        <w:jc w:val="right"/>
      </w:pPr>
      <w:rPr>
        <w:rFonts w:hint="default" w:ascii="宋体" w:hAnsi="宋体" w:eastAsia="宋体" w:cs="宋体"/>
        <w:spacing w:val="-3"/>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23">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22">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21">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20">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19">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18">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17">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15">
    <w:multiLevelType w:val="hybridMultilevel"/>
    <w:lvl w:ilvl="0">
      <w:start w:val="1"/>
      <w:numFmt w:val="decimal"/>
      <w:lvlText w:val="（%1）"/>
      <w:lvlJc w:val="left"/>
      <w:pPr>
        <w:ind w:left="658" w:hanging="529"/>
        <w:jc w:val="left"/>
      </w:pPr>
      <w:rPr>
        <w:rFonts w:hint="default" w:ascii="宋体" w:hAnsi="宋体" w:eastAsia="宋体" w:cs="宋体"/>
        <w:spacing w:val="-46"/>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14">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abstractNum w:abstractNumId="13">
    <w:multiLevelType w:val="hybridMultilevel"/>
    <w:lvl w:ilvl="0">
      <w:start w:val="1"/>
      <w:numFmt w:val="decimal"/>
      <w:lvlText w:val="（%1）"/>
      <w:lvlJc w:val="left"/>
      <w:pPr>
        <w:ind w:left="658" w:hanging="529"/>
        <w:jc w:val="right"/>
      </w:pPr>
      <w:rPr>
        <w:rFonts w:hint="default" w:ascii="宋体" w:hAnsi="宋体" w:eastAsia="宋体" w:cs="宋体"/>
        <w:spacing w:val="-3"/>
        <w:w w:val="100"/>
        <w:sz w:val="19"/>
        <w:szCs w:val="19"/>
        <w:lang w:val="zh-CN" w:eastAsia="zh-CN" w:bidi="zh-CN"/>
      </w:rPr>
    </w:lvl>
    <w:lvl w:ilvl="1">
      <w:start w:val="1"/>
      <w:numFmt w:val="decimal"/>
      <w:lvlText w:val="（%2）"/>
      <w:lvlJc w:val="left"/>
      <w:pPr>
        <w:ind w:left="1607"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565" w:hanging="529"/>
      </w:pPr>
      <w:rPr>
        <w:rFonts w:hint="default"/>
        <w:lang w:val="zh-CN" w:eastAsia="zh-CN" w:bidi="zh-CN"/>
      </w:rPr>
    </w:lvl>
    <w:lvl w:ilvl="3">
      <w:start w:val="0"/>
      <w:numFmt w:val="bullet"/>
      <w:lvlText w:val="•"/>
      <w:lvlJc w:val="left"/>
      <w:pPr>
        <w:ind w:left="3530" w:hanging="529"/>
      </w:pPr>
      <w:rPr>
        <w:rFonts w:hint="default"/>
        <w:lang w:val="zh-CN" w:eastAsia="zh-CN" w:bidi="zh-CN"/>
      </w:rPr>
    </w:lvl>
    <w:lvl w:ilvl="4">
      <w:start w:val="0"/>
      <w:numFmt w:val="bullet"/>
      <w:lvlText w:val="•"/>
      <w:lvlJc w:val="left"/>
      <w:pPr>
        <w:ind w:left="4495" w:hanging="529"/>
      </w:pPr>
      <w:rPr>
        <w:rFonts w:hint="default"/>
        <w:lang w:val="zh-CN" w:eastAsia="zh-CN" w:bidi="zh-CN"/>
      </w:rPr>
    </w:lvl>
    <w:lvl w:ilvl="5">
      <w:start w:val="0"/>
      <w:numFmt w:val="bullet"/>
      <w:lvlText w:val="•"/>
      <w:lvlJc w:val="left"/>
      <w:pPr>
        <w:ind w:left="5460" w:hanging="529"/>
      </w:pPr>
      <w:rPr>
        <w:rFonts w:hint="default"/>
        <w:lang w:val="zh-CN" w:eastAsia="zh-CN" w:bidi="zh-CN"/>
      </w:rPr>
    </w:lvl>
    <w:lvl w:ilvl="6">
      <w:start w:val="0"/>
      <w:numFmt w:val="bullet"/>
      <w:lvlText w:val="•"/>
      <w:lvlJc w:val="left"/>
      <w:pPr>
        <w:ind w:left="6425" w:hanging="529"/>
      </w:pPr>
      <w:rPr>
        <w:rFonts w:hint="default"/>
        <w:lang w:val="zh-CN" w:eastAsia="zh-CN" w:bidi="zh-CN"/>
      </w:rPr>
    </w:lvl>
    <w:lvl w:ilvl="7">
      <w:start w:val="0"/>
      <w:numFmt w:val="bullet"/>
      <w:lvlText w:val="•"/>
      <w:lvlJc w:val="left"/>
      <w:pPr>
        <w:ind w:left="7390" w:hanging="529"/>
      </w:pPr>
      <w:rPr>
        <w:rFonts w:hint="default"/>
        <w:lang w:val="zh-CN" w:eastAsia="zh-CN" w:bidi="zh-CN"/>
      </w:rPr>
    </w:lvl>
    <w:lvl w:ilvl="8">
      <w:start w:val="0"/>
      <w:numFmt w:val="bullet"/>
      <w:lvlText w:val="•"/>
      <w:lvlJc w:val="left"/>
      <w:pPr>
        <w:ind w:left="8356" w:hanging="529"/>
      </w:pPr>
      <w:rPr>
        <w:rFonts w:hint="default"/>
        <w:lang w:val="zh-CN" w:eastAsia="zh-CN" w:bidi="zh-CN"/>
      </w:rPr>
    </w:lvl>
  </w:abstractNum>
  <w:abstractNum w:abstractNumId="12">
    <w:multiLevelType w:val="hybridMultilevel"/>
    <w:lvl w:ilvl="0">
      <w:start w:val="1"/>
      <w:numFmt w:val="decimal"/>
      <w:lvlText w:val="（%1）"/>
      <w:lvlJc w:val="left"/>
      <w:pPr>
        <w:ind w:left="1187"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658" w:hanging="529"/>
        <w:jc w:val="left"/>
      </w:pPr>
      <w:rPr>
        <w:rFonts w:hint="default" w:ascii="宋体" w:hAnsi="宋体" w:eastAsia="宋体" w:cs="宋体"/>
        <w:spacing w:val="-92"/>
        <w:w w:val="100"/>
        <w:sz w:val="19"/>
        <w:szCs w:val="19"/>
        <w:lang w:val="zh-CN" w:eastAsia="zh-CN" w:bidi="zh-CN"/>
      </w:rPr>
    </w:lvl>
    <w:lvl w:ilvl="2">
      <w:start w:val="0"/>
      <w:numFmt w:val="bullet"/>
      <w:lvlText w:val="•"/>
      <w:lvlJc w:val="left"/>
      <w:pPr>
        <w:ind w:left="2191" w:hanging="529"/>
      </w:pPr>
      <w:rPr>
        <w:rFonts w:hint="default"/>
        <w:lang w:val="zh-CN" w:eastAsia="zh-CN" w:bidi="zh-CN"/>
      </w:rPr>
    </w:lvl>
    <w:lvl w:ilvl="3">
      <w:start w:val="0"/>
      <w:numFmt w:val="bullet"/>
      <w:lvlText w:val="•"/>
      <w:lvlJc w:val="left"/>
      <w:pPr>
        <w:ind w:left="3203" w:hanging="529"/>
      </w:pPr>
      <w:rPr>
        <w:rFonts w:hint="default"/>
        <w:lang w:val="zh-CN" w:eastAsia="zh-CN" w:bidi="zh-CN"/>
      </w:rPr>
    </w:lvl>
    <w:lvl w:ilvl="4">
      <w:start w:val="0"/>
      <w:numFmt w:val="bullet"/>
      <w:lvlText w:val="•"/>
      <w:lvlJc w:val="left"/>
      <w:pPr>
        <w:ind w:left="4215" w:hanging="529"/>
      </w:pPr>
      <w:rPr>
        <w:rFonts w:hint="default"/>
        <w:lang w:val="zh-CN" w:eastAsia="zh-CN" w:bidi="zh-CN"/>
      </w:rPr>
    </w:lvl>
    <w:lvl w:ilvl="5">
      <w:start w:val="0"/>
      <w:numFmt w:val="bullet"/>
      <w:lvlText w:val="•"/>
      <w:lvlJc w:val="left"/>
      <w:pPr>
        <w:ind w:left="5227" w:hanging="529"/>
      </w:pPr>
      <w:rPr>
        <w:rFonts w:hint="default"/>
        <w:lang w:val="zh-CN" w:eastAsia="zh-CN" w:bidi="zh-CN"/>
      </w:rPr>
    </w:lvl>
    <w:lvl w:ilvl="6">
      <w:start w:val="0"/>
      <w:numFmt w:val="bullet"/>
      <w:lvlText w:val="•"/>
      <w:lvlJc w:val="left"/>
      <w:pPr>
        <w:ind w:left="6239" w:hanging="529"/>
      </w:pPr>
      <w:rPr>
        <w:rFonts w:hint="default"/>
        <w:lang w:val="zh-CN" w:eastAsia="zh-CN" w:bidi="zh-CN"/>
      </w:rPr>
    </w:lvl>
    <w:lvl w:ilvl="7">
      <w:start w:val="0"/>
      <w:numFmt w:val="bullet"/>
      <w:lvlText w:val="•"/>
      <w:lvlJc w:val="left"/>
      <w:pPr>
        <w:ind w:left="7250" w:hanging="529"/>
      </w:pPr>
      <w:rPr>
        <w:rFonts w:hint="default"/>
        <w:lang w:val="zh-CN" w:eastAsia="zh-CN" w:bidi="zh-CN"/>
      </w:rPr>
    </w:lvl>
    <w:lvl w:ilvl="8">
      <w:start w:val="0"/>
      <w:numFmt w:val="bullet"/>
      <w:lvlText w:val="•"/>
      <w:lvlJc w:val="left"/>
      <w:pPr>
        <w:ind w:left="8262" w:hanging="529"/>
      </w:pPr>
      <w:rPr>
        <w:rFonts w:hint="default"/>
        <w:lang w:val="zh-CN" w:eastAsia="zh-CN" w:bidi="zh-CN"/>
      </w:rPr>
    </w:lvl>
  </w:abstractNum>
  <w:abstractNum w:abstractNumId="11">
    <w:multiLevelType w:val="hybridMultilevel"/>
    <w:lvl w:ilvl="0">
      <w:start w:val="1"/>
      <w:numFmt w:val="decimal"/>
      <w:lvlText w:val="（%1）"/>
      <w:lvlJc w:val="left"/>
      <w:pPr>
        <w:ind w:left="6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10">
    <w:multiLevelType w:val="hybridMultilevel"/>
    <w:lvl w:ilvl="0">
      <w:start w:val="1"/>
      <w:numFmt w:val="decimal"/>
      <w:lvlText w:val="（%1）"/>
      <w:lvlJc w:val="left"/>
      <w:pPr>
        <w:ind w:left="658"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9">
    <w:multiLevelType w:val="hybridMultilevel"/>
    <w:lvl w:ilvl="0">
      <w:start w:val="1"/>
      <w:numFmt w:val="decimal"/>
      <w:lvlText w:val="（%1）"/>
      <w:lvlJc w:val="left"/>
      <w:pPr>
        <w:ind w:left="6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8">
    <w:multiLevelType w:val="hybridMultilevel"/>
    <w:lvl w:ilvl="0">
      <w:start w:val="1"/>
      <w:numFmt w:val="decimal"/>
      <w:lvlText w:val="（%1）"/>
      <w:lvlJc w:val="left"/>
      <w:pPr>
        <w:ind w:left="11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90" w:hanging="529"/>
      </w:pPr>
      <w:rPr>
        <w:rFonts w:hint="default"/>
        <w:lang w:val="zh-CN" w:eastAsia="zh-CN" w:bidi="zh-CN"/>
      </w:rPr>
    </w:lvl>
    <w:lvl w:ilvl="2">
      <w:start w:val="0"/>
      <w:numFmt w:val="bullet"/>
      <w:lvlText w:val="•"/>
      <w:lvlJc w:val="left"/>
      <w:pPr>
        <w:ind w:left="3001" w:hanging="529"/>
      </w:pPr>
      <w:rPr>
        <w:rFonts w:hint="default"/>
        <w:lang w:val="zh-CN" w:eastAsia="zh-CN" w:bidi="zh-CN"/>
      </w:rPr>
    </w:lvl>
    <w:lvl w:ilvl="3">
      <w:start w:val="0"/>
      <w:numFmt w:val="bullet"/>
      <w:lvlText w:val="•"/>
      <w:lvlJc w:val="left"/>
      <w:pPr>
        <w:ind w:left="3911" w:hanging="529"/>
      </w:pPr>
      <w:rPr>
        <w:rFonts w:hint="default"/>
        <w:lang w:val="zh-CN" w:eastAsia="zh-CN" w:bidi="zh-CN"/>
      </w:rPr>
    </w:lvl>
    <w:lvl w:ilvl="4">
      <w:start w:val="0"/>
      <w:numFmt w:val="bullet"/>
      <w:lvlText w:val="•"/>
      <w:lvlJc w:val="left"/>
      <w:pPr>
        <w:ind w:left="4822" w:hanging="529"/>
      </w:pPr>
      <w:rPr>
        <w:rFonts w:hint="default"/>
        <w:lang w:val="zh-CN" w:eastAsia="zh-CN" w:bidi="zh-CN"/>
      </w:rPr>
    </w:lvl>
    <w:lvl w:ilvl="5">
      <w:start w:val="0"/>
      <w:numFmt w:val="bullet"/>
      <w:lvlText w:val="•"/>
      <w:lvlJc w:val="left"/>
      <w:pPr>
        <w:ind w:left="5733" w:hanging="529"/>
      </w:pPr>
      <w:rPr>
        <w:rFonts w:hint="default"/>
        <w:lang w:val="zh-CN" w:eastAsia="zh-CN" w:bidi="zh-CN"/>
      </w:rPr>
    </w:lvl>
    <w:lvl w:ilvl="6">
      <w:start w:val="0"/>
      <w:numFmt w:val="bullet"/>
      <w:lvlText w:val="•"/>
      <w:lvlJc w:val="left"/>
      <w:pPr>
        <w:ind w:left="6643" w:hanging="529"/>
      </w:pPr>
      <w:rPr>
        <w:rFonts w:hint="default"/>
        <w:lang w:val="zh-CN" w:eastAsia="zh-CN" w:bidi="zh-CN"/>
      </w:rPr>
    </w:lvl>
    <w:lvl w:ilvl="7">
      <w:start w:val="0"/>
      <w:numFmt w:val="bullet"/>
      <w:lvlText w:val="•"/>
      <w:lvlJc w:val="left"/>
      <w:pPr>
        <w:ind w:left="7554" w:hanging="529"/>
      </w:pPr>
      <w:rPr>
        <w:rFonts w:hint="default"/>
        <w:lang w:val="zh-CN" w:eastAsia="zh-CN" w:bidi="zh-CN"/>
      </w:rPr>
    </w:lvl>
    <w:lvl w:ilvl="8">
      <w:start w:val="0"/>
      <w:numFmt w:val="bullet"/>
      <w:lvlText w:val="•"/>
      <w:lvlJc w:val="left"/>
      <w:pPr>
        <w:ind w:left="8465" w:hanging="529"/>
      </w:pPr>
      <w:rPr>
        <w:rFonts w:hint="default"/>
        <w:lang w:val="zh-CN" w:eastAsia="zh-CN" w:bidi="zh-CN"/>
      </w:rPr>
    </w:lvl>
  </w:abstractNum>
  <w:abstractNum w:abstractNumId="7">
    <w:multiLevelType w:val="hybridMultilevel"/>
    <w:lvl w:ilvl="0">
      <w:start w:val="1"/>
      <w:numFmt w:val="decimal"/>
      <w:lvlText w:val="（%1）"/>
      <w:lvlJc w:val="left"/>
      <w:pPr>
        <w:ind w:left="11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90" w:hanging="529"/>
      </w:pPr>
      <w:rPr>
        <w:rFonts w:hint="default"/>
        <w:lang w:val="zh-CN" w:eastAsia="zh-CN" w:bidi="zh-CN"/>
      </w:rPr>
    </w:lvl>
    <w:lvl w:ilvl="2">
      <w:start w:val="0"/>
      <w:numFmt w:val="bullet"/>
      <w:lvlText w:val="•"/>
      <w:lvlJc w:val="left"/>
      <w:pPr>
        <w:ind w:left="3001" w:hanging="529"/>
      </w:pPr>
      <w:rPr>
        <w:rFonts w:hint="default"/>
        <w:lang w:val="zh-CN" w:eastAsia="zh-CN" w:bidi="zh-CN"/>
      </w:rPr>
    </w:lvl>
    <w:lvl w:ilvl="3">
      <w:start w:val="0"/>
      <w:numFmt w:val="bullet"/>
      <w:lvlText w:val="•"/>
      <w:lvlJc w:val="left"/>
      <w:pPr>
        <w:ind w:left="3911" w:hanging="529"/>
      </w:pPr>
      <w:rPr>
        <w:rFonts w:hint="default"/>
        <w:lang w:val="zh-CN" w:eastAsia="zh-CN" w:bidi="zh-CN"/>
      </w:rPr>
    </w:lvl>
    <w:lvl w:ilvl="4">
      <w:start w:val="0"/>
      <w:numFmt w:val="bullet"/>
      <w:lvlText w:val="•"/>
      <w:lvlJc w:val="left"/>
      <w:pPr>
        <w:ind w:left="4822" w:hanging="529"/>
      </w:pPr>
      <w:rPr>
        <w:rFonts w:hint="default"/>
        <w:lang w:val="zh-CN" w:eastAsia="zh-CN" w:bidi="zh-CN"/>
      </w:rPr>
    </w:lvl>
    <w:lvl w:ilvl="5">
      <w:start w:val="0"/>
      <w:numFmt w:val="bullet"/>
      <w:lvlText w:val="•"/>
      <w:lvlJc w:val="left"/>
      <w:pPr>
        <w:ind w:left="5733" w:hanging="529"/>
      </w:pPr>
      <w:rPr>
        <w:rFonts w:hint="default"/>
        <w:lang w:val="zh-CN" w:eastAsia="zh-CN" w:bidi="zh-CN"/>
      </w:rPr>
    </w:lvl>
    <w:lvl w:ilvl="6">
      <w:start w:val="0"/>
      <w:numFmt w:val="bullet"/>
      <w:lvlText w:val="•"/>
      <w:lvlJc w:val="left"/>
      <w:pPr>
        <w:ind w:left="6643" w:hanging="529"/>
      </w:pPr>
      <w:rPr>
        <w:rFonts w:hint="default"/>
        <w:lang w:val="zh-CN" w:eastAsia="zh-CN" w:bidi="zh-CN"/>
      </w:rPr>
    </w:lvl>
    <w:lvl w:ilvl="7">
      <w:start w:val="0"/>
      <w:numFmt w:val="bullet"/>
      <w:lvlText w:val="•"/>
      <w:lvlJc w:val="left"/>
      <w:pPr>
        <w:ind w:left="7554" w:hanging="529"/>
      </w:pPr>
      <w:rPr>
        <w:rFonts w:hint="default"/>
        <w:lang w:val="zh-CN" w:eastAsia="zh-CN" w:bidi="zh-CN"/>
      </w:rPr>
    </w:lvl>
    <w:lvl w:ilvl="8">
      <w:start w:val="0"/>
      <w:numFmt w:val="bullet"/>
      <w:lvlText w:val="•"/>
      <w:lvlJc w:val="left"/>
      <w:pPr>
        <w:ind w:left="8465" w:hanging="529"/>
      </w:pPr>
      <w:rPr>
        <w:rFonts w:hint="default"/>
        <w:lang w:val="zh-CN" w:eastAsia="zh-CN" w:bidi="zh-CN"/>
      </w:rPr>
    </w:lvl>
  </w:abstractNum>
  <w:abstractNum w:abstractNumId="6">
    <w:multiLevelType w:val="hybridMultilevel"/>
    <w:lvl w:ilvl="0">
      <w:start w:val="1"/>
      <w:numFmt w:val="decimal"/>
      <w:lvlText w:val="（%1）"/>
      <w:lvlJc w:val="left"/>
      <w:pPr>
        <w:ind w:left="65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22" w:hanging="529"/>
      </w:pPr>
      <w:rPr>
        <w:rFonts w:hint="default"/>
        <w:lang w:val="zh-CN" w:eastAsia="zh-CN" w:bidi="zh-CN"/>
      </w:rPr>
    </w:lvl>
    <w:lvl w:ilvl="2">
      <w:start w:val="0"/>
      <w:numFmt w:val="bullet"/>
      <w:lvlText w:val="•"/>
      <w:lvlJc w:val="left"/>
      <w:pPr>
        <w:ind w:left="2585" w:hanging="529"/>
      </w:pPr>
      <w:rPr>
        <w:rFonts w:hint="default"/>
        <w:lang w:val="zh-CN" w:eastAsia="zh-CN" w:bidi="zh-CN"/>
      </w:rPr>
    </w:lvl>
    <w:lvl w:ilvl="3">
      <w:start w:val="0"/>
      <w:numFmt w:val="bullet"/>
      <w:lvlText w:val="•"/>
      <w:lvlJc w:val="left"/>
      <w:pPr>
        <w:ind w:left="3547" w:hanging="529"/>
      </w:pPr>
      <w:rPr>
        <w:rFonts w:hint="default"/>
        <w:lang w:val="zh-CN" w:eastAsia="zh-CN" w:bidi="zh-CN"/>
      </w:rPr>
    </w:lvl>
    <w:lvl w:ilvl="4">
      <w:start w:val="0"/>
      <w:numFmt w:val="bullet"/>
      <w:lvlText w:val="•"/>
      <w:lvlJc w:val="left"/>
      <w:pPr>
        <w:ind w:left="4510" w:hanging="529"/>
      </w:pPr>
      <w:rPr>
        <w:rFonts w:hint="default"/>
        <w:lang w:val="zh-CN" w:eastAsia="zh-CN" w:bidi="zh-CN"/>
      </w:rPr>
    </w:lvl>
    <w:lvl w:ilvl="5">
      <w:start w:val="0"/>
      <w:numFmt w:val="bullet"/>
      <w:lvlText w:val="•"/>
      <w:lvlJc w:val="left"/>
      <w:pPr>
        <w:ind w:left="547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398" w:hanging="529"/>
      </w:pPr>
      <w:rPr>
        <w:rFonts w:hint="default"/>
        <w:lang w:val="zh-CN" w:eastAsia="zh-CN" w:bidi="zh-CN"/>
      </w:rPr>
    </w:lvl>
    <w:lvl w:ilvl="8">
      <w:start w:val="0"/>
      <w:numFmt w:val="bullet"/>
      <w:lvlText w:val="•"/>
      <w:lvlJc w:val="left"/>
      <w:pPr>
        <w:ind w:left="8361" w:hanging="529"/>
      </w:pPr>
      <w:rPr>
        <w:rFonts w:hint="default"/>
        <w:lang w:val="zh-CN" w:eastAsia="zh-CN" w:bidi="zh-CN"/>
      </w:rPr>
    </w:lvl>
  </w:abstractNum>
  <w:abstractNum w:abstractNumId="5">
    <w:multiLevelType w:val="hybridMultilevel"/>
    <w:lvl w:ilvl="0">
      <w:start w:val="1"/>
      <w:numFmt w:val="decimal"/>
      <w:lvlText w:val="（%1）"/>
      <w:lvlJc w:val="left"/>
      <w:pPr>
        <w:ind w:left="11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90" w:hanging="529"/>
      </w:pPr>
      <w:rPr>
        <w:rFonts w:hint="default"/>
        <w:lang w:val="zh-CN" w:eastAsia="zh-CN" w:bidi="zh-CN"/>
      </w:rPr>
    </w:lvl>
    <w:lvl w:ilvl="2">
      <w:start w:val="0"/>
      <w:numFmt w:val="bullet"/>
      <w:lvlText w:val="•"/>
      <w:lvlJc w:val="left"/>
      <w:pPr>
        <w:ind w:left="3001" w:hanging="529"/>
      </w:pPr>
      <w:rPr>
        <w:rFonts w:hint="default"/>
        <w:lang w:val="zh-CN" w:eastAsia="zh-CN" w:bidi="zh-CN"/>
      </w:rPr>
    </w:lvl>
    <w:lvl w:ilvl="3">
      <w:start w:val="0"/>
      <w:numFmt w:val="bullet"/>
      <w:lvlText w:val="•"/>
      <w:lvlJc w:val="left"/>
      <w:pPr>
        <w:ind w:left="3911" w:hanging="529"/>
      </w:pPr>
      <w:rPr>
        <w:rFonts w:hint="default"/>
        <w:lang w:val="zh-CN" w:eastAsia="zh-CN" w:bidi="zh-CN"/>
      </w:rPr>
    </w:lvl>
    <w:lvl w:ilvl="4">
      <w:start w:val="0"/>
      <w:numFmt w:val="bullet"/>
      <w:lvlText w:val="•"/>
      <w:lvlJc w:val="left"/>
      <w:pPr>
        <w:ind w:left="4822" w:hanging="529"/>
      </w:pPr>
      <w:rPr>
        <w:rFonts w:hint="default"/>
        <w:lang w:val="zh-CN" w:eastAsia="zh-CN" w:bidi="zh-CN"/>
      </w:rPr>
    </w:lvl>
    <w:lvl w:ilvl="5">
      <w:start w:val="0"/>
      <w:numFmt w:val="bullet"/>
      <w:lvlText w:val="•"/>
      <w:lvlJc w:val="left"/>
      <w:pPr>
        <w:ind w:left="5733" w:hanging="529"/>
      </w:pPr>
      <w:rPr>
        <w:rFonts w:hint="default"/>
        <w:lang w:val="zh-CN" w:eastAsia="zh-CN" w:bidi="zh-CN"/>
      </w:rPr>
    </w:lvl>
    <w:lvl w:ilvl="6">
      <w:start w:val="0"/>
      <w:numFmt w:val="bullet"/>
      <w:lvlText w:val="•"/>
      <w:lvlJc w:val="left"/>
      <w:pPr>
        <w:ind w:left="6643" w:hanging="529"/>
      </w:pPr>
      <w:rPr>
        <w:rFonts w:hint="default"/>
        <w:lang w:val="zh-CN" w:eastAsia="zh-CN" w:bidi="zh-CN"/>
      </w:rPr>
    </w:lvl>
    <w:lvl w:ilvl="7">
      <w:start w:val="0"/>
      <w:numFmt w:val="bullet"/>
      <w:lvlText w:val="•"/>
      <w:lvlJc w:val="left"/>
      <w:pPr>
        <w:ind w:left="7554" w:hanging="529"/>
      </w:pPr>
      <w:rPr>
        <w:rFonts w:hint="default"/>
        <w:lang w:val="zh-CN" w:eastAsia="zh-CN" w:bidi="zh-CN"/>
      </w:rPr>
    </w:lvl>
    <w:lvl w:ilvl="8">
      <w:start w:val="0"/>
      <w:numFmt w:val="bullet"/>
      <w:lvlText w:val="•"/>
      <w:lvlJc w:val="left"/>
      <w:pPr>
        <w:ind w:left="8465" w:hanging="529"/>
      </w:pPr>
      <w:rPr>
        <w:rFonts w:hint="default"/>
        <w:lang w:val="zh-CN" w:eastAsia="zh-CN" w:bidi="zh-CN"/>
      </w:rPr>
    </w:lvl>
  </w:abstractNum>
  <w:abstractNum w:abstractNumId="4">
    <w:multiLevelType w:val="hybridMultilevel"/>
    <w:lvl w:ilvl="0">
      <w:start w:val="4"/>
      <w:numFmt w:val="lowerRoman"/>
      <w:lvlText w:val="(%1)"/>
      <w:lvlJc w:val="left"/>
      <w:pPr>
        <w:ind w:left="1379" w:hanging="302"/>
        <w:jc w:val="left"/>
      </w:pPr>
      <w:rPr>
        <w:rFonts w:hint="default" w:ascii="Times New Roman" w:hAnsi="Times New Roman" w:eastAsia="Times New Roman" w:cs="Times New Roman"/>
        <w:spacing w:val="-3"/>
        <w:w w:val="100"/>
        <w:sz w:val="19"/>
        <w:szCs w:val="19"/>
        <w:lang w:val="zh-CN" w:eastAsia="zh-CN" w:bidi="zh-CN"/>
      </w:rPr>
    </w:lvl>
    <w:lvl w:ilvl="1">
      <w:start w:val="0"/>
      <w:numFmt w:val="bullet"/>
      <w:lvlText w:val="•"/>
      <w:lvlJc w:val="left"/>
      <w:pPr>
        <w:ind w:left="2270" w:hanging="302"/>
      </w:pPr>
      <w:rPr>
        <w:rFonts w:hint="default"/>
        <w:lang w:val="zh-CN" w:eastAsia="zh-CN" w:bidi="zh-CN"/>
      </w:rPr>
    </w:lvl>
    <w:lvl w:ilvl="2">
      <w:start w:val="0"/>
      <w:numFmt w:val="bullet"/>
      <w:lvlText w:val="•"/>
      <w:lvlJc w:val="left"/>
      <w:pPr>
        <w:ind w:left="3161" w:hanging="302"/>
      </w:pPr>
      <w:rPr>
        <w:rFonts w:hint="default"/>
        <w:lang w:val="zh-CN" w:eastAsia="zh-CN" w:bidi="zh-CN"/>
      </w:rPr>
    </w:lvl>
    <w:lvl w:ilvl="3">
      <w:start w:val="0"/>
      <w:numFmt w:val="bullet"/>
      <w:lvlText w:val="•"/>
      <w:lvlJc w:val="left"/>
      <w:pPr>
        <w:ind w:left="4051" w:hanging="302"/>
      </w:pPr>
      <w:rPr>
        <w:rFonts w:hint="default"/>
        <w:lang w:val="zh-CN" w:eastAsia="zh-CN" w:bidi="zh-CN"/>
      </w:rPr>
    </w:lvl>
    <w:lvl w:ilvl="4">
      <w:start w:val="0"/>
      <w:numFmt w:val="bullet"/>
      <w:lvlText w:val="•"/>
      <w:lvlJc w:val="left"/>
      <w:pPr>
        <w:ind w:left="4942" w:hanging="302"/>
      </w:pPr>
      <w:rPr>
        <w:rFonts w:hint="default"/>
        <w:lang w:val="zh-CN" w:eastAsia="zh-CN" w:bidi="zh-CN"/>
      </w:rPr>
    </w:lvl>
    <w:lvl w:ilvl="5">
      <w:start w:val="0"/>
      <w:numFmt w:val="bullet"/>
      <w:lvlText w:val="•"/>
      <w:lvlJc w:val="left"/>
      <w:pPr>
        <w:ind w:left="5833" w:hanging="302"/>
      </w:pPr>
      <w:rPr>
        <w:rFonts w:hint="default"/>
        <w:lang w:val="zh-CN" w:eastAsia="zh-CN" w:bidi="zh-CN"/>
      </w:rPr>
    </w:lvl>
    <w:lvl w:ilvl="6">
      <w:start w:val="0"/>
      <w:numFmt w:val="bullet"/>
      <w:lvlText w:val="•"/>
      <w:lvlJc w:val="left"/>
      <w:pPr>
        <w:ind w:left="6723" w:hanging="302"/>
      </w:pPr>
      <w:rPr>
        <w:rFonts w:hint="default"/>
        <w:lang w:val="zh-CN" w:eastAsia="zh-CN" w:bidi="zh-CN"/>
      </w:rPr>
    </w:lvl>
    <w:lvl w:ilvl="7">
      <w:start w:val="0"/>
      <w:numFmt w:val="bullet"/>
      <w:lvlText w:val="•"/>
      <w:lvlJc w:val="left"/>
      <w:pPr>
        <w:ind w:left="7614" w:hanging="302"/>
      </w:pPr>
      <w:rPr>
        <w:rFonts w:hint="default"/>
        <w:lang w:val="zh-CN" w:eastAsia="zh-CN" w:bidi="zh-CN"/>
      </w:rPr>
    </w:lvl>
    <w:lvl w:ilvl="8">
      <w:start w:val="0"/>
      <w:numFmt w:val="bullet"/>
      <w:lvlText w:val="•"/>
      <w:lvlJc w:val="left"/>
      <w:pPr>
        <w:ind w:left="8505" w:hanging="302"/>
      </w:pPr>
      <w:rPr>
        <w:rFonts w:hint="default"/>
        <w:lang w:val="zh-CN" w:eastAsia="zh-CN" w:bidi="zh-CN"/>
      </w:rPr>
    </w:lvl>
  </w:abstractNum>
  <w:abstractNum w:abstractNumId="3">
    <w:multiLevelType w:val="hybridMultilevel"/>
    <w:lvl w:ilvl="0">
      <w:start w:val="1"/>
      <w:numFmt w:val="decimal"/>
      <w:lvlText w:val="（%1）"/>
      <w:lvlJc w:val="left"/>
      <w:pPr>
        <w:ind w:left="1187"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1276" w:hanging="199"/>
        <w:jc w:val="left"/>
      </w:pPr>
      <w:rPr>
        <w:rFonts w:hint="default" w:ascii="Times New Roman" w:hAnsi="Times New Roman" w:eastAsia="Times New Roman" w:cs="Times New Roman"/>
        <w:spacing w:val="-2"/>
        <w:w w:val="100"/>
        <w:sz w:val="19"/>
        <w:szCs w:val="19"/>
        <w:lang w:val="zh-CN" w:eastAsia="zh-CN" w:bidi="zh-CN"/>
      </w:rPr>
    </w:lvl>
    <w:lvl w:ilvl="2">
      <w:start w:val="0"/>
      <w:numFmt w:val="bullet"/>
      <w:lvlText w:val="•"/>
      <w:lvlJc w:val="left"/>
      <w:pPr>
        <w:ind w:left="2280" w:hanging="199"/>
      </w:pPr>
      <w:rPr>
        <w:rFonts w:hint="default"/>
        <w:lang w:val="zh-CN" w:eastAsia="zh-CN" w:bidi="zh-CN"/>
      </w:rPr>
    </w:lvl>
    <w:lvl w:ilvl="3">
      <w:start w:val="0"/>
      <w:numFmt w:val="bullet"/>
      <w:lvlText w:val="•"/>
      <w:lvlJc w:val="left"/>
      <w:pPr>
        <w:ind w:left="3281" w:hanging="199"/>
      </w:pPr>
      <w:rPr>
        <w:rFonts w:hint="default"/>
        <w:lang w:val="zh-CN" w:eastAsia="zh-CN" w:bidi="zh-CN"/>
      </w:rPr>
    </w:lvl>
    <w:lvl w:ilvl="4">
      <w:start w:val="0"/>
      <w:numFmt w:val="bullet"/>
      <w:lvlText w:val="•"/>
      <w:lvlJc w:val="left"/>
      <w:pPr>
        <w:ind w:left="4282" w:hanging="199"/>
      </w:pPr>
      <w:rPr>
        <w:rFonts w:hint="default"/>
        <w:lang w:val="zh-CN" w:eastAsia="zh-CN" w:bidi="zh-CN"/>
      </w:rPr>
    </w:lvl>
    <w:lvl w:ilvl="5">
      <w:start w:val="0"/>
      <w:numFmt w:val="bullet"/>
      <w:lvlText w:val="•"/>
      <w:lvlJc w:val="left"/>
      <w:pPr>
        <w:ind w:left="5282" w:hanging="199"/>
      </w:pPr>
      <w:rPr>
        <w:rFonts w:hint="default"/>
        <w:lang w:val="zh-CN" w:eastAsia="zh-CN" w:bidi="zh-CN"/>
      </w:rPr>
    </w:lvl>
    <w:lvl w:ilvl="6">
      <w:start w:val="0"/>
      <w:numFmt w:val="bullet"/>
      <w:lvlText w:val="•"/>
      <w:lvlJc w:val="left"/>
      <w:pPr>
        <w:ind w:left="6283" w:hanging="199"/>
      </w:pPr>
      <w:rPr>
        <w:rFonts w:hint="default"/>
        <w:lang w:val="zh-CN" w:eastAsia="zh-CN" w:bidi="zh-CN"/>
      </w:rPr>
    </w:lvl>
    <w:lvl w:ilvl="7">
      <w:start w:val="0"/>
      <w:numFmt w:val="bullet"/>
      <w:lvlText w:val="•"/>
      <w:lvlJc w:val="left"/>
      <w:pPr>
        <w:ind w:left="7284" w:hanging="199"/>
      </w:pPr>
      <w:rPr>
        <w:rFonts w:hint="default"/>
        <w:lang w:val="zh-CN" w:eastAsia="zh-CN" w:bidi="zh-CN"/>
      </w:rPr>
    </w:lvl>
    <w:lvl w:ilvl="8">
      <w:start w:val="0"/>
      <w:numFmt w:val="bullet"/>
      <w:lvlText w:val="•"/>
      <w:lvlJc w:val="left"/>
      <w:pPr>
        <w:ind w:left="8284" w:hanging="199"/>
      </w:pPr>
      <w:rPr>
        <w:rFonts w:hint="default"/>
        <w:lang w:val="zh-CN" w:eastAsia="zh-CN" w:bidi="zh-CN"/>
      </w:rPr>
    </w:lvl>
  </w:abstractNum>
  <w:abstractNum w:abstractNumId="2">
    <w:multiLevelType w:val="hybridMultilevel"/>
    <w:lvl w:ilvl="0">
      <w:start w:val="1"/>
      <w:numFmt w:val="decimal"/>
      <w:lvlText w:val="（%1）"/>
      <w:lvlJc w:val="left"/>
      <w:pPr>
        <w:ind w:left="11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90" w:hanging="529"/>
      </w:pPr>
      <w:rPr>
        <w:rFonts w:hint="default"/>
        <w:lang w:val="zh-CN" w:eastAsia="zh-CN" w:bidi="zh-CN"/>
      </w:rPr>
    </w:lvl>
    <w:lvl w:ilvl="2">
      <w:start w:val="0"/>
      <w:numFmt w:val="bullet"/>
      <w:lvlText w:val="•"/>
      <w:lvlJc w:val="left"/>
      <w:pPr>
        <w:ind w:left="3001" w:hanging="529"/>
      </w:pPr>
      <w:rPr>
        <w:rFonts w:hint="default"/>
        <w:lang w:val="zh-CN" w:eastAsia="zh-CN" w:bidi="zh-CN"/>
      </w:rPr>
    </w:lvl>
    <w:lvl w:ilvl="3">
      <w:start w:val="0"/>
      <w:numFmt w:val="bullet"/>
      <w:lvlText w:val="•"/>
      <w:lvlJc w:val="left"/>
      <w:pPr>
        <w:ind w:left="3911" w:hanging="529"/>
      </w:pPr>
      <w:rPr>
        <w:rFonts w:hint="default"/>
        <w:lang w:val="zh-CN" w:eastAsia="zh-CN" w:bidi="zh-CN"/>
      </w:rPr>
    </w:lvl>
    <w:lvl w:ilvl="4">
      <w:start w:val="0"/>
      <w:numFmt w:val="bullet"/>
      <w:lvlText w:val="•"/>
      <w:lvlJc w:val="left"/>
      <w:pPr>
        <w:ind w:left="4822" w:hanging="529"/>
      </w:pPr>
      <w:rPr>
        <w:rFonts w:hint="default"/>
        <w:lang w:val="zh-CN" w:eastAsia="zh-CN" w:bidi="zh-CN"/>
      </w:rPr>
    </w:lvl>
    <w:lvl w:ilvl="5">
      <w:start w:val="0"/>
      <w:numFmt w:val="bullet"/>
      <w:lvlText w:val="•"/>
      <w:lvlJc w:val="left"/>
      <w:pPr>
        <w:ind w:left="5733" w:hanging="529"/>
      </w:pPr>
      <w:rPr>
        <w:rFonts w:hint="default"/>
        <w:lang w:val="zh-CN" w:eastAsia="zh-CN" w:bidi="zh-CN"/>
      </w:rPr>
    </w:lvl>
    <w:lvl w:ilvl="6">
      <w:start w:val="0"/>
      <w:numFmt w:val="bullet"/>
      <w:lvlText w:val="•"/>
      <w:lvlJc w:val="left"/>
      <w:pPr>
        <w:ind w:left="6643" w:hanging="529"/>
      </w:pPr>
      <w:rPr>
        <w:rFonts w:hint="default"/>
        <w:lang w:val="zh-CN" w:eastAsia="zh-CN" w:bidi="zh-CN"/>
      </w:rPr>
    </w:lvl>
    <w:lvl w:ilvl="7">
      <w:start w:val="0"/>
      <w:numFmt w:val="bullet"/>
      <w:lvlText w:val="•"/>
      <w:lvlJc w:val="left"/>
      <w:pPr>
        <w:ind w:left="7554" w:hanging="529"/>
      </w:pPr>
      <w:rPr>
        <w:rFonts w:hint="default"/>
        <w:lang w:val="zh-CN" w:eastAsia="zh-CN" w:bidi="zh-CN"/>
      </w:rPr>
    </w:lvl>
    <w:lvl w:ilvl="8">
      <w:start w:val="0"/>
      <w:numFmt w:val="bullet"/>
      <w:lvlText w:val="•"/>
      <w:lvlJc w:val="left"/>
      <w:pPr>
        <w:ind w:left="8465" w:hanging="529"/>
      </w:pPr>
      <w:rPr>
        <w:rFonts w:hint="default"/>
        <w:lang w:val="zh-CN" w:eastAsia="zh-CN" w:bidi="zh-CN"/>
      </w:rPr>
    </w:lvl>
  </w:abstractNum>
  <w:abstractNum w:abstractNumId="1">
    <w:multiLevelType w:val="hybridMultilevel"/>
    <w:lvl w:ilvl="0">
      <w:start w:val="1"/>
      <w:numFmt w:val="decimal"/>
      <w:lvlText w:val="（%1）"/>
      <w:lvlJc w:val="left"/>
      <w:pPr>
        <w:ind w:left="118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90" w:hanging="529"/>
      </w:pPr>
      <w:rPr>
        <w:rFonts w:hint="default"/>
        <w:lang w:val="zh-CN" w:eastAsia="zh-CN" w:bidi="zh-CN"/>
      </w:rPr>
    </w:lvl>
    <w:lvl w:ilvl="2">
      <w:start w:val="0"/>
      <w:numFmt w:val="bullet"/>
      <w:lvlText w:val="•"/>
      <w:lvlJc w:val="left"/>
      <w:pPr>
        <w:ind w:left="3001" w:hanging="529"/>
      </w:pPr>
      <w:rPr>
        <w:rFonts w:hint="default"/>
        <w:lang w:val="zh-CN" w:eastAsia="zh-CN" w:bidi="zh-CN"/>
      </w:rPr>
    </w:lvl>
    <w:lvl w:ilvl="3">
      <w:start w:val="0"/>
      <w:numFmt w:val="bullet"/>
      <w:lvlText w:val="•"/>
      <w:lvlJc w:val="left"/>
      <w:pPr>
        <w:ind w:left="3911" w:hanging="529"/>
      </w:pPr>
      <w:rPr>
        <w:rFonts w:hint="default"/>
        <w:lang w:val="zh-CN" w:eastAsia="zh-CN" w:bidi="zh-CN"/>
      </w:rPr>
    </w:lvl>
    <w:lvl w:ilvl="4">
      <w:start w:val="0"/>
      <w:numFmt w:val="bullet"/>
      <w:lvlText w:val="•"/>
      <w:lvlJc w:val="left"/>
      <w:pPr>
        <w:ind w:left="4822" w:hanging="529"/>
      </w:pPr>
      <w:rPr>
        <w:rFonts w:hint="default"/>
        <w:lang w:val="zh-CN" w:eastAsia="zh-CN" w:bidi="zh-CN"/>
      </w:rPr>
    </w:lvl>
    <w:lvl w:ilvl="5">
      <w:start w:val="0"/>
      <w:numFmt w:val="bullet"/>
      <w:lvlText w:val="•"/>
      <w:lvlJc w:val="left"/>
      <w:pPr>
        <w:ind w:left="5733" w:hanging="529"/>
      </w:pPr>
      <w:rPr>
        <w:rFonts w:hint="default"/>
        <w:lang w:val="zh-CN" w:eastAsia="zh-CN" w:bidi="zh-CN"/>
      </w:rPr>
    </w:lvl>
    <w:lvl w:ilvl="6">
      <w:start w:val="0"/>
      <w:numFmt w:val="bullet"/>
      <w:lvlText w:val="•"/>
      <w:lvlJc w:val="left"/>
      <w:pPr>
        <w:ind w:left="6643" w:hanging="529"/>
      </w:pPr>
      <w:rPr>
        <w:rFonts w:hint="default"/>
        <w:lang w:val="zh-CN" w:eastAsia="zh-CN" w:bidi="zh-CN"/>
      </w:rPr>
    </w:lvl>
    <w:lvl w:ilvl="7">
      <w:start w:val="0"/>
      <w:numFmt w:val="bullet"/>
      <w:lvlText w:val="•"/>
      <w:lvlJc w:val="left"/>
      <w:pPr>
        <w:ind w:left="7554" w:hanging="529"/>
      </w:pPr>
      <w:rPr>
        <w:rFonts w:hint="default"/>
        <w:lang w:val="zh-CN" w:eastAsia="zh-CN" w:bidi="zh-CN"/>
      </w:rPr>
    </w:lvl>
    <w:lvl w:ilvl="8">
      <w:start w:val="0"/>
      <w:numFmt w:val="bullet"/>
      <w:lvlText w:val="•"/>
      <w:lvlJc w:val="left"/>
      <w:pPr>
        <w:ind w:left="8465" w:hanging="529"/>
      </w:pPr>
      <w:rPr>
        <w:rFonts w:hint="default"/>
        <w:lang w:val="zh-CN" w:eastAsia="zh-CN" w:bidi="zh-CN"/>
      </w:rPr>
    </w:lvl>
  </w:abstractNum>
  <w:abstractNum w:abstractNumId="0">
    <w:multiLevelType w:val="hybridMultilevel"/>
    <w:lvl w:ilvl="0">
      <w:start w:val="1"/>
      <w:numFmt w:val="decimal"/>
      <w:lvlText w:val="（%1）"/>
      <w:lvlJc w:val="left"/>
      <w:pPr>
        <w:ind w:left="160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68" w:hanging="529"/>
      </w:pPr>
      <w:rPr>
        <w:rFonts w:hint="default"/>
        <w:lang w:val="zh-CN" w:eastAsia="zh-CN" w:bidi="zh-CN"/>
      </w:rPr>
    </w:lvl>
    <w:lvl w:ilvl="2">
      <w:start w:val="0"/>
      <w:numFmt w:val="bullet"/>
      <w:lvlText w:val="•"/>
      <w:lvlJc w:val="left"/>
      <w:pPr>
        <w:ind w:left="3337" w:hanging="529"/>
      </w:pPr>
      <w:rPr>
        <w:rFonts w:hint="default"/>
        <w:lang w:val="zh-CN" w:eastAsia="zh-CN" w:bidi="zh-CN"/>
      </w:rPr>
    </w:lvl>
    <w:lvl w:ilvl="3">
      <w:start w:val="0"/>
      <w:numFmt w:val="bullet"/>
      <w:lvlText w:val="•"/>
      <w:lvlJc w:val="left"/>
      <w:pPr>
        <w:ind w:left="4205" w:hanging="529"/>
      </w:pPr>
      <w:rPr>
        <w:rFonts w:hint="default"/>
        <w:lang w:val="zh-CN" w:eastAsia="zh-CN" w:bidi="zh-CN"/>
      </w:rPr>
    </w:lvl>
    <w:lvl w:ilvl="4">
      <w:start w:val="0"/>
      <w:numFmt w:val="bullet"/>
      <w:lvlText w:val="•"/>
      <w:lvlJc w:val="left"/>
      <w:pPr>
        <w:ind w:left="5074" w:hanging="529"/>
      </w:pPr>
      <w:rPr>
        <w:rFonts w:hint="default"/>
        <w:lang w:val="zh-CN" w:eastAsia="zh-CN" w:bidi="zh-CN"/>
      </w:rPr>
    </w:lvl>
    <w:lvl w:ilvl="5">
      <w:start w:val="0"/>
      <w:numFmt w:val="bullet"/>
      <w:lvlText w:val="•"/>
      <w:lvlJc w:val="left"/>
      <w:pPr>
        <w:ind w:left="5943" w:hanging="529"/>
      </w:pPr>
      <w:rPr>
        <w:rFonts w:hint="default"/>
        <w:lang w:val="zh-CN" w:eastAsia="zh-CN" w:bidi="zh-CN"/>
      </w:rPr>
    </w:lvl>
    <w:lvl w:ilvl="6">
      <w:start w:val="0"/>
      <w:numFmt w:val="bullet"/>
      <w:lvlText w:val="•"/>
      <w:lvlJc w:val="left"/>
      <w:pPr>
        <w:ind w:left="6811" w:hanging="529"/>
      </w:pPr>
      <w:rPr>
        <w:rFonts w:hint="default"/>
        <w:lang w:val="zh-CN" w:eastAsia="zh-CN" w:bidi="zh-CN"/>
      </w:rPr>
    </w:lvl>
    <w:lvl w:ilvl="7">
      <w:start w:val="0"/>
      <w:numFmt w:val="bullet"/>
      <w:lvlText w:val="•"/>
      <w:lvlJc w:val="left"/>
      <w:pPr>
        <w:ind w:left="7680" w:hanging="529"/>
      </w:pPr>
      <w:rPr>
        <w:rFonts w:hint="default"/>
        <w:lang w:val="zh-CN" w:eastAsia="zh-CN" w:bidi="zh-CN"/>
      </w:rPr>
    </w:lvl>
    <w:lvl w:ilvl="8">
      <w:start w:val="0"/>
      <w:numFmt w:val="bullet"/>
      <w:lvlText w:val="•"/>
      <w:lvlJc w:val="left"/>
      <w:pPr>
        <w:ind w:left="8549" w:hanging="529"/>
      </w:pPr>
      <w:rPr>
        <w:rFonts w:hint="default"/>
        <w:lang w:val="zh-CN" w:eastAsia="zh-CN" w:bidi="zh-CN"/>
      </w:rPr>
    </w:lvl>
  </w:abstractNum>
  <w:num w:numId="37">
    <w:abstractNumId w:val="36"/>
  </w:num>
  <w:num w:numId="33">
    <w:abstractNumId w:val="32"/>
  </w:num>
  <w:num w:numId="17">
    <w:abstractNumId w:val="16"/>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6">
    <w:abstractNumId w:val="35"/>
  </w:num>
  <w:num w:numId="35">
    <w:abstractNumId w:val="34"/>
  </w:num>
  <w:num w:numId="34">
    <w:abstractNumId w:val="33"/>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224"/>
      <w:ind w:left="658"/>
    </w:pPr>
    <w:rPr>
      <w:rFonts w:ascii="宋体" w:hAnsi="宋体" w:eastAsia="宋体" w:cs="宋体"/>
      <w:b/>
      <w:bCs/>
      <w:sz w:val="20"/>
      <w:szCs w:val="20"/>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922"/>
      <w:outlineLvl w:val="1"/>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658" w:hanging="52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gwfmc.com/" TargetMode="External"/><Relationship Id="rId8" Type="http://schemas.openxmlformats.org/officeDocument/2006/relationships/hyperlink" Target="http://www.boc.cn/" TargetMode="External"/><Relationship Id="rId9" Type="http://schemas.openxmlformats.org/officeDocument/2006/relationships/hyperlink" Target="http://www.abchina.com/" TargetMode="External"/><Relationship Id="rId10" Type="http://schemas.openxmlformats.org/officeDocument/2006/relationships/hyperlink" Target="http://www.icbc.com.cn/" TargetMode="External"/><Relationship Id="rId11" Type="http://schemas.openxmlformats.org/officeDocument/2006/relationships/hyperlink" Target="http://www.ccb.com/" TargetMode="External"/><Relationship Id="rId12" Type="http://schemas.openxmlformats.org/officeDocument/2006/relationships/hyperlink" Target="http://www.bankcomm.com/" TargetMode="External"/><Relationship Id="rId13" Type="http://schemas.openxmlformats.org/officeDocument/2006/relationships/hyperlink" Target="http://www.cmbchina.com/" TargetMode="External"/><Relationship Id="rId14" Type="http://schemas.openxmlformats.org/officeDocument/2006/relationships/hyperlink" Target="http://www.cgbchina.com.cn/" TargetMode="External"/><Relationship Id="rId15" Type="http://schemas.openxmlformats.org/officeDocument/2006/relationships/hyperlink" Target="http://www.spdb.com.cn/" TargetMode="External"/><Relationship Id="rId16" Type="http://schemas.openxmlformats.org/officeDocument/2006/relationships/hyperlink" Target="http://www.cib.com.cn/" TargetMode="External"/><Relationship Id="rId17" Type="http://schemas.openxmlformats.org/officeDocument/2006/relationships/hyperlink" Target="http://www.cebbank.com/" TargetMode="External"/><Relationship Id="rId18" Type="http://schemas.openxmlformats.org/officeDocument/2006/relationships/hyperlink" Target="http://www.cmbc.com.cn/" TargetMode="External"/><Relationship Id="rId19" Type="http://schemas.openxmlformats.org/officeDocument/2006/relationships/hyperlink" Target="http://www.bankofbeijing.com.cn/" TargetMode="External"/><Relationship Id="rId20" Type="http://schemas.openxmlformats.org/officeDocument/2006/relationships/hyperlink" Target="http://www.bank.ecitic.com/" TargetMode="External"/><Relationship Id="rId21" Type="http://schemas.openxmlformats.org/officeDocument/2006/relationships/hyperlink" Target="http://www.bank.pingan.com/" TargetMode="External"/><Relationship Id="rId22" Type="http://schemas.openxmlformats.org/officeDocument/2006/relationships/hyperlink" Target="http://www.cbhb.com.cn/" TargetMode="External"/><Relationship Id="rId23" Type="http://schemas.openxmlformats.org/officeDocument/2006/relationships/hyperlink" Target="http://www.wzbank.cn/" TargetMode="External"/><Relationship Id="rId24" Type="http://schemas.openxmlformats.org/officeDocument/2006/relationships/hyperlink" Target="http://www.czbank.com/" TargetMode="External"/><Relationship Id="rId25" Type="http://schemas.openxmlformats.org/officeDocument/2006/relationships/hyperlink" Target="http://www.hxb.com.cn/" TargetMode="External"/><Relationship Id="rId26" Type="http://schemas.openxmlformats.org/officeDocument/2006/relationships/hyperlink" Target="http://www.jhccb.com.cn/" TargetMode="External"/><Relationship Id="rId27" Type="http://schemas.openxmlformats.org/officeDocument/2006/relationships/hyperlink" Target="http://www.bojx.com/" TargetMode="External"/><Relationship Id="rId28" Type="http://schemas.openxmlformats.org/officeDocument/2006/relationships/hyperlink" Target="http://www.citibank.com.cn/" TargetMode="External"/><Relationship Id="rId29" Type="http://schemas.openxmlformats.org/officeDocument/2006/relationships/hyperlink" Target="http://www.bsb.com.cn/" TargetMode="External"/><Relationship Id="rId30" Type="http://schemas.openxmlformats.org/officeDocument/2006/relationships/hyperlink" Target="http://WWW.OCBC.COM.CN/" TargetMode="External"/><Relationship Id="rId31" Type="http://schemas.openxmlformats.org/officeDocument/2006/relationships/hyperlink" Target="http://www.njcb.com.cn/" TargetMode="External"/><Relationship Id="rId32" Type="http://schemas.openxmlformats.org/officeDocument/2006/relationships/hyperlink" Target="http://www.suzhoubank.com/" TargetMode="External"/><Relationship Id="rId33" Type="http://schemas.openxmlformats.org/officeDocument/2006/relationships/hyperlink" Target="http://www.dbs.com.cn/" TargetMode="External"/><Relationship Id="rId34" Type="http://schemas.openxmlformats.org/officeDocument/2006/relationships/hyperlink" Target="http://www.hkbea.com.cn/" TargetMode="External"/><Relationship Id="rId35" Type="http://schemas.openxmlformats.org/officeDocument/2006/relationships/hyperlink" Target="http://www.srcb.com/" TargetMode="External"/><Relationship Id="rId36" Type="http://schemas.openxmlformats.org/officeDocument/2006/relationships/hyperlink" Target="http://www.zybank.com.cn/" TargetMode="External"/><Relationship Id="rId37" Type="http://schemas.openxmlformats.org/officeDocument/2006/relationships/hyperlink" Target="http://www.jnbank.com.cn/" TargetMode="External"/><Relationship Id="rId38" Type="http://schemas.openxmlformats.org/officeDocument/2006/relationships/hyperlink" Target="http://www.hfbank.com.cn/" TargetMode="External"/><Relationship Id="rId39" Type="http://schemas.openxmlformats.org/officeDocument/2006/relationships/hyperlink" Target="http://www.tf.cn/" TargetMode="External"/><Relationship Id="rId40" Type="http://schemas.openxmlformats.org/officeDocument/2006/relationships/hyperlink" Target="http://www.jsbchina.cn/" TargetMode="External"/><Relationship Id="rId41" Type="http://schemas.openxmlformats.org/officeDocument/2006/relationships/hyperlink" Target="http://www.nbcb.cn/" TargetMode="External"/><Relationship Id="rId42" Type="http://schemas.openxmlformats.org/officeDocument/2006/relationships/hyperlink" Target="mailto:jinxia@cgws.com" TargetMode="External"/><Relationship Id="rId43" Type="http://schemas.openxmlformats.org/officeDocument/2006/relationships/hyperlink" Target="http://www.cgws.com/" TargetMode="External"/><Relationship Id="rId44" Type="http://schemas.openxmlformats.org/officeDocument/2006/relationships/hyperlink" Target="http://www.gf.com.cn/" TargetMode="External"/><Relationship Id="rId45" Type="http://schemas.openxmlformats.org/officeDocument/2006/relationships/hyperlink" Target="http://www.chinastock.com.cn/" TargetMode="External"/><Relationship Id="rId46" Type="http://schemas.openxmlformats.org/officeDocument/2006/relationships/hyperlink" Target="http://www.gtja.com/" TargetMode="External"/><Relationship Id="rId47" Type="http://schemas.openxmlformats.org/officeDocument/2006/relationships/hyperlink" Target="http://www.csc108.com/" TargetMode="External"/><Relationship Id="rId48" Type="http://schemas.openxmlformats.org/officeDocument/2006/relationships/hyperlink" Target="http://www.swhysc.com/" TargetMode="External"/><Relationship Id="rId49" Type="http://schemas.openxmlformats.org/officeDocument/2006/relationships/hyperlink" Target="http://www.hysec.com/" TargetMode="External"/><Relationship Id="rId50" Type="http://schemas.openxmlformats.org/officeDocument/2006/relationships/hyperlink" Target="http://www.newone.com.cn/" TargetMode="External"/><Relationship Id="rId51" Type="http://schemas.openxmlformats.org/officeDocument/2006/relationships/hyperlink" Target="http://www.guodu.com/" TargetMode="External"/><Relationship Id="rId52" Type="http://schemas.openxmlformats.org/officeDocument/2006/relationships/hyperlink" Target="http://www.xyzq.com.cn/" TargetMode="External"/><Relationship Id="rId53" Type="http://schemas.openxmlformats.org/officeDocument/2006/relationships/hyperlink" Target="http://www.ebscn.com/" TargetMode="External"/><Relationship Id="rId54" Type="http://schemas.openxmlformats.org/officeDocument/2006/relationships/hyperlink" Target="http://www.htsec.com/" TargetMode="External"/><Relationship Id="rId55" Type="http://schemas.openxmlformats.org/officeDocument/2006/relationships/hyperlink" Target="http://www.bocichina.com/" TargetMode="External"/><Relationship Id="rId56" Type="http://schemas.openxmlformats.org/officeDocument/2006/relationships/hyperlink" Target="http://www.essence.com.cn/" TargetMode="External"/><Relationship Id="rId57" Type="http://schemas.openxmlformats.org/officeDocument/2006/relationships/hyperlink" Target="http://www.gyzq.com.cn/" TargetMode="External"/><Relationship Id="rId58" Type="http://schemas.openxmlformats.org/officeDocument/2006/relationships/hyperlink" Target="http://www.guosen.com.cn/" TargetMode="External"/><Relationship Id="rId59" Type="http://schemas.openxmlformats.org/officeDocument/2006/relationships/hyperlink" Target="http://www.cicc.com.cn/" TargetMode="External"/><Relationship Id="rId60" Type="http://schemas.openxmlformats.org/officeDocument/2006/relationships/hyperlink" Target="http://www.foundersc.com/" TargetMode="External"/><Relationship Id="rId61" Type="http://schemas.openxmlformats.org/officeDocument/2006/relationships/hyperlink" Target="http://www.txsec.com/" TargetMode="External"/><Relationship Id="rId62" Type="http://schemas.openxmlformats.org/officeDocument/2006/relationships/hyperlink" Target="http://www.westsecu.com.cn/" TargetMode="External"/><Relationship Id="rId63" Type="http://schemas.openxmlformats.org/officeDocument/2006/relationships/hyperlink" Target="http://www.cnhbstock.com/" TargetMode="External"/><Relationship Id="rId64" Type="http://schemas.openxmlformats.org/officeDocument/2006/relationships/hyperlink" Target="http://www.ajzq.com/" TargetMode="External"/><Relationship Id="rId65" Type="http://schemas.openxmlformats.org/officeDocument/2006/relationships/hyperlink" Target="http://www.hfzq.com.cn/" TargetMode="External"/><Relationship Id="rId66" Type="http://schemas.openxmlformats.org/officeDocument/2006/relationships/hyperlink" Target="http://www.cindasc.com/" TargetMode="External"/><Relationship Id="rId67" Type="http://schemas.openxmlformats.org/officeDocument/2006/relationships/hyperlink" Target="http://www.ydsc.com.cn/" TargetMode="External"/><Relationship Id="rId68" Type="http://schemas.openxmlformats.org/officeDocument/2006/relationships/hyperlink" Target="http://www.htsc.com.cn/" TargetMode="External"/><Relationship Id="rId69" Type="http://schemas.openxmlformats.org/officeDocument/2006/relationships/hyperlink" Target="http://www.hlzqgs.com/" TargetMode="External"/><Relationship Id="rId70" Type="http://schemas.openxmlformats.org/officeDocument/2006/relationships/hyperlink" Target="http://www.gjzq.com.cn/" TargetMode="External"/><Relationship Id="rId71" Type="http://schemas.openxmlformats.org/officeDocument/2006/relationships/hyperlink" Target="http://www.stocke.com.cn/" TargetMode="External"/><Relationship Id="rId72" Type="http://schemas.openxmlformats.org/officeDocument/2006/relationships/hyperlink" Target="http://www.avicsec.com/" TargetMode="External"/><Relationship Id="rId73" Type="http://schemas.openxmlformats.org/officeDocument/2006/relationships/hyperlink" Target="http://www.cs.ecitic.com/" TargetMode="External"/><Relationship Id="rId74" Type="http://schemas.openxmlformats.org/officeDocument/2006/relationships/hyperlink" Target="http://www.china-invs.cn/" TargetMode="External"/><Relationship Id="rId75" Type="http://schemas.openxmlformats.org/officeDocument/2006/relationships/hyperlink" Target="http://www.95579.com/" TargetMode="External"/><Relationship Id="rId76" Type="http://schemas.openxmlformats.org/officeDocument/2006/relationships/hyperlink" Target="http://www.dgzq.com.cn/" TargetMode="External"/><Relationship Id="rId77" Type="http://schemas.openxmlformats.org/officeDocument/2006/relationships/hyperlink" Target="http://www.dfzq.com.cn/" TargetMode="External"/><Relationship Id="rId78" Type="http://schemas.openxmlformats.org/officeDocument/2006/relationships/hyperlink" Target="http://www.zts.com.cn/" TargetMode="External"/><Relationship Id="rId79" Type="http://schemas.openxmlformats.org/officeDocument/2006/relationships/hyperlink" Target="http://www.gszq.com/" TargetMode="External"/><Relationship Id="rId80" Type="http://schemas.openxmlformats.org/officeDocument/2006/relationships/hyperlink" Target="http://www.ghzq.com.cn/" TargetMode="External"/><Relationship Id="rId81" Type="http://schemas.openxmlformats.org/officeDocument/2006/relationships/hyperlink" Target="http://www.zxwt.com.cn/" TargetMode="External"/><Relationship Id="rId82" Type="http://schemas.openxmlformats.org/officeDocument/2006/relationships/hyperlink" Target="http://www.swsc.com.cn/" TargetMode="External"/><Relationship Id="rId83" Type="http://schemas.openxmlformats.org/officeDocument/2006/relationships/hyperlink" Target="http://www.longone.com.cn/" TargetMode="External"/><Relationship Id="rId84" Type="http://schemas.openxmlformats.org/officeDocument/2006/relationships/hyperlink" Target="http://www.fcsc.com/" TargetMode="External"/><Relationship Id="rId85" Type="http://schemas.openxmlformats.org/officeDocument/2006/relationships/hyperlink" Target="http://www.cczq.com/" TargetMode="External"/><Relationship Id="rId86" Type="http://schemas.openxmlformats.org/officeDocument/2006/relationships/hyperlink" Target="http://www.tfzq.com/" TargetMode="External"/><Relationship Id="rId87" Type="http://schemas.openxmlformats.org/officeDocument/2006/relationships/hyperlink" Target="http://www.citicsf.com/" TargetMode="External"/><Relationship Id="rId88" Type="http://schemas.openxmlformats.org/officeDocument/2006/relationships/hyperlink" Target="http://www.kysec.cn/" TargetMode="External"/><Relationship Id="rId89" Type="http://schemas.openxmlformats.org/officeDocument/2006/relationships/hyperlink" Target="http://www.e5618.com/" TargetMode="External"/><Relationship Id="rId90" Type="http://schemas.openxmlformats.org/officeDocument/2006/relationships/hyperlink" Target="http://www.shhxzq.com/" TargetMode="External"/><Relationship Id="rId91" Type="http://schemas.openxmlformats.org/officeDocument/2006/relationships/hyperlink" Target="http://www.cfsc.com.cn/" TargetMode="External"/><Relationship Id="rId92" Type="http://schemas.openxmlformats.org/officeDocument/2006/relationships/hyperlink" Target="http://www.ctsec.com/" TargetMode="External"/><Relationship Id="rId93" Type="http://schemas.openxmlformats.org/officeDocument/2006/relationships/hyperlink" Target="http://www.gzs.com.cn/" TargetMode="External"/><Relationship Id="rId94" Type="http://schemas.openxmlformats.org/officeDocument/2006/relationships/hyperlink" Target="http://www.lczq.com/" TargetMode="External"/><Relationship Id="rId95" Type="http://schemas.openxmlformats.org/officeDocument/2006/relationships/hyperlink" Target="http://www.zlfund.cn/" TargetMode="External"/><Relationship Id="rId96" Type="http://schemas.openxmlformats.org/officeDocument/2006/relationships/hyperlink" Target="http://www.jjmmw.com/" TargetMode="External"/><Relationship Id="rId97" Type="http://schemas.openxmlformats.org/officeDocument/2006/relationships/hyperlink" Target="http://www.fund123.cn/" TargetMode="External"/><Relationship Id="rId98" Type="http://schemas.openxmlformats.org/officeDocument/2006/relationships/hyperlink" Target="http://www.noah-fund.com/" TargetMode="External"/><Relationship Id="rId99" Type="http://schemas.openxmlformats.org/officeDocument/2006/relationships/hyperlink" Target="http://www.erichfund.com/" TargetMode="External"/><Relationship Id="rId100" Type="http://schemas.openxmlformats.org/officeDocument/2006/relationships/hyperlink" Target="http://www.ehowbuy.com/" TargetMode="External"/><Relationship Id="rId101" Type="http://schemas.openxmlformats.org/officeDocument/2006/relationships/hyperlink" Target="http://www.myfund.com/" TargetMode="External"/><Relationship Id="rId102" Type="http://schemas.openxmlformats.org/officeDocument/2006/relationships/hyperlink" Target="http://www.1234567.com.cn/" TargetMode="External"/><Relationship Id="rId103" Type="http://schemas.openxmlformats.org/officeDocument/2006/relationships/hyperlink" Target="http://www.5ifund.com/" TargetMode="External"/><Relationship Id="rId104" Type="http://schemas.openxmlformats.org/officeDocument/2006/relationships/hyperlink" Target="http://www.zscffund.com/" TargetMode="External"/><Relationship Id="rId105" Type="http://schemas.openxmlformats.org/officeDocument/2006/relationships/hyperlink" Target="http://www.yixinfund.com/" TargetMode="External"/><Relationship Id="rId106" Type="http://schemas.openxmlformats.org/officeDocument/2006/relationships/hyperlink" Target="http://www.zcvc.com.cn/" TargetMode="External"/><Relationship Id="rId107" Type="http://schemas.openxmlformats.org/officeDocument/2006/relationships/hyperlink" Target="http://www.xds.com.cn/" TargetMode="External"/><Relationship Id="rId108" Type="http://schemas.openxmlformats.org/officeDocument/2006/relationships/hyperlink" Target="http://www.shengshiview.com/" TargetMode="External"/><Relationship Id="rId109" Type="http://schemas.openxmlformats.org/officeDocument/2006/relationships/hyperlink" Target="http://www.harvestwm.cn/" TargetMode="External"/><Relationship Id="rId110" Type="http://schemas.openxmlformats.org/officeDocument/2006/relationships/hyperlink" Target="http://8.jrj.com.cn/" TargetMode="External"/><Relationship Id="rId111" Type="http://schemas.openxmlformats.org/officeDocument/2006/relationships/hyperlink" Target="http://www.yilucaifu.com/" TargetMode="External"/><Relationship Id="rId112" Type="http://schemas.openxmlformats.org/officeDocument/2006/relationships/hyperlink" Target="http://www.chtwm.com/" TargetMode="External"/><Relationship Id="rId113" Type="http://schemas.openxmlformats.org/officeDocument/2006/relationships/hyperlink" Target="http://www.qianjing.com/" TargetMode="External"/><Relationship Id="rId114" Type="http://schemas.openxmlformats.org/officeDocument/2006/relationships/hyperlink" Target="http://www.tenyuanfund.com/" TargetMode="External"/><Relationship Id="rId115" Type="http://schemas.openxmlformats.org/officeDocument/2006/relationships/hyperlink" Target="http://www.5irich.com/" TargetMode="External"/><Relationship Id="rId116" Type="http://schemas.openxmlformats.org/officeDocument/2006/relationships/hyperlink" Target="http://www.tdyhfund.com/" TargetMode="External"/><Relationship Id="rId117" Type="http://schemas.openxmlformats.org/officeDocument/2006/relationships/hyperlink" Target="http://www.66liantai.com/" TargetMode="External"/><Relationship Id="rId118" Type="http://schemas.openxmlformats.org/officeDocument/2006/relationships/hyperlink" Target="http://www.leadfund.com.cn/" TargetMode="External"/><Relationship Id="rId119" Type="http://schemas.openxmlformats.org/officeDocument/2006/relationships/hyperlink" Target="http://www.xincai.com/" TargetMode="External"/><Relationship Id="rId120" Type="http://schemas.openxmlformats.org/officeDocument/2006/relationships/hyperlink" Target="http://www.taichengcaifu.com/" TargetMode="External"/><Relationship Id="rId121" Type="http://schemas.openxmlformats.org/officeDocument/2006/relationships/hyperlink" Target="http://www.lufunds.com/" TargetMode="External"/><Relationship Id="rId122" Type="http://schemas.openxmlformats.org/officeDocument/2006/relationships/hyperlink" Target="http://www.fujifund.cn/" TargetMode="External"/><Relationship Id="rId123" Type="http://schemas.openxmlformats.org/officeDocument/2006/relationships/hyperlink" Target="http://www.hongdianfund.com/" TargetMode="External"/><Relationship Id="rId124" Type="http://schemas.openxmlformats.org/officeDocument/2006/relationships/hyperlink" Target="http://www.yingmi.cn/" TargetMode="External"/><Relationship Id="rId125" Type="http://schemas.openxmlformats.org/officeDocument/2006/relationships/hyperlink" Target="http://www.jnlc.com/" TargetMode="External"/><Relationship Id="rId126" Type="http://schemas.openxmlformats.org/officeDocument/2006/relationships/hyperlink" Target="http://www.ifastps.com.cn/" TargetMode="External"/><Relationship Id="rId127" Type="http://schemas.openxmlformats.org/officeDocument/2006/relationships/hyperlink" Target="http://www.hgccpb.com/" TargetMode="External"/><Relationship Id="rId128" Type="http://schemas.openxmlformats.org/officeDocument/2006/relationships/hyperlink" Target="http://www.vstonewealth.com/" TargetMode="External"/><Relationship Id="rId129" Type="http://schemas.openxmlformats.org/officeDocument/2006/relationships/hyperlink" Target="http://www.jfzinv.com/" TargetMode="External"/><Relationship Id="rId130" Type="http://schemas.openxmlformats.org/officeDocument/2006/relationships/hyperlink" Target="http://www.buyfunds.cn/" TargetMode="External"/><Relationship Id="rId131" Type="http://schemas.openxmlformats.org/officeDocument/2006/relationships/hyperlink" Target="http://www.hcjijin.com/" TargetMode="External"/><Relationship Id="rId132" Type="http://schemas.openxmlformats.org/officeDocument/2006/relationships/hyperlink" Target="http://www.snjijin.com/" TargetMode="External"/><Relationship Id="rId133" Type="http://schemas.openxmlformats.org/officeDocument/2006/relationships/hyperlink" Target="http://www.wg.com.cn/" TargetMode="External"/><Relationship Id="rId134" Type="http://schemas.openxmlformats.org/officeDocument/2006/relationships/hyperlink" Target="http://www.niuniufund.com/" TargetMode="External"/><Relationship Id="rId135" Type="http://schemas.openxmlformats.org/officeDocument/2006/relationships/hyperlink" Target="http://www.zhongzhengfund.com/" TargetMode="External"/><Relationship Id="rId136" Type="http://schemas.openxmlformats.org/officeDocument/2006/relationships/hyperlink" Target="http://www.fundhaiyin.com/" TargetMode="External"/><Relationship Id="rId137" Type="http://schemas.openxmlformats.org/officeDocument/2006/relationships/hyperlink" Target="http://www.webank.com/" TargetMode="External"/><Relationship Id="rId138" Type="http://schemas.openxmlformats.org/officeDocument/2006/relationships/hyperlink" Target="http://www.keynesasset.com/" TargetMode="External"/><Relationship Id="rId139" Type="http://schemas.openxmlformats.org/officeDocument/2006/relationships/hyperlink" Target="http://www.cmiwm.com/" TargetMode="External"/><Relationship Id="rId140" Type="http://schemas.openxmlformats.org/officeDocument/2006/relationships/hyperlink" Target="http://www.gomefund.com/" TargetMode="External"/><Relationship Id="rId141" Type="http://schemas.openxmlformats.org/officeDocument/2006/relationships/hyperlink" Target="http://www.jiyufund.com.cn/" TargetMode="External"/><Relationship Id="rId142" Type="http://schemas.openxmlformats.org/officeDocument/2006/relationships/hyperlink" Target="http://jr.tuniu.com/" TargetMode="External"/><Relationship Id="rId143" Type="http://schemas.openxmlformats.org/officeDocument/2006/relationships/hyperlink" Target="http://www.jp-fund.com/" TargetMode="External"/><Relationship Id="rId144" Type="http://schemas.openxmlformats.org/officeDocument/2006/relationships/hyperlink" Target="http://www.fengfd.com/" TargetMode="External"/><Relationship Id="rId145" Type="http://schemas.openxmlformats.org/officeDocument/2006/relationships/hyperlink" Target="http://www.buyforyou.com.cn/" TargetMode="External"/><Relationship Id="rId146" Type="http://schemas.openxmlformats.org/officeDocument/2006/relationships/hyperlink" Target="http://www.hexinsec.com/" TargetMode="External"/><Relationship Id="rId147" Type="http://schemas.openxmlformats.org/officeDocument/2006/relationships/hyperlink" Target="http://www.igesafe.com/" TargetMode="External"/><Relationship Id="rId148" Type="http://schemas.openxmlformats.org/officeDocument/2006/relationships/hyperlink" Target="http://www.fund.jd.com/" TargetMode="External"/><Relationship Id="rId149" Type="http://schemas.openxmlformats.org/officeDocument/2006/relationships/hyperlink" Target="http://www.998fund.com/" TargetMode="External"/><Relationship Id="rId150" Type="http://schemas.openxmlformats.org/officeDocument/2006/relationships/hyperlink" Target="http://www.puyifund.com/" TargetMode="External"/><Relationship Id="rId151" Type="http://schemas.openxmlformats.org/officeDocument/2006/relationships/hyperlink" Target="http://www.amcfortune.com/" TargetMode="External"/><Relationship Id="rId152" Type="http://schemas.openxmlformats.org/officeDocument/2006/relationships/hyperlink" Target="http://www.zhengtongfunds.com/" TargetMode="External"/><Relationship Id="rId153" Type="http://schemas.openxmlformats.org/officeDocument/2006/relationships/hyperlink" Target="http://www.wacaijijin.com/" TargetMode="External"/><Relationship Id="rId154" Type="http://schemas.openxmlformats.org/officeDocument/2006/relationships/hyperlink" Target="http://fund.qiushicaifu.com/" TargetMode="External"/><Relationship Id="rId155" Type="http://schemas.openxmlformats.org/officeDocument/2006/relationships/hyperlink" Target="http://www.urainf.com/" TargetMode="External"/><Relationship Id="rId156" Type="http://schemas.openxmlformats.org/officeDocument/2006/relationships/hyperlink" Target="http://www.wanjiawealth.com/" TargetMode="External"/><Relationship Id="rId157" Type="http://schemas.openxmlformats.org/officeDocument/2006/relationships/hyperlink" Target="http://www.bjdyfund.com/" TargetMode="External"/><Relationship Id="rId158" Type="http://schemas.openxmlformats.org/officeDocument/2006/relationships/hyperlink" Target="http://www.tonghuafund.com/" TargetMode="External"/><Relationship Id="rId159" Type="http://schemas.openxmlformats.org/officeDocument/2006/relationships/hyperlink" Target="http://www.xiquefund.com/" TargetMode="External"/><Relationship Id="rId160" Type="http://schemas.openxmlformats.org/officeDocument/2006/relationships/hyperlink" Target="http://www.jianfortune.com/" TargetMode="External"/><Relationship Id="rId161" Type="http://schemas.openxmlformats.org/officeDocument/2006/relationships/hyperlink" Target="http://www.cefcfco.com/" TargetMode="External"/><Relationship Id="rId162" Type="http://schemas.openxmlformats.org/officeDocument/2006/relationships/hyperlink" Target="http://www.hongtaiwealth.com/" TargetMode="External"/><Relationship Id="rId163" Type="http://schemas.openxmlformats.org/officeDocument/2006/relationships/hyperlink" Target="http://www.youyufund.com/" TargetMode="External"/><Relationship Id="rId164" Type="http://schemas.openxmlformats.org/officeDocument/2006/relationships/hyperlink" Target="http://www.gxjlcn.com/" TargetMode="External"/><Relationship Id="rId165" Type="http://schemas.openxmlformats.org/officeDocument/2006/relationships/hyperlink" Target="http://www.qiangungun.com/" TargetMode="External"/><Relationship Id="rId166" Type="http://schemas.openxmlformats.org/officeDocument/2006/relationships/hyperlink" Target="http://www.mybank.cn/" TargetMode="External"/><Relationship Id="rId167" Type="http://schemas.openxmlformats.org/officeDocument/2006/relationships/hyperlink" Target="http://www.msftec.com/" TargetMode="External"/><Relationship Id="rId168" Type="http://schemas.openxmlformats.org/officeDocument/2006/relationships/hyperlink" Target="http://www.tenganxinxi.com/" TargetMode="External"/><Relationship Id="rId169" Type="http://schemas.openxmlformats.org/officeDocument/2006/relationships/hyperlink" Target="http://www.baiyingfund.com/" TargetMode="External"/><Relationship Id="rId170" Type="http://schemas.openxmlformats.org/officeDocument/2006/relationships/hyperlink" Target="http://www.luxxfund.com/" TargetMode="External"/><Relationship Id="rId171" Type="http://schemas.openxmlformats.org/officeDocument/2006/relationships/hyperlink" Target="http://www.huilinbd.com/" TargetMode="External"/><Relationship Id="rId172" Type="http://schemas.openxmlformats.org/officeDocument/2006/relationships/footer" Target="footer2.xml"/><Relationship Id="rId173" Type="http://schemas.openxmlformats.org/officeDocument/2006/relationships/footer" Target="footer3.xml"/><Relationship Id="rId174" Type="http://schemas.openxmlformats.org/officeDocument/2006/relationships/footer" Target="footer4.xml"/><Relationship Id="rId175" Type="http://schemas.openxmlformats.org/officeDocument/2006/relationships/footer" Target="footer5.xml"/><Relationship Id="rId176" Type="http://schemas.openxmlformats.org/officeDocument/2006/relationships/footer" Target="footer6.xml"/><Relationship Id="rId177" Type="http://schemas.openxmlformats.org/officeDocument/2006/relationships/image" Target="media/image2.jpeg"/><Relationship Id="rId178" Type="http://schemas.openxmlformats.org/officeDocument/2006/relationships/footer" Target="footer7.xml"/><Relationship Id="rId179" Type="http://schemas.openxmlformats.org/officeDocument/2006/relationships/image" Target="media/image3.jpeg"/><Relationship Id="rId180" Type="http://schemas.openxmlformats.org/officeDocument/2006/relationships/image" Target="media/image4.jpeg"/><Relationship Id="rId181" Type="http://schemas.openxmlformats.org/officeDocument/2006/relationships/image" Target="media/image5.jpeg"/><Relationship Id="rId182" Type="http://schemas.openxmlformats.org/officeDocument/2006/relationships/footer" Target="footer8.xml"/><Relationship Id="rId183" Type="http://schemas.openxmlformats.org/officeDocument/2006/relationships/footer" Target="footer9.xml"/><Relationship Id="rId184" Type="http://schemas.openxmlformats.org/officeDocument/2006/relationships/footer" Target="footer10.xml"/><Relationship Id="rId185" Type="http://schemas.openxmlformats.org/officeDocument/2006/relationships/footer" Target="footer11.xml"/><Relationship Id="rId186" Type="http://schemas.openxmlformats.org/officeDocument/2006/relationships/footer" Target="footer12.xml"/><Relationship Id="rId187" Type="http://schemas.openxmlformats.org/officeDocument/2006/relationships/footer" Target="footer13.xml"/><Relationship Id="rId188" Type="http://schemas.openxmlformats.org/officeDocument/2006/relationships/footer" Target="footer14.xml"/><Relationship Id="rId189" Type="http://schemas.openxmlformats.org/officeDocument/2006/relationships/footer" Target="footer15.xml"/><Relationship Id="rId190" Type="http://schemas.openxmlformats.org/officeDocument/2006/relationships/footer" Target="footer16.xml"/><Relationship Id="rId191" Type="http://schemas.openxmlformats.org/officeDocument/2006/relationships/footer" Target="footer17.xml"/><Relationship Id="rId192" Type="http://schemas.openxmlformats.org/officeDocument/2006/relationships/footer" Target="footer18.xml"/><Relationship Id="rId193" Type="http://schemas.openxmlformats.org/officeDocument/2006/relationships/footer" Target="footer19.xml"/><Relationship Id="rId19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lirh</dc:creator>
  <dc:title>景顺长城景系列开放式证券投资基金</dc:title>
  <dcterms:created xsi:type="dcterms:W3CDTF">2020-11-17T05:58:05Z</dcterms:created>
  <dcterms:modified xsi:type="dcterms:W3CDTF">2020-11-17T05:58:05Z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Office Word 2007</vt:lpwstr>
  </property>
  <property fmtid="{D5CDD505-2E9C-101B-9397-08002B2CF9AE}" pid="4" name="LastSaved">
    <vt:filetime>2020-11-17T00:00:00Z</vt:filetime>
  </property>
</Properties>
</file>