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line="266" w:lineRule="auto" w:before="165"/>
        <w:ind w:left="338" w:right="1056" w:firstLine="0"/>
        <w:jc w:val="left"/>
        <w:rPr>
          <w:b/>
          <w:sz w:val="44"/>
        </w:rPr>
      </w:pPr>
      <w:r>
        <w:rPr>
          <w:b/>
          <w:sz w:val="44"/>
        </w:rPr>
        <w:t>战略新兴成指交易型开放式指数证券投资基金发起式联接基金招募说明书（更新）</w:t>
      </w:r>
    </w:p>
    <w:p>
      <w:pPr>
        <w:spacing w:before="152"/>
        <w:ind w:left="600" w:right="353" w:firstLine="0"/>
        <w:jc w:val="center"/>
        <w:rPr>
          <w:b/>
          <w:sz w:val="44"/>
        </w:rPr>
      </w:pPr>
      <w:r>
        <w:rPr>
          <w:rFonts w:ascii="Calibri" w:eastAsia="Calibri"/>
          <w:b/>
          <w:sz w:val="44"/>
        </w:rPr>
        <w:t>2020 </w:t>
      </w:r>
      <w:r>
        <w:rPr>
          <w:b/>
          <w:spacing w:val="-55"/>
          <w:sz w:val="44"/>
        </w:rPr>
        <w:t>年 </w:t>
      </w:r>
      <w:r>
        <w:rPr>
          <w:rFonts w:ascii="Calibri" w:eastAsia="Calibri"/>
          <w:b/>
          <w:sz w:val="44"/>
        </w:rPr>
        <w:t>9 </w:t>
      </w:r>
      <w:r>
        <w:rPr>
          <w:b/>
          <w:spacing w:val="-55"/>
          <w:sz w:val="44"/>
        </w:rPr>
        <w:t>月 </w:t>
      </w:r>
      <w:r>
        <w:rPr>
          <w:rFonts w:ascii="Calibri" w:eastAsia="Calibri"/>
          <w:b/>
          <w:sz w:val="44"/>
        </w:rPr>
        <w:t>30 </w:t>
      </w:r>
      <w:r>
        <w:rPr>
          <w:b/>
          <w:sz w:val="44"/>
        </w:rPr>
        <w:t>日公告</w:t>
      </w:r>
    </w:p>
    <w:p>
      <w:pPr>
        <w:pStyle w:val="BodyText"/>
        <w:rPr>
          <w:b/>
          <w:sz w:val="48"/>
        </w:rPr>
      </w:pPr>
    </w:p>
    <w:p>
      <w:pPr>
        <w:pStyle w:val="BodyText"/>
        <w:rPr>
          <w:b/>
          <w:sz w:val="48"/>
        </w:rPr>
      </w:pPr>
    </w:p>
    <w:p>
      <w:pPr>
        <w:pStyle w:val="BodyText"/>
        <w:rPr>
          <w:b/>
          <w:sz w:val="48"/>
        </w:rPr>
      </w:pPr>
    </w:p>
    <w:p>
      <w:pPr>
        <w:pStyle w:val="BodyText"/>
        <w:rPr>
          <w:b/>
          <w:sz w:val="48"/>
        </w:rPr>
      </w:pPr>
    </w:p>
    <w:p>
      <w:pPr>
        <w:pStyle w:val="BodyText"/>
        <w:rPr>
          <w:b/>
          <w:sz w:val="48"/>
        </w:rPr>
      </w:pPr>
    </w:p>
    <w:p>
      <w:pPr>
        <w:pStyle w:val="BodyText"/>
        <w:spacing w:before="12"/>
        <w:rPr>
          <w:b/>
          <w:sz w:val="52"/>
        </w:rPr>
      </w:pPr>
    </w:p>
    <w:p>
      <w:pPr>
        <w:spacing w:before="0"/>
        <w:ind w:left="2003" w:right="0" w:firstLine="0"/>
        <w:jc w:val="left"/>
        <w:rPr>
          <w:sz w:val="28"/>
        </w:rPr>
      </w:pPr>
      <w:r>
        <w:rPr>
          <w:sz w:val="28"/>
        </w:rPr>
        <w:t>基金管理人：华夏基金管理有限公司</w:t>
      </w:r>
    </w:p>
    <w:p>
      <w:pPr>
        <w:pStyle w:val="BodyText"/>
        <w:spacing w:before="10"/>
        <w:rPr>
          <w:sz w:val="20"/>
        </w:rPr>
      </w:pPr>
    </w:p>
    <w:p>
      <w:pPr>
        <w:spacing w:before="0"/>
        <w:ind w:left="2003" w:right="0" w:firstLine="0"/>
        <w:jc w:val="left"/>
        <w:rPr>
          <w:sz w:val="28"/>
        </w:rPr>
      </w:pPr>
      <w:r>
        <w:rPr>
          <w:sz w:val="28"/>
        </w:rPr>
        <w:t>基金托管人：中国建设银行股份有限公司</w:t>
      </w:r>
    </w:p>
    <w:p>
      <w:pPr>
        <w:spacing w:after="0"/>
        <w:jc w:val="left"/>
        <w:rPr>
          <w:sz w:val="28"/>
        </w:rPr>
        <w:sectPr>
          <w:type w:val="continuous"/>
          <w:pgSz w:w="11910" w:h="16840"/>
          <w:pgMar w:top="1580" w:bottom="280" w:left="1640" w:right="920"/>
        </w:sectPr>
      </w:pPr>
    </w:p>
    <w:p>
      <w:pPr>
        <w:spacing w:before="110"/>
        <w:ind w:left="12" w:right="725" w:firstLine="0"/>
        <w:jc w:val="center"/>
        <w:rPr>
          <w:b/>
          <w:sz w:val="21"/>
        </w:rPr>
      </w:pPr>
      <w:r>
        <w:rPr>
          <w:b/>
          <w:sz w:val="21"/>
        </w:rPr>
        <w:t>重要提示</w:t>
      </w:r>
    </w:p>
    <w:p>
      <w:pPr>
        <w:pStyle w:val="BodyText"/>
        <w:rPr>
          <w:b/>
          <w:sz w:val="20"/>
        </w:rPr>
      </w:pPr>
    </w:p>
    <w:p>
      <w:pPr>
        <w:pStyle w:val="BodyText"/>
        <w:spacing w:before="11"/>
        <w:rPr>
          <w:b/>
          <w:sz w:val="19"/>
        </w:rPr>
      </w:pPr>
    </w:p>
    <w:p>
      <w:pPr>
        <w:pStyle w:val="BodyText"/>
        <w:spacing w:line="417" w:lineRule="auto"/>
        <w:ind w:left="160" w:right="768" w:firstLine="419"/>
        <w:jc w:val="both"/>
        <w:rPr>
          <w:rFonts w:ascii="Calibri" w:hAnsi="Calibri" w:eastAsia="Calibri"/>
        </w:rPr>
      </w:pPr>
      <w:r>
        <w:rPr/>
        <w:t>战略新兴成指交易型开放式指数证券投资基金发起式联接基金（以下简称“本基金”） 经中国证监会</w:t>
      </w:r>
      <w:r>
        <w:rPr>
          <w:rFonts w:ascii="Calibri" w:hAnsi="Calibri" w:eastAsia="Calibri"/>
        </w:rPr>
        <w:t>2018 </w:t>
      </w:r>
      <w:r>
        <w:rPr/>
        <w:t>年</w:t>
      </w:r>
      <w:r>
        <w:rPr>
          <w:rFonts w:ascii="Calibri" w:hAnsi="Calibri" w:eastAsia="Calibri"/>
        </w:rPr>
        <w:t>12 </w:t>
      </w:r>
      <w:r>
        <w:rPr/>
        <w:t>月</w:t>
      </w:r>
      <w:r>
        <w:rPr>
          <w:rFonts w:ascii="Calibri" w:hAnsi="Calibri" w:eastAsia="Calibri"/>
        </w:rPr>
        <w:t>29 </w:t>
      </w:r>
      <w:r>
        <w:rPr/>
        <w:t>日证监许可</w:t>
      </w:r>
      <w:r>
        <w:rPr>
          <w:rFonts w:ascii="Calibri" w:hAnsi="Calibri" w:eastAsia="Calibri"/>
        </w:rPr>
        <w:t>[2018]2230 </w:t>
      </w:r>
      <w:r>
        <w:rPr/>
        <w:t>号文准予注册。本基金基金合同于</w:t>
      </w:r>
      <w:r>
        <w:rPr>
          <w:rFonts w:ascii="Calibri" w:hAnsi="Calibri" w:eastAsia="Calibri"/>
        </w:rPr>
        <w:t>2019</w:t>
      </w:r>
    </w:p>
    <w:p>
      <w:pPr>
        <w:pStyle w:val="BodyText"/>
        <w:spacing w:line="269" w:lineRule="exact"/>
        <w:ind w:left="160"/>
        <w:jc w:val="both"/>
      </w:pPr>
      <w:r>
        <w:rPr/>
        <w:t>年 </w:t>
      </w:r>
      <w:r>
        <w:rPr>
          <w:rFonts w:ascii="Calibri" w:eastAsia="Calibri"/>
        </w:rPr>
        <w:t>6 </w:t>
      </w:r>
      <w:r>
        <w:rPr/>
        <w:t>月 </w:t>
      </w:r>
      <w:r>
        <w:rPr>
          <w:rFonts w:ascii="Calibri" w:eastAsia="Calibri"/>
        </w:rPr>
        <w:t>5 </w:t>
      </w:r>
      <w:r>
        <w:rPr/>
        <w:t>日正式生效。</w:t>
      </w:r>
    </w:p>
    <w:p>
      <w:pPr>
        <w:pStyle w:val="BodyText"/>
        <w:spacing w:before="7"/>
        <w:rPr>
          <w:sz w:val="15"/>
        </w:rPr>
      </w:pPr>
    </w:p>
    <w:p>
      <w:pPr>
        <w:pStyle w:val="BodyText"/>
        <w:spacing w:line="417" w:lineRule="auto"/>
        <w:ind w:left="160" w:right="871" w:firstLine="419"/>
        <w:jc w:val="both"/>
      </w:pPr>
      <w:r>
        <w:rPr>
          <w:spacing w:val="-8"/>
        </w:rPr>
        <w:t>基金管理人保证本招募说明书的内容真实、准确、完整。本招募说明书经中国证监会注</w:t>
      </w:r>
      <w:r>
        <w:rPr>
          <w:spacing w:val="-12"/>
        </w:rPr>
        <w:t>册，但中国证监会对本基金募集的注册，并不表明其对本基金的价值和收益作出实质性判断</w:t>
      </w:r>
      <w:r>
        <w:rPr>
          <w:spacing w:val="-6"/>
        </w:rPr>
        <w:t>或保证，也不表明投资于本基金没有风险。</w:t>
      </w:r>
    </w:p>
    <w:p>
      <w:pPr>
        <w:pStyle w:val="BodyText"/>
        <w:spacing w:line="417" w:lineRule="auto"/>
        <w:ind w:left="160" w:right="768" w:firstLine="419"/>
      </w:pPr>
      <w:r>
        <w:rPr>
          <w:spacing w:val="-10"/>
        </w:rPr>
        <w:t>本基金投资于证券市场，基金净值会因为证券市场波动等因素产生波动，投资者根据所持有的基金份额享受基金收益，同时承担相应的投资风险。本基金投资中的风险包括：因整</w:t>
      </w:r>
      <w:r>
        <w:rPr>
          <w:spacing w:val="-12"/>
        </w:rPr>
        <w:t>体政治、经济、社会等环境因素对证券市场价格产生影响而形成的系统性风险，个别证券特</w:t>
      </w:r>
      <w:r>
        <w:rPr>
          <w:spacing w:val="-17"/>
        </w:rPr>
        <w:t>有的非系统性风险，基金投资中小企业私募债、衍生品</w:t>
      </w:r>
      <w:r>
        <w:rPr/>
        <w:t>（</w:t>
      </w:r>
      <w:r>
        <w:rPr>
          <w:spacing w:val="-13"/>
        </w:rPr>
        <w:t>股票期权、股指期货、国债期货等</w:t>
      </w:r>
      <w:r>
        <w:rPr/>
        <w:t>） </w:t>
      </w:r>
      <w:r>
        <w:rPr>
          <w:spacing w:val="-10"/>
        </w:rPr>
        <w:t>的特有风险，由于基金份额持有人连续大量赎回基金产生的流动性风险，基金管理人在基金管理实施过程中产生的积极管理风险，本基金的特定风险等。本基金为战略新兴成指交易型</w:t>
      </w:r>
      <w:r>
        <w:rPr>
          <w:spacing w:val="-7"/>
        </w:rPr>
        <w:t>开放式指数证券投资基金</w:t>
      </w:r>
      <w:r>
        <w:rPr/>
        <w:t>（</w:t>
      </w:r>
      <w:r>
        <w:rPr>
          <w:spacing w:val="-2"/>
        </w:rPr>
        <w:t>以下简称战略新兴成指</w:t>
      </w:r>
      <w:r>
        <w:rPr>
          <w:rFonts w:ascii="Calibri" w:eastAsia="Calibri"/>
        </w:rPr>
        <w:t>ETF</w:t>
      </w:r>
      <w:r>
        <w:rPr/>
        <w:t>）</w:t>
      </w:r>
      <w:r>
        <w:rPr>
          <w:spacing w:val="-3"/>
        </w:rPr>
        <w:t>的联接基金，主要通过投资战略新</w:t>
      </w:r>
      <w:r>
        <w:rPr>
          <w:spacing w:val="-7"/>
        </w:rPr>
        <w:t>兴成指交易型开放式指数证券投资基金紧密跟踪标的指数的表现，因此本基金的净值会因战</w:t>
      </w:r>
      <w:r>
        <w:rPr>
          <w:spacing w:val="-9"/>
        </w:rPr>
        <w:t>略新兴成指交易型开放式指数证券投资基金净值波动而产生波动。本基金的预期风险和预期收益高于混合型基金、债券型基金和货币市场基金，属于中高风险品种。根据</w:t>
      </w:r>
      <w:r>
        <w:rPr>
          <w:rFonts w:ascii="Calibri" w:eastAsia="Calibri"/>
        </w:rPr>
        <w:t>2017</w:t>
      </w:r>
      <w:r>
        <w:rPr/>
        <w:t>年</w:t>
      </w:r>
      <w:r>
        <w:rPr>
          <w:rFonts w:ascii="Calibri" w:eastAsia="Calibri"/>
          <w:spacing w:val="3"/>
        </w:rPr>
        <w:t>7</w:t>
      </w:r>
      <w:r>
        <w:rPr/>
        <w:t>月</w:t>
      </w:r>
      <w:r>
        <w:rPr>
          <w:rFonts w:ascii="Calibri" w:eastAsia="Calibri"/>
        </w:rPr>
        <w:t>1 </w:t>
      </w:r>
      <w:r>
        <w:rPr>
          <w:spacing w:val="-9"/>
        </w:rPr>
        <w:t>日施行的《证券期货投资者适当性管理办法》，基金管理人和销售机构已对本基金重新进行</w:t>
      </w:r>
      <w:r>
        <w:rPr>
          <w:spacing w:val="-5"/>
        </w:rPr>
        <w:t>风险评级，风险评级行为不改变基金的实质性风险收益特征，但由于风险分类标准的变化， </w:t>
      </w:r>
      <w:r>
        <w:rPr>
          <w:spacing w:val="-9"/>
        </w:rPr>
        <w:t>本基金的风险等级表述可能有相应变化，具体风险评级结果应以基金管理人和销售机构提供</w:t>
      </w:r>
      <w:r>
        <w:rPr>
          <w:spacing w:val="-5"/>
        </w:rPr>
        <w:t>的评级结果为准。</w:t>
      </w:r>
    </w:p>
    <w:p>
      <w:pPr>
        <w:pStyle w:val="BodyText"/>
        <w:spacing w:line="417" w:lineRule="auto"/>
        <w:ind w:left="160" w:right="768" w:firstLine="419"/>
      </w:pPr>
      <w:r>
        <w:rPr>
          <w:spacing w:val="-3"/>
        </w:rPr>
        <w:t>投资有风险，投资者在投资本基金之前，请仔细阅读本基金的招募说明书、基金合同、</w:t>
      </w:r>
      <w:r>
        <w:rPr>
          <w:spacing w:val="-11"/>
        </w:rPr>
        <w:t>基金产品资料概要，全面认识本基金的风险收益特征和产品特性，并充分考虑自身的风险承</w:t>
      </w:r>
      <w:r>
        <w:rPr>
          <w:spacing w:val="-6"/>
        </w:rPr>
        <w:t>受能力，理性判断市场，谨慎做出投资决策。</w:t>
      </w:r>
    </w:p>
    <w:p>
      <w:pPr>
        <w:pStyle w:val="BodyText"/>
        <w:spacing w:line="417" w:lineRule="auto"/>
        <w:ind w:left="160" w:right="871" w:firstLine="419"/>
      </w:pPr>
      <w:r>
        <w:rPr>
          <w:spacing w:val="-9"/>
        </w:rPr>
        <w:t>基金产品资料概要编制、披露与更新要求，自《信息披露办法》实施之日起一年后开始执行。</w:t>
      </w:r>
    </w:p>
    <w:p>
      <w:pPr>
        <w:pStyle w:val="BodyText"/>
        <w:spacing w:line="269" w:lineRule="exact"/>
        <w:ind w:left="580"/>
      </w:pPr>
      <w:r>
        <w:rPr/>
        <w:t>基金的过往业绩并不预示其未来表现。</w:t>
      </w:r>
    </w:p>
    <w:p>
      <w:pPr>
        <w:pStyle w:val="BodyText"/>
        <w:spacing w:before="4"/>
        <w:rPr>
          <w:sz w:val="15"/>
        </w:rPr>
      </w:pPr>
    </w:p>
    <w:p>
      <w:pPr>
        <w:pStyle w:val="BodyText"/>
        <w:spacing w:line="417" w:lineRule="auto" w:before="1"/>
        <w:ind w:left="160" w:right="875" w:firstLine="419"/>
      </w:pPr>
      <w:r>
        <w:rPr>
          <w:spacing w:val="-9"/>
        </w:rPr>
        <w:t>基金管理人依照恪尽职守、诚实信用、谨慎勤勉的原则管理和运用基金财产，但不保证</w:t>
      </w:r>
      <w:r>
        <w:rPr>
          <w:spacing w:val="-5"/>
        </w:rPr>
        <w:t>基金一定盈利，也不保证最低收益。</w:t>
      </w:r>
    </w:p>
    <w:p>
      <w:pPr>
        <w:spacing w:after="0" w:line="417" w:lineRule="auto"/>
        <w:sectPr>
          <w:headerReference w:type="default" r:id="rId5"/>
          <w:footerReference w:type="default" r:id="rId6"/>
          <w:pgSz w:w="11910" w:h="16840"/>
          <w:pgMar w:header="877" w:footer="995" w:top="1420" w:bottom="1180" w:left="1640" w:right="920"/>
          <w:pgNumType w:start="2"/>
        </w:sectPr>
      </w:pPr>
    </w:p>
    <w:p>
      <w:pPr>
        <w:pStyle w:val="BodyText"/>
        <w:spacing w:before="110"/>
        <w:ind w:left="580"/>
      </w:pPr>
      <w:r>
        <w:rPr/>
        <w:t>投资者应当认真阅读并完全理解基金合同规定的免责条款和规定的争议处理方式。</w:t>
      </w:r>
    </w:p>
    <w:p>
      <w:pPr>
        <w:pStyle w:val="BodyText"/>
        <w:spacing w:before="6"/>
        <w:rPr>
          <w:sz w:val="15"/>
        </w:rPr>
      </w:pPr>
    </w:p>
    <w:p>
      <w:pPr>
        <w:pStyle w:val="BodyText"/>
        <w:spacing w:line="417" w:lineRule="auto"/>
        <w:ind w:left="160" w:right="871" w:firstLine="419"/>
      </w:pPr>
      <w:r>
        <w:rPr>
          <w:spacing w:val="-3"/>
        </w:rPr>
        <w:t>本招募说明书所载内容截止日为</w:t>
      </w:r>
      <w:r>
        <w:rPr>
          <w:rFonts w:ascii="Calibri" w:eastAsia="Calibri"/>
        </w:rPr>
        <w:t>2020</w:t>
      </w:r>
      <w:r>
        <w:rPr/>
        <w:t>年</w:t>
      </w:r>
      <w:r>
        <w:rPr>
          <w:rFonts w:ascii="Calibri" w:eastAsia="Calibri"/>
        </w:rPr>
        <w:t>9</w:t>
      </w:r>
      <w:r>
        <w:rPr/>
        <w:t>月</w:t>
      </w:r>
      <w:r>
        <w:rPr>
          <w:rFonts w:ascii="Calibri" w:eastAsia="Calibri"/>
        </w:rPr>
        <w:t>28</w:t>
      </w:r>
      <w:r>
        <w:rPr>
          <w:spacing w:val="-3"/>
        </w:rPr>
        <w:t>日，有关财务数据和净值表现数据截止日为</w:t>
      </w:r>
      <w:r>
        <w:rPr>
          <w:rFonts w:ascii="Calibri" w:eastAsia="Calibri"/>
          <w:spacing w:val="-3"/>
        </w:rPr>
        <w:t>2020</w:t>
      </w:r>
      <w:r>
        <w:rPr>
          <w:spacing w:val="-3"/>
        </w:rPr>
        <w:t>年</w:t>
      </w:r>
      <w:r>
        <w:rPr>
          <w:rFonts w:ascii="Calibri" w:eastAsia="Calibri"/>
          <w:spacing w:val="-3"/>
        </w:rPr>
        <w:t>6</w:t>
      </w:r>
      <w:r>
        <w:rPr>
          <w:spacing w:val="-3"/>
        </w:rPr>
        <w:t>月</w:t>
      </w:r>
      <w:r>
        <w:rPr>
          <w:rFonts w:ascii="Calibri" w:eastAsia="Calibri"/>
          <w:spacing w:val="-3"/>
        </w:rPr>
        <w:t>30</w:t>
      </w:r>
      <w:r>
        <w:rPr>
          <w:spacing w:val="-55"/>
        </w:rPr>
        <w:t>日。</w:t>
      </w:r>
      <w:r>
        <w:rPr>
          <w:spacing w:val="-3"/>
        </w:rPr>
        <w:t>（本招募说明书中的财务资料未经审计</w:t>
      </w:r>
      <w:r>
        <w:rPr/>
        <w:t>）</w:t>
      </w:r>
    </w:p>
    <w:p>
      <w:pPr>
        <w:spacing w:after="0" w:line="417" w:lineRule="auto"/>
        <w:sectPr>
          <w:pgSz w:w="11910" w:h="16840"/>
          <w:pgMar w:header="877" w:footer="995" w:top="1420" w:bottom="1180" w:left="1640" w:right="920"/>
        </w:sectPr>
      </w:pPr>
    </w:p>
    <w:p>
      <w:pPr>
        <w:spacing w:before="110"/>
        <w:ind w:left="7" w:right="725" w:firstLine="0"/>
        <w:jc w:val="center"/>
        <w:rPr>
          <w:b/>
          <w:sz w:val="21"/>
        </w:rPr>
      </w:pPr>
      <w:r>
        <w:rPr>
          <w:b/>
          <w:sz w:val="21"/>
        </w:rPr>
        <w:t>目录</w:t>
      </w:r>
    </w:p>
    <w:sdt>
      <w:sdtPr>
        <w:docPartObj>
          <w:docPartGallery w:val="Table of Contents"/>
          <w:docPartUnique/>
        </w:docPartObj>
      </w:sdtPr>
      <w:sdtEndPr/>
      <w:sdtContent>
        <w:p>
          <w:pPr>
            <w:pStyle w:val="TOC1"/>
            <w:tabs>
              <w:tab w:pos="8298" w:val="right" w:leader="dot"/>
            </w:tabs>
            <w:ind w:right="725"/>
            <w:rPr>
              <w:rFonts w:ascii="Times New Roman" w:eastAsia="Times New Roman"/>
            </w:rPr>
          </w:pPr>
          <w:hyperlink w:history="true" w:anchor="_bookmark0">
            <w:r>
              <w:rPr/>
              <w:t>一、</w:t>
            </w:r>
            <w:r>
              <w:rPr>
                <w:spacing w:val="-3"/>
              </w:rPr>
              <w:t>绪</w:t>
            </w:r>
            <w:r>
              <w:rPr/>
              <w:t>言</w:t>
              <w:tab/>
            </w:r>
            <w:r>
              <w:rPr>
                <w:rFonts w:ascii="Times New Roman" w:eastAsia="Times New Roman"/>
              </w:rPr>
              <w:t>5</w:t>
            </w:r>
          </w:hyperlink>
        </w:p>
        <w:p>
          <w:pPr>
            <w:pStyle w:val="TOC1"/>
            <w:tabs>
              <w:tab w:pos="8298" w:val="right" w:leader="dot"/>
            </w:tabs>
            <w:ind w:right="725"/>
            <w:rPr>
              <w:rFonts w:ascii="Times New Roman" w:eastAsia="Times New Roman"/>
            </w:rPr>
          </w:pPr>
          <w:hyperlink w:history="true" w:anchor="_bookmark0">
            <w:r>
              <w:rPr/>
              <w:t>一、</w:t>
            </w:r>
            <w:r>
              <w:rPr>
                <w:spacing w:val="-3"/>
              </w:rPr>
              <w:t>绪</w:t>
            </w:r>
            <w:r>
              <w:rPr/>
              <w:t>言</w:t>
              <w:tab/>
            </w:r>
            <w:r>
              <w:rPr>
                <w:rFonts w:ascii="Times New Roman" w:eastAsia="Times New Roman"/>
              </w:rPr>
              <w:t>5</w:t>
            </w:r>
          </w:hyperlink>
        </w:p>
        <w:p>
          <w:pPr>
            <w:pStyle w:val="TOC1"/>
            <w:tabs>
              <w:tab w:pos="8298" w:val="right" w:leader="dot"/>
            </w:tabs>
            <w:ind w:right="725"/>
            <w:rPr>
              <w:rFonts w:ascii="Times New Roman" w:eastAsia="Times New Roman"/>
            </w:rPr>
          </w:pPr>
          <w:hyperlink w:history="true" w:anchor="_bookmark1">
            <w:r>
              <w:rPr/>
              <w:t>二、</w:t>
            </w:r>
            <w:r>
              <w:rPr>
                <w:spacing w:val="-3"/>
              </w:rPr>
              <w:t>释</w:t>
            </w:r>
            <w:r>
              <w:rPr/>
              <w:t>义</w:t>
              <w:tab/>
            </w:r>
            <w:r>
              <w:rPr>
                <w:rFonts w:ascii="Times New Roman" w:eastAsia="Times New Roman"/>
              </w:rPr>
              <w:t>6</w:t>
            </w:r>
          </w:hyperlink>
        </w:p>
        <w:p>
          <w:pPr>
            <w:pStyle w:val="TOC1"/>
            <w:tabs>
              <w:tab w:pos="8298" w:val="right" w:leader="dot"/>
            </w:tabs>
            <w:spacing w:before="198"/>
            <w:ind w:right="725"/>
            <w:rPr>
              <w:rFonts w:ascii="Times New Roman" w:eastAsia="Times New Roman"/>
            </w:rPr>
          </w:pPr>
          <w:hyperlink w:history="true" w:anchor="_bookmark2">
            <w:r>
              <w:rPr/>
              <w:t>三、</w:t>
            </w:r>
            <w:r>
              <w:rPr>
                <w:spacing w:val="-3"/>
              </w:rPr>
              <w:t>基</w:t>
            </w:r>
            <w:r>
              <w:rPr/>
              <w:t>金</w:t>
            </w:r>
            <w:r>
              <w:rPr>
                <w:spacing w:val="-3"/>
              </w:rPr>
              <w:t>管</w:t>
            </w:r>
            <w:r>
              <w:rPr/>
              <w:t>理人</w:t>
              <w:tab/>
            </w:r>
            <w:r>
              <w:rPr>
                <w:rFonts w:ascii="Times New Roman" w:eastAsia="Times New Roman"/>
              </w:rPr>
              <w:t>10</w:t>
            </w:r>
          </w:hyperlink>
        </w:p>
        <w:p>
          <w:pPr>
            <w:pStyle w:val="TOC1"/>
            <w:tabs>
              <w:tab w:pos="8298" w:val="right" w:leader="dot"/>
            </w:tabs>
            <w:ind w:right="725"/>
            <w:rPr>
              <w:rFonts w:ascii="Times New Roman" w:eastAsia="Times New Roman"/>
            </w:rPr>
          </w:pPr>
          <w:hyperlink w:history="true" w:anchor="_bookmark3">
            <w:r>
              <w:rPr/>
              <w:t>四、</w:t>
            </w:r>
            <w:r>
              <w:rPr>
                <w:spacing w:val="-3"/>
              </w:rPr>
              <w:t>基</w:t>
            </w:r>
            <w:r>
              <w:rPr/>
              <w:t>金</w:t>
            </w:r>
            <w:r>
              <w:rPr>
                <w:spacing w:val="-3"/>
              </w:rPr>
              <w:t>托</w:t>
            </w:r>
            <w:r>
              <w:rPr/>
              <w:t>管人</w:t>
              <w:tab/>
            </w:r>
            <w:r>
              <w:rPr>
                <w:rFonts w:ascii="Times New Roman" w:eastAsia="Times New Roman"/>
              </w:rPr>
              <w:t>19</w:t>
            </w:r>
          </w:hyperlink>
        </w:p>
        <w:p>
          <w:pPr>
            <w:pStyle w:val="TOC1"/>
            <w:tabs>
              <w:tab w:pos="8298" w:val="right" w:leader="dot"/>
            </w:tabs>
            <w:ind w:right="725"/>
            <w:rPr>
              <w:rFonts w:ascii="Times New Roman" w:eastAsia="Times New Roman"/>
            </w:rPr>
          </w:pPr>
          <w:hyperlink w:history="true" w:anchor="_bookmark4">
            <w:r>
              <w:rPr/>
              <w:t>五、</w:t>
            </w:r>
            <w:r>
              <w:rPr>
                <w:spacing w:val="-3"/>
              </w:rPr>
              <w:t>相</w:t>
            </w:r>
            <w:r>
              <w:rPr/>
              <w:t>关</w:t>
            </w:r>
            <w:r>
              <w:rPr>
                <w:spacing w:val="-3"/>
              </w:rPr>
              <w:t>服</w:t>
            </w:r>
            <w:r>
              <w:rPr/>
              <w:t>务</w:t>
            </w:r>
            <w:r>
              <w:rPr>
                <w:spacing w:val="-3"/>
              </w:rPr>
              <w:t>机</w:t>
            </w:r>
            <w:r>
              <w:rPr/>
              <w:t>构</w:t>
              <w:tab/>
            </w:r>
            <w:r>
              <w:rPr>
                <w:rFonts w:ascii="Times New Roman" w:eastAsia="Times New Roman"/>
              </w:rPr>
              <w:t>22</w:t>
            </w:r>
          </w:hyperlink>
        </w:p>
        <w:p>
          <w:pPr>
            <w:pStyle w:val="TOC1"/>
            <w:tabs>
              <w:tab w:pos="8298" w:val="right" w:leader="dot"/>
            </w:tabs>
            <w:spacing w:before="200"/>
            <w:ind w:right="725"/>
            <w:rPr>
              <w:rFonts w:ascii="Times New Roman" w:eastAsia="Times New Roman"/>
            </w:rPr>
          </w:pPr>
          <w:hyperlink w:history="true" w:anchor="_bookmark5">
            <w:r>
              <w:rPr/>
              <w:t>六、</w:t>
            </w:r>
            <w:r>
              <w:rPr>
                <w:spacing w:val="-3"/>
              </w:rPr>
              <w:t>基</w:t>
            </w:r>
            <w:r>
              <w:rPr/>
              <w:t>金</w:t>
            </w:r>
            <w:r>
              <w:rPr>
                <w:spacing w:val="-3"/>
              </w:rPr>
              <w:t>的</w:t>
            </w:r>
            <w:r>
              <w:rPr/>
              <w:t>募集</w:t>
              <w:tab/>
            </w:r>
            <w:r>
              <w:rPr>
                <w:rFonts w:ascii="Times New Roman" w:eastAsia="Times New Roman"/>
              </w:rPr>
              <w:t>61</w:t>
            </w:r>
          </w:hyperlink>
        </w:p>
        <w:p>
          <w:pPr>
            <w:pStyle w:val="TOC1"/>
            <w:tabs>
              <w:tab w:pos="8298" w:val="right" w:leader="dot"/>
            </w:tabs>
            <w:ind w:right="725"/>
            <w:rPr>
              <w:rFonts w:ascii="Times New Roman" w:eastAsia="Times New Roman"/>
            </w:rPr>
          </w:pPr>
          <w:hyperlink w:history="true" w:anchor="_bookmark6">
            <w:r>
              <w:rPr/>
              <w:t>七、</w:t>
            </w:r>
            <w:r>
              <w:rPr>
                <w:spacing w:val="-3"/>
              </w:rPr>
              <w:t>基</w:t>
            </w:r>
            <w:r>
              <w:rPr/>
              <w:t>金</w:t>
            </w:r>
            <w:r>
              <w:rPr>
                <w:spacing w:val="-3"/>
              </w:rPr>
              <w:t>合</w:t>
            </w:r>
            <w:r>
              <w:rPr/>
              <w:t>同</w:t>
            </w:r>
            <w:r>
              <w:rPr>
                <w:spacing w:val="-3"/>
              </w:rPr>
              <w:t>的</w:t>
            </w:r>
            <w:r>
              <w:rPr/>
              <w:t>生效</w:t>
              <w:tab/>
            </w:r>
            <w:r>
              <w:rPr>
                <w:rFonts w:ascii="Times New Roman" w:eastAsia="Times New Roman"/>
              </w:rPr>
              <w:t>63</w:t>
            </w:r>
          </w:hyperlink>
        </w:p>
        <w:p>
          <w:pPr>
            <w:pStyle w:val="TOC1"/>
            <w:tabs>
              <w:tab w:pos="8298" w:val="right" w:leader="dot"/>
            </w:tabs>
            <w:ind w:right="725"/>
            <w:rPr>
              <w:rFonts w:ascii="Times New Roman" w:eastAsia="Times New Roman"/>
            </w:rPr>
          </w:pPr>
          <w:hyperlink w:history="true" w:anchor="_bookmark7">
            <w:r>
              <w:rPr/>
              <w:t>八、</w:t>
            </w:r>
            <w:r>
              <w:rPr>
                <w:spacing w:val="-3"/>
              </w:rPr>
              <w:t>基</w:t>
            </w:r>
            <w:r>
              <w:rPr/>
              <w:t>金</w:t>
            </w:r>
            <w:r>
              <w:rPr>
                <w:spacing w:val="-3"/>
              </w:rPr>
              <w:t>份</w:t>
            </w:r>
            <w:r>
              <w:rPr/>
              <w:t>额</w:t>
            </w:r>
            <w:r>
              <w:rPr>
                <w:spacing w:val="-3"/>
              </w:rPr>
              <w:t>的</w:t>
            </w:r>
            <w:r>
              <w:rPr/>
              <w:t>申</w:t>
            </w:r>
            <w:r>
              <w:rPr>
                <w:spacing w:val="-3"/>
              </w:rPr>
              <w:t>购</w:t>
            </w:r>
            <w:r>
              <w:rPr/>
              <w:t>、</w:t>
            </w:r>
            <w:r>
              <w:rPr>
                <w:spacing w:val="-3"/>
              </w:rPr>
              <w:t>赎</w:t>
            </w:r>
            <w:r>
              <w:rPr/>
              <w:t>回与</w:t>
            </w:r>
            <w:r>
              <w:rPr>
                <w:spacing w:val="-3"/>
              </w:rPr>
              <w:t>转</w:t>
            </w:r>
            <w:r>
              <w:rPr/>
              <w:t>换</w:t>
              <w:tab/>
            </w:r>
            <w:r>
              <w:rPr>
                <w:rFonts w:ascii="Times New Roman" w:eastAsia="Times New Roman"/>
              </w:rPr>
              <w:t>64</w:t>
            </w:r>
          </w:hyperlink>
        </w:p>
        <w:p>
          <w:pPr>
            <w:pStyle w:val="TOC1"/>
            <w:tabs>
              <w:tab w:pos="8298" w:val="right" w:leader="dot"/>
            </w:tabs>
            <w:ind w:right="725"/>
            <w:rPr>
              <w:rFonts w:ascii="Times New Roman" w:eastAsia="Times New Roman"/>
            </w:rPr>
          </w:pPr>
          <w:hyperlink w:history="true" w:anchor="_bookmark8">
            <w:r>
              <w:rPr/>
              <w:t>九、</w:t>
            </w:r>
            <w:r>
              <w:rPr>
                <w:spacing w:val="-3"/>
              </w:rPr>
              <w:t>基</w:t>
            </w:r>
            <w:r>
              <w:rPr/>
              <w:t>金</w:t>
            </w:r>
            <w:r>
              <w:rPr>
                <w:spacing w:val="-3"/>
              </w:rPr>
              <w:t>的</w:t>
            </w:r>
            <w:r>
              <w:rPr/>
              <w:t>投资</w:t>
              <w:tab/>
            </w:r>
            <w:r>
              <w:rPr>
                <w:rFonts w:ascii="Times New Roman" w:eastAsia="Times New Roman"/>
              </w:rPr>
              <w:t>91</w:t>
            </w:r>
          </w:hyperlink>
        </w:p>
        <w:p>
          <w:pPr>
            <w:pStyle w:val="TOC1"/>
            <w:tabs>
              <w:tab w:pos="8300" w:val="right" w:leader="dot"/>
            </w:tabs>
            <w:rPr>
              <w:rFonts w:ascii="Times New Roman" w:eastAsia="Times New Roman"/>
            </w:rPr>
          </w:pPr>
          <w:hyperlink w:history="true" w:anchor="_bookmark9">
            <w:r>
              <w:rPr/>
              <w:t>十、</w:t>
            </w:r>
            <w:r>
              <w:rPr>
                <w:spacing w:val="-3"/>
              </w:rPr>
              <w:t>基</w:t>
            </w:r>
            <w:r>
              <w:rPr/>
              <w:t>金</w:t>
            </w:r>
            <w:r>
              <w:rPr>
                <w:spacing w:val="-3"/>
              </w:rPr>
              <w:t>的</w:t>
            </w:r>
            <w:r>
              <w:rPr/>
              <w:t>业绩</w:t>
              <w:tab/>
            </w:r>
            <w:r>
              <w:rPr>
                <w:rFonts w:ascii="Times New Roman" w:eastAsia="Times New Roman"/>
              </w:rPr>
              <w:t>101</w:t>
            </w:r>
          </w:hyperlink>
        </w:p>
        <w:p>
          <w:pPr>
            <w:pStyle w:val="TOC1"/>
            <w:tabs>
              <w:tab w:pos="8300" w:val="right" w:leader="dot"/>
            </w:tabs>
            <w:rPr>
              <w:rFonts w:ascii="Times New Roman" w:eastAsia="Times New Roman"/>
            </w:rPr>
          </w:pPr>
          <w:hyperlink w:history="true" w:anchor="_bookmark10">
            <w:r>
              <w:rPr/>
              <w:t>十一</w:t>
            </w:r>
            <w:r>
              <w:rPr>
                <w:spacing w:val="-3"/>
              </w:rPr>
              <w:t>、</w:t>
            </w:r>
            <w:r>
              <w:rPr/>
              <w:t>基</w:t>
            </w:r>
            <w:r>
              <w:rPr>
                <w:spacing w:val="-3"/>
              </w:rPr>
              <w:t>金</w:t>
            </w:r>
            <w:r>
              <w:rPr/>
              <w:t>的</w:t>
            </w:r>
            <w:r>
              <w:rPr>
                <w:spacing w:val="-3"/>
              </w:rPr>
              <w:t>财</w:t>
            </w:r>
            <w:r>
              <w:rPr/>
              <w:t>产</w:t>
              <w:tab/>
            </w:r>
            <w:r>
              <w:rPr>
                <w:rFonts w:ascii="Times New Roman" w:eastAsia="Times New Roman"/>
              </w:rPr>
              <w:t>102</w:t>
            </w:r>
          </w:hyperlink>
        </w:p>
        <w:p>
          <w:pPr>
            <w:pStyle w:val="TOC1"/>
            <w:tabs>
              <w:tab w:pos="8300" w:val="right" w:leader="dot"/>
            </w:tabs>
            <w:spacing w:before="198"/>
            <w:rPr>
              <w:rFonts w:ascii="Times New Roman" w:eastAsia="Times New Roman"/>
            </w:rPr>
          </w:pPr>
          <w:hyperlink w:history="true" w:anchor="_bookmark11">
            <w:r>
              <w:rPr/>
              <w:t>十二</w:t>
            </w:r>
            <w:r>
              <w:rPr>
                <w:spacing w:val="-3"/>
              </w:rPr>
              <w:t>、</w:t>
            </w:r>
            <w:r>
              <w:rPr/>
              <w:t>基</w:t>
            </w:r>
            <w:r>
              <w:rPr>
                <w:spacing w:val="-3"/>
              </w:rPr>
              <w:t>金</w:t>
            </w:r>
            <w:r>
              <w:rPr/>
              <w:t>资</w:t>
            </w:r>
            <w:r>
              <w:rPr>
                <w:spacing w:val="-3"/>
              </w:rPr>
              <w:t>产</w:t>
            </w:r>
            <w:r>
              <w:rPr/>
              <w:t>的</w:t>
            </w:r>
            <w:r>
              <w:rPr>
                <w:spacing w:val="-3"/>
              </w:rPr>
              <w:t>估</w:t>
            </w:r>
            <w:r>
              <w:rPr/>
              <w:t>值</w:t>
              <w:tab/>
            </w:r>
            <w:r>
              <w:rPr>
                <w:rFonts w:ascii="Times New Roman" w:eastAsia="Times New Roman"/>
              </w:rPr>
              <w:t>103</w:t>
            </w:r>
          </w:hyperlink>
        </w:p>
        <w:p>
          <w:pPr>
            <w:pStyle w:val="TOC1"/>
            <w:tabs>
              <w:tab w:pos="8300" w:val="right" w:leader="dot"/>
            </w:tabs>
            <w:spacing w:before="200"/>
            <w:rPr>
              <w:rFonts w:ascii="Times New Roman" w:eastAsia="Times New Roman"/>
            </w:rPr>
          </w:pPr>
          <w:hyperlink w:history="true" w:anchor="_bookmark12">
            <w:r>
              <w:rPr/>
              <w:t>十三</w:t>
            </w:r>
            <w:r>
              <w:rPr>
                <w:spacing w:val="-3"/>
              </w:rPr>
              <w:t>、</w:t>
            </w:r>
            <w:r>
              <w:rPr/>
              <w:t>基</w:t>
            </w:r>
            <w:r>
              <w:rPr>
                <w:spacing w:val="-3"/>
              </w:rPr>
              <w:t>金</w:t>
            </w:r>
            <w:r>
              <w:rPr/>
              <w:t>的</w:t>
            </w:r>
            <w:r>
              <w:rPr>
                <w:spacing w:val="-3"/>
              </w:rPr>
              <w:t>收</w:t>
            </w:r>
            <w:r>
              <w:rPr/>
              <w:t>益</w:t>
            </w:r>
            <w:r>
              <w:rPr>
                <w:spacing w:val="-3"/>
              </w:rPr>
              <w:t>与</w:t>
            </w:r>
            <w:r>
              <w:rPr/>
              <w:t>分配</w:t>
              <w:tab/>
            </w:r>
            <w:r>
              <w:rPr>
                <w:rFonts w:ascii="Times New Roman" w:eastAsia="Times New Roman"/>
              </w:rPr>
              <w:t>108</w:t>
            </w:r>
          </w:hyperlink>
        </w:p>
        <w:p>
          <w:pPr>
            <w:pStyle w:val="TOC1"/>
            <w:tabs>
              <w:tab w:pos="8300" w:val="right" w:leader="dot"/>
            </w:tabs>
            <w:rPr>
              <w:rFonts w:ascii="Times New Roman" w:eastAsia="Times New Roman"/>
            </w:rPr>
          </w:pPr>
          <w:hyperlink w:history="true" w:anchor="_bookmark13">
            <w:r>
              <w:rPr/>
              <w:t>十四</w:t>
            </w:r>
            <w:r>
              <w:rPr>
                <w:spacing w:val="-3"/>
              </w:rPr>
              <w:t>、</w:t>
            </w:r>
            <w:r>
              <w:rPr/>
              <w:t>基</w:t>
            </w:r>
            <w:r>
              <w:rPr>
                <w:spacing w:val="-3"/>
              </w:rPr>
              <w:t>金</w:t>
            </w:r>
            <w:r>
              <w:rPr/>
              <w:t>的</w:t>
            </w:r>
            <w:r>
              <w:rPr>
                <w:spacing w:val="-3"/>
              </w:rPr>
              <w:t>费</w:t>
            </w:r>
            <w:r>
              <w:rPr/>
              <w:t>用</w:t>
            </w:r>
            <w:r>
              <w:rPr>
                <w:spacing w:val="-3"/>
              </w:rPr>
              <w:t>与</w:t>
            </w:r>
            <w:r>
              <w:rPr/>
              <w:t>税收</w:t>
              <w:tab/>
            </w:r>
            <w:r>
              <w:rPr>
                <w:rFonts w:ascii="Times New Roman" w:eastAsia="Times New Roman"/>
                <w:spacing w:val="-3"/>
              </w:rPr>
              <w:t>110</w:t>
            </w:r>
          </w:hyperlink>
        </w:p>
        <w:p>
          <w:pPr>
            <w:pStyle w:val="TOC1"/>
            <w:tabs>
              <w:tab w:pos="8300" w:val="right" w:leader="dot"/>
            </w:tabs>
            <w:rPr>
              <w:rFonts w:ascii="Times New Roman" w:eastAsia="Times New Roman"/>
            </w:rPr>
          </w:pPr>
          <w:hyperlink w:history="true" w:anchor="_bookmark14">
            <w:r>
              <w:rPr/>
              <w:t>十五</w:t>
            </w:r>
            <w:r>
              <w:rPr>
                <w:spacing w:val="-3"/>
              </w:rPr>
              <w:t>、</w:t>
            </w:r>
            <w:r>
              <w:rPr/>
              <w:t>基</w:t>
            </w:r>
            <w:r>
              <w:rPr>
                <w:spacing w:val="-3"/>
              </w:rPr>
              <w:t>金</w:t>
            </w:r>
            <w:r>
              <w:rPr/>
              <w:t>的</w:t>
            </w:r>
            <w:r>
              <w:rPr>
                <w:spacing w:val="-3"/>
              </w:rPr>
              <w:t>会</w:t>
            </w:r>
            <w:r>
              <w:rPr/>
              <w:t>计</w:t>
            </w:r>
            <w:r>
              <w:rPr>
                <w:spacing w:val="-3"/>
              </w:rPr>
              <w:t>与</w:t>
            </w:r>
            <w:r>
              <w:rPr/>
              <w:t>审计</w:t>
              <w:tab/>
            </w:r>
            <w:r>
              <w:rPr>
                <w:rFonts w:ascii="Times New Roman" w:eastAsia="Times New Roman"/>
                <w:spacing w:val="-3"/>
              </w:rPr>
              <w:t>113</w:t>
            </w:r>
          </w:hyperlink>
        </w:p>
        <w:p>
          <w:pPr>
            <w:pStyle w:val="TOC1"/>
            <w:tabs>
              <w:tab w:pos="8300" w:val="right" w:leader="dot"/>
            </w:tabs>
            <w:rPr>
              <w:rFonts w:ascii="Times New Roman" w:eastAsia="Times New Roman"/>
            </w:rPr>
          </w:pPr>
          <w:hyperlink w:history="true" w:anchor="_bookmark15">
            <w:r>
              <w:rPr/>
              <w:t>十六</w:t>
            </w:r>
            <w:r>
              <w:rPr>
                <w:spacing w:val="-3"/>
              </w:rPr>
              <w:t>、</w:t>
            </w:r>
            <w:r>
              <w:rPr/>
              <w:t>基</w:t>
            </w:r>
            <w:r>
              <w:rPr>
                <w:spacing w:val="-3"/>
              </w:rPr>
              <w:t>金</w:t>
            </w:r>
            <w:r>
              <w:rPr/>
              <w:t>的</w:t>
            </w:r>
            <w:r>
              <w:rPr>
                <w:spacing w:val="-3"/>
              </w:rPr>
              <w:t>信</w:t>
            </w:r>
            <w:r>
              <w:rPr/>
              <w:t>息</w:t>
            </w:r>
            <w:r>
              <w:rPr>
                <w:spacing w:val="-3"/>
              </w:rPr>
              <w:t>披</w:t>
            </w:r>
            <w:r>
              <w:rPr/>
              <w:t>露</w:t>
              <w:tab/>
            </w:r>
            <w:r>
              <w:rPr>
                <w:rFonts w:ascii="Times New Roman" w:eastAsia="Times New Roman"/>
                <w:spacing w:val="-3"/>
              </w:rPr>
              <w:t>114</w:t>
            </w:r>
          </w:hyperlink>
        </w:p>
        <w:p>
          <w:pPr>
            <w:pStyle w:val="TOC1"/>
            <w:tabs>
              <w:tab w:pos="8300" w:val="right" w:leader="dot"/>
            </w:tabs>
            <w:rPr>
              <w:rFonts w:ascii="Times New Roman" w:eastAsia="Times New Roman"/>
            </w:rPr>
          </w:pPr>
          <w:hyperlink w:history="true" w:anchor="_bookmark16">
            <w:r>
              <w:rPr/>
              <w:t>十七</w:t>
            </w:r>
            <w:r>
              <w:rPr>
                <w:spacing w:val="-3"/>
              </w:rPr>
              <w:t>、</w:t>
            </w:r>
            <w:r>
              <w:rPr/>
              <w:t>风</w:t>
            </w:r>
            <w:r>
              <w:rPr>
                <w:spacing w:val="-3"/>
              </w:rPr>
              <w:t>险</w:t>
            </w:r>
            <w:r>
              <w:rPr/>
              <w:t>揭示</w:t>
              <w:tab/>
            </w:r>
            <w:r>
              <w:rPr>
                <w:rFonts w:ascii="Times New Roman" w:eastAsia="Times New Roman"/>
              </w:rPr>
              <w:t>120</w:t>
            </w:r>
          </w:hyperlink>
        </w:p>
        <w:p>
          <w:pPr>
            <w:pStyle w:val="TOC1"/>
            <w:tabs>
              <w:tab w:pos="8300" w:val="right" w:leader="dot"/>
            </w:tabs>
            <w:rPr>
              <w:rFonts w:ascii="Times New Roman" w:eastAsia="Times New Roman"/>
            </w:rPr>
          </w:pPr>
          <w:hyperlink w:history="true" w:anchor="_bookmark17">
            <w:r>
              <w:rPr/>
              <w:t>十八</w:t>
            </w:r>
            <w:r>
              <w:rPr>
                <w:spacing w:val="-3"/>
              </w:rPr>
              <w:t>、</w:t>
            </w:r>
            <w:r>
              <w:rPr/>
              <w:t>基</w:t>
            </w:r>
            <w:r>
              <w:rPr>
                <w:spacing w:val="-3"/>
              </w:rPr>
              <w:t>金</w:t>
            </w:r>
            <w:r>
              <w:rPr/>
              <w:t>合</w:t>
            </w:r>
            <w:r>
              <w:rPr>
                <w:spacing w:val="-3"/>
              </w:rPr>
              <w:t>同</w:t>
            </w:r>
            <w:r>
              <w:rPr/>
              <w:t>的</w:t>
            </w:r>
            <w:r>
              <w:rPr>
                <w:spacing w:val="-3"/>
              </w:rPr>
              <w:t>变</w:t>
            </w:r>
            <w:r>
              <w:rPr/>
              <w:t>更</w:t>
            </w:r>
            <w:r>
              <w:rPr>
                <w:spacing w:val="-3"/>
              </w:rPr>
              <w:t>、</w:t>
            </w:r>
            <w:r>
              <w:rPr/>
              <w:t>终止</w:t>
            </w:r>
            <w:r>
              <w:rPr>
                <w:spacing w:val="-3"/>
              </w:rPr>
              <w:t>与</w:t>
            </w:r>
            <w:r>
              <w:rPr/>
              <w:t>基</w:t>
            </w:r>
            <w:r>
              <w:rPr>
                <w:spacing w:val="-3"/>
              </w:rPr>
              <w:t>金</w:t>
            </w:r>
            <w:r>
              <w:rPr/>
              <w:t>财</w:t>
            </w:r>
            <w:r>
              <w:rPr>
                <w:spacing w:val="-3"/>
              </w:rPr>
              <w:t>产</w:t>
            </w:r>
            <w:r>
              <w:rPr/>
              <w:t>的</w:t>
            </w:r>
            <w:r>
              <w:rPr>
                <w:spacing w:val="-3"/>
              </w:rPr>
              <w:t>清</w:t>
            </w:r>
            <w:r>
              <w:rPr/>
              <w:t>算</w:t>
              <w:tab/>
            </w:r>
            <w:r>
              <w:rPr>
                <w:rFonts w:ascii="Times New Roman" w:eastAsia="Times New Roman"/>
              </w:rPr>
              <w:t>126</w:t>
            </w:r>
          </w:hyperlink>
        </w:p>
        <w:p>
          <w:pPr>
            <w:pStyle w:val="TOC1"/>
            <w:tabs>
              <w:tab w:pos="8300" w:val="right" w:leader="dot"/>
            </w:tabs>
            <w:spacing w:before="198"/>
            <w:rPr>
              <w:rFonts w:ascii="Times New Roman" w:eastAsia="Times New Roman"/>
            </w:rPr>
          </w:pPr>
          <w:hyperlink w:history="true" w:anchor="_bookmark18">
            <w:r>
              <w:rPr/>
              <w:t>十九</w:t>
            </w:r>
            <w:r>
              <w:rPr>
                <w:spacing w:val="-3"/>
              </w:rPr>
              <w:t>、</w:t>
            </w:r>
            <w:r>
              <w:rPr/>
              <w:t>基</w:t>
            </w:r>
            <w:r>
              <w:rPr>
                <w:spacing w:val="-3"/>
              </w:rPr>
              <w:t>金</w:t>
            </w:r>
            <w:r>
              <w:rPr/>
              <w:t>合</w:t>
            </w:r>
            <w:r>
              <w:rPr>
                <w:spacing w:val="-3"/>
              </w:rPr>
              <w:t>同</w:t>
            </w:r>
            <w:r>
              <w:rPr/>
              <w:t>的</w:t>
            </w:r>
            <w:r>
              <w:rPr>
                <w:spacing w:val="-3"/>
              </w:rPr>
              <w:t>内</w:t>
            </w:r>
            <w:r>
              <w:rPr/>
              <w:t>容</w:t>
            </w:r>
            <w:r>
              <w:rPr>
                <w:spacing w:val="-3"/>
              </w:rPr>
              <w:t>摘</w:t>
            </w:r>
            <w:r>
              <w:rPr/>
              <w:t>要</w:t>
              <w:tab/>
            </w:r>
            <w:r>
              <w:rPr>
                <w:rFonts w:ascii="Times New Roman" w:eastAsia="Times New Roman"/>
              </w:rPr>
              <w:t>128</w:t>
            </w:r>
          </w:hyperlink>
        </w:p>
        <w:p>
          <w:pPr>
            <w:pStyle w:val="TOC1"/>
            <w:tabs>
              <w:tab w:pos="8300" w:val="right" w:leader="dot"/>
            </w:tabs>
            <w:spacing w:before="200"/>
            <w:rPr>
              <w:rFonts w:ascii="Times New Roman" w:eastAsia="Times New Roman"/>
            </w:rPr>
          </w:pPr>
          <w:hyperlink w:history="true" w:anchor="_bookmark19">
            <w:r>
              <w:rPr/>
              <w:t>二十</w:t>
            </w:r>
            <w:r>
              <w:rPr>
                <w:spacing w:val="-3"/>
              </w:rPr>
              <w:t>、</w:t>
            </w:r>
            <w:r>
              <w:rPr/>
              <w:t>基</w:t>
            </w:r>
            <w:r>
              <w:rPr>
                <w:spacing w:val="-3"/>
              </w:rPr>
              <w:t>金</w:t>
            </w:r>
            <w:r>
              <w:rPr/>
              <w:t>托</w:t>
            </w:r>
            <w:r>
              <w:rPr>
                <w:spacing w:val="-3"/>
              </w:rPr>
              <w:t>管</w:t>
            </w:r>
            <w:r>
              <w:rPr/>
              <w:t>协</w:t>
            </w:r>
            <w:r>
              <w:rPr>
                <w:spacing w:val="-3"/>
              </w:rPr>
              <w:t>议</w:t>
            </w:r>
            <w:r>
              <w:rPr/>
              <w:t>的</w:t>
            </w:r>
            <w:r>
              <w:rPr>
                <w:spacing w:val="-3"/>
              </w:rPr>
              <w:t>内</w:t>
            </w:r>
            <w:r>
              <w:rPr/>
              <w:t>容摘要</w:t>
              <w:tab/>
            </w:r>
            <w:r>
              <w:rPr>
                <w:rFonts w:ascii="Times New Roman" w:eastAsia="Times New Roman"/>
              </w:rPr>
              <w:t>129</w:t>
            </w:r>
          </w:hyperlink>
        </w:p>
        <w:p>
          <w:pPr>
            <w:pStyle w:val="TOC1"/>
            <w:tabs>
              <w:tab w:pos="8300" w:val="right" w:leader="dot"/>
            </w:tabs>
            <w:rPr>
              <w:rFonts w:ascii="Times New Roman" w:eastAsia="Times New Roman"/>
            </w:rPr>
          </w:pPr>
          <w:hyperlink w:history="true" w:anchor="_bookmark20">
            <w:r>
              <w:rPr/>
              <w:t>二十</w:t>
            </w:r>
            <w:r>
              <w:rPr>
                <w:spacing w:val="-3"/>
              </w:rPr>
              <w:t>一</w:t>
            </w:r>
            <w:r>
              <w:rPr/>
              <w:t>、</w:t>
            </w:r>
            <w:r>
              <w:rPr>
                <w:spacing w:val="-3"/>
              </w:rPr>
              <w:t>对</w:t>
            </w:r>
            <w:r>
              <w:rPr/>
              <w:t>基</w:t>
            </w:r>
            <w:r>
              <w:rPr>
                <w:spacing w:val="-3"/>
              </w:rPr>
              <w:t>金</w:t>
            </w:r>
            <w:r>
              <w:rPr/>
              <w:t>份</w:t>
            </w:r>
            <w:r>
              <w:rPr>
                <w:spacing w:val="-3"/>
              </w:rPr>
              <w:t>额</w:t>
            </w:r>
            <w:r>
              <w:rPr/>
              <w:t>持</w:t>
            </w:r>
            <w:r>
              <w:rPr>
                <w:spacing w:val="-3"/>
              </w:rPr>
              <w:t>有</w:t>
            </w:r>
            <w:r>
              <w:rPr/>
              <w:t>人的</w:t>
            </w:r>
            <w:r>
              <w:rPr>
                <w:spacing w:val="-3"/>
              </w:rPr>
              <w:t>服</w:t>
            </w:r>
            <w:r>
              <w:rPr/>
              <w:t>务</w:t>
              <w:tab/>
            </w:r>
            <w:r>
              <w:rPr>
                <w:rFonts w:ascii="Times New Roman" w:eastAsia="Times New Roman"/>
              </w:rPr>
              <w:t>130</w:t>
            </w:r>
          </w:hyperlink>
        </w:p>
        <w:p>
          <w:pPr>
            <w:pStyle w:val="TOC1"/>
            <w:tabs>
              <w:tab w:pos="8300" w:val="right" w:leader="dot"/>
            </w:tabs>
            <w:rPr>
              <w:rFonts w:ascii="Times New Roman" w:eastAsia="Times New Roman"/>
            </w:rPr>
          </w:pPr>
          <w:hyperlink w:history="true" w:anchor="_bookmark21">
            <w:r>
              <w:rPr/>
              <w:t>二十</w:t>
            </w:r>
            <w:r>
              <w:rPr>
                <w:spacing w:val="-3"/>
              </w:rPr>
              <w:t>二</w:t>
            </w:r>
            <w:r>
              <w:rPr/>
              <w:t>、</w:t>
            </w:r>
            <w:r>
              <w:rPr>
                <w:spacing w:val="-3"/>
              </w:rPr>
              <w:t>其</w:t>
            </w:r>
            <w:r>
              <w:rPr/>
              <w:t>他</w:t>
            </w:r>
            <w:r>
              <w:rPr>
                <w:spacing w:val="-3"/>
              </w:rPr>
              <w:t>应</w:t>
            </w:r>
            <w:r>
              <w:rPr/>
              <w:t>披</w:t>
            </w:r>
            <w:r>
              <w:rPr>
                <w:spacing w:val="-3"/>
              </w:rPr>
              <w:t>露</w:t>
            </w:r>
            <w:r>
              <w:rPr/>
              <w:t>事项</w:t>
              <w:tab/>
            </w:r>
            <w:r>
              <w:rPr>
                <w:rFonts w:ascii="Times New Roman" w:eastAsia="Times New Roman"/>
              </w:rPr>
              <w:t>132</w:t>
            </w:r>
          </w:hyperlink>
        </w:p>
        <w:p>
          <w:pPr>
            <w:pStyle w:val="TOC1"/>
            <w:tabs>
              <w:tab w:pos="8300" w:val="right" w:leader="dot"/>
            </w:tabs>
            <w:rPr>
              <w:rFonts w:ascii="Times New Roman" w:eastAsia="Times New Roman"/>
            </w:rPr>
          </w:pPr>
          <w:hyperlink w:history="true" w:anchor="_bookmark22">
            <w:r>
              <w:rPr/>
              <w:t>二十</w:t>
            </w:r>
            <w:r>
              <w:rPr>
                <w:spacing w:val="-3"/>
              </w:rPr>
              <w:t>三</w:t>
            </w:r>
            <w:r>
              <w:rPr/>
              <w:t>、</w:t>
            </w:r>
            <w:r>
              <w:rPr>
                <w:spacing w:val="-3"/>
              </w:rPr>
              <w:t>招</w:t>
            </w:r>
            <w:r>
              <w:rPr/>
              <w:t>募</w:t>
            </w:r>
            <w:r>
              <w:rPr>
                <w:spacing w:val="-3"/>
              </w:rPr>
              <w:t>说</w:t>
            </w:r>
            <w:r>
              <w:rPr/>
              <w:t>明</w:t>
            </w:r>
            <w:r>
              <w:rPr>
                <w:spacing w:val="-3"/>
              </w:rPr>
              <w:t>书</w:t>
            </w:r>
            <w:r>
              <w:rPr/>
              <w:t>存</w:t>
            </w:r>
            <w:r>
              <w:rPr>
                <w:spacing w:val="-3"/>
              </w:rPr>
              <w:t>放</w:t>
            </w:r>
            <w:r>
              <w:rPr/>
              <w:t>及查</w:t>
            </w:r>
            <w:r>
              <w:rPr>
                <w:spacing w:val="-3"/>
              </w:rPr>
              <w:t>阅</w:t>
            </w:r>
            <w:r>
              <w:rPr/>
              <w:t>方式</w:t>
              <w:tab/>
            </w:r>
            <w:r>
              <w:rPr>
                <w:rFonts w:ascii="Times New Roman" w:eastAsia="Times New Roman"/>
              </w:rPr>
              <w:t>134</w:t>
            </w:r>
          </w:hyperlink>
        </w:p>
        <w:p>
          <w:pPr>
            <w:pStyle w:val="TOC1"/>
            <w:tabs>
              <w:tab w:pos="8300" w:val="right" w:leader="dot"/>
            </w:tabs>
            <w:rPr>
              <w:rFonts w:ascii="Times New Roman" w:eastAsia="Times New Roman"/>
            </w:rPr>
          </w:pPr>
          <w:hyperlink w:history="true" w:anchor="_bookmark23">
            <w:r>
              <w:rPr/>
              <w:t>二十</w:t>
            </w:r>
            <w:r>
              <w:rPr>
                <w:spacing w:val="-3"/>
              </w:rPr>
              <w:t>四</w:t>
            </w:r>
            <w:r>
              <w:rPr/>
              <w:t>、</w:t>
            </w:r>
            <w:r>
              <w:rPr>
                <w:spacing w:val="-3"/>
              </w:rPr>
              <w:t>备</w:t>
            </w:r>
            <w:r>
              <w:rPr/>
              <w:t>查</w:t>
            </w:r>
            <w:r>
              <w:rPr>
                <w:spacing w:val="-3"/>
              </w:rPr>
              <w:t>文</w:t>
            </w:r>
            <w:r>
              <w:rPr/>
              <w:t>件</w:t>
              <w:tab/>
            </w:r>
            <w:r>
              <w:rPr>
                <w:rFonts w:ascii="Times New Roman" w:eastAsia="Times New Roman"/>
              </w:rPr>
              <w:t>135</w:t>
            </w:r>
          </w:hyperlink>
        </w:p>
        <w:p>
          <w:pPr>
            <w:pStyle w:val="TOC1"/>
            <w:tabs>
              <w:tab w:pos="8300" w:val="right" w:leader="dot"/>
            </w:tabs>
            <w:rPr>
              <w:rFonts w:ascii="Times New Roman" w:eastAsia="Times New Roman"/>
            </w:rPr>
          </w:pPr>
          <w:hyperlink w:history="true" w:anchor="_bookmark24">
            <w:r>
              <w:rPr/>
              <w:t>附件</w:t>
            </w:r>
            <w:r>
              <w:rPr>
                <w:spacing w:val="-3"/>
              </w:rPr>
              <w:t>一</w:t>
            </w:r>
            <w:r>
              <w:rPr/>
              <w:t>：</w:t>
            </w:r>
            <w:r>
              <w:rPr>
                <w:spacing w:val="-3"/>
              </w:rPr>
              <w:t>基</w:t>
            </w:r>
            <w:r>
              <w:rPr/>
              <w:t>金</w:t>
            </w:r>
            <w:r>
              <w:rPr>
                <w:spacing w:val="-3"/>
              </w:rPr>
              <w:t>合</w:t>
            </w:r>
            <w:r>
              <w:rPr/>
              <w:t>同</w:t>
            </w:r>
            <w:r>
              <w:rPr>
                <w:spacing w:val="-3"/>
              </w:rPr>
              <w:t>摘</w:t>
            </w:r>
            <w:r>
              <w:rPr/>
              <w:t>要</w:t>
              <w:tab/>
            </w:r>
            <w:r>
              <w:rPr>
                <w:rFonts w:ascii="Times New Roman" w:eastAsia="Times New Roman"/>
              </w:rPr>
              <w:t>136</w:t>
            </w:r>
          </w:hyperlink>
        </w:p>
        <w:p>
          <w:pPr>
            <w:pStyle w:val="TOC1"/>
            <w:tabs>
              <w:tab w:pos="8300" w:val="right" w:leader="dot"/>
            </w:tabs>
            <w:rPr>
              <w:rFonts w:ascii="Times New Roman" w:eastAsia="Times New Roman"/>
            </w:rPr>
          </w:pPr>
          <w:hyperlink w:history="true" w:anchor="_bookmark25">
            <w:r>
              <w:rPr/>
              <w:t>附件</w:t>
            </w:r>
            <w:r>
              <w:rPr>
                <w:spacing w:val="-3"/>
              </w:rPr>
              <w:t>二</w:t>
            </w:r>
            <w:r>
              <w:rPr/>
              <w:t>：</w:t>
            </w:r>
            <w:r>
              <w:rPr>
                <w:spacing w:val="-3"/>
              </w:rPr>
              <w:t>基</w:t>
            </w:r>
            <w:r>
              <w:rPr/>
              <w:t>金</w:t>
            </w:r>
            <w:r>
              <w:rPr>
                <w:spacing w:val="-3"/>
              </w:rPr>
              <w:t>托</w:t>
            </w:r>
            <w:r>
              <w:rPr/>
              <w:t>管</w:t>
            </w:r>
            <w:r>
              <w:rPr>
                <w:spacing w:val="-3"/>
              </w:rPr>
              <w:t>协</w:t>
            </w:r>
            <w:r>
              <w:rPr/>
              <w:t>议</w:t>
            </w:r>
            <w:r>
              <w:rPr>
                <w:spacing w:val="-3"/>
              </w:rPr>
              <w:t>摘</w:t>
            </w:r>
            <w:r>
              <w:rPr/>
              <w:t>要</w:t>
              <w:tab/>
            </w:r>
            <w:r>
              <w:rPr>
                <w:rFonts w:ascii="Times New Roman" w:eastAsia="Times New Roman"/>
              </w:rPr>
              <w:t>159</w:t>
            </w:r>
          </w:hyperlink>
        </w:p>
      </w:sdtContent>
    </w:sdt>
    <w:p>
      <w:pPr>
        <w:spacing w:after="0"/>
        <w:rPr>
          <w:rFonts w:ascii="Times New Roman" w:eastAsia="Times New Roman"/>
        </w:rPr>
        <w:sectPr>
          <w:pgSz w:w="11910" w:h="16840"/>
          <w:pgMar w:header="877" w:footer="995" w:top="1420" w:bottom="1180" w:left="1640" w:right="920"/>
        </w:sectPr>
      </w:pPr>
    </w:p>
    <w:p>
      <w:pPr>
        <w:pStyle w:val="BodyText"/>
        <w:rPr>
          <w:rFonts w:ascii="Times New Roman"/>
          <w:sz w:val="20"/>
        </w:rPr>
      </w:pPr>
    </w:p>
    <w:p>
      <w:pPr>
        <w:pStyle w:val="BodyText"/>
        <w:spacing w:before="2"/>
        <w:rPr>
          <w:rFonts w:ascii="Times New Roman"/>
          <w:sz w:val="19"/>
        </w:rPr>
      </w:pPr>
    </w:p>
    <w:p>
      <w:pPr>
        <w:pStyle w:val="Heading1"/>
        <w:spacing w:before="0"/>
      </w:pPr>
      <w:bookmarkStart w:name="_bookmark0" w:id="1"/>
      <w:bookmarkEnd w:id="1"/>
      <w:r>
        <w:rPr>
          <w:b w:val="0"/>
        </w:rPr>
      </w:r>
      <w:r>
        <w:rPr/>
        <w:t>一、绪言</w:t>
      </w:r>
    </w:p>
    <w:p>
      <w:pPr>
        <w:pStyle w:val="BodyText"/>
        <w:rPr>
          <w:b/>
          <w:sz w:val="20"/>
        </w:rPr>
      </w:pPr>
    </w:p>
    <w:p>
      <w:pPr>
        <w:pStyle w:val="BodyText"/>
        <w:spacing w:before="2"/>
        <w:rPr>
          <w:b/>
        </w:rPr>
      </w:pPr>
    </w:p>
    <w:p>
      <w:pPr>
        <w:pStyle w:val="BodyText"/>
        <w:ind w:left="580"/>
      </w:pPr>
      <w:r>
        <w:rPr/>
        <w:t>《战略新兴成指交易型开放式指数证券投资基金发起式联接基金招募说明书（更新</w:t>
      </w:r>
      <w:r>
        <w:rPr>
          <w:spacing w:val="-101"/>
        </w:rPr>
        <w:t>）</w:t>
      </w:r>
      <w:r>
        <w:rPr/>
        <w:t>》</w:t>
      </w:r>
    </w:p>
    <w:p>
      <w:pPr>
        <w:pStyle w:val="BodyText"/>
        <w:spacing w:before="7"/>
        <w:rPr>
          <w:sz w:val="15"/>
        </w:rPr>
      </w:pPr>
    </w:p>
    <w:p>
      <w:pPr>
        <w:pStyle w:val="BodyText"/>
        <w:spacing w:line="417" w:lineRule="auto"/>
        <w:ind w:left="160" w:right="871"/>
        <w:jc w:val="right"/>
      </w:pPr>
      <w:r>
        <w:rPr>
          <w:spacing w:val="-1"/>
        </w:rPr>
        <w:t>（</w:t>
      </w:r>
      <w:r>
        <w:rPr>
          <w:spacing w:val="-3"/>
        </w:rPr>
        <w:t>以下简称“本招募说明书”</w:t>
      </w:r>
      <w:r>
        <w:rPr/>
        <w:t>）</w:t>
      </w:r>
      <w:r>
        <w:rPr>
          <w:spacing w:val="-9"/>
        </w:rPr>
        <w:t>依据《中华人民共和国证券投资基金法》</w:t>
      </w:r>
      <w:r>
        <w:rPr/>
        <w:t>（</w:t>
      </w:r>
      <w:r>
        <w:rPr>
          <w:spacing w:val="-3"/>
        </w:rPr>
        <w:t>以下简称“《基</w:t>
      </w:r>
      <w:r>
        <w:rPr>
          <w:spacing w:val="-3"/>
          <w:w w:val="100"/>
        </w:rPr>
        <w:t>金法》”</w:t>
      </w:r>
      <w:r>
        <w:rPr>
          <w:spacing w:val="-106"/>
          <w:w w:val="100"/>
        </w:rPr>
        <w:t>）</w:t>
      </w:r>
      <w:r>
        <w:rPr>
          <w:spacing w:val="-19"/>
          <w:w w:val="100"/>
        </w:rPr>
        <w:t>、《证券投资基金销售管理办法》</w:t>
      </w:r>
      <w:r>
        <w:rPr>
          <w:spacing w:val="-3"/>
          <w:w w:val="100"/>
        </w:rPr>
        <w:t>（以下简称“《销售办法》”</w:t>
      </w:r>
      <w:r>
        <w:rPr>
          <w:spacing w:val="-106"/>
          <w:w w:val="100"/>
        </w:rPr>
        <w:t>）</w:t>
      </w:r>
      <w:r>
        <w:rPr>
          <w:spacing w:val="-16"/>
          <w:w w:val="100"/>
        </w:rPr>
        <w:t>、《公开募集证券投资基金运作管理办法》</w:t>
      </w:r>
      <w:r>
        <w:rPr>
          <w:spacing w:val="-3"/>
          <w:w w:val="100"/>
        </w:rPr>
        <w:t>（以下简称“《运作办法》”</w:t>
      </w:r>
      <w:r>
        <w:rPr>
          <w:spacing w:val="-106"/>
          <w:w w:val="100"/>
        </w:rPr>
        <w:t>）</w:t>
      </w:r>
      <w:r>
        <w:rPr>
          <w:spacing w:val="-13"/>
          <w:w w:val="100"/>
        </w:rPr>
        <w:t>、《公开募集证券投资基金信息披露</w:t>
      </w:r>
      <w:r>
        <w:rPr>
          <w:spacing w:val="-28"/>
          <w:w w:val="100"/>
        </w:rPr>
        <w:t>管理办法》</w:t>
      </w:r>
      <w:r>
        <w:rPr>
          <w:w w:val="100"/>
        </w:rPr>
        <w:t>（</w:t>
      </w:r>
      <w:r>
        <w:rPr>
          <w:spacing w:val="-3"/>
          <w:w w:val="100"/>
        </w:rPr>
        <w:t>以下简称“《信息披露办法》”</w:t>
      </w:r>
      <w:r>
        <w:rPr>
          <w:spacing w:val="-106"/>
          <w:w w:val="100"/>
        </w:rPr>
        <w:t>）</w:t>
      </w:r>
      <w:r>
        <w:rPr>
          <w:spacing w:val="-12"/>
          <w:w w:val="100"/>
        </w:rPr>
        <w:t>、《公开募集开放式证券投资基金流动性风险</w:t>
      </w:r>
      <w:r>
        <w:rPr>
          <w:spacing w:val="-23"/>
        </w:rPr>
        <w:t>管理规定》</w:t>
      </w:r>
      <w:r>
        <w:rPr/>
        <w:t>（</w:t>
      </w:r>
      <w:r>
        <w:rPr>
          <w:spacing w:val="-3"/>
        </w:rPr>
        <w:t>以下简称“《流动性风险管理规定》”</w:t>
      </w:r>
      <w:r>
        <w:rPr/>
        <w:t>）</w:t>
      </w:r>
      <w:r>
        <w:rPr>
          <w:spacing w:val="-3"/>
        </w:rPr>
        <w:t>及其他有关规定以及《战略新兴成指</w:t>
      </w:r>
      <w:r>
        <w:rPr>
          <w:spacing w:val="-3"/>
          <w:w w:val="100"/>
        </w:rPr>
        <w:t>交易型开放式指数证券投资基金发起式联接基金基金合同</w:t>
      </w:r>
      <w:r>
        <w:rPr>
          <w:spacing w:val="-207"/>
          <w:w w:val="100"/>
        </w:rPr>
        <w:t>》</w:t>
      </w:r>
      <w:r>
        <w:rPr>
          <w:w w:val="100"/>
        </w:rPr>
        <w:t>（</w:t>
      </w:r>
      <w:r>
        <w:rPr>
          <w:spacing w:val="-3"/>
          <w:w w:val="100"/>
        </w:rPr>
        <w:t>以下简称“基金合同”</w:t>
      </w:r>
      <w:r>
        <w:rPr>
          <w:spacing w:val="-101"/>
          <w:w w:val="100"/>
        </w:rPr>
        <w:t>）</w:t>
      </w:r>
      <w:r>
        <w:rPr>
          <w:spacing w:val="-2"/>
          <w:w w:val="100"/>
        </w:rPr>
        <w:t>编写。</w:t>
      </w:r>
      <w:r>
        <w:rPr>
          <w:spacing w:val="-7"/>
        </w:rPr>
        <w:t>基金管理人承诺本招募说明书不存在任何虚假记载、误导性陈述或者重大遗漏，并对其</w:t>
      </w:r>
    </w:p>
    <w:p>
      <w:pPr>
        <w:pStyle w:val="BodyText"/>
        <w:spacing w:line="417" w:lineRule="auto"/>
        <w:ind w:left="160" w:right="871"/>
        <w:jc w:val="both"/>
      </w:pPr>
      <w:r>
        <w:rPr>
          <w:spacing w:val="-12"/>
        </w:rPr>
        <w:t>真实性、准确性、完整性承担法律责任。本基金是根据本招募说明书所载明的资料申请募集</w:t>
      </w:r>
      <w:r>
        <w:rPr>
          <w:spacing w:val="-11"/>
        </w:rPr>
        <w:t>的。本基金管理人没有委托或授权任何其他人提供未在本招募说明书中载明的信息，或对本</w:t>
      </w:r>
      <w:r>
        <w:rPr>
          <w:spacing w:val="-6"/>
        </w:rPr>
        <w:t>招募说明书作任何解释或者说明。</w:t>
      </w:r>
    </w:p>
    <w:p>
      <w:pPr>
        <w:pStyle w:val="BodyText"/>
        <w:spacing w:line="417" w:lineRule="auto"/>
        <w:ind w:left="160" w:right="871" w:firstLine="419"/>
        <w:jc w:val="both"/>
      </w:pPr>
      <w:r>
        <w:rPr>
          <w:spacing w:val="-8"/>
        </w:rPr>
        <w:t>本招募说明书根据本基金的基金合同编写，并经中国证监会注册。基金合同是规定基金</w:t>
      </w:r>
      <w:r>
        <w:rPr>
          <w:spacing w:val="-10"/>
        </w:rPr>
        <w:t>合同当事人之间权利义务关系的基本法律文件，其他与本基金相关的涉及基金合同当事人之间权利义务关系的任何文件或表述，如与基金合同有冲突，均以基金合同为准。基金合同的</w:t>
      </w:r>
      <w:r>
        <w:rPr>
          <w:spacing w:val="-12"/>
        </w:rPr>
        <w:t>当事人包括基金管理人、基金托管人和基金份额持有人。基金投资者自依基金合同取得本基金基金份额，即成为基金份额持有人和基金合同的当事人，其持有基金份额的行为本身即表</w:t>
      </w:r>
      <w:r>
        <w:rPr>
          <w:spacing w:val="-13"/>
        </w:rPr>
        <w:t>明其对基金合同的承认和接受。基金份额持有人作为基金合同当事人并不以在基金合同上书</w:t>
      </w:r>
      <w:r>
        <w:rPr>
          <w:spacing w:val="-11"/>
        </w:rPr>
        <w:t>面签章为必要条件。基金合同当事人按照《基金法》、基金合同及其他有关规定享有权利、</w:t>
      </w:r>
      <w:r>
        <w:rPr>
          <w:spacing w:val="-6"/>
        </w:rPr>
        <w:t>承担义务。基金投资者欲了解基金份额持有人的权利和义务，应详细查阅基金合同。</w:t>
      </w:r>
    </w:p>
    <w:p>
      <w:pPr>
        <w:spacing w:after="0" w:line="417" w:lineRule="auto"/>
        <w:jc w:val="both"/>
        <w:sectPr>
          <w:pgSz w:w="11910" w:h="16840"/>
          <w:pgMar w:header="877" w:footer="995" w:top="1420" w:bottom="1180" w:left="1640" w:right="920"/>
        </w:sectPr>
      </w:pPr>
    </w:p>
    <w:p>
      <w:pPr>
        <w:pStyle w:val="BodyText"/>
        <w:spacing w:before="7"/>
        <w:rPr>
          <w:sz w:val="29"/>
        </w:rPr>
      </w:pPr>
    </w:p>
    <w:p>
      <w:pPr>
        <w:pStyle w:val="Heading1"/>
      </w:pPr>
      <w:bookmarkStart w:name="_bookmark1" w:id="2"/>
      <w:bookmarkEnd w:id="2"/>
      <w:r>
        <w:rPr>
          <w:b w:val="0"/>
        </w:rPr>
      </w:r>
      <w:r>
        <w:rPr/>
        <w:t>二、释义</w:t>
      </w:r>
    </w:p>
    <w:p>
      <w:pPr>
        <w:pStyle w:val="BodyText"/>
        <w:rPr>
          <w:b/>
          <w:sz w:val="20"/>
        </w:rPr>
      </w:pPr>
    </w:p>
    <w:p>
      <w:pPr>
        <w:pStyle w:val="BodyText"/>
        <w:spacing w:before="2"/>
        <w:rPr>
          <w:b/>
        </w:rPr>
      </w:pPr>
    </w:p>
    <w:p>
      <w:pPr>
        <w:pStyle w:val="BodyText"/>
        <w:ind w:left="580"/>
      </w:pPr>
      <w:r>
        <w:rPr/>
        <w:t>本招募说明书中，除非文意另有所指，下列词语或简称具有如下含义：</w:t>
      </w:r>
    </w:p>
    <w:p>
      <w:pPr>
        <w:pStyle w:val="BodyText"/>
        <w:spacing w:before="7"/>
        <w:rPr>
          <w:sz w:val="15"/>
        </w:rPr>
      </w:pPr>
    </w:p>
    <w:p>
      <w:pPr>
        <w:pStyle w:val="BodyText"/>
        <w:ind w:left="580"/>
      </w:pPr>
      <w:r>
        <w:rPr>
          <w:rFonts w:ascii="Calibri" w:eastAsia="Calibri"/>
        </w:rPr>
        <w:t>1</w:t>
      </w:r>
      <w:r>
        <w:rPr/>
        <w:t>、基金或本基金：指战略新兴成指交易型开放式指数证券投资基金发起式联接基金。</w:t>
      </w:r>
    </w:p>
    <w:p>
      <w:pPr>
        <w:pStyle w:val="BodyText"/>
        <w:spacing w:before="7"/>
        <w:rPr>
          <w:sz w:val="15"/>
        </w:rPr>
      </w:pPr>
    </w:p>
    <w:p>
      <w:pPr>
        <w:pStyle w:val="BodyText"/>
        <w:spacing w:line="417" w:lineRule="auto"/>
        <w:ind w:left="160" w:right="871" w:firstLine="419"/>
        <w:jc w:val="both"/>
      </w:pPr>
      <w:r>
        <w:rPr>
          <w:rFonts w:ascii="Calibri" w:eastAsia="Calibri"/>
          <w:w w:val="100"/>
        </w:rPr>
        <w:t>2</w:t>
      </w:r>
      <w:r>
        <w:rPr>
          <w:w w:val="100"/>
        </w:rPr>
        <w:t>、目标</w:t>
      </w:r>
      <w:r>
        <w:rPr/>
        <w:t> </w:t>
      </w:r>
      <w:r>
        <w:rPr>
          <w:rFonts w:ascii="Calibri" w:eastAsia="Calibri"/>
          <w:spacing w:val="-1"/>
          <w:w w:val="100"/>
        </w:rPr>
        <w:t>ETF</w:t>
      </w:r>
      <w:r>
        <w:rPr>
          <w:spacing w:val="-2"/>
          <w:w w:val="100"/>
        </w:rPr>
        <w:t>：另一获中国证监会注册的交易型开放式指数证券投资基金</w:t>
      </w:r>
      <w:r>
        <w:rPr>
          <w:w w:val="100"/>
        </w:rPr>
        <w:t>（</w:t>
      </w:r>
      <w:r>
        <w:rPr>
          <w:spacing w:val="-2"/>
          <w:w w:val="100"/>
        </w:rPr>
        <w:t>简称</w:t>
      </w:r>
      <w:r>
        <w:rPr>
          <w:spacing w:val="-2"/>
        </w:rPr>
        <w:t> </w:t>
      </w:r>
      <w:r>
        <w:rPr>
          <w:rFonts w:ascii="Calibri" w:eastAsia="Calibri"/>
          <w:spacing w:val="-1"/>
          <w:w w:val="100"/>
        </w:rPr>
        <w:t>ETF</w:t>
      </w:r>
      <w:r>
        <w:rPr>
          <w:spacing w:val="-104"/>
          <w:w w:val="100"/>
        </w:rPr>
        <w:t>），</w:t>
      </w:r>
      <w:r>
        <w:rPr>
          <w:spacing w:val="35"/>
        </w:rPr>
        <w:t>该</w:t>
      </w:r>
      <w:r>
        <w:rPr>
          <w:rFonts w:ascii="Calibri" w:eastAsia="Calibri"/>
        </w:rPr>
        <w:t>ETF </w:t>
      </w:r>
      <w:r>
        <w:rPr>
          <w:spacing w:val="-14"/>
        </w:rPr>
        <w:t>和本基金所跟踪的标的指数相同，并且，该</w:t>
      </w:r>
      <w:r>
        <w:rPr>
          <w:rFonts w:ascii="Calibri" w:eastAsia="Calibri"/>
        </w:rPr>
        <w:t>ETF </w:t>
      </w:r>
      <w:r>
        <w:rPr>
          <w:spacing w:val="-3"/>
        </w:rPr>
        <w:t>的投资目标和本基金的投资目标类似， </w:t>
      </w:r>
      <w:r>
        <w:rPr>
          <w:spacing w:val="-7"/>
        </w:rPr>
        <w:t>本基金主要投资于该 </w:t>
      </w:r>
      <w:r>
        <w:rPr>
          <w:rFonts w:ascii="Calibri" w:eastAsia="Calibri"/>
        </w:rPr>
        <w:t>ETF </w:t>
      </w:r>
      <w:r>
        <w:rPr>
          <w:spacing w:val="-11"/>
        </w:rPr>
        <w:t>以求达到投资目标。发售时，本基金以战略新兴成指交易型开放式</w:t>
      </w:r>
      <w:r>
        <w:rPr>
          <w:spacing w:val="-6"/>
        </w:rPr>
        <w:t>指数证券投资基金为目标 </w:t>
      </w:r>
      <w:r>
        <w:rPr>
          <w:rFonts w:ascii="Calibri" w:eastAsia="Calibri"/>
        </w:rPr>
        <w:t>ETF</w:t>
      </w:r>
      <w:r>
        <w:rPr/>
        <w:t>。</w:t>
      </w:r>
    </w:p>
    <w:p>
      <w:pPr>
        <w:pStyle w:val="BodyText"/>
        <w:spacing w:line="417" w:lineRule="auto"/>
        <w:ind w:left="160" w:right="871" w:firstLine="419"/>
        <w:jc w:val="both"/>
      </w:pPr>
      <w:r>
        <w:rPr>
          <w:rFonts w:ascii="Calibri" w:eastAsia="Calibri"/>
        </w:rPr>
        <w:t>3</w:t>
      </w:r>
      <w:r>
        <w:rPr/>
        <w:t>、</w:t>
      </w:r>
      <w:r>
        <w:rPr>
          <w:rFonts w:ascii="Calibri" w:eastAsia="Calibri"/>
        </w:rPr>
        <w:t>ETF </w:t>
      </w:r>
      <w:r>
        <w:rPr>
          <w:spacing w:val="-2"/>
        </w:rPr>
        <w:t>联接基金：是指将绝大多数基金财产投资于跟踪同一标的指数的目标 </w:t>
      </w:r>
      <w:r>
        <w:rPr>
          <w:rFonts w:ascii="Calibri" w:eastAsia="Calibri"/>
        </w:rPr>
        <w:t>ETF</w:t>
      </w:r>
      <w:r>
        <w:rPr/>
        <w:t>，紧</w:t>
      </w:r>
      <w:r>
        <w:rPr>
          <w:spacing w:val="-9"/>
        </w:rPr>
        <w:t>密跟踪标的指数表现，追求跟踪偏离度和跟踪误差最小化，采用开放式运作方式的基金，简</w:t>
      </w:r>
      <w:r>
        <w:rPr>
          <w:spacing w:val="-5"/>
        </w:rPr>
        <w:t>称联接基金。</w:t>
      </w:r>
    </w:p>
    <w:p>
      <w:pPr>
        <w:pStyle w:val="BodyText"/>
        <w:spacing w:line="269" w:lineRule="exact"/>
        <w:ind w:left="580"/>
      </w:pPr>
      <w:r>
        <w:rPr>
          <w:rFonts w:ascii="Calibri" w:eastAsia="Calibri"/>
        </w:rPr>
        <w:t>4</w:t>
      </w:r>
      <w:r>
        <w:rPr/>
        <w:t>、基金管理人：指华夏基金管理有限公司。</w:t>
      </w:r>
    </w:p>
    <w:p>
      <w:pPr>
        <w:pStyle w:val="BodyText"/>
        <w:spacing w:before="6"/>
        <w:rPr>
          <w:sz w:val="15"/>
        </w:rPr>
      </w:pPr>
    </w:p>
    <w:p>
      <w:pPr>
        <w:pStyle w:val="BodyText"/>
        <w:spacing w:before="1"/>
        <w:ind w:left="580"/>
      </w:pPr>
      <w:r>
        <w:rPr>
          <w:rFonts w:ascii="Calibri" w:eastAsia="Calibri"/>
        </w:rPr>
        <w:t>5</w:t>
      </w:r>
      <w:r>
        <w:rPr/>
        <w:t>、基金托管人：指中国建设银行股份有限公司。</w:t>
      </w:r>
    </w:p>
    <w:p>
      <w:pPr>
        <w:pStyle w:val="BodyText"/>
        <w:spacing w:before="6"/>
        <w:rPr>
          <w:sz w:val="15"/>
        </w:rPr>
      </w:pPr>
    </w:p>
    <w:p>
      <w:pPr>
        <w:pStyle w:val="BodyText"/>
        <w:spacing w:line="417" w:lineRule="auto"/>
        <w:ind w:left="160" w:right="873" w:firstLine="419"/>
      </w:pPr>
      <w:r>
        <w:rPr>
          <w:rFonts w:ascii="Calibri" w:eastAsia="Calibri"/>
        </w:rPr>
        <w:t>6</w:t>
      </w:r>
      <w:r>
        <w:rPr>
          <w:spacing w:val="-17"/>
        </w:rPr>
        <w:t>、基金合同、《基金合同》：指《战略新兴成指交易型开放式指数证券投资基金发起式</w:t>
      </w:r>
      <w:r>
        <w:rPr>
          <w:spacing w:val="-7"/>
        </w:rPr>
        <w:t>联接基金基金合同》及对基金合同的任何有效修订和补充。</w:t>
      </w:r>
    </w:p>
    <w:p>
      <w:pPr>
        <w:pStyle w:val="BodyText"/>
        <w:spacing w:line="417" w:lineRule="auto"/>
        <w:ind w:left="160" w:right="873" w:firstLine="419"/>
      </w:pPr>
      <w:r>
        <w:rPr>
          <w:rFonts w:ascii="Calibri" w:eastAsia="Calibri"/>
        </w:rPr>
        <w:t>7</w:t>
      </w:r>
      <w:r>
        <w:rPr/>
        <w:t>、托管协议：指基金管理人与基金托管人就本基金签订之《战略新兴成指交易型开放式指数证券投资基金发起式联接基金托管协议》及对该托管协议的任何有效修订和补充。</w:t>
      </w:r>
    </w:p>
    <w:p>
      <w:pPr>
        <w:pStyle w:val="BodyText"/>
        <w:spacing w:line="417" w:lineRule="auto"/>
        <w:ind w:left="160" w:right="873" w:firstLine="419"/>
      </w:pPr>
      <w:r>
        <w:rPr>
          <w:rFonts w:ascii="Calibri" w:eastAsia="Calibri"/>
        </w:rPr>
        <w:t>8</w:t>
      </w:r>
      <w:r>
        <w:rPr/>
        <w:t>、招募说明书：指《战略新兴成指交易型开放式指数证券投资基金发起式联接基金招募说明书》及其更新。</w:t>
      </w:r>
    </w:p>
    <w:p>
      <w:pPr>
        <w:pStyle w:val="BodyText"/>
        <w:spacing w:line="417" w:lineRule="auto"/>
        <w:ind w:left="160" w:right="873" w:firstLine="419"/>
      </w:pPr>
      <w:r>
        <w:rPr>
          <w:rFonts w:ascii="Calibri" w:eastAsia="Calibri"/>
        </w:rPr>
        <w:t>9</w:t>
      </w:r>
      <w:r>
        <w:rPr/>
        <w:t>、基金份额发售公告：指《战略新兴成指交易型开放式指数证券投资基金发起式联接基金基金份额发售公告》。</w:t>
      </w:r>
    </w:p>
    <w:p>
      <w:pPr>
        <w:pStyle w:val="BodyText"/>
        <w:spacing w:line="417" w:lineRule="auto"/>
        <w:ind w:left="160" w:right="874" w:firstLine="419"/>
      </w:pPr>
      <w:r>
        <w:rPr>
          <w:rFonts w:ascii="Calibri" w:eastAsia="Calibri"/>
        </w:rPr>
        <w:t>10</w:t>
      </w:r>
      <w:r>
        <w:rPr>
          <w:spacing w:val="-20"/>
        </w:rPr>
        <w:t>、法律法规：指中国现行有效并公布实施的法律、行政法规、规范性文件、司法解释、</w:t>
      </w:r>
      <w:r>
        <w:rPr>
          <w:spacing w:val="-8"/>
        </w:rPr>
        <w:t>行政规章以及其他对基金合同当事人有约束力的决定、决议、通知等。</w:t>
      </w:r>
    </w:p>
    <w:p>
      <w:pPr>
        <w:pStyle w:val="BodyText"/>
        <w:spacing w:line="269" w:lineRule="exact"/>
        <w:ind w:left="580"/>
      </w:pPr>
      <w:r>
        <w:rPr>
          <w:rFonts w:ascii="Calibri" w:eastAsia="Calibri"/>
        </w:rPr>
        <w:t>11</w:t>
      </w:r>
      <w:r>
        <w:rPr/>
        <w:t>、《基金法》：指《中华人民共和国证券投资基金法》及颁布机关对其不时做出的修订。</w:t>
      </w:r>
    </w:p>
    <w:p>
      <w:pPr>
        <w:pStyle w:val="BodyText"/>
        <w:spacing w:before="6"/>
        <w:rPr>
          <w:sz w:val="15"/>
        </w:rPr>
      </w:pPr>
    </w:p>
    <w:p>
      <w:pPr>
        <w:pStyle w:val="BodyText"/>
        <w:spacing w:before="1"/>
        <w:ind w:left="580"/>
      </w:pPr>
      <w:r>
        <w:rPr>
          <w:rFonts w:ascii="Calibri" w:eastAsia="Calibri"/>
        </w:rPr>
        <w:t>12</w:t>
      </w:r>
      <w:r>
        <w:rPr/>
        <w:t>、《销售办法》：指《证券投资基金销售管理办法》及颁布机关对其不时做出的修订。</w:t>
      </w:r>
    </w:p>
    <w:p>
      <w:pPr>
        <w:pStyle w:val="BodyText"/>
        <w:spacing w:before="6"/>
        <w:rPr>
          <w:sz w:val="15"/>
        </w:rPr>
      </w:pPr>
    </w:p>
    <w:p>
      <w:pPr>
        <w:pStyle w:val="BodyText"/>
        <w:spacing w:line="417" w:lineRule="auto"/>
        <w:ind w:left="160" w:right="873" w:firstLine="419"/>
      </w:pPr>
      <w:r>
        <w:rPr>
          <w:rFonts w:ascii="Calibri" w:eastAsia="Calibri"/>
        </w:rPr>
        <w:t>13</w:t>
      </w:r>
      <w:r>
        <w:rPr>
          <w:spacing w:val="-20"/>
        </w:rPr>
        <w:t>、《信息披露办法》：指《公开募集证券投资基金信息披露管理办法》及颁布机关对其</w:t>
      </w:r>
      <w:r>
        <w:rPr>
          <w:spacing w:val="-8"/>
        </w:rPr>
        <w:t>不时做出的修订。</w:t>
      </w:r>
    </w:p>
    <w:p>
      <w:pPr>
        <w:pStyle w:val="BodyText"/>
        <w:spacing w:line="417" w:lineRule="auto"/>
        <w:ind w:left="160" w:right="873" w:firstLine="419"/>
      </w:pPr>
      <w:r>
        <w:rPr>
          <w:rFonts w:ascii="Calibri" w:eastAsia="Calibri"/>
        </w:rPr>
        <w:t>14</w:t>
      </w:r>
      <w:r>
        <w:rPr>
          <w:spacing w:val="-21"/>
        </w:rPr>
        <w:t>、《运作办法》：指《公开募集证券投资基金运作管理办法》及颁布机关对其不时做出</w:t>
      </w:r>
      <w:r>
        <w:rPr>
          <w:spacing w:val="-12"/>
        </w:rPr>
        <w:t>的修订。</w:t>
      </w:r>
    </w:p>
    <w:p>
      <w:pPr>
        <w:spacing w:after="0" w:line="417" w:lineRule="auto"/>
        <w:sectPr>
          <w:pgSz w:w="11910" w:h="16840"/>
          <w:pgMar w:header="877" w:footer="995" w:top="1420" w:bottom="1180" w:left="1640" w:right="920"/>
        </w:sectPr>
      </w:pPr>
    </w:p>
    <w:p>
      <w:pPr>
        <w:pStyle w:val="BodyText"/>
        <w:spacing w:line="417" w:lineRule="auto" w:before="110"/>
        <w:ind w:left="160" w:right="871" w:firstLine="419"/>
        <w:jc w:val="both"/>
      </w:pPr>
      <w:r>
        <w:rPr>
          <w:rFonts w:ascii="Calibri" w:eastAsia="Calibri"/>
        </w:rPr>
        <w:t>15</w:t>
      </w:r>
      <w:r>
        <w:rPr>
          <w:spacing w:val="-16"/>
        </w:rPr>
        <w:t>、《流动性风险管理规定》：指中国证监会 </w:t>
      </w:r>
      <w:r>
        <w:rPr>
          <w:rFonts w:ascii="Calibri" w:eastAsia="Calibri"/>
        </w:rPr>
        <w:t>2017 </w:t>
      </w:r>
      <w:r>
        <w:rPr>
          <w:spacing w:val="1"/>
        </w:rPr>
        <w:t>年 </w:t>
      </w:r>
      <w:r>
        <w:rPr>
          <w:rFonts w:ascii="Calibri" w:eastAsia="Calibri"/>
        </w:rPr>
        <w:t>8 </w:t>
      </w:r>
      <w:r>
        <w:rPr>
          <w:spacing w:val="1"/>
        </w:rPr>
        <w:t>月 </w:t>
      </w:r>
      <w:r>
        <w:rPr>
          <w:rFonts w:ascii="Calibri" w:eastAsia="Calibri"/>
        </w:rPr>
        <w:t>31 </w:t>
      </w:r>
      <w:r>
        <w:rPr>
          <w:spacing w:val="-3"/>
        </w:rPr>
        <w:t>日颁布、同年 </w:t>
      </w:r>
      <w:r>
        <w:rPr>
          <w:rFonts w:ascii="Calibri" w:eastAsia="Calibri"/>
        </w:rPr>
        <w:t>10 </w:t>
      </w:r>
      <w:r>
        <w:rPr>
          <w:spacing w:val="-1"/>
        </w:rPr>
        <w:t>月 </w:t>
      </w:r>
      <w:r>
        <w:rPr>
          <w:rFonts w:ascii="Calibri" w:eastAsia="Calibri"/>
        </w:rPr>
        <w:t>1 </w:t>
      </w:r>
      <w:r>
        <w:rPr>
          <w:spacing w:val="-10"/>
        </w:rPr>
        <w:t>日实施的《公开募集开放式证券投资基金流动性风险管理规定》及颁布机关对其不时做出的修订。</w:t>
      </w:r>
    </w:p>
    <w:p>
      <w:pPr>
        <w:pStyle w:val="BodyText"/>
        <w:spacing w:line="269" w:lineRule="exact"/>
        <w:ind w:left="580"/>
      </w:pPr>
      <w:r>
        <w:rPr>
          <w:rFonts w:ascii="Calibri" w:eastAsia="Calibri"/>
        </w:rPr>
        <w:t>16</w:t>
      </w:r>
      <w:r>
        <w:rPr/>
        <w:t>、中国证监会：指中国证券监督管理委员会。</w:t>
      </w:r>
    </w:p>
    <w:p>
      <w:pPr>
        <w:pStyle w:val="BodyText"/>
        <w:spacing w:before="6"/>
        <w:rPr>
          <w:sz w:val="15"/>
        </w:rPr>
      </w:pPr>
    </w:p>
    <w:p>
      <w:pPr>
        <w:pStyle w:val="BodyText"/>
        <w:ind w:left="580"/>
      </w:pPr>
      <w:r>
        <w:rPr>
          <w:rFonts w:ascii="Calibri" w:eastAsia="Calibri"/>
        </w:rPr>
        <w:t>17</w:t>
      </w:r>
      <w:r>
        <w:rPr/>
        <w:t>、银行业监督管理机构：指中国人民银行和</w:t>
      </w:r>
      <w:r>
        <w:rPr>
          <w:rFonts w:ascii="Calibri" w:eastAsia="Calibri"/>
        </w:rPr>
        <w:t>/</w:t>
      </w:r>
      <w:r>
        <w:rPr/>
        <w:t>或中国银行保险监督管理委员会。</w:t>
      </w:r>
    </w:p>
    <w:p>
      <w:pPr>
        <w:pStyle w:val="BodyText"/>
        <w:spacing w:before="7"/>
        <w:rPr>
          <w:sz w:val="15"/>
        </w:rPr>
      </w:pPr>
    </w:p>
    <w:p>
      <w:pPr>
        <w:pStyle w:val="BodyText"/>
        <w:spacing w:line="417" w:lineRule="auto"/>
        <w:ind w:left="160" w:right="871" w:firstLine="419"/>
      </w:pPr>
      <w:r>
        <w:rPr>
          <w:rFonts w:ascii="Calibri" w:eastAsia="Calibri"/>
        </w:rPr>
        <w:t>18</w:t>
      </w:r>
      <w:r>
        <w:rPr>
          <w:spacing w:val="-12"/>
        </w:rPr>
        <w:t>、基金合同当事人：指受基金合同约束，根据基金合同享有权利并承担义务的法律主</w:t>
      </w:r>
      <w:r>
        <w:rPr>
          <w:spacing w:val="-6"/>
        </w:rPr>
        <w:t>体，包括基金管理人、基金托管人和基金份额持有人。</w:t>
      </w:r>
    </w:p>
    <w:p>
      <w:pPr>
        <w:pStyle w:val="BodyText"/>
        <w:ind w:left="580"/>
      </w:pPr>
      <w:r>
        <w:rPr>
          <w:rFonts w:ascii="Calibri" w:eastAsia="Calibri"/>
        </w:rPr>
        <w:t>19</w:t>
      </w:r>
      <w:r>
        <w:rPr/>
        <w:t>、个人投资者：指依据有关法律法规规定可投资于证券投资基金的自然人。</w:t>
      </w:r>
    </w:p>
    <w:p>
      <w:pPr>
        <w:pStyle w:val="BodyText"/>
        <w:spacing w:before="7"/>
        <w:rPr>
          <w:sz w:val="15"/>
        </w:rPr>
      </w:pPr>
    </w:p>
    <w:p>
      <w:pPr>
        <w:pStyle w:val="BodyText"/>
        <w:spacing w:line="417" w:lineRule="auto"/>
        <w:ind w:left="160" w:right="871" w:firstLine="419"/>
      </w:pPr>
      <w:r>
        <w:rPr>
          <w:rFonts w:ascii="Calibri" w:eastAsia="Calibri"/>
        </w:rPr>
        <w:t>20</w:t>
      </w:r>
      <w:r>
        <w:rPr>
          <w:spacing w:val="-11"/>
        </w:rPr>
        <w:t>、机构投资者：指依法可以投资证券投资基金的、在中华人民共和国境内合法登记并</w:t>
      </w:r>
      <w:r>
        <w:rPr>
          <w:spacing w:val="-6"/>
        </w:rPr>
        <w:t>存续或经有关政府部门批准设立并存续的企业法人、事业法人、社会团体或其他组织。</w:t>
      </w:r>
    </w:p>
    <w:p>
      <w:pPr>
        <w:pStyle w:val="BodyText"/>
        <w:spacing w:line="417" w:lineRule="auto"/>
        <w:ind w:left="160" w:right="871" w:firstLine="419"/>
        <w:jc w:val="both"/>
      </w:pPr>
      <w:r>
        <w:rPr>
          <w:rFonts w:ascii="Calibri" w:eastAsia="Calibri"/>
        </w:rPr>
        <w:t>21</w:t>
      </w:r>
      <w:r>
        <w:rPr>
          <w:spacing w:val="-6"/>
        </w:rPr>
        <w:t>、合格境外机构投资者：指符合《合格境外机构投资者境内证券投资管理办法》</w:t>
      </w:r>
      <w:r>
        <w:rPr>
          <w:spacing w:val="-3"/>
        </w:rPr>
        <w:t>（</w:t>
      </w:r>
      <w:r>
        <w:rPr/>
        <w:t>包</w:t>
      </w:r>
      <w:r>
        <w:rPr>
          <w:spacing w:val="-3"/>
        </w:rPr>
        <w:t>括其不时修订</w:t>
      </w:r>
      <w:r>
        <w:rPr>
          <w:spacing w:val="-94"/>
        </w:rPr>
        <w:t>）</w:t>
      </w:r>
      <w:r>
        <w:rPr>
          <w:spacing w:val="-3"/>
        </w:rPr>
        <w:t>及相关法律法规规定可以投资于在中国境内依法募集的证券投资基金的中国境外的机构投资者。</w:t>
      </w:r>
    </w:p>
    <w:p>
      <w:pPr>
        <w:pStyle w:val="BodyText"/>
        <w:spacing w:line="417" w:lineRule="auto"/>
        <w:ind w:left="160" w:right="871" w:firstLine="419"/>
        <w:jc w:val="both"/>
      </w:pPr>
      <w:r>
        <w:rPr>
          <w:rFonts w:ascii="Calibri" w:eastAsia="Calibri"/>
        </w:rPr>
        <w:t>22</w:t>
      </w:r>
      <w:r>
        <w:rPr>
          <w:spacing w:val="-11"/>
        </w:rPr>
        <w:t>、人民币合格境外机构投资者：指按照《人民币合格境外机构投资者境内证券投资试</w:t>
      </w:r>
      <w:r>
        <w:rPr>
          <w:spacing w:val="-36"/>
        </w:rPr>
        <w:t>点办法》</w:t>
      </w:r>
      <w:r>
        <w:rPr/>
        <w:t>（</w:t>
      </w:r>
      <w:r>
        <w:rPr>
          <w:spacing w:val="-3"/>
        </w:rPr>
        <w:t>包括其不时修订</w:t>
      </w:r>
      <w:r>
        <w:rPr/>
        <w:t>）</w:t>
      </w:r>
      <w:r>
        <w:rPr>
          <w:spacing w:val="-3"/>
        </w:rPr>
        <w:t>及相关法律法规规定，运用来自境外的人民币资金进行境内证券投资的境外法人。</w:t>
      </w:r>
    </w:p>
    <w:p>
      <w:pPr>
        <w:pStyle w:val="BodyText"/>
        <w:spacing w:line="417" w:lineRule="auto"/>
        <w:ind w:left="160" w:right="873" w:firstLine="419"/>
      </w:pPr>
      <w:r>
        <w:rPr>
          <w:rFonts w:ascii="Calibri" w:eastAsia="Calibri"/>
        </w:rPr>
        <w:t>23</w:t>
      </w:r>
      <w:r>
        <w:rPr>
          <w:spacing w:val="-11"/>
        </w:rPr>
        <w:t>、投资人、投资者：指个人投资者、机构投资者、合格境外机构投资者和人民币合格</w:t>
      </w:r>
      <w:r>
        <w:rPr>
          <w:spacing w:val="-3"/>
        </w:rPr>
        <w:t>境外机构投资者以及法律法规或中国证监会允许购买证券投资基金的其他投资人的合称。</w:t>
      </w:r>
    </w:p>
    <w:p>
      <w:pPr>
        <w:pStyle w:val="BodyText"/>
        <w:spacing w:line="269" w:lineRule="exact"/>
        <w:ind w:left="580"/>
      </w:pPr>
      <w:r>
        <w:rPr>
          <w:rFonts w:ascii="Calibri" w:eastAsia="Calibri"/>
        </w:rPr>
        <w:t>24</w:t>
      </w:r>
      <w:r>
        <w:rPr/>
        <w:t>、基金份额持有人：指依基金合同和招募说明书合法取得基金份额的投资人。</w:t>
      </w:r>
    </w:p>
    <w:p>
      <w:pPr>
        <w:pStyle w:val="BodyText"/>
        <w:spacing w:before="6"/>
        <w:rPr>
          <w:sz w:val="15"/>
        </w:rPr>
      </w:pPr>
    </w:p>
    <w:p>
      <w:pPr>
        <w:pStyle w:val="BodyText"/>
        <w:spacing w:line="417" w:lineRule="auto"/>
        <w:ind w:left="160" w:right="874" w:firstLine="419"/>
      </w:pPr>
      <w:r>
        <w:rPr>
          <w:rFonts w:ascii="Calibri" w:eastAsia="Calibri"/>
        </w:rPr>
        <w:t>25</w:t>
      </w:r>
      <w:r>
        <w:rPr>
          <w:spacing w:val="-11"/>
        </w:rPr>
        <w:t>、基金销售业务：指基金管理人或销售机构宣传推介基金，发售基金份额，办理基金</w:t>
      </w:r>
      <w:r>
        <w:rPr>
          <w:spacing w:val="-6"/>
        </w:rPr>
        <w:t>份额的申购、赎回、转换、非交易过户、转托管及定期定额投资等业务。</w:t>
      </w:r>
    </w:p>
    <w:p>
      <w:pPr>
        <w:pStyle w:val="BodyText"/>
        <w:spacing w:line="417" w:lineRule="auto"/>
        <w:ind w:left="160" w:right="871" w:firstLine="419"/>
        <w:jc w:val="both"/>
      </w:pPr>
      <w:r>
        <w:rPr>
          <w:rFonts w:ascii="Calibri" w:eastAsia="Calibri"/>
        </w:rPr>
        <w:t>26</w:t>
      </w:r>
      <w:r>
        <w:rPr>
          <w:spacing w:val="-11"/>
        </w:rPr>
        <w:t>、销售机构：指华夏基金管理有限公司以及符合《销售办法》和中国证监会规定的其</w:t>
      </w:r>
      <w:r>
        <w:rPr>
          <w:spacing w:val="-12"/>
        </w:rPr>
        <w:t>他条件，取得基金销售业务资格并与基金管理人签订了基金销售服务代理协议，代为办理基</w:t>
      </w:r>
      <w:r>
        <w:rPr>
          <w:spacing w:val="-6"/>
        </w:rPr>
        <w:t>金销售业务的机构。</w:t>
      </w:r>
    </w:p>
    <w:p>
      <w:pPr>
        <w:pStyle w:val="BodyText"/>
        <w:spacing w:line="417" w:lineRule="auto"/>
        <w:ind w:left="160" w:right="871" w:firstLine="419"/>
        <w:jc w:val="both"/>
      </w:pPr>
      <w:r>
        <w:rPr>
          <w:rFonts w:ascii="Calibri" w:eastAsia="Calibri"/>
        </w:rPr>
        <w:t>27</w:t>
      </w:r>
      <w:r>
        <w:rPr>
          <w:spacing w:val="-11"/>
        </w:rPr>
        <w:t>、登记业务：指基金登记、存管、过户、清算和结算业务，具体内容包括投资人基金</w:t>
      </w:r>
      <w:r>
        <w:rPr>
          <w:spacing w:val="-12"/>
        </w:rPr>
        <w:t>账户的建立和管理、基金份额登记、基金销售业务的确认、清算和结算、代理发放红利、建</w:t>
      </w:r>
      <w:r>
        <w:rPr>
          <w:spacing w:val="-6"/>
        </w:rPr>
        <w:t>立并保管基金份额持有人名册和办理非交易过户等。</w:t>
      </w:r>
    </w:p>
    <w:p>
      <w:pPr>
        <w:pStyle w:val="BodyText"/>
        <w:spacing w:line="417" w:lineRule="auto"/>
        <w:ind w:left="160" w:right="871" w:firstLine="419"/>
      </w:pPr>
      <w:r>
        <w:rPr>
          <w:rFonts w:ascii="Calibri" w:eastAsia="Calibri"/>
        </w:rPr>
        <w:t>28</w:t>
      </w:r>
      <w:r>
        <w:rPr>
          <w:spacing w:val="-12"/>
        </w:rPr>
        <w:t>、登记机构：指办理登记业务的机构。基金的登记机构为华夏基金管理有限公司或接</w:t>
      </w:r>
      <w:r>
        <w:rPr>
          <w:spacing w:val="-6"/>
        </w:rPr>
        <w:t>受华夏基金管理有限公司委托代为办理登记业务的机构。</w:t>
      </w:r>
    </w:p>
    <w:p>
      <w:pPr>
        <w:pStyle w:val="BodyText"/>
        <w:ind w:left="580"/>
      </w:pPr>
      <w:r>
        <w:rPr>
          <w:rFonts w:ascii="Calibri" w:eastAsia="Calibri"/>
        </w:rPr>
        <w:t>29</w:t>
      </w:r>
      <w:r>
        <w:rPr/>
        <w:t>、基金账户：指登记机构为投资人开立的、记录其持有的、由该登记机构登记的基金</w:t>
      </w:r>
    </w:p>
    <w:p>
      <w:pPr>
        <w:spacing w:after="0"/>
        <w:sectPr>
          <w:pgSz w:w="11910" w:h="16840"/>
          <w:pgMar w:header="877" w:footer="995" w:top="1420" w:bottom="1180" w:left="1640" w:right="920"/>
        </w:sectPr>
      </w:pPr>
    </w:p>
    <w:p>
      <w:pPr>
        <w:pStyle w:val="BodyText"/>
        <w:spacing w:before="110"/>
        <w:ind w:left="160"/>
      </w:pPr>
      <w:r>
        <w:rPr/>
        <w:t>份额余额及其变动情况的账户。</w:t>
      </w:r>
    </w:p>
    <w:p>
      <w:pPr>
        <w:pStyle w:val="BodyText"/>
        <w:spacing w:before="6"/>
        <w:rPr>
          <w:sz w:val="15"/>
        </w:rPr>
      </w:pPr>
    </w:p>
    <w:p>
      <w:pPr>
        <w:pStyle w:val="BodyText"/>
        <w:spacing w:line="417" w:lineRule="auto"/>
        <w:ind w:left="160" w:right="871" w:firstLine="419"/>
        <w:jc w:val="right"/>
      </w:pPr>
      <w:r>
        <w:rPr>
          <w:rFonts w:ascii="Calibri" w:eastAsia="Calibri"/>
        </w:rPr>
        <w:t>30</w:t>
      </w:r>
      <w:r>
        <w:rPr>
          <w:spacing w:val="-22"/>
        </w:rPr>
        <w:t>、基金交易账户：指销售机构为投资人开立的、记录投资人通过该销售机构办理认购、</w:t>
      </w:r>
      <w:r>
        <w:rPr>
          <w:spacing w:val="-21"/>
        </w:rPr>
        <w:t>申购、赎回、转换、转托管及定期定额投资等业务而引起的基金份额变动及结余情况的账户。</w:t>
      </w:r>
      <w:r>
        <w:rPr>
          <w:rFonts w:ascii="Calibri" w:eastAsia="Calibri"/>
          <w:spacing w:val="-1"/>
        </w:rPr>
        <w:t>31</w:t>
      </w:r>
      <w:r>
        <w:rPr>
          <w:spacing w:val="-11"/>
        </w:rPr>
        <w:t>、基金合同生效日：指基金募集达到法律法规规定及基金合同规定的条件，基金管理</w:t>
      </w:r>
    </w:p>
    <w:p>
      <w:pPr>
        <w:pStyle w:val="BodyText"/>
        <w:spacing w:line="269" w:lineRule="exact"/>
        <w:ind w:left="160"/>
      </w:pPr>
      <w:r>
        <w:rPr/>
        <w:t>人向中国证监会办理基金备案手续完毕，并获得中国证监会书面确认的日期。</w:t>
      </w:r>
    </w:p>
    <w:p>
      <w:pPr>
        <w:pStyle w:val="BodyText"/>
        <w:spacing w:before="7"/>
        <w:rPr>
          <w:sz w:val="15"/>
        </w:rPr>
      </w:pPr>
    </w:p>
    <w:p>
      <w:pPr>
        <w:pStyle w:val="BodyText"/>
        <w:spacing w:line="417" w:lineRule="auto"/>
        <w:ind w:left="160" w:right="873" w:firstLine="419"/>
      </w:pPr>
      <w:r>
        <w:rPr>
          <w:rFonts w:ascii="Calibri" w:eastAsia="Calibri"/>
        </w:rPr>
        <w:t>32</w:t>
      </w:r>
      <w:r>
        <w:rPr>
          <w:spacing w:val="-21"/>
        </w:rPr>
        <w:t>、基金合同终止日：指基金合同规定的基金合同终止事由出现后，基金财产清算完毕， </w:t>
      </w:r>
      <w:r>
        <w:rPr>
          <w:spacing w:val="-8"/>
        </w:rPr>
        <w:t>清算结果报中国证监会备案并予以公告的日期。</w:t>
      </w:r>
    </w:p>
    <w:p>
      <w:pPr>
        <w:pStyle w:val="BodyText"/>
        <w:ind w:left="580"/>
        <w:rPr>
          <w:rFonts w:ascii="Calibri" w:eastAsia="Calibri"/>
        </w:rPr>
      </w:pPr>
      <w:r>
        <w:rPr>
          <w:rFonts w:ascii="Calibri" w:eastAsia="Calibri"/>
        </w:rPr>
        <w:t>33</w:t>
      </w:r>
      <w:r>
        <w:rPr/>
        <w:t>、基金募集期：指自基金份额发售之日起至发售结束之日止的期间，最长不得超过 </w:t>
      </w:r>
      <w:r>
        <w:rPr>
          <w:rFonts w:ascii="Calibri" w:eastAsia="Calibri"/>
        </w:rPr>
        <w:t>3</w:t>
      </w:r>
    </w:p>
    <w:p>
      <w:pPr>
        <w:pStyle w:val="BodyText"/>
        <w:spacing w:before="4"/>
        <w:rPr>
          <w:rFonts w:ascii="Calibri"/>
          <w:sz w:val="16"/>
        </w:rPr>
      </w:pPr>
    </w:p>
    <w:p>
      <w:pPr>
        <w:pStyle w:val="BodyText"/>
        <w:ind w:left="160"/>
      </w:pPr>
      <w:r>
        <w:rPr/>
        <w:t>个月。</w:t>
      </w:r>
    </w:p>
    <w:p>
      <w:pPr>
        <w:pStyle w:val="BodyText"/>
        <w:spacing w:before="7"/>
        <w:rPr>
          <w:sz w:val="15"/>
        </w:rPr>
      </w:pPr>
    </w:p>
    <w:p>
      <w:pPr>
        <w:pStyle w:val="BodyText"/>
        <w:ind w:left="580"/>
      </w:pPr>
      <w:r>
        <w:rPr>
          <w:rFonts w:ascii="Calibri" w:eastAsia="Calibri"/>
        </w:rPr>
        <w:t>34</w:t>
      </w:r>
      <w:r>
        <w:rPr/>
        <w:t>、存续期：指基金合同生效至终止之间的不定期期限。</w:t>
      </w:r>
    </w:p>
    <w:p>
      <w:pPr>
        <w:pStyle w:val="BodyText"/>
        <w:spacing w:before="6"/>
        <w:rPr>
          <w:sz w:val="15"/>
        </w:rPr>
      </w:pPr>
    </w:p>
    <w:p>
      <w:pPr>
        <w:pStyle w:val="BodyText"/>
        <w:spacing w:before="1"/>
        <w:ind w:left="580"/>
      </w:pPr>
      <w:r>
        <w:rPr>
          <w:rFonts w:ascii="Calibri" w:eastAsia="Calibri"/>
        </w:rPr>
        <w:t>35</w:t>
      </w:r>
      <w:r>
        <w:rPr/>
        <w:t>、工作日：指上海证券交易所、深圳证券交易所的正常交易日。</w:t>
      </w:r>
    </w:p>
    <w:p>
      <w:pPr>
        <w:pStyle w:val="BodyText"/>
        <w:spacing w:before="6"/>
        <w:rPr>
          <w:sz w:val="15"/>
        </w:rPr>
      </w:pPr>
    </w:p>
    <w:p>
      <w:pPr>
        <w:pStyle w:val="BodyText"/>
        <w:ind w:left="580"/>
      </w:pPr>
      <w:r>
        <w:rPr>
          <w:rFonts w:ascii="Calibri" w:eastAsia="Calibri"/>
        </w:rPr>
        <w:t>36</w:t>
      </w:r>
      <w:r>
        <w:rPr/>
        <w:t>、</w:t>
      </w:r>
      <w:r>
        <w:rPr>
          <w:rFonts w:ascii="Calibri" w:eastAsia="Calibri"/>
        </w:rPr>
        <w:t>T </w:t>
      </w:r>
      <w:r>
        <w:rPr/>
        <w:t>日：指销售机构在规定时间受理投资人申购、赎回或其他业务申请的开放日。</w:t>
      </w:r>
    </w:p>
    <w:p>
      <w:pPr>
        <w:pStyle w:val="BodyText"/>
        <w:spacing w:before="7"/>
        <w:rPr>
          <w:sz w:val="15"/>
        </w:rPr>
      </w:pPr>
    </w:p>
    <w:p>
      <w:pPr>
        <w:pStyle w:val="BodyText"/>
        <w:ind w:left="580"/>
      </w:pPr>
      <w:r>
        <w:rPr>
          <w:rFonts w:ascii="Calibri" w:eastAsia="Calibri"/>
        </w:rPr>
        <w:t>37</w:t>
      </w:r>
      <w:r>
        <w:rPr/>
        <w:t>、</w:t>
      </w:r>
      <w:r>
        <w:rPr>
          <w:rFonts w:ascii="Calibri" w:eastAsia="Calibri"/>
        </w:rPr>
        <w:t>T+n </w:t>
      </w:r>
      <w:r>
        <w:rPr/>
        <w:t>日：指自 </w:t>
      </w:r>
      <w:r>
        <w:rPr>
          <w:rFonts w:ascii="Calibri" w:eastAsia="Calibri"/>
        </w:rPr>
        <w:t>T </w:t>
      </w:r>
      <w:r>
        <w:rPr/>
        <w:t>日起第 </w:t>
      </w:r>
      <w:r>
        <w:rPr>
          <w:rFonts w:ascii="Calibri" w:eastAsia="Calibri"/>
        </w:rPr>
        <w:t>n </w:t>
      </w:r>
      <w:r>
        <w:rPr/>
        <w:t>个工作日</w:t>
      </w:r>
      <w:r>
        <w:rPr>
          <w:rFonts w:ascii="Calibri" w:eastAsia="Calibri"/>
        </w:rPr>
        <w:t>(</w:t>
      </w:r>
      <w:r>
        <w:rPr/>
        <w:t>不包含 </w:t>
      </w:r>
      <w:r>
        <w:rPr>
          <w:rFonts w:ascii="Calibri" w:eastAsia="Calibri"/>
        </w:rPr>
        <w:t>T </w:t>
      </w:r>
      <w:r>
        <w:rPr/>
        <w:t>日</w:t>
      </w:r>
      <w:r>
        <w:rPr>
          <w:rFonts w:ascii="Calibri" w:eastAsia="Calibri"/>
        </w:rPr>
        <w:t>)</w:t>
      </w:r>
      <w:r>
        <w:rPr/>
        <w:t>。</w:t>
      </w:r>
    </w:p>
    <w:p>
      <w:pPr>
        <w:pStyle w:val="BodyText"/>
        <w:spacing w:before="7"/>
        <w:rPr>
          <w:sz w:val="15"/>
        </w:rPr>
      </w:pPr>
    </w:p>
    <w:p>
      <w:pPr>
        <w:pStyle w:val="BodyText"/>
        <w:ind w:left="580"/>
      </w:pPr>
      <w:r>
        <w:rPr>
          <w:rFonts w:ascii="Calibri" w:eastAsia="Calibri"/>
        </w:rPr>
        <w:t>38</w:t>
      </w:r>
      <w:r>
        <w:rPr/>
        <w:t>、开放日：指为投资人办理基金份额申购、赎回或其他业务的工作日。</w:t>
      </w:r>
    </w:p>
    <w:p>
      <w:pPr>
        <w:pStyle w:val="BodyText"/>
        <w:spacing w:before="7"/>
        <w:rPr>
          <w:sz w:val="15"/>
        </w:rPr>
      </w:pPr>
    </w:p>
    <w:p>
      <w:pPr>
        <w:pStyle w:val="BodyText"/>
        <w:ind w:left="580"/>
      </w:pPr>
      <w:r>
        <w:rPr>
          <w:rFonts w:ascii="Calibri" w:eastAsia="Calibri"/>
        </w:rPr>
        <w:t>39</w:t>
      </w:r>
      <w:r>
        <w:rPr/>
        <w:t>、开放时间：指开放日基金接受申购、赎回或其他交易的时间段。</w:t>
      </w:r>
    </w:p>
    <w:p>
      <w:pPr>
        <w:pStyle w:val="BodyText"/>
        <w:spacing w:before="7"/>
        <w:rPr>
          <w:sz w:val="15"/>
        </w:rPr>
      </w:pPr>
    </w:p>
    <w:p>
      <w:pPr>
        <w:pStyle w:val="BodyText"/>
        <w:spacing w:line="417" w:lineRule="auto"/>
        <w:ind w:left="160" w:right="871" w:firstLine="419"/>
        <w:jc w:val="both"/>
      </w:pPr>
      <w:r>
        <w:rPr>
          <w:rFonts w:ascii="Calibri" w:eastAsia="Calibri"/>
        </w:rPr>
        <w:t>40</w:t>
      </w:r>
      <w:r>
        <w:rPr>
          <w:spacing w:val="-20"/>
        </w:rPr>
        <w:t>、《业务规则》：指《华夏基金管理有限公司开放式基金业务规则》，是规范基金管理</w:t>
      </w:r>
      <w:r>
        <w:rPr>
          <w:spacing w:val="-12"/>
        </w:rPr>
        <w:t>人所管理的开放式证券投资基金登记方面的业务规则，由基金管理人、销售机构和投资人共</w:t>
      </w:r>
      <w:r>
        <w:rPr>
          <w:spacing w:val="-7"/>
        </w:rPr>
        <w:t>同遵守。</w:t>
      </w:r>
    </w:p>
    <w:p>
      <w:pPr>
        <w:pStyle w:val="BodyText"/>
        <w:spacing w:line="269" w:lineRule="exact"/>
        <w:ind w:left="580"/>
      </w:pPr>
      <w:r>
        <w:rPr>
          <w:rFonts w:ascii="Calibri" w:eastAsia="Calibri"/>
        </w:rPr>
        <w:t>41</w:t>
      </w:r>
      <w:r>
        <w:rPr/>
        <w:t>、认购：指在基金募集期内，投资人申请购买基金份额的行为。</w:t>
      </w:r>
    </w:p>
    <w:p>
      <w:pPr>
        <w:pStyle w:val="BodyText"/>
        <w:spacing w:before="6"/>
        <w:rPr>
          <w:sz w:val="15"/>
        </w:rPr>
      </w:pPr>
    </w:p>
    <w:p>
      <w:pPr>
        <w:pStyle w:val="BodyText"/>
        <w:spacing w:line="417" w:lineRule="auto"/>
        <w:ind w:left="160" w:right="871" w:firstLine="419"/>
      </w:pPr>
      <w:r>
        <w:rPr>
          <w:rFonts w:ascii="Calibri" w:eastAsia="Calibri"/>
        </w:rPr>
        <w:t>42</w:t>
      </w:r>
      <w:r>
        <w:rPr>
          <w:spacing w:val="-12"/>
        </w:rPr>
        <w:t>、申购：指基金合同生效后，投资人根据基金合同和招募说明书的规定申请购买基金</w:t>
      </w:r>
      <w:r>
        <w:rPr>
          <w:spacing w:val="-6"/>
        </w:rPr>
        <w:t>份额的行为。</w:t>
      </w:r>
    </w:p>
    <w:p>
      <w:pPr>
        <w:pStyle w:val="BodyText"/>
        <w:spacing w:line="417" w:lineRule="auto" w:before="1"/>
        <w:ind w:left="160" w:right="871" w:firstLine="419"/>
      </w:pPr>
      <w:r>
        <w:rPr>
          <w:rFonts w:ascii="Calibri" w:eastAsia="Calibri"/>
        </w:rPr>
        <w:t>43</w:t>
      </w:r>
      <w:r>
        <w:rPr>
          <w:spacing w:val="-12"/>
        </w:rPr>
        <w:t>、赎回：指基金合同生效后，基金份额持有人按基金合同和招募说明书规定的条件要</w:t>
      </w:r>
      <w:r>
        <w:rPr>
          <w:spacing w:val="-6"/>
        </w:rPr>
        <w:t>求将基金份额兑换为现金的行为。</w:t>
      </w:r>
    </w:p>
    <w:p>
      <w:pPr>
        <w:pStyle w:val="BodyText"/>
        <w:spacing w:line="417" w:lineRule="auto"/>
        <w:ind w:left="160" w:right="765" w:firstLine="419"/>
      </w:pPr>
      <w:r>
        <w:rPr>
          <w:rFonts w:ascii="Calibri" w:eastAsia="Calibri"/>
        </w:rPr>
        <w:t>44</w:t>
      </w:r>
      <w:r>
        <w:rPr>
          <w:spacing w:val="-17"/>
        </w:rPr>
        <w:t>、基金转换：指基金份额持有人按照基金合同和基金管理人届时有效公告规定的条件， </w:t>
      </w:r>
      <w:r>
        <w:rPr>
          <w:spacing w:val="-13"/>
        </w:rPr>
        <w:t>申请将其持有基金管理人管理的、某一基金的基金份额转换为基金管理人管理的其他基金基</w:t>
      </w:r>
      <w:r>
        <w:rPr>
          <w:spacing w:val="-6"/>
        </w:rPr>
        <w:t>金份额的行为。</w:t>
      </w:r>
    </w:p>
    <w:p>
      <w:pPr>
        <w:pStyle w:val="BodyText"/>
        <w:spacing w:line="417" w:lineRule="auto"/>
        <w:ind w:left="160" w:right="871" w:firstLine="419"/>
      </w:pPr>
      <w:r>
        <w:rPr>
          <w:rFonts w:ascii="Calibri" w:eastAsia="Calibri"/>
        </w:rPr>
        <w:t>45</w:t>
      </w:r>
      <w:r>
        <w:rPr>
          <w:spacing w:val="-12"/>
        </w:rPr>
        <w:t>、转托管：指基金份额持有人在本基金的不同销售机构之间实施的变更所持基金份额</w:t>
      </w:r>
      <w:r>
        <w:rPr>
          <w:spacing w:val="-6"/>
        </w:rPr>
        <w:t>销售机构的操作。</w:t>
      </w:r>
    </w:p>
    <w:p>
      <w:pPr>
        <w:pStyle w:val="BodyText"/>
        <w:spacing w:line="417" w:lineRule="auto"/>
        <w:ind w:left="160" w:right="871" w:firstLine="419"/>
      </w:pPr>
      <w:r>
        <w:rPr>
          <w:rFonts w:ascii="Calibri" w:eastAsia="Calibri"/>
        </w:rPr>
        <w:t>46</w:t>
      </w:r>
      <w:r>
        <w:rPr>
          <w:spacing w:val="-11"/>
        </w:rPr>
        <w:t>、定期定额投资计划：指投资人通过有关销售机构提出申请，约定每期申购日、扣款</w:t>
      </w:r>
      <w:r>
        <w:rPr>
          <w:spacing w:val="-13"/>
        </w:rPr>
        <w:t>金额及扣款方式，由销售机构于每期约定扣款日在投资人指定银行账户内自动完成扣款及受</w:t>
      </w:r>
    </w:p>
    <w:p>
      <w:pPr>
        <w:spacing w:after="0" w:line="417" w:lineRule="auto"/>
        <w:sectPr>
          <w:pgSz w:w="11910" w:h="16840"/>
          <w:pgMar w:header="877" w:footer="995" w:top="1420" w:bottom="1180" w:left="1640" w:right="920"/>
        </w:sectPr>
      </w:pPr>
    </w:p>
    <w:p>
      <w:pPr>
        <w:pStyle w:val="BodyText"/>
        <w:spacing w:before="110"/>
        <w:ind w:left="160"/>
      </w:pPr>
      <w:r>
        <w:rPr/>
        <w:t>理基金申购申请的一种投资方式。</w:t>
      </w:r>
    </w:p>
    <w:p>
      <w:pPr>
        <w:pStyle w:val="BodyText"/>
        <w:spacing w:before="6"/>
        <w:rPr>
          <w:sz w:val="15"/>
        </w:rPr>
      </w:pPr>
    </w:p>
    <w:p>
      <w:pPr>
        <w:pStyle w:val="BodyText"/>
        <w:spacing w:line="417" w:lineRule="auto"/>
        <w:ind w:left="160" w:right="871" w:firstLine="419"/>
        <w:jc w:val="both"/>
      </w:pPr>
      <w:r>
        <w:rPr>
          <w:rFonts w:ascii="Calibri" w:eastAsia="Calibri"/>
        </w:rPr>
        <w:t>47</w:t>
      </w:r>
      <w:r>
        <w:rPr/>
        <w:t>、巨额赎回：指本基金单个开放日，基金净赎回申请</w:t>
      </w:r>
      <w:r>
        <w:rPr>
          <w:rFonts w:ascii="Calibri" w:eastAsia="Calibri"/>
        </w:rPr>
        <w:t>(</w:t>
      </w:r>
      <w:r>
        <w:rPr/>
        <w:t>赎回申请份额总数加上基金转换中转出申请份额总数后扣除申购申请份额总数及基金转换中转入申请份额总数后的余额</w:t>
      </w:r>
      <w:r>
        <w:rPr>
          <w:rFonts w:ascii="Calibri" w:eastAsia="Calibri"/>
        </w:rPr>
        <w:t>) </w:t>
      </w:r>
      <w:r>
        <w:rPr/>
        <w:t>超过上一开放日基金总份额的 </w:t>
      </w:r>
      <w:r>
        <w:rPr>
          <w:rFonts w:ascii="Calibri" w:eastAsia="Calibri"/>
        </w:rPr>
        <w:t>10%</w:t>
      </w:r>
      <w:r>
        <w:rPr/>
        <w:t>。</w:t>
      </w:r>
    </w:p>
    <w:p>
      <w:pPr>
        <w:pStyle w:val="BodyText"/>
        <w:spacing w:line="269" w:lineRule="exact"/>
        <w:ind w:left="580"/>
      </w:pPr>
      <w:r>
        <w:rPr>
          <w:rFonts w:ascii="Calibri" w:eastAsia="Calibri"/>
        </w:rPr>
        <w:t>48</w:t>
      </w:r>
      <w:r>
        <w:rPr/>
        <w:t>、元：指人民币元。</w:t>
      </w:r>
    </w:p>
    <w:p>
      <w:pPr>
        <w:pStyle w:val="BodyText"/>
        <w:spacing w:before="7"/>
        <w:rPr>
          <w:sz w:val="15"/>
        </w:rPr>
      </w:pPr>
    </w:p>
    <w:p>
      <w:pPr>
        <w:pStyle w:val="BodyText"/>
        <w:spacing w:line="417" w:lineRule="auto"/>
        <w:ind w:left="160" w:right="874" w:firstLine="419"/>
      </w:pPr>
      <w:r>
        <w:rPr>
          <w:rFonts w:ascii="Calibri" w:eastAsia="Calibri"/>
        </w:rPr>
        <w:t>49</w:t>
      </w:r>
      <w:r>
        <w:rPr>
          <w:spacing w:val="-21"/>
        </w:rPr>
        <w:t>、基金收益：指基金投资所得红利、股息、债券利息、买卖证券价差、银行存款利息、</w:t>
      </w:r>
      <w:r>
        <w:rPr>
          <w:spacing w:val="-8"/>
        </w:rPr>
        <w:t>已实现的其他合法收入及因运用基金财产带来的成本和费用的节约。</w:t>
      </w:r>
    </w:p>
    <w:p>
      <w:pPr>
        <w:pStyle w:val="BodyText"/>
        <w:spacing w:line="417" w:lineRule="auto"/>
        <w:ind w:left="160" w:right="871" w:firstLine="419"/>
      </w:pPr>
      <w:r>
        <w:rPr>
          <w:rFonts w:ascii="Calibri" w:eastAsia="Calibri"/>
        </w:rPr>
        <w:t>50</w:t>
      </w:r>
      <w:r>
        <w:rPr>
          <w:spacing w:val="-12"/>
        </w:rPr>
        <w:t>、基金资产总值：购买的各类证券及票据价值、银行存款本息和基金应收的申购基金</w:t>
      </w:r>
      <w:r>
        <w:rPr>
          <w:spacing w:val="-6"/>
        </w:rPr>
        <w:t>款以及其他投资所形成的价值总和。</w:t>
      </w:r>
    </w:p>
    <w:p>
      <w:pPr>
        <w:pStyle w:val="BodyText"/>
        <w:spacing w:line="269" w:lineRule="exact"/>
        <w:ind w:left="580"/>
      </w:pPr>
      <w:r>
        <w:rPr>
          <w:rFonts w:ascii="Calibri" w:eastAsia="Calibri"/>
        </w:rPr>
        <w:t>51</w:t>
      </w:r>
      <w:r>
        <w:rPr/>
        <w:t>、基金资产净值：指基金资产总值减去基金负债后的价值。</w:t>
      </w:r>
    </w:p>
    <w:p>
      <w:pPr>
        <w:pStyle w:val="BodyText"/>
        <w:spacing w:before="7"/>
        <w:rPr>
          <w:sz w:val="15"/>
        </w:rPr>
      </w:pPr>
    </w:p>
    <w:p>
      <w:pPr>
        <w:pStyle w:val="BodyText"/>
        <w:ind w:left="580"/>
      </w:pPr>
      <w:r>
        <w:rPr>
          <w:rFonts w:ascii="Calibri" w:eastAsia="Calibri"/>
        </w:rPr>
        <w:t>52</w:t>
      </w:r>
      <w:r>
        <w:rPr/>
        <w:t>、基金份额净值：指计算日基金资产净值除以计算日基金份额总数。</w:t>
      </w:r>
    </w:p>
    <w:p>
      <w:pPr>
        <w:pStyle w:val="BodyText"/>
        <w:spacing w:before="7"/>
        <w:rPr>
          <w:sz w:val="15"/>
        </w:rPr>
      </w:pPr>
    </w:p>
    <w:p>
      <w:pPr>
        <w:pStyle w:val="BodyText"/>
        <w:spacing w:line="417" w:lineRule="auto"/>
        <w:ind w:left="160" w:right="871" w:firstLine="419"/>
      </w:pPr>
      <w:r>
        <w:rPr>
          <w:rFonts w:ascii="Calibri" w:eastAsia="Calibri"/>
        </w:rPr>
        <w:t>53</w:t>
      </w:r>
      <w:r>
        <w:rPr>
          <w:spacing w:val="-11"/>
        </w:rPr>
        <w:t>、基金资产估值：指计算评估基金资产和负债的价值，以确定基金资产净值和基金份</w:t>
      </w:r>
      <w:r>
        <w:rPr>
          <w:spacing w:val="-6"/>
        </w:rPr>
        <w:t>额净值的过程。</w:t>
      </w:r>
    </w:p>
    <w:p>
      <w:pPr>
        <w:pStyle w:val="BodyText"/>
        <w:spacing w:line="269" w:lineRule="exact"/>
        <w:ind w:left="580"/>
      </w:pPr>
      <w:r>
        <w:rPr>
          <w:rFonts w:ascii="Calibri" w:eastAsia="Calibri"/>
        </w:rPr>
        <w:t>54</w:t>
      </w:r>
      <w:r>
        <w:rPr/>
        <w:t>、指定媒介：指中国证监会指定的用以进行信息披露的报刊、互联网网站及其他媒介。</w:t>
      </w:r>
    </w:p>
    <w:p>
      <w:pPr>
        <w:pStyle w:val="BodyText"/>
        <w:spacing w:before="7"/>
        <w:rPr>
          <w:sz w:val="15"/>
        </w:rPr>
      </w:pPr>
    </w:p>
    <w:p>
      <w:pPr>
        <w:pStyle w:val="BodyText"/>
        <w:spacing w:line="417" w:lineRule="auto"/>
        <w:ind w:left="160" w:right="871" w:firstLine="419"/>
        <w:jc w:val="both"/>
      </w:pPr>
      <w:r>
        <w:rPr>
          <w:rFonts w:ascii="Calibri" w:eastAsia="Calibri"/>
        </w:rPr>
        <w:t>55</w:t>
      </w:r>
      <w:r>
        <w:rPr>
          <w:spacing w:val="-11"/>
        </w:rPr>
        <w:t>、流动性受限资产：指由于法律法规、监管、合同或操作障碍等原因无法以合理价格</w:t>
      </w:r>
      <w:r>
        <w:rPr>
          <w:spacing w:val="-10"/>
        </w:rPr>
        <w:t>予以变现的资产，包括但不限于到期日在 </w:t>
      </w:r>
      <w:r>
        <w:rPr>
          <w:rFonts w:ascii="Calibri" w:eastAsia="Calibri"/>
        </w:rPr>
        <w:t>10 </w:t>
      </w:r>
      <w:r>
        <w:rPr>
          <w:spacing w:val="-6"/>
        </w:rPr>
        <w:t>个交易日以上的逆回购与银行定期存款</w:t>
      </w:r>
      <w:r>
        <w:rPr/>
        <w:t>（</w:t>
      </w:r>
      <w:r>
        <w:rPr>
          <w:spacing w:val="-2"/>
        </w:rPr>
        <w:t>含协</w:t>
      </w:r>
      <w:r>
        <w:rPr>
          <w:spacing w:val="-3"/>
        </w:rPr>
        <w:t>议约定有条件提前支取的银行存款</w:t>
      </w:r>
      <w:r>
        <w:rPr>
          <w:spacing w:val="-106"/>
        </w:rPr>
        <w:t>）</w:t>
      </w:r>
      <w:r>
        <w:rPr>
          <w:spacing w:val="-3"/>
        </w:rPr>
        <w:t>、停牌股票、流通受限的新股及非公开发行股票、资产支持证券、因发行人债务违约无法进行转让或交易的债券等。</w:t>
      </w:r>
    </w:p>
    <w:p>
      <w:pPr>
        <w:pStyle w:val="BodyText"/>
        <w:spacing w:line="417" w:lineRule="auto"/>
        <w:ind w:left="160" w:right="871" w:firstLine="419"/>
        <w:jc w:val="both"/>
      </w:pPr>
      <w:r>
        <w:rPr>
          <w:rFonts w:ascii="Calibri" w:eastAsia="Calibri"/>
        </w:rPr>
        <w:t>56</w:t>
      </w:r>
      <w:r>
        <w:rPr>
          <w:spacing w:val="-11"/>
        </w:rPr>
        <w:t>、摆动定价机制：指当开放式基金遭遇大额申购赎回时，通过调整基金份额净值的方</w:t>
      </w:r>
      <w:r>
        <w:rPr>
          <w:spacing w:val="-10"/>
        </w:rPr>
        <w:t>式，将基金调整投资组合的市场冲击成本分配给实际申购、赎回的投资者，从而减少对存量</w:t>
      </w:r>
      <w:r>
        <w:rPr>
          <w:spacing w:val="-5"/>
        </w:rPr>
        <w:t>基金份额持有人利益的不利影响，确保投资者的合法权益不受损害并得到公平对待。</w:t>
      </w:r>
    </w:p>
    <w:p>
      <w:pPr>
        <w:pStyle w:val="BodyText"/>
        <w:ind w:left="580"/>
      </w:pPr>
      <w:r>
        <w:rPr>
          <w:rFonts w:ascii="Calibri" w:eastAsia="Calibri"/>
          <w:spacing w:val="-1"/>
        </w:rPr>
        <w:t>57</w:t>
      </w:r>
      <w:r>
        <w:rPr>
          <w:spacing w:val="-3"/>
        </w:rPr>
        <w:t>、不可抗力：指基金合同当事人不能预见、不能避免且不能克服的客观事件。</w:t>
      </w:r>
    </w:p>
    <w:p>
      <w:pPr>
        <w:pStyle w:val="BodyText"/>
        <w:spacing w:before="6"/>
        <w:rPr>
          <w:sz w:val="15"/>
        </w:rPr>
      </w:pPr>
    </w:p>
    <w:p>
      <w:pPr>
        <w:pStyle w:val="BodyText"/>
        <w:spacing w:line="417" w:lineRule="auto"/>
        <w:ind w:left="160" w:right="871" w:firstLine="419"/>
      </w:pPr>
      <w:r>
        <w:rPr>
          <w:rFonts w:ascii="Calibri" w:eastAsia="Calibri"/>
        </w:rPr>
        <w:t>58</w:t>
      </w:r>
      <w:r>
        <w:rPr>
          <w:spacing w:val="-12"/>
        </w:rPr>
        <w:t>、基金产品资料概要：指《战略新兴成指交易型开放式指数证券投资基金发起式联接</w:t>
      </w:r>
      <w:r>
        <w:rPr>
          <w:spacing w:val="-6"/>
        </w:rPr>
        <w:t>基金基金产品资料概要》及其更新。</w:t>
      </w:r>
    </w:p>
    <w:p>
      <w:pPr>
        <w:spacing w:after="0" w:line="417" w:lineRule="auto"/>
        <w:sectPr>
          <w:pgSz w:w="11910" w:h="16840"/>
          <w:pgMar w:header="877" w:footer="995" w:top="1420" w:bottom="1180" w:left="1640" w:right="920"/>
        </w:sectPr>
      </w:pPr>
    </w:p>
    <w:p>
      <w:pPr>
        <w:pStyle w:val="BodyText"/>
        <w:spacing w:before="7"/>
        <w:rPr>
          <w:sz w:val="29"/>
        </w:rPr>
      </w:pPr>
    </w:p>
    <w:p>
      <w:pPr>
        <w:pStyle w:val="Heading1"/>
      </w:pPr>
      <w:bookmarkStart w:name="_bookmark2" w:id="3"/>
      <w:bookmarkEnd w:id="3"/>
      <w:r>
        <w:rPr>
          <w:b w:val="0"/>
        </w:rPr>
      </w:r>
      <w:r>
        <w:rPr/>
        <w:t>三、基金管理人</w:t>
      </w:r>
    </w:p>
    <w:p>
      <w:pPr>
        <w:pStyle w:val="BodyText"/>
        <w:rPr>
          <w:b/>
          <w:sz w:val="20"/>
        </w:rPr>
      </w:pPr>
    </w:p>
    <w:p>
      <w:pPr>
        <w:pStyle w:val="BodyText"/>
        <w:spacing w:before="8"/>
        <w:rPr>
          <w:b/>
          <w:sz w:val="15"/>
        </w:rPr>
      </w:pPr>
    </w:p>
    <w:p>
      <w:pPr>
        <w:pStyle w:val="BodyText"/>
        <w:spacing w:before="71"/>
        <w:ind w:left="580"/>
      </w:pPr>
      <w:r>
        <w:rPr/>
        <w:t>（一）基金管理人概况</w:t>
      </w:r>
    </w:p>
    <w:p>
      <w:pPr>
        <w:pStyle w:val="BodyText"/>
        <w:spacing w:before="7"/>
        <w:rPr>
          <w:sz w:val="15"/>
        </w:rPr>
      </w:pPr>
    </w:p>
    <w:p>
      <w:pPr>
        <w:pStyle w:val="BodyText"/>
        <w:ind w:left="580"/>
      </w:pPr>
      <w:r>
        <w:rPr/>
        <w:t>名称：华夏基金管理有限公司</w:t>
      </w:r>
    </w:p>
    <w:p>
      <w:pPr>
        <w:pStyle w:val="BodyText"/>
        <w:spacing w:before="7"/>
        <w:rPr>
          <w:sz w:val="15"/>
        </w:rPr>
      </w:pPr>
    </w:p>
    <w:p>
      <w:pPr>
        <w:pStyle w:val="BodyText"/>
        <w:ind w:left="580"/>
      </w:pPr>
      <w:r>
        <w:rPr/>
        <w:t>住所：北京市顺义区安庆大街甲 </w:t>
      </w:r>
      <w:r>
        <w:rPr>
          <w:rFonts w:ascii="Calibri" w:eastAsia="Calibri"/>
        </w:rPr>
        <w:t>3 </w:t>
      </w:r>
      <w:r>
        <w:rPr/>
        <w:t>号院</w:t>
      </w:r>
    </w:p>
    <w:p>
      <w:pPr>
        <w:pStyle w:val="BodyText"/>
        <w:spacing w:before="6"/>
        <w:rPr>
          <w:sz w:val="15"/>
        </w:rPr>
      </w:pPr>
    </w:p>
    <w:p>
      <w:pPr>
        <w:pStyle w:val="BodyText"/>
        <w:spacing w:line="417" w:lineRule="auto"/>
        <w:ind w:left="580" w:right="3337"/>
      </w:pPr>
      <w:r>
        <w:rPr/>
        <w:t>办公地址：北京市西城区金融大街 </w:t>
      </w:r>
      <w:r>
        <w:rPr>
          <w:rFonts w:ascii="Calibri" w:eastAsia="Calibri"/>
        </w:rPr>
        <w:t>33 </w:t>
      </w:r>
      <w:r>
        <w:rPr/>
        <w:t>号通泰大厦</w:t>
      </w:r>
      <w:r>
        <w:rPr>
          <w:rFonts w:ascii="Calibri" w:eastAsia="Calibri"/>
        </w:rPr>
        <w:t>B </w:t>
      </w:r>
      <w:r>
        <w:rPr/>
        <w:t>座 </w:t>
      </w:r>
      <w:r>
        <w:rPr>
          <w:rFonts w:ascii="Calibri" w:eastAsia="Calibri"/>
        </w:rPr>
        <w:t>8 </w:t>
      </w:r>
      <w:r>
        <w:rPr/>
        <w:t>层设立日期：</w:t>
      </w:r>
      <w:r>
        <w:rPr>
          <w:rFonts w:ascii="Calibri" w:eastAsia="Calibri"/>
        </w:rPr>
        <w:t>1998 </w:t>
      </w:r>
      <w:r>
        <w:rPr/>
        <w:t>年 </w:t>
      </w:r>
      <w:r>
        <w:rPr>
          <w:rFonts w:ascii="Calibri" w:eastAsia="Calibri"/>
        </w:rPr>
        <w:t>4 </w:t>
      </w:r>
      <w:r>
        <w:rPr/>
        <w:t>月 </w:t>
      </w:r>
      <w:r>
        <w:rPr>
          <w:rFonts w:ascii="Calibri" w:eastAsia="Calibri"/>
        </w:rPr>
        <w:t>9 </w:t>
      </w:r>
      <w:r>
        <w:rPr/>
        <w:t>日</w:t>
      </w:r>
    </w:p>
    <w:p>
      <w:pPr>
        <w:pStyle w:val="BodyText"/>
        <w:spacing w:line="417" w:lineRule="auto" w:before="1"/>
        <w:ind w:left="580" w:right="6870"/>
      </w:pPr>
      <w:r>
        <w:rPr/>
        <w:t>法定代表人：杨明辉联系人：邱曦</w:t>
      </w:r>
    </w:p>
    <w:p>
      <w:pPr>
        <w:pStyle w:val="BodyText"/>
        <w:spacing w:line="417" w:lineRule="auto"/>
        <w:ind w:left="580" w:right="6098"/>
        <w:rPr>
          <w:rFonts w:ascii="Calibri" w:eastAsia="Calibri"/>
        </w:rPr>
      </w:pPr>
      <w:r>
        <w:rPr/>
        <w:t>客户服务电话：</w:t>
      </w:r>
      <w:r>
        <w:rPr>
          <w:rFonts w:ascii="Calibri" w:eastAsia="Calibri"/>
        </w:rPr>
        <w:t>400-818-6666 </w:t>
      </w:r>
      <w:r>
        <w:rPr/>
        <w:t>传真：</w:t>
      </w:r>
      <w:r>
        <w:rPr>
          <w:rFonts w:ascii="Calibri" w:eastAsia="Calibri"/>
        </w:rPr>
        <w:t>010-63136700</w:t>
      </w:r>
    </w:p>
    <w:p>
      <w:pPr>
        <w:pStyle w:val="BodyText"/>
        <w:spacing w:line="269" w:lineRule="exact"/>
        <w:ind w:left="580"/>
      </w:pPr>
      <w:r>
        <w:rPr/>
        <w:pict>
          <v:group style="position:absolute;margin-left:130.580002pt;margin-top:19.843147pt;width:334.3pt;height:25.1pt;mso-position-horizontal-relative:page;mso-position-vertical-relative:paragraph;z-index:-259867648" coordorigin="2612,397" coordsize="6686,502">
            <v:shape style="position:absolute;left:6939;top:396;width:10;height:3" type="#_x0000_t75" stroked="false">
              <v:imagedata r:id="rId7" o:title=""/>
            </v:shape>
            <v:shape style="position:absolute;left:2611;top:399;width:4338;height:478" type="#_x0000_t75" stroked="false">
              <v:imagedata r:id="rId8" o:title=""/>
            </v:shape>
            <v:shape style="position:absolute;left:6939;top:867;width:2358;height:32" type="#_x0000_t75" stroked="false">
              <v:imagedata r:id="rId9" o:title=""/>
            </v:shape>
            <w10:wrap type="none"/>
          </v:group>
        </w:pict>
      </w:r>
      <w:r>
        <w:rPr/>
        <w:pict>
          <v:group style="position:absolute;margin-left:130.580002pt;margin-top:60.403168pt;width:334.3pt;height:.5pt;mso-position-horizontal-relative:page;mso-position-vertical-relative:paragraph;z-index:-259866624" coordorigin="2612,1208" coordsize="6686,10">
            <v:shape style="position:absolute;left:2611;top:1208;width:4329;height:10" type="#_x0000_t75" stroked="false">
              <v:imagedata r:id="rId10" o:title=""/>
            </v:shape>
            <v:shape style="position:absolute;left:6939;top:1208;width:2358;height:10" type="#_x0000_t75" stroked="false">
              <v:imagedata r:id="rId11" o:title=""/>
            </v:shape>
            <w10:wrap type="none"/>
          </v:group>
        </w:pict>
      </w:r>
      <w:r>
        <w:rPr/>
        <w:t>华夏基金管理有限公司注册资本为 </w:t>
      </w:r>
      <w:r>
        <w:rPr>
          <w:rFonts w:ascii="Calibri" w:eastAsia="Calibri"/>
        </w:rPr>
        <w:t>23800 </w:t>
      </w:r>
      <w:r>
        <w:rPr/>
        <w:t>万元，公司股权结构如下：</w:t>
      </w:r>
    </w:p>
    <w:p>
      <w:pPr>
        <w:pStyle w:val="BodyText"/>
        <w:spacing w:before="10" w:after="1"/>
        <w:rPr>
          <w:sz w:val="8"/>
        </w:rPr>
      </w:pPr>
    </w:p>
    <w:tbl>
      <w:tblPr>
        <w:tblW w:w="0" w:type="auto"/>
        <w:jc w:val="left"/>
        <w:tblInd w:w="9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40"/>
        <w:gridCol w:w="2352"/>
      </w:tblGrid>
      <w:tr>
        <w:trPr>
          <w:trHeight w:val="834" w:hRule="atLeast"/>
        </w:trPr>
        <w:tc>
          <w:tcPr>
            <w:tcW w:w="4340" w:type="dxa"/>
            <w:tcBorders>
              <w:top w:val="single" w:sz="12" w:space="0" w:color="000000"/>
            </w:tcBorders>
          </w:tcPr>
          <w:p>
            <w:pPr>
              <w:pStyle w:val="TableParagraph"/>
              <w:spacing w:before="101"/>
              <w:ind w:left="1730" w:right="1725"/>
              <w:jc w:val="center"/>
              <w:rPr>
                <w:rFonts w:ascii="宋体" w:eastAsia="宋体" w:hint="eastAsia"/>
                <w:b/>
                <w:sz w:val="21"/>
              </w:rPr>
            </w:pPr>
            <w:r>
              <w:rPr>
                <w:rFonts w:ascii="宋体" w:eastAsia="宋体" w:hint="eastAsia"/>
                <w:b/>
                <w:sz w:val="21"/>
              </w:rPr>
              <w:t>持股单位</w:t>
            </w:r>
          </w:p>
          <w:p>
            <w:pPr>
              <w:pStyle w:val="TableParagraph"/>
              <w:spacing w:before="151"/>
              <w:ind w:left="112"/>
              <w:rPr>
                <w:rFonts w:ascii="宋体" w:eastAsia="宋体" w:hint="eastAsia"/>
                <w:sz w:val="21"/>
              </w:rPr>
            </w:pPr>
            <w:r>
              <w:rPr>
                <w:rFonts w:ascii="宋体" w:eastAsia="宋体" w:hint="eastAsia"/>
                <w:sz w:val="21"/>
              </w:rPr>
              <w:t>中信证券股份有限公司</w:t>
            </w:r>
          </w:p>
        </w:tc>
        <w:tc>
          <w:tcPr>
            <w:tcW w:w="2352" w:type="dxa"/>
            <w:tcBorders>
              <w:top w:val="single" w:sz="12" w:space="0" w:color="000000"/>
            </w:tcBorders>
          </w:tcPr>
          <w:p>
            <w:pPr>
              <w:pStyle w:val="TableParagraph"/>
              <w:spacing w:before="101"/>
              <w:ind w:left="312" w:right="312"/>
              <w:jc w:val="center"/>
              <w:rPr>
                <w:rFonts w:ascii="宋体" w:eastAsia="宋体" w:hint="eastAsia"/>
                <w:b/>
                <w:sz w:val="21"/>
              </w:rPr>
            </w:pPr>
            <w:r>
              <w:rPr>
                <w:rFonts w:ascii="宋体" w:eastAsia="宋体" w:hint="eastAsia"/>
                <w:b/>
                <w:sz w:val="21"/>
              </w:rPr>
              <w:t>持股占总股本比例</w:t>
            </w:r>
          </w:p>
          <w:p>
            <w:pPr>
              <w:pStyle w:val="TableParagraph"/>
              <w:spacing w:before="156"/>
              <w:ind w:left="312" w:right="311"/>
              <w:jc w:val="center"/>
              <w:rPr>
                <w:sz w:val="21"/>
              </w:rPr>
            </w:pPr>
            <w:r>
              <w:rPr>
                <w:sz w:val="21"/>
              </w:rPr>
              <w:t>62.2%</w:t>
            </w:r>
          </w:p>
        </w:tc>
      </w:tr>
      <w:tr>
        <w:trPr>
          <w:trHeight w:val="321" w:hRule="atLeast"/>
        </w:trPr>
        <w:tc>
          <w:tcPr>
            <w:tcW w:w="4340" w:type="dxa"/>
            <w:tcBorders>
              <w:right w:val="single" w:sz="4" w:space="0" w:color="000000"/>
            </w:tcBorders>
          </w:tcPr>
          <w:p>
            <w:pPr>
              <w:pStyle w:val="TableParagraph"/>
              <w:spacing w:before="14"/>
              <w:ind w:left="112"/>
              <w:rPr>
                <w:sz w:val="21"/>
              </w:rPr>
            </w:pPr>
            <w:r>
              <w:rPr>
                <w:sz w:val="21"/>
              </w:rPr>
              <w:t>POWER CORPORATION OF CANADA</w:t>
            </w:r>
          </w:p>
        </w:tc>
        <w:tc>
          <w:tcPr>
            <w:tcW w:w="2352" w:type="dxa"/>
            <w:tcBorders>
              <w:left w:val="single" w:sz="4" w:space="0" w:color="000000"/>
            </w:tcBorders>
          </w:tcPr>
          <w:p>
            <w:pPr>
              <w:pStyle w:val="TableParagraph"/>
              <w:spacing w:before="14"/>
              <w:ind w:left="909"/>
              <w:rPr>
                <w:sz w:val="21"/>
              </w:rPr>
            </w:pPr>
            <w:r>
              <w:rPr>
                <w:sz w:val="21"/>
              </w:rPr>
              <w:t>13.9%</w:t>
            </w:r>
          </w:p>
        </w:tc>
      </w:tr>
      <w:tr>
        <w:trPr>
          <w:trHeight w:val="313" w:hRule="atLeast"/>
        </w:trPr>
        <w:tc>
          <w:tcPr>
            <w:tcW w:w="4340" w:type="dxa"/>
            <w:tcBorders>
              <w:right w:val="single" w:sz="4" w:space="0" w:color="000000"/>
            </w:tcBorders>
          </w:tcPr>
          <w:p>
            <w:pPr>
              <w:pStyle w:val="TableParagraph"/>
              <w:spacing w:before="13"/>
              <w:ind w:left="112"/>
              <w:rPr>
                <w:sz w:val="21"/>
              </w:rPr>
            </w:pPr>
            <w:r>
              <w:rPr>
                <w:sz w:val="21"/>
              </w:rPr>
              <w:t>MACKENZIE FINANCIAL CORPORATION</w:t>
            </w:r>
          </w:p>
        </w:tc>
        <w:tc>
          <w:tcPr>
            <w:tcW w:w="2352" w:type="dxa"/>
            <w:tcBorders>
              <w:left w:val="single" w:sz="4" w:space="0" w:color="000000"/>
            </w:tcBorders>
          </w:tcPr>
          <w:p>
            <w:pPr>
              <w:pStyle w:val="TableParagraph"/>
              <w:spacing w:before="13"/>
              <w:ind w:left="909"/>
              <w:rPr>
                <w:sz w:val="21"/>
              </w:rPr>
            </w:pPr>
            <w:r>
              <w:rPr>
                <w:sz w:val="21"/>
              </w:rPr>
              <w:t>13.9%</w:t>
            </w:r>
          </w:p>
        </w:tc>
      </w:tr>
      <w:tr>
        <w:trPr>
          <w:trHeight w:val="281" w:hRule="atLeast"/>
        </w:trPr>
        <w:tc>
          <w:tcPr>
            <w:tcW w:w="4340" w:type="dxa"/>
            <w:tcBorders>
              <w:right w:val="single" w:sz="4" w:space="0" w:color="000000"/>
            </w:tcBorders>
          </w:tcPr>
          <w:p>
            <w:pPr>
              <w:pStyle w:val="TableParagraph"/>
              <w:spacing w:line="243" w:lineRule="exact" w:before="18"/>
              <w:ind w:left="112"/>
              <w:rPr>
                <w:rFonts w:ascii="宋体" w:eastAsia="宋体" w:hint="eastAsia"/>
                <w:sz w:val="21"/>
              </w:rPr>
            </w:pPr>
            <w:r>
              <w:rPr>
                <w:rFonts w:ascii="宋体" w:eastAsia="宋体" w:hint="eastAsia"/>
                <w:sz w:val="21"/>
              </w:rPr>
              <w:t>天津海鹏科技咨询有限公司</w:t>
            </w:r>
          </w:p>
        </w:tc>
        <w:tc>
          <w:tcPr>
            <w:tcW w:w="2352" w:type="dxa"/>
            <w:tcBorders>
              <w:left w:val="single" w:sz="4" w:space="0" w:color="000000"/>
            </w:tcBorders>
          </w:tcPr>
          <w:p>
            <w:pPr>
              <w:pStyle w:val="TableParagraph"/>
              <w:spacing w:line="238" w:lineRule="exact" w:before="24"/>
              <w:ind w:left="909"/>
              <w:rPr>
                <w:sz w:val="21"/>
              </w:rPr>
            </w:pPr>
            <w:r>
              <w:rPr>
                <w:sz w:val="21"/>
              </w:rPr>
              <w:t>10.0%</w:t>
            </w:r>
          </w:p>
        </w:tc>
      </w:tr>
      <w:tr>
        <w:trPr>
          <w:trHeight w:val="503" w:hRule="atLeast"/>
        </w:trPr>
        <w:tc>
          <w:tcPr>
            <w:tcW w:w="4340" w:type="dxa"/>
            <w:tcBorders>
              <w:bottom w:val="single" w:sz="12" w:space="0" w:color="000000"/>
            </w:tcBorders>
          </w:tcPr>
          <w:p>
            <w:pPr>
              <w:pStyle w:val="TableParagraph"/>
              <w:spacing w:before="135"/>
              <w:ind w:left="1725" w:right="1725"/>
              <w:jc w:val="center"/>
              <w:rPr>
                <w:rFonts w:ascii="宋体" w:eastAsia="宋体" w:hint="eastAsia"/>
                <w:b/>
                <w:sz w:val="21"/>
              </w:rPr>
            </w:pPr>
            <w:r>
              <w:rPr>
                <w:rFonts w:ascii="宋体" w:eastAsia="宋体" w:hint="eastAsia"/>
                <w:b/>
                <w:sz w:val="21"/>
              </w:rPr>
              <w:t>合计</w:t>
            </w:r>
          </w:p>
        </w:tc>
        <w:tc>
          <w:tcPr>
            <w:tcW w:w="2352" w:type="dxa"/>
            <w:tcBorders>
              <w:bottom w:val="single" w:sz="12" w:space="0" w:color="000000"/>
            </w:tcBorders>
          </w:tcPr>
          <w:p>
            <w:pPr>
              <w:pStyle w:val="TableParagraph"/>
              <w:spacing w:before="141"/>
              <w:ind w:left="938"/>
              <w:rPr>
                <w:b/>
                <w:sz w:val="21"/>
              </w:rPr>
            </w:pPr>
            <w:r>
              <w:rPr>
                <w:b/>
                <w:sz w:val="21"/>
              </w:rPr>
              <w:t>100%</w:t>
            </w:r>
          </w:p>
        </w:tc>
      </w:tr>
    </w:tbl>
    <w:p>
      <w:pPr>
        <w:pStyle w:val="BodyText"/>
        <w:spacing w:before="85"/>
        <w:ind w:left="580"/>
      </w:pPr>
      <w:r>
        <w:rPr/>
        <w:pict>
          <v:group style="position:absolute;margin-left:130.580002pt;margin-top:-58.329983pt;width:334.3pt;height:.5pt;mso-position-horizontal-relative:page;mso-position-vertical-relative:paragraph;z-index:-259865600" coordorigin="2612,-1167" coordsize="6686,10">
            <v:shape style="position:absolute;left:2611;top:-1167;width:4329;height:10" type="#_x0000_t75" stroked="false">
              <v:imagedata r:id="rId10" o:title=""/>
            </v:shape>
            <v:shape style="position:absolute;left:6939;top:-1167;width:2358;height:10" type="#_x0000_t75" stroked="false">
              <v:imagedata r:id="rId11" o:title=""/>
            </v:shape>
            <w10:wrap type="none"/>
          </v:group>
        </w:pict>
      </w:r>
      <w:r>
        <w:rPr/>
        <w:pict>
          <v:group style="position:absolute;margin-left:130.580002pt;margin-top:-42.250011pt;width:334.3pt;height:.5pt;mso-position-horizontal-relative:page;mso-position-vertical-relative:paragraph;z-index:-259864576" coordorigin="2612,-845" coordsize="6686,10">
            <v:shape style="position:absolute;left:2611;top:-845;width:4329;height:10" type="#_x0000_t75" stroked="false">
              <v:imagedata r:id="rId10" o:title=""/>
            </v:shape>
            <v:shape style="position:absolute;left:6939;top:-845;width:2358;height:10" type="#_x0000_t75" stroked="false">
              <v:imagedata r:id="rId11" o:title=""/>
            </v:shape>
            <w10:wrap type="none"/>
          </v:group>
        </w:pict>
      </w:r>
      <w:r>
        <w:rPr/>
        <w:pict>
          <v:group style="position:absolute;margin-left:130.580002pt;margin-top:-27.370003pt;width:334.3pt;height:25.2pt;mso-position-horizontal-relative:page;mso-position-vertical-relative:paragraph;z-index:-259863552" coordorigin="2612,-547" coordsize="6686,504">
            <v:rect style="position:absolute;left:6939;top:-548;width:10;height:27" filled="true" fillcolor="#000000" stroked="false">
              <v:fill type="solid"/>
            </v:rect>
            <v:shape style="position:absolute;left:2611;top:-521;width:4329;height:10" type="#_x0000_t75" stroked="false">
              <v:imagedata r:id="rId10" o:title=""/>
            </v:shape>
            <v:rect style="position:absolute;left:6939;top:-521;width:10;height:10" filled="true" fillcolor="#000000" stroked="false">
              <v:fill type="solid"/>
            </v:rect>
            <v:shape style="position:absolute;left:6939;top:-521;width:2358;height:478" type="#_x0000_t75" stroked="false">
              <v:imagedata r:id="rId12" o:title=""/>
            </v:shape>
            <w10:wrap type="none"/>
          </v:group>
        </w:pict>
      </w:r>
      <w:r>
        <w:rPr/>
        <w:t>（二）主要人员情况</w:t>
      </w:r>
    </w:p>
    <w:p>
      <w:pPr>
        <w:pStyle w:val="BodyText"/>
        <w:spacing w:before="6"/>
        <w:rPr>
          <w:sz w:val="15"/>
        </w:rPr>
      </w:pPr>
    </w:p>
    <w:p>
      <w:pPr>
        <w:pStyle w:val="BodyText"/>
        <w:spacing w:before="1"/>
        <w:ind w:left="580"/>
      </w:pPr>
      <w:r>
        <w:rPr>
          <w:rFonts w:ascii="Calibri" w:eastAsia="Calibri"/>
        </w:rPr>
        <w:t>1</w:t>
      </w:r>
      <w:r>
        <w:rPr/>
        <w:t>、基金管理人董事、监事、经理及其他高级管理人员基本情况</w:t>
      </w:r>
    </w:p>
    <w:p>
      <w:pPr>
        <w:pStyle w:val="BodyText"/>
        <w:spacing w:before="6"/>
        <w:rPr>
          <w:sz w:val="15"/>
        </w:rPr>
      </w:pPr>
    </w:p>
    <w:p>
      <w:pPr>
        <w:pStyle w:val="BodyText"/>
        <w:spacing w:line="417" w:lineRule="auto"/>
        <w:ind w:left="160" w:right="871" w:firstLine="419"/>
        <w:jc w:val="both"/>
      </w:pPr>
      <w:r>
        <w:rPr>
          <w:spacing w:val="-10"/>
        </w:rPr>
        <w:t>杨明辉先生：董事长、党委书记，硕士，高级经济师。现任中信证券股份有限公司党委</w:t>
      </w:r>
      <w:r>
        <w:rPr>
          <w:spacing w:val="-11"/>
        </w:rPr>
        <w:t>副书记、执行董事、总经理、执行委员会委员，华夏基金</w:t>
      </w:r>
      <w:r>
        <w:rPr/>
        <w:t>（</w:t>
      </w:r>
      <w:r>
        <w:rPr>
          <w:spacing w:val="-2"/>
        </w:rPr>
        <w:t>香港</w:t>
      </w:r>
      <w:r>
        <w:rPr>
          <w:spacing w:val="-15"/>
        </w:rPr>
        <w:t>）</w:t>
      </w:r>
      <w:r>
        <w:rPr>
          <w:spacing w:val="-5"/>
        </w:rPr>
        <w:t>有限公司董事长。曾任中</w:t>
      </w:r>
      <w:r>
        <w:rPr>
          <w:spacing w:val="-12"/>
        </w:rPr>
        <w:t>信证券公司董事、襄理、副总经理，中信控股公司董事、常务副总裁，中信信托董事，信诚</w:t>
      </w:r>
      <w:r>
        <w:rPr>
          <w:spacing w:val="-6"/>
        </w:rPr>
        <w:t>基金管理有限公司董事长，中国建银投资证券有限责任公司执行董事、总裁等。</w:t>
      </w:r>
    </w:p>
    <w:p>
      <w:pPr>
        <w:pStyle w:val="BodyText"/>
        <w:spacing w:line="417" w:lineRule="auto"/>
        <w:ind w:left="160" w:right="874" w:firstLine="419"/>
        <w:jc w:val="both"/>
      </w:pPr>
      <w:r>
        <w:rPr>
          <w:rFonts w:ascii="Calibri" w:eastAsia="Calibri"/>
        </w:rPr>
        <w:t>Barry Sean McInerney</w:t>
      </w:r>
      <w:r>
        <w:rPr/>
        <w:t>先生：董事，硕士。现任万信投资公司（</w:t>
      </w:r>
      <w:r>
        <w:rPr>
          <w:rFonts w:ascii="Calibri" w:eastAsia="Calibri"/>
        </w:rPr>
        <w:t>Mackenzie Financial Corporation</w:t>
      </w:r>
      <w:r>
        <w:rPr/>
        <w:t>）总裁兼首席执行官。曾在多家北美领先的金融机构担任高级管理职位。</w:t>
      </w:r>
    </w:p>
    <w:p>
      <w:pPr>
        <w:pStyle w:val="BodyText"/>
        <w:spacing w:line="417" w:lineRule="auto"/>
        <w:ind w:left="160" w:right="871" w:firstLine="419"/>
        <w:jc w:val="both"/>
      </w:pPr>
      <w:r>
        <w:rPr>
          <w:spacing w:val="-11"/>
        </w:rPr>
        <w:t>翟海涛先生：董事，硕士。现任春华资本集团总裁、合伙人，兼任中国光大国际有限公</w:t>
      </w:r>
      <w:r>
        <w:rPr>
          <w:spacing w:val="-15"/>
        </w:rPr>
        <w:t>司及中国光大水务有限公司独立非执行董事等。曾任高盛</w:t>
      </w:r>
      <w:r>
        <w:rPr/>
        <w:t>（</w:t>
      </w:r>
      <w:r>
        <w:rPr>
          <w:spacing w:val="-2"/>
        </w:rPr>
        <w:t>亚洲</w:t>
      </w:r>
      <w:r>
        <w:rPr>
          <w:spacing w:val="-104"/>
        </w:rPr>
        <w:t>）</w:t>
      </w:r>
      <w:r>
        <w:rPr>
          <w:spacing w:val="-3"/>
        </w:rPr>
        <w:t>有限责任公司董事总经理、</w:t>
      </w:r>
      <w:r>
        <w:rPr>
          <w:spacing w:val="-9"/>
        </w:rPr>
        <w:t>高盛集团北京代表处首席代表、高盛集团与中国工商银行战略合作办公室主任、中国财政部</w:t>
      </w:r>
      <w:r>
        <w:rPr>
          <w:spacing w:val="-5"/>
        </w:rPr>
        <w:t>和国家开发银行信用评级顾问等。</w:t>
      </w:r>
    </w:p>
    <w:p>
      <w:pPr>
        <w:spacing w:after="0" w:line="417" w:lineRule="auto"/>
        <w:jc w:val="both"/>
        <w:sectPr>
          <w:pgSz w:w="11910" w:h="16840"/>
          <w:pgMar w:header="877" w:footer="995" w:top="1420" w:bottom="1180" w:left="1640" w:right="920"/>
        </w:sectPr>
      </w:pPr>
    </w:p>
    <w:p>
      <w:pPr>
        <w:pStyle w:val="BodyText"/>
        <w:spacing w:line="417" w:lineRule="auto" w:before="110"/>
        <w:ind w:left="160" w:right="871" w:firstLine="419"/>
        <w:jc w:val="both"/>
      </w:pPr>
      <w:r>
        <w:rPr>
          <w:spacing w:val="-12"/>
        </w:rPr>
        <w:t>杨冰先生：董事，硕士。现任中信证券股份有限公司执行委员会委员、资产管理业务行</w:t>
      </w:r>
      <w:r>
        <w:rPr>
          <w:spacing w:val="-11"/>
        </w:rPr>
        <w:t>政负责人。曾任中信证券股份有限公司固定收益部交易员、资产管理业务投资经理、资产管</w:t>
      </w:r>
      <w:r>
        <w:rPr>
          <w:spacing w:val="-6"/>
        </w:rPr>
        <w:t>理业务投资主管等。</w:t>
      </w:r>
    </w:p>
    <w:p>
      <w:pPr>
        <w:pStyle w:val="BodyText"/>
        <w:spacing w:line="417" w:lineRule="auto"/>
        <w:ind w:left="160" w:right="768" w:firstLine="419"/>
      </w:pPr>
      <w:r>
        <w:rPr>
          <w:spacing w:val="-12"/>
        </w:rPr>
        <w:t>李勇进先生：董事，硕士。现任中信证券股份有限公司执行委员会委员、中信证券财富</w:t>
      </w:r>
      <w:r>
        <w:rPr>
          <w:spacing w:val="-6"/>
        </w:rPr>
        <w:t>管理委员会主任。兼任中信期货有限公司董事、金通证券有限责任公司执行董事兼总经理。</w:t>
      </w:r>
      <w:r>
        <w:rPr>
          <w:spacing w:val="-9"/>
        </w:rPr>
        <w:t>曾任中国农业银行大连市分行国际业务部科员，申银万国证券大连营业部部门经理，中信证</w:t>
      </w:r>
      <w:r>
        <w:rPr>
          <w:spacing w:val="-21"/>
        </w:rPr>
        <w:t>券大连营业部总经理助理、副总经理、总经理，中信证券经纪业务管理部高级副总裁、总监， </w:t>
      </w:r>
      <w:r>
        <w:rPr>
          <w:spacing w:val="-18"/>
        </w:rPr>
        <w:t>中信证券</w:t>
      </w:r>
      <w:r>
        <w:rPr>
          <w:spacing w:val="-3"/>
        </w:rPr>
        <w:t>（</w:t>
      </w:r>
      <w:r>
        <w:rPr>
          <w:spacing w:val="-2"/>
        </w:rPr>
        <w:t>浙江</w:t>
      </w:r>
      <w:r>
        <w:rPr>
          <w:spacing w:val="-25"/>
        </w:rPr>
        <w:t>）</w:t>
      </w:r>
      <w:r>
        <w:rPr>
          <w:spacing w:val="-7"/>
        </w:rPr>
        <w:t>有限责任公司总经理，中信证券浙江分公司总经理，中信证券经纪业务发</w:t>
      </w:r>
      <w:r>
        <w:rPr>
          <w:spacing w:val="-5"/>
        </w:rPr>
        <w:t>展与管理委员会主任等。</w:t>
      </w:r>
    </w:p>
    <w:p>
      <w:pPr>
        <w:pStyle w:val="BodyText"/>
        <w:spacing w:line="417" w:lineRule="auto"/>
        <w:ind w:left="160" w:right="871" w:firstLine="419"/>
        <w:jc w:val="both"/>
      </w:pPr>
      <w:r>
        <w:rPr>
          <w:spacing w:val="-11"/>
        </w:rPr>
        <w:t>李一梅女士：董事、总经理，硕士。兼任证通股份有限公司董事、华夏基金</w:t>
      </w:r>
      <w:r>
        <w:rPr/>
        <w:t>（香港</w:t>
      </w:r>
      <w:r>
        <w:rPr>
          <w:spacing w:val="-17"/>
        </w:rPr>
        <w:t>）</w:t>
      </w:r>
      <w:r>
        <w:rPr/>
        <w:t>有</w:t>
      </w:r>
      <w:r>
        <w:rPr>
          <w:spacing w:val="-9"/>
        </w:rPr>
        <w:t>限公司董事。曾任华夏基金管理有限公司副总经理、营销总监、市场总监、基金营销部总经</w:t>
      </w:r>
      <w:r>
        <w:rPr>
          <w:spacing w:val="-5"/>
        </w:rPr>
        <w:t>理，上海华夏财富投资管理有限公司执行董事、总经理等。</w:t>
      </w:r>
    </w:p>
    <w:p>
      <w:pPr>
        <w:pStyle w:val="BodyText"/>
        <w:spacing w:line="417" w:lineRule="auto"/>
        <w:ind w:left="160" w:right="871" w:firstLine="419"/>
        <w:jc w:val="both"/>
      </w:pPr>
      <w:r>
        <w:rPr>
          <w:spacing w:val="-11"/>
        </w:rPr>
        <w:t>张宏久先生：独立董事，硕士。现任北京市竞天公诚律师事务所合伙人。兼任中信信托</w:t>
      </w:r>
      <w:r>
        <w:rPr>
          <w:spacing w:val="-12"/>
        </w:rPr>
        <w:t>有限公司独立董事，全国律师协会金融专业委员会顾问，全国侨联法律顾问委员会委员及民事法律委员会主任，中国国际经济贸易仲裁委员会仲裁员、上海国际经济贸易仲裁委员会仲</w:t>
      </w:r>
      <w:r>
        <w:rPr>
          <w:spacing w:val="-7"/>
        </w:rPr>
        <w:t>裁员等。</w:t>
      </w:r>
    </w:p>
    <w:p>
      <w:pPr>
        <w:pStyle w:val="BodyText"/>
        <w:spacing w:line="417" w:lineRule="auto"/>
        <w:ind w:left="160" w:right="871" w:firstLine="419"/>
        <w:jc w:val="both"/>
      </w:pPr>
      <w:r>
        <w:rPr>
          <w:spacing w:val="-11"/>
        </w:rPr>
        <w:t>支晓强先生：独立董事，博士。现任中国人民大学继续教育处处长、商学院财务与金融</w:t>
      </w:r>
      <w:r>
        <w:rPr>
          <w:spacing w:val="-13"/>
        </w:rPr>
        <w:t>系教授、博士生导师。兼任全国会计专业学位研究生教育指导委员会委员兼副秘书长、中国</w:t>
      </w:r>
      <w:r>
        <w:rPr>
          <w:spacing w:val="-12"/>
        </w:rPr>
        <w:t>会计学会财务成本分会副会长、中国会计学会内部控制专业委员会委员、中国上市公司协会</w:t>
      </w:r>
      <w:r>
        <w:rPr>
          <w:spacing w:val="-13"/>
        </w:rPr>
        <w:t>独立董事委员会委员、北农大科技股份有限公司独立董事、哈银金融租赁有限责任公司独立</w:t>
      </w:r>
      <w:r>
        <w:rPr>
          <w:spacing w:val="-8"/>
        </w:rPr>
        <w:t>董事等。</w:t>
      </w:r>
    </w:p>
    <w:p>
      <w:pPr>
        <w:pStyle w:val="BodyText"/>
        <w:spacing w:line="417" w:lineRule="auto"/>
        <w:ind w:left="160" w:right="768" w:firstLine="419"/>
      </w:pPr>
      <w:r>
        <w:rPr>
          <w:spacing w:val="-3"/>
        </w:rPr>
        <w:t>刘霞辉先生：独立董事，硕士。现任中国社会科学院经济研究所经济研究编辑部主任， </w:t>
      </w:r>
      <w:r>
        <w:rPr>
          <w:spacing w:val="-10"/>
        </w:rPr>
        <w:t>国务院特殊津贴专家，二级研究员，博士生导师。兼任中国战略研究会经济战略专业委员会</w:t>
      </w:r>
      <w:r>
        <w:rPr>
          <w:spacing w:val="-12"/>
        </w:rPr>
        <w:t>主任、山东大学经济社会研究院特聘兼职教授及广西南宁政府咨询专家。曾任职于国家人社</w:t>
      </w:r>
      <w:r>
        <w:rPr>
          <w:spacing w:val="-6"/>
        </w:rPr>
        <w:t>部政策法规司综合处。</w:t>
      </w:r>
    </w:p>
    <w:p>
      <w:pPr>
        <w:pStyle w:val="BodyText"/>
        <w:spacing w:line="268" w:lineRule="exact"/>
        <w:ind w:left="580"/>
      </w:pPr>
      <w:r>
        <w:rPr/>
        <w:t>杨一夫先生：监事长，硕士。现任鲍尔太平有限公司总裁，负责总部加拿大鲍尔公司</w:t>
      </w:r>
    </w:p>
    <w:p>
      <w:pPr>
        <w:pStyle w:val="BodyText"/>
        <w:spacing w:before="4"/>
        <w:rPr>
          <w:sz w:val="15"/>
        </w:rPr>
      </w:pPr>
    </w:p>
    <w:p>
      <w:pPr>
        <w:pStyle w:val="BodyText"/>
        <w:spacing w:line="417" w:lineRule="auto" w:before="1"/>
        <w:ind w:left="160" w:right="871"/>
        <w:jc w:val="both"/>
      </w:pPr>
      <w:r>
        <w:rPr/>
        <w:t>（</w:t>
      </w:r>
      <w:r>
        <w:rPr>
          <w:rFonts w:ascii="Calibri" w:eastAsia="Calibri"/>
        </w:rPr>
        <w:t>Power Corporation of </w:t>
      </w:r>
      <w:r>
        <w:rPr>
          <w:rFonts w:ascii="Calibri" w:eastAsia="Calibri"/>
          <w:spacing w:val="-6"/>
        </w:rPr>
        <w:t>Canada</w:t>
      </w:r>
      <w:r>
        <w:rPr>
          <w:spacing w:val="-6"/>
        </w:rPr>
        <w:t>）</w:t>
      </w:r>
      <w:r>
        <w:rPr>
          <w:spacing w:val="-9"/>
        </w:rPr>
        <w:t>在中国的投资活动，兼任三川能源开发有限公司董事、中国投资协会常务理事。曾任国际金融公司</w:t>
      </w:r>
      <w:r>
        <w:rPr>
          <w:spacing w:val="-3"/>
        </w:rPr>
        <w:t>（世界银行组织成员</w:t>
      </w:r>
      <w:r>
        <w:rPr>
          <w:spacing w:val="-27"/>
        </w:rPr>
        <w:t>）</w:t>
      </w:r>
      <w:r>
        <w:rPr>
          <w:spacing w:val="-6"/>
        </w:rPr>
        <w:t>驻中国的首席代表，华夏基金</w:t>
      </w:r>
      <w:r>
        <w:rPr>
          <w:spacing w:val="-4"/>
        </w:rPr>
        <w:t>管理有限公司董事等。</w:t>
      </w:r>
    </w:p>
    <w:p>
      <w:pPr>
        <w:pStyle w:val="BodyText"/>
        <w:ind w:left="580"/>
      </w:pPr>
      <w:r>
        <w:rPr/>
        <w:t>杨维华先生：监事，硕士。现任中信证券股份有限公司风险管理部行政负责人、公司副</w:t>
      </w:r>
    </w:p>
    <w:p>
      <w:pPr>
        <w:spacing w:after="0"/>
        <w:sectPr>
          <w:pgSz w:w="11910" w:h="16840"/>
          <w:pgMar w:header="877" w:footer="995" w:top="1420" w:bottom="1180" w:left="1640" w:right="920"/>
        </w:sectPr>
      </w:pPr>
    </w:p>
    <w:p>
      <w:pPr>
        <w:pStyle w:val="BodyText"/>
        <w:spacing w:before="110"/>
        <w:ind w:left="160"/>
      </w:pPr>
      <w:r>
        <w:rPr>
          <w:spacing w:val="-3"/>
        </w:rPr>
        <w:t>首席风险官。曾任中信证券股份有限公司风险管理部</w:t>
      </w:r>
      <w:r>
        <w:rPr>
          <w:rFonts w:ascii="Calibri" w:eastAsia="Calibri"/>
        </w:rPr>
        <w:t>B</w:t>
      </w:r>
      <w:r>
        <w:rPr>
          <w:spacing w:val="-3"/>
        </w:rPr>
        <w:t>角</w:t>
      </w:r>
      <w:r>
        <w:rPr/>
        <w:t>（</w:t>
      </w:r>
      <w:r>
        <w:rPr>
          <w:spacing w:val="-3"/>
        </w:rPr>
        <w:t>主持工作</w:t>
      </w:r>
      <w:r>
        <w:rPr>
          <w:spacing w:val="-108"/>
        </w:rPr>
        <w:t>）</w:t>
      </w:r>
      <w:r>
        <w:rPr>
          <w:spacing w:val="-3"/>
        </w:rPr>
        <w:t>、总监等。</w:t>
      </w:r>
    </w:p>
    <w:p>
      <w:pPr>
        <w:pStyle w:val="BodyText"/>
        <w:spacing w:before="6"/>
        <w:rPr>
          <w:sz w:val="15"/>
        </w:rPr>
      </w:pPr>
    </w:p>
    <w:p>
      <w:pPr>
        <w:pStyle w:val="BodyText"/>
        <w:spacing w:line="417" w:lineRule="auto"/>
        <w:ind w:left="160" w:right="871" w:firstLine="419"/>
      </w:pPr>
      <w:r>
        <w:rPr>
          <w:spacing w:val="-12"/>
        </w:rPr>
        <w:t>史本良先生：监事，硕士，注册会计师。现任中信证券股份有限公司计划财务部联席负</w:t>
      </w:r>
      <w:r>
        <w:rPr>
          <w:spacing w:val="-6"/>
        </w:rPr>
        <w:t>责人、公司副财务总监。曾任中信证券股份有限公司计划财务部</w:t>
      </w:r>
      <w:r>
        <w:rPr>
          <w:rFonts w:ascii="Calibri" w:eastAsia="Calibri"/>
          <w:spacing w:val="-3"/>
        </w:rPr>
        <w:t>B</w:t>
      </w:r>
      <w:r>
        <w:rPr>
          <w:spacing w:val="-3"/>
        </w:rPr>
        <w:t>角、总监等。</w:t>
      </w:r>
    </w:p>
    <w:p>
      <w:pPr>
        <w:pStyle w:val="BodyText"/>
        <w:spacing w:line="417" w:lineRule="auto"/>
        <w:ind w:left="160" w:right="871" w:firstLine="419"/>
      </w:pPr>
      <w:r>
        <w:rPr>
          <w:spacing w:val="-11"/>
        </w:rPr>
        <w:t>宁晨新先生：监事，博士，高级编辑。现任华夏基金管理有限公司办公室总监、董事会</w:t>
      </w:r>
      <w:r>
        <w:rPr>
          <w:spacing w:val="-23"/>
        </w:rPr>
        <w:t>秘书</w:t>
      </w:r>
      <w:r>
        <w:rPr>
          <w:spacing w:val="-3"/>
        </w:rPr>
        <w:t>（</w:t>
      </w:r>
      <w:r>
        <w:rPr/>
        <w:t>兼</w:t>
      </w:r>
      <w:r>
        <w:rPr>
          <w:spacing w:val="-106"/>
        </w:rPr>
        <w:t>）</w:t>
      </w:r>
      <w:r>
        <w:rPr>
          <w:spacing w:val="-15"/>
        </w:rPr>
        <w:t>。曾任中国证券报社记者、编辑、办公室主任、副总编辑，中国政法大学讲师等。</w:t>
      </w:r>
    </w:p>
    <w:p>
      <w:pPr>
        <w:pStyle w:val="BodyText"/>
        <w:spacing w:line="417" w:lineRule="auto"/>
        <w:ind w:left="160" w:right="768" w:firstLine="419"/>
      </w:pPr>
      <w:r>
        <w:rPr>
          <w:spacing w:val="-3"/>
        </w:rPr>
        <w:t>陈倩女士：监事，硕士。现任华夏基金管理有限公司市场部执行总经理、行政负责人。</w:t>
      </w:r>
      <w:r>
        <w:rPr>
          <w:spacing w:val="-9"/>
        </w:rPr>
        <w:t>曾任中国投资银行业务经理，北京证券有限责任公司高级业务经理，华夏基金管理有限公司</w:t>
      </w:r>
      <w:r>
        <w:rPr>
          <w:spacing w:val="-5"/>
        </w:rPr>
        <w:t>北京分公司副总经理、市场推广部副总经理等。</w:t>
      </w:r>
    </w:p>
    <w:p>
      <w:pPr>
        <w:pStyle w:val="BodyText"/>
        <w:spacing w:line="417" w:lineRule="auto"/>
        <w:ind w:left="160" w:right="871" w:firstLine="419"/>
      </w:pPr>
      <w:r>
        <w:rPr>
          <w:spacing w:val="-12"/>
        </w:rPr>
        <w:t>朱威先生：监事，硕士。现任华夏基金管理有限公司基金运作部执行总经理、行政负责</w:t>
      </w:r>
      <w:r>
        <w:rPr>
          <w:spacing w:val="-6"/>
        </w:rPr>
        <w:t>人。曾任基金运作部</w:t>
      </w:r>
      <w:r>
        <w:rPr>
          <w:rFonts w:ascii="Calibri" w:eastAsia="Calibri"/>
        </w:rPr>
        <w:t>B</w:t>
      </w:r>
      <w:r>
        <w:rPr>
          <w:spacing w:val="-3"/>
        </w:rPr>
        <w:t>角等。</w:t>
      </w:r>
    </w:p>
    <w:p>
      <w:pPr>
        <w:pStyle w:val="BodyText"/>
        <w:spacing w:line="417" w:lineRule="auto"/>
        <w:ind w:left="160" w:right="871" w:firstLine="419"/>
        <w:jc w:val="both"/>
      </w:pPr>
      <w:r>
        <w:rPr>
          <w:spacing w:val="-11"/>
        </w:rPr>
        <w:t>刘义先生：副总经理，硕士。现任华夏基金管理有限公司党委委员。曾任中国人民银行</w:t>
      </w:r>
      <w:r>
        <w:rPr>
          <w:spacing w:val="-13"/>
        </w:rPr>
        <w:t>总行计划资金司副主任科员、主任科员，中国农业发展银行总行信息电脑部信息综合处副处</w:t>
      </w:r>
      <w:r>
        <w:rPr>
          <w:spacing w:val="-13"/>
          <w:w w:val="100"/>
        </w:rPr>
        <w:t>长（</w:t>
      </w:r>
      <w:r>
        <w:rPr>
          <w:spacing w:val="-2"/>
          <w:w w:val="100"/>
        </w:rPr>
        <w:t>主持工作</w:t>
      </w:r>
      <w:r>
        <w:rPr>
          <w:spacing w:val="-108"/>
          <w:w w:val="100"/>
        </w:rPr>
        <w:t>）</w:t>
      </w:r>
      <w:r>
        <w:rPr>
          <w:spacing w:val="-3"/>
          <w:w w:val="100"/>
        </w:rPr>
        <w:t>，华夏基金管理有限公司监事、党办主任、养老金业务总监，华夏资本管理</w:t>
      </w:r>
      <w:r>
        <w:rPr>
          <w:spacing w:val="-3"/>
        </w:rPr>
        <w:t>有限公司执行董事、总经理等。</w:t>
      </w:r>
    </w:p>
    <w:p>
      <w:pPr>
        <w:pStyle w:val="BodyText"/>
        <w:spacing w:line="417" w:lineRule="auto"/>
        <w:ind w:left="160" w:right="768" w:firstLine="419"/>
      </w:pPr>
      <w:r>
        <w:rPr>
          <w:spacing w:val="-10"/>
        </w:rPr>
        <w:t>阳琨先生：副总经理、投资总监，硕士。现任华夏基金管理有限公司党委委员。曾任中</w:t>
      </w:r>
      <w:r>
        <w:rPr>
          <w:spacing w:val="-5"/>
        </w:rPr>
        <w:t>国对外经济贸易信托投资有限公司财务部部门经理，宝盈基金管理有限公司基金经理助理， </w:t>
      </w:r>
      <w:r>
        <w:rPr>
          <w:spacing w:val="-4"/>
        </w:rPr>
        <w:t>益民基金管理有限公司投资部部门经理，华夏基金管理有限公司股票投资部副总经理等。</w:t>
      </w:r>
    </w:p>
    <w:p>
      <w:pPr>
        <w:pStyle w:val="BodyText"/>
        <w:spacing w:line="417" w:lineRule="auto"/>
        <w:ind w:left="160" w:right="765" w:firstLine="419"/>
      </w:pPr>
      <w:r>
        <w:rPr>
          <w:spacing w:val="-23"/>
        </w:rPr>
        <w:t>张德根先生：副总经理，硕士。现任华夏基金管理有限公司研究发展部行政负责人</w:t>
      </w:r>
      <w:r>
        <w:rPr/>
        <w:t>（兼</w:t>
      </w:r>
      <w:r>
        <w:rPr>
          <w:spacing w:val="-108"/>
        </w:rPr>
        <w:t>）</w:t>
      </w:r>
      <w:r>
        <w:rPr/>
        <w:t>。</w:t>
      </w:r>
      <w:r>
        <w:rPr>
          <w:spacing w:val="-16"/>
        </w:rPr>
        <w:t>曾任职于北京新财经杂志社、长城证券，曾任华夏基金管理有限公司深圳分公司总经理助理、</w:t>
      </w:r>
      <w:r>
        <w:rPr>
          <w:spacing w:val="-12"/>
        </w:rPr>
        <w:t>副总经理、总经理，广州分公司总经理，上海华夏财富投资管理有限公司副总经理，华夏基</w:t>
      </w:r>
      <w:r>
        <w:rPr>
          <w:spacing w:val="-6"/>
        </w:rPr>
        <w:t>金管理有限公司总经理助理等。</w:t>
      </w:r>
    </w:p>
    <w:p>
      <w:pPr>
        <w:pStyle w:val="BodyText"/>
        <w:spacing w:line="417" w:lineRule="auto"/>
        <w:ind w:left="160" w:right="768" w:firstLine="419"/>
      </w:pPr>
      <w:r>
        <w:rPr>
          <w:spacing w:val="-3"/>
        </w:rPr>
        <w:t>李彬女士：督察长，硕士。现任华夏基金管理有限公司党委委员、合规部行政负责人、</w:t>
      </w:r>
      <w:r>
        <w:rPr>
          <w:spacing w:val="-10"/>
        </w:rPr>
        <w:t>法律部行政负责人。曾任职于中信证券股份有限公司、原中信基金管理有限责任公司。曾任</w:t>
      </w:r>
      <w:r>
        <w:rPr>
          <w:spacing w:val="-5"/>
        </w:rPr>
        <w:t>华夏基金管理有限公司监察稽核部总经理助理，法律监察部副总经理、联席负责人等。</w:t>
      </w:r>
    </w:p>
    <w:p>
      <w:pPr>
        <w:pStyle w:val="BodyText"/>
        <w:spacing w:line="269" w:lineRule="exact"/>
        <w:ind w:left="580"/>
      </w:pPr>
      <w:r>
        <w:rPr>
          <w:rFonts w:ascii="Calibri" w:eastAsia="Calibri"/>
        </w:rPr>
        <w:t>2</w:t>
      </w:r>
      <w:r>
        <w:rPr/>
        <w:t>、本基金基金经理</w:t>
      </w:r>
    </w:p>
    <w:p>
      <w:pPr>
        <w:pStyle w:val="BodyText"/>
        <w:spacing w:line="417" w:lineRule="auto" w:before="198"/>
        <w:ind w:left="160" w:right="873" w:firstLine="482"/>
        <w:jc w:val="both"/>
      </w:pPr>
      <w:r>
        <w:rPr>
          <w:spacing w:val="-1"/>
        </w:rPr>
        <w:t>徐猛先生，清华大学工学硕士。曾任财富证券助理研究员，原中关村证券研究员等。</w:t>
      </w:r>
      <w:r>
        <w:rPr>
          <w:rFonts w:ascii="Calibri" w:eastAsia="Calibri"/>
        </w:rPr>
        <w:t>2006</w:t>
      </w:r>
      <w:r>
        <w:rPr>
          <w:spacing w:val="-3"/>
        </w:rPr>
        <w:t>年</w:t>
      </w:r>
      <w:r>
        <w:rPr>
          <w:rFonts w:ascii="Calibri" w:eastAsia="Calibri"/>
        </w:rPr>
        <w:t>2</w:t>
      </w:r>
      <w:r>
        <w:rPr>
          <w:spacing w:val="-3"/>
        </w:rPr>
        <w:t>月加入华夏基金管理有限公司，曾任数量投资部基金经理助理、上证原材料交易型开放式指数发起式证券投资基金基金经理（</w:t>
      </w:r>
      <w:r>
        <w:rPr>
          <w:rFonts w:ascii="Calibri" w:eastAsia="Calibri"/>
          <w:spacing w:val="-3"/>
        </w:rPr>
        <w:t>2016</w:t>
      </w:r>
      <w:r>
        <w:rPr>
          <w:spacing w:val="-3"/>
        </w:rPr>
        <w:t>年</w:t>
      </w:r>
      <w:r>
        <w:rPr>
          <w:rFonts w:ascii="Calibri" w:eastAsia="Calibri"/>
          <w:spacing w:val="-3"/>
        </w:rPr>
        <w:t>1</w:t>
      </w:r>
      <w:r>
        <w:rPr>
          <w:spacing w:val="-3"/>
        </w:rPr>
        <w:t>月</w:t>
      </w:r>
      <w:r>
        <w:rPr>
          <w:rFonts w:ascii="Calibri" w:eastAsia="Calibri"/>
          <w:spacing w:val="-3"/>
        </w:rPr>
        <w:t>29</w:t>
      </w:r>
      <w:r>
        <w:rPr>
          <w:spacing w:val="-3"/>
        </w:rPr>
        <w:t>日至</w:t>
      </w:r>
      <w:r>
        <w:rPr>
          <w:rFonts w:ascii="Calibri" w:eastAsia="Calibri"/>
          <w:spacing w:val="-3"/>
        </w:rPr>
        <w:t>2016</w:t>
      </w:r>
      <w:r>
        <w:rPr>
          <w:spacing w:val="-3"/>
        </w:rPr>
        <w:t>年</w:t>
      </w:r>
      <w:r>
        <w:rPr>
          <w:rFonts w:ascii="Calibri" w:eastAsia="Calibri"/>
          <w:spacing w:val="3"/>
        </w:rPr>
        <w:t>3</w:t>
      </w:r>
      <w:r>
        <w:rPr/>
        <w:t>月</w:t>
      </w:r>
      <w:r>
        <w:rPr>
          <w:rFonts w:ascii="Calibri" w:eastAsia="Calibri"/>
        </w:rPr>
        <w:t>28</w:t>
      </w:r>
      <w:r>
        <w:rPr/>
        <w:t>日期间）等，现任数量投资部总监，上证金融地产交易型开放式指数发起式证券投资基金基金经理（</w:t>
      </w:r>
      <w:r>
        <w:rPr>
          <w:rFonts w:ascii="Calibri" w:eastAsia="Calibri"/>
        </w:rPr>
        <w:t>2013 </w:t>
      </w:r>
      <w:r>
        <w:rPr/>
        <w:t>年</w:t>
      </w:r>
      <w:r>
        <w:rPr>
          <w:rFonts w:ascii="Calibri" w:eastAsia="Calibri"/>
          <w:spacing w:val="3"/>
        </w:rPr>
        <w:t>4</w:t>
      </w:r>
      <w:r>
        <w:rPr/>
        <w:t>月</w:t>
      </w:r>
      <w:r>
        <w:rPr>
          <w:rFonts w:ascii="Calibri" w:eastAsia="Calibri"/>
          <w:spacing w:val="3"/>
        </w:rPr>
        <w:t>8</w:t>
      </w:r>
      <w:r>
        <w:rPr/>
        <w:t>日起任职</w:t>
      </w:r>
      <w:r>
        <w:rPr>
          <w:spacing w:val="-106"/>
        </w:rPr>
        <w:t>）</w:t>
      </w:r>
      <w:r>
        <w:rPr/>
        <w:t>、华夏沪港通恒生交易型开放式指数证券投资基金基金经理（</w:t>
      </w:r>
      <w:r>
        <w:rPr>
          <w:rFonts w:ascii="Calibri" w:eastAsia="Calibri"/>
        </w:rPr>
        <w:t>2015</w:t>
      </w:r>
      <w:r>
        <w:rPr/>
        <w:t>年</w:t>
      </w:r>
      <w:r>
        <w:rPr>
          <w:rFonts w:ascii="Calibri" w:eastAsia="Calibri"/>
          <w:spacing w:val="3"/>
        </w:rPr>
        <w:t>3</w:t>
      </w:r>
      <w:r>
        <w:rPr>
          <w:spacing w:val="-11"/>
        </w:rPr>
        <w:t>月</w:t>
      </w:r>
    </w:p>
    <w:p>
      <w:pPr>
        <w:spacing w:after="0" w:line="417" w:lineRule="auto"/>
        <w:jc w:val="both"/>
        <w:sectPr>
          <w:pgSz w:w="11910" w:h="16840"/>
          <w:pgMar w:header="877" w:footer="995" w:top="1420" w:bottom="1180" w:left="1640" w:right="920"/>
        </w:sectPr>
      </w:pPr>
    </w:p>
    <w:p>
      <w:pPr>
        <w:pStyle w:val="BodyText"/>
        <w:spacing w:line="417" w:lineRule="auto" w:before="110"/>
        <w:ind w:left="160" w:right="871"/>
        <w:jc w:val="both"/>
      </w:pPr>
      <w:r>
        <w:rPr>
          <w:rFonts w:ascii="Calibri" w:eastAsia="Calibri"/>
        </w:rPr>
        <w:t>12</w:t>
      </w:r>
      <w:r>
        <w:rPr>
          <w:spacing w:val="-3"/>
        </w:rPr>
        <w:t>日起任职</w:t>
      </w:r>
      <w:r>
        <w:rPr>
          <w:spacing w:val="-106"/>
        </w:rPr>
        <w:t>）</w:t>
      </w:r>
      <w:r>
        <w:rPr>
          <w:spacing w:val="-11"/>
        </w:rPr>
        <w:t>、华夏沪港通恒生交易型开放式指数证券投资基金联接基金基金经理</w:t>
      </w:r>
      <w:r>
        <w:rPr/>
        <w:t>（</w:t>
      </w:r>
      <w:r>
        <w:rPr>
          <w:rFonts w:ascii="Calibri" w:eastAsia="Calibri"/>
        </w:rPr>
        <w:t>2015</w:t>
      </w:r>
      <w:r>
        <w:rPr>
          <w:spacing w:val="-3"/>
        </w:rPr>
        <w:t>年</w:t>
      </w:r>
      <w:r>
        <w:rPr>
          <w:rFonts w:ascii="Calibri" w:eastAsia="Calibri"/>
        </w:rPr>
        <w:t>3 </w:t>
      </w:r>
      <w:r>
        <w:rPr/>
        <w:t>月</w:t>
      </w:r>
      <w:r>
        <w:rPr>
          <w:rFonts w:ascii="Calibri" w:eastAsia="Calibri"/>
        </w:rPr>
        <w:t>12</w:t>
      </w:r>
      <w:r>
        <w:rPr>
          <w:spacing w:val="-3"/>
        </w:rPr>
        <w:t>日起任职</w:t>
      </w:r>
      <w:r>
        <w:rPr>
          <w:spacing w:val="-106"/>
        </w:rPr>
        <w:t>）</w:t>
      </w:r>
      <w:r>
        <w:rPr>
          <w:spacing w:val="-12"/>
        </w:rPr>
        <w:t>、恒生交易型开放式指数证券投资基金基金经理</w:t>
      </w:r>
      <w:r>
        <w:rPr/>
        <w:t>（</w:t>
      </w:r>
      <w:r>
        <w:rPr>
          <w:rFonts w:ascii="Calibri" w:eastAsia="Calibri"/>
        </w:rPr>
        <w:t>2015</w:t>
      </w:r>
      <w:r>
        <w:rPr/>
        <w:t>年</w:t>
      </w:r>
      <w:r>
        <w:rPr>
          <w:rFonts w:ascii="Calibri" w:eastAsia="Calibri"/>
        </w:rPr>
        <w:t>12</w:t>
      </w:r>
      <w:r>
        <w:rPr>
          <w:spacing w:val="-3"/>
        </w:rPr>
        <w:t>月</w:t>
      </w:r>
      <w:r>
        <w:rPr>
          <w:rFonts w:ascii="Calibri" w:eastAsia="Calibri"/>
        </w:rPr>
        <w:t>21</w:t>
      </w:r>
      <w:r>
        <w:rPr>
          <w:spacing w:val="-3"/>
        </w:rPr>
        <w:t>日起任职</w:t>
      </w:r>
      <w:r>
        <w:rPr>
          <w:spacing w:val="-106"/>
        </w:rPr>
        <w:t>）</w:t>
      </w:r>
      <w:r>
        <w:rPr/>
        <w:t>、</w:t>
      </w:r>
      <w:r>
        <w:rPr>
          <w:spacing w:val="-3"/>
        </w:rPr>
        <w:t>恒生交易型开放式指数证券投资基金联接基金基金经理</w:t>
      </w:r>
      <w:r>
        <w:rPr/>
        <w:t>（</w:t>
      </w:r>
      <w:r>
        <w:rPr>
          <w:rFonts w:ascii="Calibri" w:eastAsia="Calibri"/>
        </w:rPr>
        <w:t>2015</w:t>
      </w:r>
      <w:r>
        <w:rPr/>
        <w:t>年</w:t>
      </w:r>
      <w:r>
        <w:rPr>
          <w:rFonts w:ascii="Calibri" w:eastAsia="Calibri"/>
        </w:rPr>
        <w:t>12</w:t>
      </w:r>
      <w:r>
        <w:rPr>
          <w:spacing w:val="-3"/>
        </w:rPr>
        <w:t>月</w:t>
      </w:r>
      <w:r>
        <w:rPr>
          <w:rFonts w:ascii="Calibri" w:eastAsia="Calibri"/>
        </w:rPr>
        <w:t>21</w:t>
      </w:r>
      <w:r>
        <w:rPr>
          <w:spacing w:val="-2"/>
        </w:rPr>
        <w:t>日起任职</w:t>
      </w:r>
      <w:r>
        <w:rPr>
          <w:spacing w:val="-108"/>
        </w:rPr>
        <w:t>）</w:t>
      </w:r>
      <w:r>
        <w:rPr>
          <w:spacing w:val="-2"/>
        </w:rPr>
        <w:t>、中小企业板交易型开放式指数基金基金经理（</w:t>
      </w:r>
      <w:r>
        <w:rPr>
          <w:rFonts w:ascii="Calibri" w:eastAsia="Calibri"/>
          <w:spacing w:val="-2"/>
        </w:rPr>
        <w:t>2016</w:t>
      </w:r>
      <w:r>
        <w:rPr>
          <w:spacing w:val="-2"/>
        </w:rPr>
        <w:t>年</w:t>
      </w:r>
      <w:r>
        <w:rPr>
          <w:rFonts w:ascii="Calibri" w:eastAsia="Calibri"/>
          <w:spacing w:val="-2"/>
        </w:rPr>
        <w:t>12</w:t>
      </w:r>
      <w:r>
        <w:rPr>
          <w:spacing w:val="-2"/>
        </w:rPr>
        <w:t>月</w:t>
      </w:r>
      <w:r>
        <w:rPr>
          <w:rFonts w:ascii="Calibri" w:eastAsia="Calibri"/>
          <w:spacing w:val="-2"/>
        </w:rPr>
        <w:t>1</w:t>
      </w:r>
      <w:r>
        <w:rPr>
          <w:spacing w:val="-2"/>
        </w:rPr>
        <w:t>日起任职</w:t>
      </w:r>
      <w:r>
        <w:rPr>
          <w:spacing w:val="-104"/>
        </w:rPr>
        <w:t>）</w:t>
      </w:r>
      <w:r>
        <w:rPr/>
        <w:t>、华夏上证</w:t>
      </w:r>
      <w:r>
        <w:rPr>
          <w:rFonts w:ascii="Calibri" w:eastAsia="Calibri"/>
        </w:rPr>
        <w:t>50</w:t>
      </w:r>
      <w:r>
        <w:rPr/>
        <w:t>交易型开放式</w:t>
      </w:r>
      <w:r>
        <w:rPr>
          <w:spacing w:val="-7"/>
        </w:rPr>
        <w:t>指数证券投资基金联接基金基金经理</w:t>
      </w:r>
      <w:r>
        <w:rPr/>
        <w:t>（</w:t>
      </w:r>
      <w:r>
        <w:rPr>
          <w:rFonts w:ascii="Calibri" w:eastAsia="Calibri"/>
        </w:rPr>
        <w:t>2016</w:t>
      </w:r>
      <w:r>
        <w:rPr/>
        <w:t>年</w:t>
      </w:r>
      <w:r>
        <w:rPr>
          <w:rFonts w:ascii="Calibri" w:eastAsia="Calibri"/>
        </w:rPr>
        <w:t>12</w:t>
      </w:r>
      <w:r>
        <w:rPr/>
        <w:t>月</w:t>
      </w:r>
      <w:r>
        <w:rPr>
          <w:rFonts w:ascii="Calibri" w:eastAsia="Calibri"/>
        </w:rPr>
        <w:t>1</w:t>
      </w:r>
      <w:r>
        <w:rPr>
          <w:spacing w:val="-1"/>
        </w:rPr>
        <w:t>日起任职</w:t>
      </w:r>
      <w:r>
        <w:rPr>
          <w:spacing w:val="-106"/>
        </w:rPr>
        <w:t>）</w:t>
      </w:r>
      <w:r>
        <w:rPr>
          <w:spacing w:val="-8"/>
        </w:rPr>
        <w:t>、华夏创业板交易型开放式指</w:t>
      </w:r>
      <w:r>
        <w:rPr>
          <w:spacing w:val="-10"/>
        </w:rPr>
        <w:t>数证券投资基金基金经理</w:t>
      </w:r>
      <w:r>
        <w:rPr/>
        <w:t>（</w:t>
      </w:r>
      <w:r>
        <w:rPr>
          <w:rFonts w:ascii="Calibri" w:eastAsia="Calibri"/>
        </w:rPr>
        <w:t>2017</w:t>
      </w:r>
      <w:r>
        <w:rPr>
          <w:spacing w:val="-3"/>
        </w:rPr>
        <w:t>年</w:t>
      </w:r>
      <w:r>
        <w:rPr>
          <w:rFonts w:ascii="Calibri" w:eastAsia="Calibri"/>
        </w:rPr>
        <w:t>12</w:t>
      </w:r>
      <w:r>
        <w:rPr>
          <w:spacing w:val="-3"/>
        </w:rPr>
        <w:t>月</w:t>
      </w:r>
      <w:r>
        <w:rPr>
          <w:rFonts w:ascii="Calibri" w:eastAsia="Calibri"/>
        </w:rPr>
        <w:t>8</w:t>
      </w:r>
      <w:r>
        <w:rPr>
          <w:spacing w:val="-3"/>
        </w:rPr>
        <w:t>日起任职</w:t>
      </w:r>
      <w:r>
        <w:rPr>
          <w:spacing w:val="-106"/>
        </w:rPr>
        <w:t>）</w:t>
      </w:r>
      <w:r>
        <w:rPr>
          <w:spacing w:val="-9"/>
        </w:rPr>
        <w:t>、战略新兴成指交易型开放式指数证券投</w:t>
      </w:r>
      <w:r>
        <w:rPr>
          <w:spacing w:val="-13"/>
        </w:rPr>
        <w:t>资基金基金经理</w:t>
      </w:r>
      <w:r>
        <w:rPr/>
        <w:t>（</w:t>
      </w:r>
      <w:r>
        <w:rPr>
          <w:rFonts w:ascii="Calibri" w:eastAsia="Calibri"/>
        </w:rPr>
        <w:t>2018</w:t>
      </w:r>
      <w:r>
        <w:rPr/>
        <w:t>年</w:t>
      </w:r>
      <w:r>
        <w:rPr>
          <w:rFonts w:ascii="Calibri" w:eastAsia="Calibri"/>
        </w:rPr>
        <w:t>7</w:t>
      </w:r>
      <w:r>
        <w:rPr/>
        <w:t>月</w:t>
      </w:r>
      <w:r>
        <w:rPr>
          <w:rFonts w:ascii="Calibri" w:eastAsia="Calibri"/>
        </w:rPr>
        <w:t>13</w:t>
      </w:r>
      <w:r>
        <w:rPr>
          <w:spacing w:val="-3"/>
        </w:rPr>
        <w:t>日起任职</w:t>
      </w:r>
      <w:r>
        <w:rPr>
          <w:spacing w:val="-106"/>
        </w:rPr>
        <w:t>）</w:t>
      </w:r>
      <w:r>
        <w:rPr>
          <w:spacing w:val="-9"/>
        </w:rPr>
        <w:t>、华夏创业板交易型开放式指数证券投资基金发起</w:t>
      </w:r>
      <w:r>
        <w:rPr>
          <w:spacing w:val="-11"/>
        </w:rPr>
        <w:t>式联接基金基金经理</w:t>
      </w:r>
      <w:r>
        <w:rPr/>
        <w:t>（</w:t>
      </w:r>
      <w:r>
        <w:rPr>
          <w:rFonts w:ascii="Calibri" w:eastAsia="Calibri"/>
        </w:rPr>
        <w:t>2018</w:t>
      </w:r>
      <w:r>
        <w:rPr>
          <w:spacing w:val="-3"/>
        </w:rPr>
        <w:t>年</w:t>
      </w:r>
      <w:r>
        <w:rPr>
          <w:rFonts w:ascii="Calibri" w:eastAsia="Calibri"/>
        </w:rPr>
        <w:t>8</w:t>
      </w:r>
      <w:r>
        <w:rPr>
          <w:spacing w:val="-3"/>
        </w:rPr>
        <w:t>月</w:t>
      </w:r>
      <w:r>
        <w:rPr>
          <w:rFonts w:ascii="Calibri" w:eastAsia="Calibri"/>
        </w:rPr>
        <w:t>14</w:t>
      </w:r>
      <w:r>
        <w:rPr>
          <w:spacing w:val="-3"/>
        </w:rPr>
        <w:t>日起任职</w:t>
      </w:r>
      <w:r>
        <w:rPr>
          <w:spacing w:val="-106"/>
        </w:rPr>
        <w:t>）</w:t>
      </w:r>
      <w:r>
        <w:rPr>
          <w:spacing w:val="-9"/>
        </w:rPr>
        <w:t>、华夏中小企业板交易型开放式指数基金发起</w:t>
      </w:r>
      <w:r>
        <w:rPr>
          <w:spacing w:val="-11"/>
        </w:rPr>
        <w:t>式联接基金基金经理</w:t>
      </w:r>
      <w:r>
        <w:rPr/>
        <w:t>（</w:t>
      </w:r>
      <w:r>
        <w:rPr>
          <w:rFonts w:ascii="Calibri" w:eastAsia="Calibri"/>
        </w:rPr>
        <w:t>2018</w:t>
      </w:r>
      <w:r>
        <w:rPr>
          <w:spacing w:val="-3"/>
        </w:rPr>
        <w:t>年</w:t>
      </w:r>
      <w:r>
        <w:rPr>
          <w:rFonts w:ascii="Calibri" w:eastAsia="Calibri"/>
        </w:rPr>
        <w:t>9</w:t>
      </w:r>
      <w:r>
        <w:rPr>
          <w:spacing w:val="-3"/>
        </w:rPr>
        <w:t>月</w:t>
      </w:r>
      <w:r>
        <w:rPr>
          <w:rFonts w:ascii="Calibri" w:eastAsia="Calibri"/>
        </w:rPr>
        <w:t>10</w:t>
      </w:r>
      <w:r>
        <w:rPr>
          <w:spacing w:val="-3"/>
        </w:rPr>
        <w:t>日起任职</w:t>
      </w:r>
      <w:r>
        <w:rPr>
          <w:spacing w:val="-106"/>
        </w:rPr>
        <w:t>）</w:t>
      </w:r>
      <w:r>
        <w:rPr>
          <w:spacing w:val="-9"/>
        </w:rPr>
        <w:t>、战略新兴成指交易型开放式指数证券投资基</w:t>
      </w:r>
      <w:r>
        <w:rPr>
          <w:spacing w:val="-5"/>
        </w:rPr>
        <w:t>金发起式联接基金基金经理</w:t>
      </w:r>
      <w:r>
        <w:rPr/>
        <w:t>（</w:t>
      </w:r>
      <w:r>
        <w:rPr>
          <w:rFonts w:ascii="Calibri" w:eastAsia="Calibri"/>
        </w:rPr>
        <w:t>2019</w:t>
      </w:r>
      <w:r>
        <w:rPr>
          <w:spacing w:val="-3"/>
        </w:rPr>
        <w:t>年</w:t>
      </w:r>
      <w:r>
        <w:rPr>
          <w:rFonts w:ascii="Calibri" w:eastAsia="Calibri"/>
        </w:rPr>
        <w:t>6</w:t>
      </w:r>
      <w:r>
        <w:rPr>
          <w:spacing w:val="-3"/>
        </w:rPr>
        <w:t>月</w:t>
      </w:r>
      <w:r>
        <w:rPr>
          <w:rFonts w:ascii="Calibri" w:eastAsia="Calibri"/>
        </w:rPr>
        <w:t>5</w:t>
      </w:r>
      <w:r>
        <w:rPr>
          <w:spacing w:val="-3"/>
        </w:rPr>
        <w:t>日起任职</w:t>
      </w:r>
      <w:r>
        <w:rPr>
          <w:spacing w:val="-108"/>
        </w:rPr>
        <w:t>）</w:t>
      </w:r>
      <w:r>
        <w:rPr>
          <w:spacing w:val="-2"/>
        </w:rPr>
        <w:t>、上证</w:t>
      </w:r>
      <w:r>
        <w:rPr>
          <w:rFonts w:ascii="Calibri" w:eastAsia="Calibri"/>
        </w:rPr>
        <w:t>50</w:t>
      </w:r>
      <w:r>
        <w:rPr>
          <w:spacing w:val="-3"/>
        </w:rPr>
        <w:t>交易型开放式指数证券投资基金基金经理</w:t>
      </w:r>
      <w:r>
        <w:rPr/>
        <w:t>（</w:t>
      </w:r>
      <w:r>
        <w:rPr>
          <w:rFonts w:ascii="Calibri" w:eastAsia="Calibri"/>
        </w:rPr>
        <w:t>2020</w:t>
      </w:r>
      <w:r>
        <w:rPr>
          <w:spacing w:val="-3"/>
        </w:rPr>
        <w:t>年</w:t>
      </w:r>
      <w:r>
        <w:rPr>
          <w:rFonts w:ascii="Calibri" w:eastAsia="Calibri"/>
        </w:rPr>
        <w:t>3</w:t>
      </w:r>
      <w:r>
        <w:rPr>
          <w:spacing w:val="-3"/>
        </w:rPr>
        <w:t>月</w:t>
      </w:r>
      <w:r>
        <w:rPr>
          <w:rFonts w:ascii="Calibri" w:eastAsia="Calibri"/>
        </w:rPr>
        <w:t>6</w:t>
      </w:r>
      <w:r>
        <w:rPr>
          <w:spacing w:val="-1"/>
        </w:rPr>
        <w:t>日起任职</w:t>
      </w:r>
      <w:r>
        <w:rPr>
          <w:spacing w:val="-108"/>
        </w:rPr>
        <w:t>）</w:t>
      </w:r>
      <w:r>
        <w:rPr/>
        <w:t>。</w:t>
      </w:r>
    </w:p>
    <w:p>
      <w:pPr>
        <w:pStyle w:val="BodyText"/>
        <w:spacing w:line="417" w:lineRule="auto"/>
        <w:ind w:left="160" w:right="769" w:firstLine="482"/>
      </w:pPr>
      <w:r>
        <w:rPr>
          <w:spacing w:val="-1"/>
        </w:rPr>
        <w:t>庞亚平先生，统计学硕士，</w:t>
      </w:r>
      <w:r>
        <w:rPr>
          <w:rFonts w:ascii="Calibri" w:eastAsia="Calibri"/>
          <w:spacing w:val="-4"/>
        </w:rPr>
        <w:t>CFA</w:t>
      </w:r>
      <w:r>
        <w:rPr>
          <w:spacing w:val="-1"/>
        </w:rPr>
        <w:t>。曾任中证指数有限公司研究部研究员、市场部主管。</w:t>
      </w:r>
      <w:r>
        <w:rPr>
          <w:rFonts w:ascii="Calibri" w:eastAsia="Calibri"/>
        </w:rPr>
        <w:t>2016</w:t>
      </w:r>
      <w:r>
        <w:rPr>
          <w:spacing w:val="-3"/>
        </w:rPr>
        <w:t>年</w:t>
      </w:r>
      <w:r>
        <w:rPr>
          <w:rFonts w:ascii="Calibri" w:eastAsia="Calibri"/>
        </w:rPr>
        <w:t>1</w:t>
      </w:r>
      <w:r>
        <w:rPr>
          <w:spacing w:val="-3"/>
        </w:rPr>
        <w:t>月加入华夏基金管理有限公司，曾任数量投资部研究员、投资经理等，现任数量投</w:t>
      </w:r>
      <w:r>
        <w:rPr>
          <w:spacing w:val="-11"/>
        </w:rPr>
        <w:t>资部总监，华夏中证央企结构调整交易型开放式指数证券投资基金基金经理</w:t>
      </w:r>
      <w:r>
        <w:rPr/>
        <w:t>（</w:t>
      </w:r>
      <w:r>
        <w:rPr>
          <w:rFonts w:ascii="Calibri" w:eastAsia="Calibri"/>
        </w:rPr>
        <w:t>2018</w:t>
      </w:r>
      <w:r>
        <w:rPr/>
        <w:t>年</w:t>
      </w:r>
      <w:r>
        <w:rPr>
          <w:rFonts w:ascii="Calibri" w:eastAsia="Calibri"/>
        </w:rPr>
        <w:t>10</w:t>
      </w:r>
      <w:r>
        <w:rPr>
          <w:spacing w:val="-3"/>
        </w:rPr>
        <w:t>月</w:t>
      </w:r>
      <w:r>
        <w:rPr>
          <w:rFonts w:ascii="Calibri" w:eastAsia="Calibri"/>
        </w:rPr>
        <w:t>19 </w:t>
      </w:r>
      <w:r>
        <w:rPr>
          <w:spacing w:val="-1"/>
        </w:rPr>
        <w:t>日起任职</w:t>
      </w:r>
      <w:r>
        <w:rPr>
          <w:spacing w:val="-106"/>
        </w:rPr>
        <w:t>）</w:t>
      </w:r>
      <w:r>
        <w:rPr>
          <w:spacing w:val="-15"/>
        </w:rPr>
        <w:t>、华夏中证央企结构调整交易型开放式指数证券投资基金联接基金基金经理</w:t>
      </w:r>
      <w:r>
        <w:rPr/>
        <w:t>（</w:t>
      </w:r>
      <w:r>
        <w:rPr>
          <w:rFonts w:ascii="Calibri" w:eastAsia="Calibri"/>
        </w:rPr>
        <w:t>2018 </w:t>
      </w:r>
      <w:r>
        <w:rPr/>
        <w:t>年</w:t>
      </w:r>
      <w:r>
        <w:rPr>
          <w:rFonts w:ascii="Calibri" w:eastAsia="Calibri"/>
        </w:rPr>
        <w:t>11</w:t>
      </w:r>
      <w:r>
        <w:rPr>
          <w:spacing w:val="-3"/>
        </w:rPr>
        <w:t>月</w:t>
      </w:r>
      <w:r>
        <w:rPr>
          <w:rFonts w:ascii="Calibri" w:eastAsia="Calibri"/>
        </w:rPr>
        <w:t>14</w:t>
      </w:r>
      <w:r>
        <w:rPr>
          <w:spacing w:val="-2"/>
        </w:rPr>
        <w:t>日起任职</w:t>
      </w:r>
      <w:r>
        <w:rPr>
          <w:spacing w:val="-108"/>
        </w:rPr>
        <w:t>）</w:t>
      </w:r>
      <w:r>
        <w:rPr>
          <w:spacing w:val="-3"/>
        </w:rPr>
        <w:t>、华夏中证四川国企改革交易型开放式指数证券投资基金发起式联接基</w:t>
      </w:r>
      <w:r>
        <w:rPr>
          <w:spacing w:val="-14"/>
        </w:rPr>
        <w:t>金基金经理</w:t>
      </w:r>
      <w:r>
        <w:rPr/>
        <w:t>（</w:t>
      </w:r>
      <w:r>
        <w:rPr>
          <w:rFonts w:ascii="Calibri" w:eastAsia="Calibri"/>
        </w:rPr>
        <w:t>2019</w:t>
      </w:r>
      <w:r>
        <w:rPr/>
        <w:t>年</w:t>
      </w:r>
      <w:r>
        <w:rPr>
          <w:rFonts w:ascii="Calibri" w:eastAsia="Calibri"/>
        </w:rPr>
        <w:t>1</w:t>
      </w:r>
      <w:r>
        <w:rPr/>
        <w:t>月</w:t>
      </w:r>
      <w:r>
        <w:rPr>
          <w:rFonts w:ascii="Calibri" w:eastAsia="Calibri"/>
        </w:rPr>
        <w:t>22</w:t>
      </w:r>
      <w:r>
        <w:rPr>
          <w:spacing w:val="-1"/>
        </w:rPr>
        <w:t>日起任职</w:t>
      </w:r>
      <w:r>
        <w:rPr>
          <w:spacing w:val="-106"/>
        </w:rPr>
        <w:t>）</w:t>
      </w:r>
      <w:r>
        <w:rPr>
          <w:spacing w:val="-8"/>
        </w:rPr>
        <w:t>、华夏中证四川国企改革交易型开放式指数证券投资基</w:t>
      </w:r>
      <w:r>
        <w:rPr>
          <w:spacing w:val="-10"/>
        </w:rPr>
        <w:t>金基金经理</w:t>
      </w:r>
      <w:r>
        <w:rPr/>
        <w:t>（</w:t>
      </w:r>
      <w:r>
        <w:rPr>
          <w:rFonts w:ascii="Calibri" w:eastAsia="Calibri"/>
        </w:rPr>
        <w:t>2019</w:t>
      </w:r>
      <w:r>
        <w:rPr>
          <w:spacing w:val="-3"/>
        </w:rPr>
        <w:t>年</w:t>
      </w:r>
      <w:r>
        <w:rPr>
          <w:rFonts w:ascii="Calibri" w:eastAsia="Calibri"/>
        </w:rPr>
        <w:t>3</w:t>
      </w:r>
      <w:r>
        <w:rPr/>
        <w:t>月</w:t>
      </w:r>
      <w:r>
        <w:rPr>
          <w:rFonts w:ascii="Calibri" w:eastAsia="Calibri"/>
        </w:rPr>
        <w:t>6</w:t>
      </w:r>
      <w:r>
        <w:rPr>
          <w:spacing w:val="-1"/>
        </w:rPr>
        <w:t>日起任职</w:t>
      </w:r>
      <w:r>
        <w:rPr>
          <w:spacing w:val="-108"/>
        </w:rPr>
        <w:t>）</w:t>
      </w:r>
      <w:r>
        <w:rPr>
          <w:spacing w:val="-6"/>
        </w:rPr>
        <w:t>、华夏中证</w:t>
      </w:r>
      <w:r>
        <w:rPr>
          <w:rFonts w:ascii="Calibri" w:eastAsia="Calibri"/>
        </w:rPr>
        <w:t>AH</w:t>
      </w:r>
      <w:r>
        <w:rPr>
          <w:spacing w:val="-3"/>
        </w:rPr>
        <w:t>经济蓝筹股票指数发起式证券投资基金基</w:t>
      </w:r>
      <w:r>
        <w:rPr>
          <w:spacing w:val="-21"/>
        </w:rPr>
        <w:t>金经理</w:t>
      </w:r>
      <w:r>
        <w:rPr/>
        <w:t>（</w:t>
      </w:r>
      <w:r>
        <w:rPr>
          <w:rFonts w:ascii="Calibri" w:eastAsia="Calibri"/>
        </w:rPr>
        <w:t>2019</w:t>
      </w:r>
      <w:r>
        <w:rPr/>
        <w:t>年</w:t>
      </w:r>
      <w:r>
        <w:rPr>
          <w:rFonts w:ascii="Calibri" w:eastAsia="Calibri"/>
        </w:rPr>
        <w:t>7</w:t>
      </w:r>
      <w:r>
        <w:rPr>
          <w:spacing w:val="-3"/>
        </w:rPr>
        <w:t>月</w:t>
      </w:r>
      <w:r>
        <w:rPr>
          <w:rFonts w:ascii="Calibri" w:eastAsia="Calibri"/>
        </w:rPr>
        <w:t>16</w:t>
      </w:r>
      <w:r>
        <w:rPr>
          <w:spacing w:val="-2"/>
        </w:rPr>
        <w:t>日起任职</w:t>
      </w:r>
      <w:r>
        <w:rPr>
          <w:spacing w:val="-106"/>
        </w:rPr>
        <w:t>）</w:t>
      </w:r>
      <w:r>
        <w:rPr>
          <w:spacing w:val="-9"/>
        </w:rPr>
        <w:t>、战略新兴成指交易型开放式指数证券投资基金发起式联接</w:t>
      </w:r>
      <w:r>
        <w:rPr>
          <w:spacing w:val="-14"/>
        </w:rPr>
        <w:t>基金基金经理</w:t>
      </w:r>
      <w:r>
        <w:rPr/>
        <w:t>（</w:t>
      </w:r>
      <w:r>
        <w:rPr>
          <w:rFonts w:ascii="Calibri" w:eastAsia="Calibri"/>
        </w:rPr>
        <w:t>2020</w:t>
      </w:r>
      <w:r>
        <w:rPr/>
        <w:t>年</w:t>
      </w:r>
      <w:r>
        <w:rPr>
          <w:rFonts w:ascii="Calibri" w:eastAsia="Calibri"/>
        </w:rPr>
        <w:t>3</w:t>
      </w:r>
      <w:r>
        <w:rPr>
          <w:spacing w:val="-3"/>
        </w:rPr>
        <w:t>月</w:t>
      </w:r>
      <w:r>
        <w:rPr>
          <w:rFonts w:ascii="Calibri" w:eastAsia="Calibri"/>
        </w:rPr>
        <w:t>18</w:t>
      </w:r>
      <w:r>
        <w:rPr>
          <w:spacing w:val="-3"/>
        </w:rPr>
        <w:t>日起任职</w:t>
      </w:r>
      <w:r>
        <w:rPr>
          <w:spacing w:val="-106"/>
        </w:rPr>
        <w:t>）</w:t>
      </w:r>
      <w:r>
        <w:rPr>
          <w:spacing w:val="-9"/>
        </w:rPr>
        <w:t>、战略新兴成指交易型开放式指数证券投资基金基金经理（</w:t>
      </w:r>
      <w:r>
        <w:rPr>
          <w:rFonts w:ascii="Calibri" w:eastAsia="Calibri"/>
          <w:spacing w:val="-9"/>
        </w:rPr>
        <w:t>2020</w:t>
      </w:r>
      <w:r>
        <w:rPr>
          <w:spacing w:val="-9"/>
        </w:rPr>
        <w:t>年</w:t>
      </w:r>
      <w:r>
        <w:rPr>
          <w:rFonts w:ascii="Calibri" w:eastAsia="Calibri"/>
          <w:spacing w:val="-9"/>
        </w:rPr>
        <w:t>3</w:t>
      </w:r>
      <w:r>
        <w:rPr>
          <w:spacing w:val="-9"/>
        </w:rPr>
        <w:t>月</w:t>
      </w:r>
      <w:r>
        <w:rPr>
          <w:rFonts w:ascii="Calibri" w:eastAsia="Calibri"/>
          <w:spacing w:val="-9"/>
        </w:rPr>
        <w:t>18</w:t>
      </w:r>
      <w:r>
        <w:rPr>
          <w:spacing w:val="-3"/>
        </w:rPr>
        <w:t>日起任职</w:t>
      </w:r>
      <w:r>
        <w:rPr>
          <w:spacing w:val="-106"/>
        </w:rPr>
        <w:t>）</w:t>
      </w:r>
      <w:r>
        <w:rPr/>
        <w:t>。</w:t>
      </w:r>
    </w:p>
    <w:p>
      <w:pPr>
        <w:pStyle w:val="BodyText"/>
        <w:spacing w:line="268" w:lineRule="exact"/>
        <w:ind w:left="580"/>
      </w:pPr>
      <w:r>
        <w:rPr>
          <w:rFonts w:ascii="Calibri" w:eastAsia="Calibri"/>
        </w:rPr>
        <w:t>3</w:t>
      </w:r>
      <w:r>
        <w:rPr/>
        <w:t>、本公司量化投资决策委员会</w:t>
      </w:r>
    </w:p>
    <w:p>
      <w:pPr>
        <w:pStyle w:val="BodyText"/>
        <w:spacing w:before="197"/>
        <w:ind w:left="642"/>
      </w:pPr>
      <w:r>
        <w:rPr/>
        <w:t>主任：张弘弢先生，华夏基金管理有限公司董事总经理，基金经理。</w:t>
      </w:r>
    </w:p>
    <w:p>
      <w:pPr>
        <w:pStyle w:val="BodyText"/>
        <w:spacing w:before="7"/>
        <w:rPr>
          <w:sz w:val="15"/>
        </w:rPr>
      </w:pPr>
    </w:p>
    <w:p>
      <w:pPr>
        <w:pStyle w:val="BodyText"/>
        <w:spacing w:line="417" w:lineRule="auto"/>
        <w:ind w:left="642" w:right="1764"/>
      </w:pPr>
      <w:r>
        <w:rPr/>
        <w:t>成员：阳琨先生，华夏基金管理有限公司副总经理、投资总监，基金经理。徐猛先生，华夏基金管理有限公司数量投资部总监，基金经理。</w:t>
      </w:r>
    </w:p>
    <w:p>
      <w:pPr>
        <w:pStyle w:val="BodyText"/>
        <w:spacing w:line="269" w:lineRule="exact"/>
        <w:ind w:left="642"/>
      </w:pPr>
      <w:r>
        <w:rPr/>
        <w:t>袁英杰先生，华夏基金管理有限公司数量投资部投资经理。</w:t>
      </w:r>
    </w:p>
    <w:p>
      <w:pPr>
        <w:pStyle w:val="BodyText"/>
        <w:spacing w:before="7"/>
        <w:rPr>
          <w:sz w:val="15"/>
        </w:rPr>
      </w:pPr>
    </w:p>
    <w:p>
      <w:pPr>
        <w:pStyle w:val="BodyText"/>
        <w:ind w:left="642"/>
      </w:pPr>
      <w:r>
        <w:rPr/>
        <w:t>庞亚平先生，华夏基金管理有限公司数量投资部总监，基金经理。</w:t>
      </w:r>
    </w:p>
    <w:p>
      <w:pPr>
        <w:pStyle w:val="BodyText"/>
        <w:spacing w:before="6"/>
        <w:rPr>
          <w:sz w:val="15"/>
        </w:rPr>
      </w:pPr>
    </w:p>
    <w:p>
      <w:pPr>
        <w:pStyle w:val="BodyText"/>
        <w:spacing w:before="1"/>
        <w:ind w:left="642"/>
      </w:pPr>
      <w:r>
        <w:rPr/>
        <w:t>荣膺女士，华夏基金管理有限公司数量投资部高级副总裁，基金经理。</w:t>
      </w:r>
    </w:p>
    <w:p>
      <w:pPr>
        <w:pStyle w:val="BodyText"/>
        <w:spacing w:before="7"/>
        <w:rPr>
          <w:sz w:val="15"/>
        </w:rPr>
      </w:pPr>
    </w:p>
    <w:p>
      <w:pPr>
        <w:pStyle w:val="BodyText"/>
        <w:ind w:left="580"/>
      </w:pPr>
      <w:r>
        <w:rPr>
          <w:rFonts w:ascii="Calibri" w:eastAsia="Calibri"/>
        </w:rPr>
        <w:t>4</w:t>
      </w:r>
      <w:r>
        <w:rPr/>
        <w:t>、上述人员之间不存在近亲属关系。</w:t>
      </w:r>
    </w:p>
    <w:p>
      <w:pPr>
        <w:pStyle w:val="BodyText"/>
        <w:spacing w:before="6"/>
        <w:rPr>
          <w:sz w:val="15"/>
        </w:rPr>
      </w:pPr>
    </w:p>
    <w:p>
      <w:pPr>
        <w:pStyle w:val="BodyText"/>
        <w:spacing w:before="1"/>
        <w:ind w:left="580"/>
      </w:pPr>
      <w:r>
        <w:rPr/>
        <w:t>（三）基金管理人的职责</w:t>
      </w:r>
    </w:p>
    <w:p>
      <w:pPr>
        <w:spacing w:after="0"/>
        <w:sectPr>
          <w:pgSz w:w="11910" w:h="16840"/>
          <w:pgMar w:header="877" w:footer="995" w:top="1420" w:bottom="1180" w:left="1640" w:right="920"/>
        </w:sectPr>
      </w:pPr>
    </w:p>
    <w:p>
      <w:pPr>
        <w:pStyle w:val="BodyText"/>
        <w:spacing w:line="417" w:lineRule="auto" w:before="110"/>
        <w:ind w:left="160" w:right="874" w:firstLine="419"/>
      </w:pPr>
      <w:r>
        <w:rPr>
          <w:rFonts w:ascii="Calibri" w:eastAsia="Calibri"/>
        </w:rPr>
        <w:t>1</w:t>
      </w:r>
      <w:r>
        <w:rPr/>
        <w:t>、依法募集资金，办理或者委托经国务院证券监督管理机构认定的其他机构代为办理基金份额的发售、申购、赎回和登记事宜。</w:t>
      </w:r>
    </w:p>
    <w:p>
      <w:pPr>
        <w:pStyle w:val="BodyText"/>
        <w:spacing w:line="269" w:lineRule="exact"/>
        <w:ind w:left="580"/>
      </w:pPr>
      <w:r>
        <w:rPr>
          <w:rFonts w:ascii="Calibri" w:eastAsia="Calibri"/>
        </w:rPr>
        <w:t>2</w:t>
      </w:r>
      <w:r>
        <w:rPr/>
        <w:t>、办理基金备案手续。</w:t>
      </w:r>
    </w:p>
    <w:p>
      <w:pPr>
        <w:pStyle w:val="BodyText"/>
        <w:spacing w:before="6"/>
        <w:rPr>
          <w:sz w:val="15"/>
        </w:rPr>
      </w:pPr>
    </w:p>
    <w:p>
      <w:pPr>
        <w:pStyle w:val="BodyText"/>
        <w:ind w:left="580"/>
      </w:pPr>
      <w:r>
        <w:rPr>
          <w:rFonts w:ascii="Calibri" w:eastAsia="Calibri"/>
        </w:rPr>
        <w:t>3</w:t>
      </w:r>
      <w:r>
        <w:rPr/>
        <w:t>、对所管理的不同基金财产分别管理、分别记账，进行证券投资。</w:t>
      </w:r>
    </w:p>
    <w:p>
      <w:pPr>
        <w:pStyle w:val="BodyText"/>
        <w:spacing w:before="7"/>
        <w:rPr>
          <w:sz w:val="15"/>
        </w:rPr>
      </w:pPr>
    </w:p>
    <w:p>
      <w:pPr>
        <w:pStyle w:val="BodyText"/>
        <w:ind w:left="580"/>
      </w:pPr>
      <w:r>
        <w:rPr>
          <w:rFonts w:ascii="Calibri" w:eastAsia="Calibri"/>
        </w:rPr>
        <w:t>4</w:t>
      </w:r>
      <w:r>
        <w:rPr/>
        <w:t>、按照基金合同的约定确定基金收益分配方案，及时向基金份额持有人分配收益。</w:t>
      </w:r>
    </w:p>
    <w:p>
      <w:pPr>
        <w:pStyle w:val="BodyText"/>
        <w:spacing w:before="7"/>
        <w:rPr>
          <w:sz w:val="15"/>
        </w:rPr>
      </w:pPr>
    </w:p>
    <w:p>
      <w:pPr>
        <w:pStyle w:val="BodyText"/>
        <w:ind w:left="580"/>
      </w:pPr>
      <w:r>
        <w:rPr>
          <w:rFonts w:ascii="Calibri" w:eastAsia="Calibri"/>
        </w:rPr>
        <w:t>5</w:t>
      </w:r>
      <w:r>
        <w:rPr/>
        <w:t>、进行基金会计核算并编制基金财务会计报告。</w:t>
      </w:r>
    </w:p>
    <w:p>
      <w:pPr>
        <w:pStyle w:val="BodyText"/>
        <w:spacing w:before="7"/>
        <w:rPr>
          <w:sz w:val="15"/>
        </w:rPr>
      </w:pPr>
    </w:p>
    <w:p>
      <w:pPr>
        <w:pStyle w:val="BodyText"/>
        <w:ind w:left="580"/>
      </w:pPr>
      <w:r>
        <w:rPr>
          <w:rFonts w:ascii="Calibri" w:eastAsia="Calibri"/>
        </w:rPr>
        <w:t>6</w:t>
      </w:r>
      <w:r>
        <w:rPr/>
        <w:t>、编制中期和年度基金报告。</w:t>
      </w:r>
    </w:p>
    <w:p>
      <w:pPr>
        <w:pStyle w:val="BodyText"/>
        <w:spacing w:before="7"/>
        <w:rPr>
          <w:sz w:val="15"/>
        </w:rPr>
      </w:pPr>
    </w:p>
    <w:p>
      <w:pPr>
        <w:pStyle w:val="BodyText"/>
        <w:ind w:left="580"/>
      </w:pPr>
      <w:r>
        <w:rPr>
          <w:rFonts w:ascii="Calibri" w:eastAsia="Calibri"/>
        </w:rPr>
        <w:t>7</w:t>
      </w:r>
      <w:r>
        <w:rPr/>
        <w:t>、计算并公告基金净值信息，确定基金份额申购、赎回价格。</w:t>
      </w:r>
    </w:p>
    <w:p>
      <w:pPr>
        <w:pStyle w:val="BodyText"/>
        <w:spacing w:before="7"/>
        <w:rPr>
          <w:sz w:val="15"/>
        </w:rPr>
      </w:pPr>
    </w:p>
    <w:p>
      <w:pPr>
        <w:pStyle w:val="BodyText"/>
        <w:ind w:left="580"/>
      </w:pPr>
      <w:r>
        <w:rPr>
          <w:rFonts w:ascii="Calibri" w:eastAsia="Calibri"/>
        </w:rPr>
        <w:t>8</w:t>
      </w:r>
      <w:r>
        <w:rPr/>
        <w:t>、办理与基金财产管理业务活动有关的信息披露事项。</w:t>
      </w:r>
    </w:p>
    <w:p>
      <w:pPr>
        <w:pStyle w:val="BodyText"/>
        <w:spacing w:before="6"/>
        <w:rPr>
          <w:sz w:val="15"/>
        </w:rPr>
      </w:pPr>
    </w:p>
    <w:p>
      <w:pPr>
        <w:pStyle w:val="BodyText"/>
        <w:spacing w:before="1"/>
        <w:ind w:left="580"/>
      </w:pPr>
      <w:r>
        <w:rPr>
          <w:rFonts w:ascii="Calibri" w:eastAsia="Calibri"/>
        </w:rPr>
        <w:t>9</w:t>
      </w:r>
      <w:r>
        <w:rPr/>
        <w:t>、召集基金份额持有人大会。</w:t>
      </w:r>
    </w:p>
    <w:p>
      <w:pPr>
        <w:pStyle w:val="BodyText"/>
        <w:spacing w:before="6"/>
        <w:rPr>
          <w:sz w:val="15"/>
        </w:rPr>
      </w:pPr>
    </w:p>
    <w:p>
      <w:pPr>
        <w:pStyle w:val="BodyText"/>
        <w:ind w:left="580"/>
      </w:pPr>
      <w:r>
        <w:rPr>
          <w:rFonts w:ascii="Calibri" w:eastAsia="Calibri"/>
        </w:rPr>
        <w:t>10</w:t>
      </w:r>
      <w:r>
        <w:rPr/>
        <w:t>、保存基金财产管理业务活动的记录、账册、报表和其他相关资料。</w:t>
      </w:r>
    </w:p>
    <w:p>
      <w:pPr>
        <w:pStyle w:val="BodyText"/>
        <w:spacing w:before="7"/>
        <w:rPr>
          <w:sz w:val="15"/>
        </w:rPr>
      </w:pPr>
    </w:p>
    <w:p>
      <w:pPr>
        <w:pStyle w:val="BodyText"/>
        <w:ind w:left="580"/>
      </w:pPr>
      <w:r>
        <w:rPr>
          <w:rFonts w:ascii="Calibri" w:eastAsia="Calibri"/>
        </w:rPr>
        <w:t>11</w:t>
      </w:r>
      <w:r>
        <w:rPr/>
        <w:t>、以基金管理人名义，代表基金份额持有人利益行使诉讼权利或者实施其他法律行为。</w:t>
      </w:r>
    </w:p>
    <w:p>
      <w:pPr>
        <w:pStyle w:val="BodyText"/>
        <w:spacing w:before="7"/>
        <w:rPr>
          <w:sz w:val="15"/>
        </w:rPr>
      </w:pPr>
    </w:p>
    <w:p>
      <w:pPr>
        <w:pStyle w:val="BodyText"/>
        <w:ind w:left="580"/>
      </w:pPr>
      <w:r>
        <w:rPr>
          <w:rFonts w:ascii="Calibri" w:eastAsia="Calibri"/>
        </w:rPr>
        <w:t>12</w:t>
      </w:r>
      <w:r>
        <w:rPr/>
        <w:t>、国务院证券监督管理机构规定的其他职责。</w:t>
      </w:r>
    </w:p>
    <w:p>
      <w:pPr>
        <w:pStyle w:val="BodyText"/>
        <w:spacing w:before="6"/>
        <w:rPr>
          <w:sz w:val="15"/>
        </w:rPr>
      </w:pPr>
    </w:p>
    <w:p>
      <w:pPr>
        <w:pStyle w:val="BodyText"/>
        <w:spacing w:before="1"/>
        <w:ind w:left="580"/>
      </w:pPr>
      <w:r>
        <w:rPr/>
        <w:t>（四）基金管理人承诺</w:t>
      </w:r>
    </w:p>
    <w:p>
      <w:pPr>
        <w:pStyle w:val="BodyText"/>
        <w:spacing w:before="7"/>
        <w:rPr>
          <w:sz w:val="15"/>
        </w:rPr>
      </w:pPr>
    </w:p>
    <w:p>
      <w:pPr>
        <w:pStyle w:val="BodyText"/>
        <w:spacing w:line="417" w:lineRule="auto"/>
        <w:ind w:left="160" w:right="874" w:firstLine="419"/>
      </w:pPr>
      <w:r>
        <w:rPr>
          <w:rFonts w:ascii="Calibri" w:eastAsia="Calibri"/>
        </w:rPr>
        <w:t>1</w:t>
      </w:r>
      <w:r>
        <w:rPr/>
        <w:t>、本基金管理人将根据基金合同的规定，按照招募说明书列明的投资目标、策略及限制等全权处理本基金的投资。</w:t>
      </w:r>
    </w:p>
    <w:p>
      <w:pPr>
        <w:pStyle w:val="BodyText"/>
        <w:spacing w:line="417" w:lineRule="auto"/>
        <w:ind w:left="160" w:right="873" w:firstLine="419"/>
      </w:pPr>
      <w:r>
        <w:rPr>
          <w:rFonts w:ascii="Calibri" w:eastAsia="Calibri"/>
        </w:rPr>
        <w:t>2</w:t>
      </w:r>
      <w:r>
        <w:rPr/>
        <w:t>、本基金管理人不从事违反《中华人民共和国证券法》的行为，并建立健全内部控制制度，采取有效措施，防止违反《中华人民共和国证券法》行为的发生。</w:t>
      </w:r>
    </w:p>
    <w:p>
      <w:pPr>
        <w:pStyle w:val="BodyText"/>
        <w:spacing w:line="417" w:lineRule="auto"/>
        <w:ind w:left="160" w:right="874" w:firstLine="419"/>
      </w:pPr>
      <w:r>
        <w:rPr>
          <w:rFonts w:ascii="Calibri" w:eastAsia="Calibri"/>
        </w:rPr>
        <w:t>3</w:t>
      </w:r>
      <w:r>
        <w:rPr/>
        <w:t>、本基金管理人不从事违反《基金法》的行为，并建立健全内部控制制度，采取有效措施，保证基金财产不用于下列投资或者活动：</w:t>
      </w:r>
    </w:p>
    <w:p>
      <w:pPr>
        <w:pStyle w:val="ListParagraph"/>
        <w:numPr>
          <w:ilvl w:val="0"/>
          <w:numId w:val="1"/>
        </w:numPr>
        <w:tabs>
          <w:tab w:pos="1110" w:val="left" w:leader="none"/>
        </w:tabs>
        <w:spacing w:line="269" w:lineRule="exact" w:before="0" w:after="0"/>
        <w:ind w:left="1109" w:right="0" w:hanging="530"/>
        <w:jc w:val="left"/>
        <w:rPr>
          <w:sz w:val="21"/>
        </w:rPr>
      </w:pPr>
      <w:r>
        <w:rPr>
          <w:spacing w:val="-3"/>
          <w:sz w:val="21"/>
        </w:rPr>
        <w:t>承销证券。</w:t>
      </w:r>
    </w:p>
    <w:p>
      <w:pPr>
        <w:pStyle w:val="BodyText"/>
        <w:spacing w:before="6"/>
        <w:rPr>
          <w:sz w:val="15"/>
        </w:rPr>
      </w:pPr>
    </w:p>
    <w:p>
      <w:pPr>
        <w:pStyle w:val="ListParagraph"/>
        <w:numPr>
          <w:ilvl w:val="0"/>
          <w:numId w:val="1"/>
        </w:numPr>
        <w:tabs>
          <w:tab w:pos="1110" w:val="left" w:leader="none"/>
        </w:tabs>
        <w:spacing w:line="240" w:lineRule="auto" w:before="0" w:after="0"/>
        <w:ind w:left="1109" w:right="0" w:hanging="530"/>
        <w:jc w:val="left"/>
        <w:rPr>
          <w:sz w:val="21"/>
        </w:rPr>
      </w:pPr>
      <w:r>
        <w:rPr>
          <w:spacing w:val="-3"/>
          <w:sz w:val="21"/>
        </w:rPr>
        <w:t>违反规定向他人贷款或者提供担保。</w:t>
      </w:r>
    </w:p>
    <w:p>
      <w:pPr>
        <w:pStyle w:val="BodyText"/>
        <w:spacing w:before="7"/>
        <w:rPr>
          <w:sz w:val="15"/>
        </w:rPr>
      </w:pPr>
    </w:p>
    <w:p>
      <w:pPr>
        <w:pStyle w:val="ListParagraph"/>
        <w:numPr>
          <w:ilvl w:val="0"/>
          <w:numId w:val="1"/>
        </w:numPr>
        <w:tabs>
          <w:tab w:pos="1110" w:val="left" w:leader="none"/>
        </w:tabs>
        <w:spacing w:line="240" w:lineRule="auto" w:before="0" w:after="0"/>
        <w:ind w:left="1109" w:right="0" w:hanging="530"/>
        <w:jc w:val="left"/>
        <w:rPr>
          <w:sz w:val="21"/>
        </w:rPr>
      </w:pPr>
      <w:r>
        <w:rPr>
          <w:spacing w:val="-3"/>
          <w:sz w:val="21"/>
        </w:rPr>
        <w:t>从事承担无限责任的投资。</w:t>
      </w:r>
    </w:p>
    <w:p>
      <w:pPr>
        <w:pStyle w:val="BodyText"/>
        <w:spacing w:before="7"/>
        <w:rPr>
          <w:sz w:val="15"/>
        </w:rPr>
      </w:pPr>
    </w:p>
    <w:p>
      <w:pPr>
        <w:pStyle w:val="ListParagraph"/>
        <w:numPr>
          <w:ilvl w:val="0"/>
          <w:numId w:val="1"/>
        </w:numPr>
        <w:tabs>
          <w:tab w:pos="1110" w:val="left" w:leader="none"/>
        </w:tabs>
        <w:spacing w:line="240" w:lineRule="auto" w:before="0" w:after="0"/>
        <w:ind w:left="1109" w:right="0" w:hanging="530"/>
        <w:jc w:val="left"/>
        <w:rPr>
          <w:sz w:val="21"/>
        </w:rPr>
      </w:pPr>
      <w:r>
        <w:rPr>
          <w:spacing w:val="-3"/>
          <w:sz w:val="21"/>
        </w:rPr>
        <w:t>向其基金管理人、基金托管人出资。</w:t>
      </w:r>
    </w:p>
    <w:p>
      <w:pPr>
        <w:pStyle w:val="BodyText"/>
        <w:spacing w:before="6"/>
        <w:rPr>
          <w:sz w:val="15"/>
        </w:rPr>
      </w:pPr>
    </w:p>
    <w:p>
      <w:pPr>
        <w:pStyle w:val="ListParagraph"/>
        <w:numPr>
          <w:ilvl w:val="0"/>
          <w:numId w:val="1"/>
        </w:numPr>
        <w:tabs>
          <w:tab w:pos="1110" w:val="left" w:leader="none"/>
        </w:tabs>
        <w:spacing w:line="240" w:lineRule="auto" w:before="1" w:after="0"/>
        <w:ind w:left="1109" w:right="0" w:hanging="530"/>
        <w:jc w:val="left"/>
        <w:rPr>
          <w:sz w:val="21"/>
        </w:rPr>
      </w:pPr>
      <w:r>
        <w:rPr>
          <w:spacing w:val="-3"/>
          <w:sz w:val="21"/>
        </w:rPr>
        <w:t>从事内幕交易、操纵证券交易价格及其他不正当的证券交易活动。</w:t>
      </w:r>
    </w:p>
    <w:p>
      <w:pPr>
        <w:pStyle w:val="BodyText"/>
        <w:spacing w:before="6"/>
        <w:rPr>
          <w:sz w:val="15"/>
        </w:rPr>
      </w:pPr>
    </w:p>
    <w:p>
      <w:pPr>
        <w:pStyle w:val="ListParagraph"/>
        <w:numPr>
          <w:ilvl w:val="0"/>
          <w:numId w:val="1"/>
        </w:numPr>
        <w:tabs>
          <w:tab w:pos="1110" w:val="left" w:leader="none"/>
        </w:tabs>
        <w:spacing w:line="240" w:lineRule="auto" w:before="0" w:after="0"/>
        <w:ind w:left="1109" w:right="0" w:hanging="530"/>
        <w:jc w:val="left"/>
        <w:rPr>
          <w:sz w:val="21"/>
        </w:rPr>
      </w:pPr>
      <w:r>
        <w:rPr>
          <w:spacing w:val="-3"/>
          <w:sz w:val="21"/>
        </w:rPr>
        <w:t>法律、行政法规和中国证监会规定禁止的其他活动。</w:t>
      </w:r>
    </w:p>
    <w:p>
      <w:pPr>
        <w:pStyle w:val="BodyText"/>
        <w:spacing w:before="7"/>
        <w:rPr>
          <w:sz w:val="15"/>
        </w:rPr>
      </w:pPr>
    </w:p>
    <w:p>
      <w:pPr>
        <w:pStyle w:val="BodyText"/>
        <w:spacing w:line="417" w:lineRule="auto"/>
        <w:ind w:left="160" w:right="871" w:firstLine="419"/>
        <w:jc w:val="both"/>
      </w:pPr>
      <w:r>
        <w:rPr>
          <w:spacing w:val="-8"/>
        </w:rPr>
        <w:t>基金管理人运用基金财产买卖基金管理人、基金托管人及其控股股东、实际控制人或者</w:t>
      </w:r>
      <w:r>
        <w:rPr>
          <w:spacing w:val="-9"/>
        </w:rPr>
        <w:t>与其有重大利害关系的公司发行的证券或者承销期内承销的证券，或者从事其他重大关联交</w:t>
      </w:r>
      <w:r>
        <w:rPr>
          <w:spacing w:val="-11"/>
        </w:rPr>
        <w:t>易的，应当符合基金的投资目标和投资策略，遵循持有人利益优先原则，防范利益冲突，建立健全内部审批机制和评估机制，按照市场公平合理价格执行。相关交易必须事先得到基金</w:t>
      </w:r>
    </w:p>
    <w:p>
      <w:pPr>
        <w:spacing w:after="0" w:line="417" w:lineRule="auto"/>
        <w:jc w:val="both"/>
        <w:sectPr>
          <w:pgSz w:w="11910" w:h="16840"/>
          <w:pgMar w:header="877" w:footer="995" w:top="1420" w:bottom="1180" w:left="1640" w:right="920"/>
        </w:sectPr>
      </w:pPr>
    </w:p>
    <w:p>
      <w:pPr>
        <w:pStyle w:val="BodyText"/>
        <w:spacing w:line="417" w:lineRule="auto" w:before="110"/>
        <w:ind w:left="160" w:right="662"/>
      </w:pPr>
      <w:r>
        <w:rPr>
          <w:spacing w:val="-10"/>
        </w:rPr>
        <w:t>托管人的同意，并按法律法规予以披露。重大关联交易应提交基金管理人董事会审议，并经 </w:t>
      </w:r>
      <w:r>
        <w:rPr>
          <w:spacing w:val="-12"/>
        </w:rPr>
        <w:t>过三分之二以上的独立董事通过。基金管理人董事会应至少每半年对关联交易事项进行审查。</w:t>
      </w:r>
      <w:r>
        <w:rPr>
          <w:spacing w:val="-7"/>
        </w:rPr>
        <w:t>本基金投资基金管理人或基金管理人关联方管理基金</w:t>
      </w:r>
      <w:r>
        <w:rPr/>
        <w:t>（包括目标 </w:t>
      </w:r>
      <w:r>
        <w:rPr>
          <w:rFonts w:ascii="Calibri" w:eastAsia="Calibri"/>
          <w:spacing w:val="-4"/>
        </w:rPr>
        <w:t>ETF</w:t>
      </w:r>
      <w:r>
        <w:rPr>
          <w:spacing w:val="-4"/>
        </w:rPr>
        <w:t>）的情况，不属于前述重</w:t>
      </w:r>
      <w:r>
        <w:rPr>
          <w:spacing w:val="-3"/>
        </w:rPr>
        <w:t>大关联交易，但是应当按照法律法规或监管规定的要求履行信息披露义务。</w:t>
      </w:r>
    </w:p>
    <w:p>
      <w:pPr>
        <w:pStyle w:val="BodyText"/>
        <w:spacing w:line="417" w:lineRule="auto"/>
        <w:ind w:left="160" w:right="871" w:firstLine="419"/>
      </w:pPr>
      <w:r>
        <w:rPr>
          <w:spacing w:val="-8"/>
        </w:rPr>
        <w:t>法律法规或监管部门取消或变更上述限制，如适用于本基金，则本基金投资不再受上述</w:t>
      </w:r>
      <w:r>
        <w:rPr>
          <w:spacing w:val="-5"/>
        </w:rPr>
        <w:t>相关限制，自动适用变更后的法律法规或监管规定，不需另行召开基金份额持有人大会。</w:t>
      </w:r>
    </w:p>
    <w:p>
      <w:pPr>
        <w:pStyle w:val="BodyText"/>
        <w:spacing w:line="417" w:lineRule="auto"/>
        <w:ind w:left="160" w:right="873" w:firstLine="419"/>
      </w:pPr>
      <w:r>
        <w:rPr>
          <w:rFonts w:ascii="Calibri" w:eastAsia="Calibri"/>
        </w:rPr>
        <w:t>4</w:t>
      </w:r>
      <w:r>
        <w:rPr>
          <w:spacing w:val="-17"/>
        </w:rPr>
        <w:t>、本基金管理人将加强人员管理，强化职业操守，督促和约束员工遵守国家有关法律、</w:t>
      </w:r>
      <w:r>
        <w:rPr>
          <w:spacing w:val="-7"/>
        </w:rPr>
        <w:t>法规及行业规范，诚实信用、勤勉尽责，不从事以下行为：</w:t>
      </w:r>
    </w:p>
    <w:p>
      <w:pPr>
        <w:pStyle w:val="ListParagraph"/>
        <w:numPr>
          <w:ilvl w:val="0"/>
          <w:numId w:val="2"/>
        </w:numPr>
        <w:tabs>
          <w:tab w:pos="1110" w:val="left" w:leader="none"/>
        </w:tabs>
        <w:spacing w:line="240" w:lineRule="auto" w:before="0" w:after="0"/>
        <w:ind w:left="1109" w:right="0" w:hanging="530"/>
        <w:jc w:val="left"/>
        <w:rPr>
          <w:sz w:val="21"/>
        </w:rPr>
      </w:pPr>
      <w:r>
        <w:rPr>
          <w:spacing w:val="-3"/>
          <w:sz w:val="21"/>
        </w:rPr>
        <w:t>将其固有财产或者他人财产混同于基金财产从事证券投资。</w:t>
      </w:r>
    </w:p>
    <w:p>
      <w:pPr>
        <w:pStyle w:val="BodyText"/>
        <w:spacing w:before="6"/>
        <w:rPr>
          <w:sz w:val="15"/>
        </w:rPr>
      </w:pPr>
    </w:p>
    <w:p>
      <w:pPr>
        <w:pStyle w:val="ListParagraph"/>
        <w:numPr>
          <w:ilvl w:val="0"/>
          <w:numId w:val="2"/>
        </w:numPr>
        <w:tabs>
          <w:tab w:pos="1110" w:val="left" w:leader="none"/>
        </w:tabs>
        <w:spacing w:line="240" w:lineRule="auto" w:before="0" w:after="0"/>
        <w:ind w:left="1109" w:right="0" w:hanging="530"/>
        <w:jc w:val="left"/>
        <w:rPr>
          <w:sz w:val="21"/>
        </w:rPr>
      </w:pPr>
      <w:r>
        <w:rPr>
          <w:spacing w:val="-3"/>
          <w:sz w:val="21"/>
        </w:rPr>
        <w:t>不公平地对待其管理的不同基金财产。</w:t>
      </w:r>
    </w:p>
    <w:p>
      <w:pPr>
        <w:pStyle w:val="BodyText"/>
        <w:spacing w:before="6"/>
        <w:rPr>
          <w:sz w:val="15"/>
        </w:rPr>
      </w:pPr>
    </w:p>
    <w:p>
      <w:pPr>
        <w:pStyle w:val="ListParagraph"/>
        <w:numPr>
          <w:ilvl w:val="0"/>
          <w:numId w:val="2"/>
        </w:numPr>
        <w:tabs>
          <w:tab w:pos="1110" w:val="left" w:leader="none"/>
        </w:tabs>
        <w:spacing w:line="240" w:lineRule="auto" w:before="0" w:after="0"/>
        <w:ind w:left="1109" w:right="0" w:hanging="530"/>
        <w:jc w:val="left"/>
        <w:rPr>
          <w:sz w:val="21"/>
        </w:rPr>
      </w:pPr>
      <w:r>
        <w:rPr>
          <w:spacing w:val="-3"/>
          <w:sz w:val="21"/>
        </w:rPr>
        <w:t>利用基金财产为基金份额持有人以外的第三人牟取利益。</w:t>
      </w:r>
    </w:p>
    <w:p>
      <w:pPr>
        <w:pStyle w:val="BodyText"/>
        <w:spacing w:before="7"/>
        <w:rPr>
          <w:sz w:val="15"/>
        </w:rPr>
      </w:pPr>
    </w:p>
    <w:p>
      <w:pPr>
        <w:pStyle w:val="ListParagraph"/>
        <w:numPr>
          <w:ilvl w:val="0"/>
          <w:numId w:val="2"/>
        </w:numPr>
        <w:tabs>
          <w:tab w:pos="1110" w:val="left" w:leader="none"/>
        </w:tabs>
        <w:spacing w:line="240" w:lineRule="auto" w:before="0" w:after="0"/>
        <w:ind w:left="1109" w:right="0" w:hanging="530"/>
        <w:jc w:val="left"/>
        <w:rPr>
          <w:sz w:val="21"/>
        </w:rPr>
      </w:pPr>
      <w:r>
        <w:rPr>
          <w:spacing w:val="-3"/>
          <w:sz w:val="21"/>
        </w:rPr>
        <w:t>向基金份额持有人违规承诺收益或者承担损失。</w:t>
      </w:r>
    </w:p>
    <w:p>
      <w:pPr>
        <w:pStyle w:val="BodyText"/>
        <w:spacing w:before="7"/>
        <w:rPr>
          <w:sz w:val="15"/>
        </w:rPr>
      </w:pPr>
    </w:p>
    <w:p>
      <w:pPr>
        <w:pStyle w:val="ListParagraph"/>
        <w:numPr>
          <w:ilvl w:val="0"/>
          <w:numId w:val="2"/>
        </w:numPr>
        <w:tabs>
          <w:tab w:pos="1112" w:val="left" w:leader="none"/>
        </w:tabs>
        <w:spacing w:line="240" w:lineRule="auto" w:before="0" w:after="0"/>
        <w:ind w:left="1111" w:right="0" w:hanging="532"/>
        <w:jc w:val="left"/>
        <w:rPr>
          <w:sz w:val="21"/>
        </w:rPr>
      </w:pPr>
      <w:r>
        <w:rPr>
          <w:spacing w:val="-14"/>
          <w:sz w:val="21"/>
        </w:rPr>
        <w:t>依照法律、行政法规有关规定，由国务院证券监督管理机构规定禁止的其他行为。</w:t>
      </w:r>
    </w:p>
    <w:p>
      <w:pPr>
        <w:pStyle w:val="BodyText"/>
        <w:spacing w:before="7"/>
        <w:rPr>
          <w:sz w:val="15"/>
        </w:rPr>
      </w:pPr>
    </w:p>
    <w:p>
      <w:pPr>
        <w:pStyle w:val="BodyText"/>
        <w:ind w:left="580"/>
      </w:pPr>
      <w:r>
        <w:rPr>
          <w:rFonts w:ascii="Calibri" w:eastAsia="Calibri"/>
        </w:rPr>
        <w:t>5</w:t>
      </w:r>
      <w:r>
        <w:rPr/>
        <w:t>、基金经理承诺</w:t>
      </w:r>
    </w:p>
    <w:p>
      <w:pPr>
        <w:pStyle w:val="BodyText"/>
        <w:spacing w:before="7"/>
        <w:rPr>
          <w:sz w:val="15"/>
        </w:rPr>
      </w:pPr>
    </w:p>
    <w:p>
      <w:pPr>
        <w:pStyle w:val="ListParagraph"/>
        <w:numPr>
          <w:ilvl w:val="0"/>
          <w:numId w:val="3"/>
        </w:numPr>
        <w:tabs>
          <w:tab w:pos="1112" w:val="left" w:leader="none"/>
        </w:tabs>
        <w:spacing w:line="417" w:lineRule="auto" w:before="0" w:after="0"/>
        <w:ind w:left="160" w:right="874" w:firstLine="419"/>
        <w:jc w:val="left"/>
        <w:rPr>
          <w:sz w:val="21"/>
        </w:rPr>
      </w:pPr>
      <w:r>
        <w:rPr>
          <w:spacing w:val="-3"/>
          <w:sz w:val="21"/>
        </w:rPr>
        <w:t>依照有关法律、法规和基金合同的规定，本着谨慎的原则为基金份额持有人谋取利益。</w:t>
      </w:r>
    </w:p>
    <w:p>
      <w:pPr>
        <w:pStyle w:val="ListParagraph"/>
        <w:numPr>
          <w:ilvl w:val="0"/>
          <w:numId w:val="3"/>
        </w:numPr>
        <w:tabs>
          <w:tab w:pos="1112" w:val="left" w:leader="none"/>
        </w:tabs>
        <w:spacing w:line="417" w:lineRule="auto" w:before="0" w:after="0"/>
        <w:ind w:left="160" w:right="874" w:firstLine="419"/>
        <w:jc w:val="left"/>
        <w:rPr>
          <w:sz w:val="21"/>
        </w:rPr>
      </w:pPr>
      <w:r>
        <w:rPr>
          <w:spacing w:val="-3"/>
          <w:sz w:val="21"/>
        </w:rPr>
        <w:t>不利用职务之便为自己、被代理人、被代表人、受雇人或任何其他第三人谋取不当利益。</w:t>
      </w:r>
    </w:p>
    <w:p>
      <w:pPr>
        <w:pStyle w:val="ListParagraph"/>
        <w:numPr>
          <w:ilvl w:val="0"/>
          <w:numId w:val="3"/>
        </w:numPr>
        <w:tabs>
          <w:tab w:pos="1112" w:val="left" w:leader="none"/>
        </w:tabs>
        <w:spacing w:line="429" w:lineRule="auto" w:before="9" w:after="0"/>
        <w:ind w:left="160" w:right="874" w:firstLine="419"/>
        <w:jc w:val="left"/>
        <w:rPr>
          <w:sz w:val="21"/>
        </w:rPr>
      </w:pPr>
      <w:r>
        <w:rPr>
          <w:spacing w:val="-3"/>
          <w:sz w:val="21"/>
        </w:rPr>
        <w:t>不泄漏在任职期间知悉的有关证券、基金的商业秘密，尚未依法公开的基金投资内容、基金投资计划等信息。</w:t>
      </w:r>
    </w:p>
    <w:p>
      <w:pPr>
        <w:pStyle w:val="BodyText"/>
        <w:spacing w:before="4"/>
        <w:ind w:left="594"/>
      </w:pPr>
      <w:r>
        <w:rPr/>
        <w:t>（五）基金管理人的内部控制制度</w:t>
      </w:r>
    </w:p>
    <w:p>
      <w:pPr>
        <w:pStyle w:val="BodyText"/>
        <w:spacing w:before="8"/>
        <w:rPr>
          <w:sz w:val="16"/>
        </w:rPr>
      </w:pPr>
    </w:p>
    <w:p>
      <w:pPr>
        <w:pStyle w:val="BodyText"/>
        <w:spacing w:line="432" w:lineRule="auto" w:before="1"/>
        <w:ind w:left="160" w:right="768" w:firstLine="419"/>
      </w:pPr>
      <w:r>
        <w:rPr>
          <w:spacing w:val="-9"/>
        </w:rPr>
        <w:t>基金管理人根据全面性原则、有效性原则、独立性原则、相互制约原则、防火墙原则和成本收益原则建立了一套比较完整的内部控制体系。该内部控制体系由一系列业务管理制度</w:t>
      </w:r>
      <w:r>
        <w:rPr>
          <w:spacing w:val="-5"/>
        </w:rPr>
        <w:t>及相应的业务处理、控制程序组成，具体包括控制环境、风险评估、控制活动、信息沟通、</w:t>
      </w:r>
      <w:r>
        <w:rPr>
          <w:spacing w:val="-5"/>
          <w:w w:val="100"/>
        </w:rPr>
        <w:t>内部监控等要素。公司已经通过了</w:t>
      </w:r>
      <w:r>
        <w:rPr>
          <w:spacing w:val="-5"/>
        </w:rPr>
        <w:t> </w:t>
      </w:r>
      <w:r>
        <w:rPr>
          <w:rFonts w:ascii="Calibri" w:eastAsia="Calibri"/>
          <w:w w:val="100"/>
        </w:rPr>
        <w:t>I</w:t>
      </w:r>
      <w:r>
        <w:rPr>
          <w:rFonts w:ascii="Calibri" w:eastAsia="Calibri"/>
          <w:spacing w:val="-4"/>
          <w:w w:val="100"/>
        </w:rPr>
        <w:t>S</w:t>
      </w:r>
      <w:r>
        <w:rPr>
          <w:rFonts w:ascii="Calibri" w:eastAsia="Calibri"/>
          <w:w w:val="100"/>
        </w:rPr>
        <w:t>A</w:t>
      </w:r>
      <w:r>
        <w:rPr>
          <w:rFonts w:ascii="Calibri" w:eastAsia="Calibri"/>
          <w:spacing w:val="-3"/>
          <w:w w:val="100"/>
        </w:rPr>
        <w:t>E</w:t>
      </w:r>
      <w:r>
        <w:rPr>
          <w:rFonts w:ascii="Calibri" w:eastAsia="Calibri"/>
          <w:w w:val="100"/>
        </w:rPr>
        <w:t>3</w:t>
      </w:r>
      <w:r>
        <w:rPr>
          <w:rFonts w:ascii="Calibri" w:eastAsia="Calibri"/>
          <w:spacing w:val="-2"/>
          <w:w w:val="100"/>
        </w:rPr>
        <w:t>402</w:t>
      </w:r>
      <w:r>
        <w:rPr>
          <w:spacing w:val="-106"/>
          <w:w w:val="100"/>
        </w:rPr>
        <w:t>（</w:t>
      </w:r>
      <w:r>
        <w:rPr>
          <w:spacing w:val="-3"/>
          <w:w w:val="100"/>
        </w:rPr>
        <w:t>《鉴证业务国际准则第</w:t>
      </w:r>
      <w:r>
        <w:rPr>
          <w:spacing w:val="-3"/>
        </w:rPr>
        <w:t> </w:t>
      </w:r>
      <w:r>
        <w:rPr>
          <w:rFonts w:ascii="Calibri" w:eastAsia="Calibri"/>
          <w:spacing w:val="-2"/>
          <w:w w:val="100"/>
        </w:rPr>
        <w:t>34</w:t>
      </w:r>
      <w:r>
        <w:rPr>
          <w:rFonts w:ascii="Calibri" w:eastAsia="Calibri"/>
          <w:w w:val="100"/>
        </w:rPr>
        <w:t>02</w:t>
      </w:r>
      <w:r>
        <w:rPr>
          <w:rFonts w:ascii="Calibri" w:eastAsia="Calibri"/>
        </w:rPr>
        <w:t> </w:t>
      </w:r>
      <w:r>
        <w:rPr>
          <w:spacing w:val="-54"/>
          <w:w w:val="100"/>
        </w:rPr>
        <w:t>号》</w:t>
      </w:r>
      <w:r>
        <w:rPr>
          <w:spacing w:val="-3"/>
          <w:w w:val="100"/>
        </w:rPr>
        <w:t>）</w:t>
      </w:r>
      <w:r>
        <w:rPr>
          <w:spacing w:val="-2"/>
          <w:w w:val="100"/>
        </w:rPr>
        <w:t>认证，获得</w:t>
      </w:r>
      <w:r>
        <w:rPr>
          <w:spacing w:val="-3"/>
        </w:rPr>
        <w:t>无保留意见的控制设计合理性及运行有效性的报告。</w:t>
      </w:r>
    </w:p>
    <w:p>
      <w:pPr>
        <w:pStyle w:val="BodyText"/>
        <w:spacing w:line="267" w:lineRule="exact"/>
        <w:ind w:left="580"/>
      </w:pPr>
      <w:r>
        <w:rPr>
          <w:rFonts w:ascii="Calibri" w:eastAsia="Calibri"/>
        </w:rPr>
        <w:t>1</w:t>
      </w:r>
      <w:r>
        <w:rPr/>
        <w:t>、控制环境</w:t>
      </w:r>
    </w:p>
    <w:p>
      <w:pPr>
        <w:pStyle w:val="BodyText"/>
        <w:spacing w:before="8"/>
        <w:rPr>
          <w:sz w:val="16"/>
        </w:rPr>
      </w:pPr>
    </w:p>
    <w:p>
      <w:pPr>
        <w:pStyle w:val="BodyText"/>
        <w:spacing w:line="432" w:lineRule="auto"/>
        <w:ind w:left="160" w:right="884" w:firstLine="434"/>
      </w:pPr>
      <w:r>
        <w:rPr/>
        <w:t>良好的控制环境包括科学的公司治理、有效的监督管理、合理的组织结构和有力的控制文化。</w:t>
      </w:r>
    </w:p>
    <w:p>
      <w:pPr>
        <w:spacing w:after="0" w:line="432" w:lineRule="auto"/>
        <w:sectPr>
          <w:pgSz w:w="11910" w:h="16840"/>
          <w:pgMar w:header="877" w:footer="995" w:top="1420" w:bottom="1180" w:left="1640" w:right="920"/>
        </w:sectPr>
      </w:pPr>
    </w:p>
    <w:p>
      <w:pPr>
        <w:pStyle w:val="ListParagraph"/>
        <w:numPr>
          <w:ilvl w:val="0"/>
          <w:numId w:val="4"/>
        </w:numPr>
        <w:tabs>
          <w:tab w:pos="1124" w:val="left" w:leader="none"/>
        </w:tabs>
        <w:spacing w:line="429" w:lineRule="auto" w:before="119" w:after="0"/>
        <w:ind w:left="160" w:right="873" w:firstLine="434"/>
        <w:jc w:val="left"/>
        <w:rPr>
          <w:sz w:val="21"/>
        </w:rPr>
      </w:pPr>
      <w:r>
        <w:rPr>
          <w:spacing w:val="-6"/>
          <w:sz w:val="21"/>
        </w:rPr>
        <w:t>公司引入了独立董事制度，目前有独立董事 </w:t>
      </w:r>
      <w:r>
        <w:rPr>
          <w:rFonts w:ascii="Calibri" w:eastAsia="Calibri"/>
          <w:sz w:val="21"/>
        </w:rPr>
        <w:t>3</w:t>
      </w:r>
      <w:r>
        <w:rPr>
          <w:rFonts w:ascii="Calibri" w:eastAsia="Calibri"/>
          <w:spacing w:val="20"/>
          <w:sz w:val="21"/>
        </w:rPr>
        <w:t> </w:t>
      </w:r>
      <w:r>
        <w:rPr>
          <w:spacing w:val="-3"/>
          <w:sz w:val="21"/>
        </w:rPr>
        <w:t>名。董事会下设审计委员会等专门委员会。公司管理层设立了投资决策委员会、风险管理委员会等专业委员会。</w:t>
      </w:r>
    </w:p>
    <w:p>
      <w:pPr>
        <w:pStyle w:val="ListParagraph"/>
        <w:numPr>
          <w:ilvl w:val="0"/>
          <w:numId w:val="4"/>
        </w:numPr>
        <w:tabs>
          <w:tab w:pos="1127" w:val="left" w:leader="none"/>
        </w:tabs>
        <w:spacing w:line="429" w:lineRule="auto" w:before="4" w:after="0"/>
        <w:ind w:left="160" w:right="876" w:firstLine="434"/>
        <w:jc w:val="left"/>
        <w:rPr>
          <w:sz w:val="21"/>
        </w:rPr>
      </w:pPr>
      <w:r>
        <w:rPr>
          <w:spacing w:val="-5"/>
          <w:sz w:val="21"/>
        </w:rPr>
        <w:t>公司各部门之间有明确的授权分工，既互相合作，又互相核对和制衡，形成了合</w:t>
      </w:r>
      <w:r>
        <w:rPr>
          <w:spacing w:val="-4"/>
          <w:sz w:val="21"/>
        </w:rPr>
        <w:t>理的组织结构。</w:t>
      </w:r>
    </w:p>
    <w:p>
      <w:pPr>
        <w:pStyle w:val="ListParagraph"/>
        <w:numPr>
          <w:ilvl w:val="0"/>
          <w:numId w:val="4"/>
        </w:numPr>
        <w:tabs>
          <w:tab w:pos="1127" w:val="left" w:leader="none"/>
        </w:tabs>
        <w:spacing w:line="429" w:lineRule="auto" w:before="4" w:after="0"/>
        <w:ind w:left="160" w:right="874" w:firstLine="434"/>
        <w:jc w:val="left"/>
        <w:rPr>
          <w:sz w:val="21"/>
        </w:rPr>
      </w:pPr>
      <w:r>
        <w:rPr>
          <w:spacing w:val="-5"/>
          <w:sz w:val="21"/>
        </w:rPr>
        <w:t>公司坚持稳健经营和规范运作，重视员工的合规守法意识和职业道德的培养，并</w:t>
      </w:r>
      <w:r>
        <w:rPr>
          <w:spacing w:val="-4"/>
          <w:sz w:val="21"/>
        </w:rPr>
        <w:t>进行持续教育。</w:t>
      </w:r>
    </w:p>
    <w:p>
      <w:pPr>
        <w:pStyle w:val="BodyText"/>
        <w:spacing w:before="4"/>
        <w:ind w:left="594"/>
      </w:pPr>
      <w:r>
        <w:rPr>
          <w:rFonts w:ascii="Calibri" w:eastAsia="Calibri"/>
        </w:rPr>
        <w:t>2</w:t>
      </w:r>
      <w:r>
        <w:rPr/>
        <w:t>、风险评估</w:t>
      </w:r>
    </w:p>
    <w:p>
      <w:pPr>
        <w:pStyle w:val="BodyText"/>
        <w:spacing w:before="9"/>
        <w:rPr>
          <w:sz w:val="16"/>
        </w:rPr>
      </w:pPr>
    </w:p>
    <w:p>
      <w:pPr>
        <w:pStyle w:val="BodyText"/>
        <w:spacing w:line="432" w:lineRule="auto"/>
        <w:ind w:left="160" w:right="768" w:firstLine="419"/>
      </w:pPr>
      <w:r>
        <w:rPr>
          <w:spacing w:val="-3"/>
        </w:rPr>
        <w:t>公司各层面和各业务部门在确定各自的目标后，对影响目标实现的风险因素进行分析。对于不可控风险，风险评估的目的是决定是否承担该风险或减少相关业务；对于可控风险， </w:t>
      </w:r>
      <w:r>
        <w:rPr>
          <w:spacing w:val="-7"/>
        </w:rPr>
        <w:t>风险评估的目的是分析如何通过制度安排来控制风险程度。风险评估还包括各业务部门对日</w:t>
      </w:r>
      <w:r>
        <w:rPr>
          <w:spacing w:val="-9"/>
        </w:rPr>
        <w:t>常工作中新出现的风险进行再评估并完善相应的制度，以及新业务设计过程中评估相关风险</w:t>
      </w:r>
      <w:r>
        <w:rPr>
          <w:spacing w:val="-5"/>
        </w:rPr>
        <w:t>并制定风险控制制度。</w:t>
      </w:r>
    </w:p>
    <w:p>
      <w:pPr>
        <w:pStyle w:val="BodyText"/>
        <w:spacing w:before="118"/>
        <w:ind w:left="594"/>
      </w:pPr>
      <w:r>
        <w:rPr>
          <w:rFonts w:ascii="Calibri" w:eastAsia="Calibri"/>
        </w:rPr>
        <w:t>3</w:t>
      </w:r>
      <w:r>
        <w:rPr/>
        <w:t>、控制活动</w:t>
      </w:r>
    </w:p>
    <w:p>
      <w:pPr>
        <w:pStyle w:val="BodyText"/>
        <w:spacing w:before="8"/>
        <w:rPr>
          <w:sz w:val="16"/>
        </w:rPr>
      </w:pPr>
    </w:p>
    <w:p>
      <w:pPr>
        <w:pStyle w:val="BodyText"/>
        <w:spacing w:line="432" w:lineRule="auto"/>
        <w:ind w:left="160" w:right="871" w:firstLine="419"/>
        <w:jc w:val="both"/>
      </w:pPr>
      <w:r>
        <w:rPr>
          <w:spacing w:val="-11"/>
        </w:rPr>
        <w:t>公司对投资、会计、技术系统和人力资源等主要业务制定了严格的控制制度。在业务管</w:t>
      </w:r>
      <w:r>
        <w:rPr>
          <w:spacing w:val="-12"/>
        </w:rPr>
        <w:t>理制度上，做到了业务操作流程的科学、合理和标准化，并要求完整的记录、保存和严格的</w:t>
      </w:r>
      <w:r>
        <w:rPr>
          <w:spacing w:val="-13"/>
        </w:rPr>
        <w:t>检查、复核；在岗位责任制度上，内部岗位分工合理、职责明确，不相容的职务、岗位分离</w:t>
      </w:r>
      <w:r>
        <w:rPr>
          <w:spacing w:val="-6"/>
        </w:rPr>
        <w:t>设置，相互检查、相互制约。</w:t>
      </w:r>
    </w:p>
    <w:p>
      <w:pPr>
        <w:pStyle w:val="ListParagraph"/>
        <w:numPr>
          <w:ilvl w:val="0"/>
          <w:numId w:val="5"/>
        </w:numPr>
        <w:tabs>
          <w:tab w:pos="1124" w:val="left" w:leader="none"/>
        </w:tabs>
        <w:spacing w:line="267" w:lineRule="exact" w:before="0" w:after="0"/>
        <w:ind w:left="1123" w:right="0" w:hanging="530"/>
        <w:jc w:val="left"/>
        <w:rPr>
          <w:sz w:val="21"/>
        </w:rPr>
      </w:pPr>
      <w:r>
        <w:rPr>
          <w:spacing w:val="-3"/>
          <w:sz w:val="21"/>
        </w:rPr>
        <w:t>投资控制制度</w:t>
      </w:r>
    </w:p>
    <w:p>
      <w:pPr>
        <w:pStyle w:val="BodyText"/>
        <w:spacing w:before="11"/>
        <w:rPr>
          <w:sz w:val="16"/>
        </w:rPr>
      </w:pPr>
    </w:p>
    <w:p>
      <w:pPr>
        <w:pStyle w:val="BodyText"/>
        <w:spacing w:line="432" w:lineRule="auto"/>
        <w:ind w:left="160" w:right="664" w:firstLine="434"/>
      </w:pPr>
      <w:r>
        <w:rPr/>
        <w:t>投资决策委员会是公司的最高投资决策机构，负责资产配置和重大投资决策等；基金  </w:t>
      </w:r>
      <w:r>
        <w:rPr>
          <w:spacing w:val="-7"/>
        </w:rPr>
        <w:t>经理小组负责在投资决策委员会资产配置基础上进行组合构建，基金经理领导基金经理小组 </w:t>
      </w:r>
      <w:r>
        <w:rPr>
          <w:spacing w:val="-9"/>
        </w:rPr>
        <w:t>在基金合同和投资决策权限范围内进行日常投资运作；交易管理部负责所有交易的集中执行。</w:t>
      </w:r>
    </w:p>
    <w:p>
      <w:pPr>
        <w:pStyle w:val="BodyText"/>
        <w:spacing w:line="293" w:lineRule="exact"/>
        <w:ind w:left="594"/>
      </w:pPr>
      <w:r>
        <w:rPr>
          <w:rFonts w:ascii="等线" w:hAnsi="等线" w:eastAsia="等线" w:hint="eastAsia"/>
        </w:rPr>
        <w:t>①</w:t>
      </w:r>
      <w:r>
        <w:rPr/>
        <w:t>投资决策与执行相分离。投资管理决策职能和交易执行职能严格隔离，实行集中交</w:t>
      </w:r>
    </w:p>
    <w:p>
      <w:pPr>
        <w:pStyle w:val="BodyText"/>
        <w:spacing w:before="189"/>
        <w:ind w:left="160"/>
      </w:pPr>
      <w:r>
        <w:rPr/>
        <w:t>易制度，建立和完善公平的交易分配制度，确保各投资组合享有公平的交易执行机会。</w:t>
      </w:r>
    </w:p>
    <w:p>
      <w:pPr>
        <w:pStyle w:val="BodyText"/>
        <w:spacing w:before="6"/>
        <w:rPr>
          <w:sz w:val="14"/>
        </w:rPr>
      </w:pPr>
    </w:p>
    <w:p>
      <w:pPr>
        <w:pStyle w:val="BodyText"/>
        <w:ind w:left="160" w:firstLine="434"/>
      </w:pPr>
      <w:r>
        <w:rPr>
          <w:rFonts w:ascii="等线" w:hAnsi="等线" w:eastAsia="等线" w:hint="eastAsia"/>
        </w:rPr>
        <w:t>②</w:t>
      </w:r>
      <w:r>
        <w:rPr/>
        <w:t>投资授权控制。建立明确的投资决策授权制度，防止越权决策。投资决策委员会负</w:t>
      </w:r>
    </w:p>
    <w:p>
      <w:pPr>
        <w:pStyle w:val="BodyText"/>
        <w:spacing w:line="417" w:lineRule="auto" w:before="170"/>
        <w:ind w:left="160" w:right="871"/>
        <w:jc w:val="both"/>
      </w:pPr>
      <w:r>
        <w:rPr>
          <w:spacing w:val="-8"/>
        </w:rPr>
        <w:t>责制定投资原则并审定资产配置比例；基金经理小组在投资决策委员会确定的范围内，负责</w:t>
      </w:r>
      <w:r>
        <w:rPr>
          <w:spacing w:val="-12"/>
        </w:rPr>
        <w:t>确定与实施投资策略、建立和调整投资组合并下达投资指令，对于超过投资权限的操作需要</w:t>
      </w:r>
      <w:r>
        <w:rPr>
          <w:spacing w:val="-13"/>
        </w:rPr>
        <w:t>经过严格的审批程序；交易管理部依据基金经理或基金经理授权的小组成员的指令负责交易执行。</w:t>
      </w:r>
    </w:p>
    <w:p>
      <w:pPr>
        <w:spacing w:after="0" w:line="417" w:lineRule="auto"/>
        <w:jc w:val="both"/>
        <w:sectPr>
          <w:pgSz w:w="11910" w:h="16840"/>
          <w:pgMar w:header="877" w:footer="995" w:top="1420" w:bottom="1180" w:left="1640" w:right="920"/>
        </w:sectPr>
      </w:pPr>
    </w:p>
    <w:p>
      <w:pPr>
        <w:pStyle w:val="BodyText"/>
        <w:spacing w:line="369" w:lineRule="auto" w:before="91"/>
        <w:ind w:left="160" w:right="884" w:firstLine="434"/>
      </w:pPr>
      <w:r>
        <w:rPr>
          <w:rFonts w:ascii="等线" w:hAnsi="等线" w:eastAsia="等线" w:hint="eastAsia"/>
        </w:rPr>
        <w:t>③</w:t>
      </w:r>
      <w:r>
        <w:rPr/>
        <w:t>警示性控制。按照法规或公司规定设置各类资产投资比例的预警线，交易系统在投资比例达到接近限制比例前的某一数值时自动预警。</w:t>
      </w:r>
    </w:p>
    <w:p>
      <w:pPr>
        <w:pStyle w:val="BodyText"/>
        <w:spacing w:line="369" w:lineRule="auto" w:before="35"/>
        <w:ind w:left="160" w:right="871" w:firstLine="419"/>
      </w:pPr>
      <w:r>
        <w:rPr>
          <w:rFonts w:ascii="等线" w:hAnsi="等线" w:eastAsia="等线" w:hint="eastAsia"/>
        </w:rPr>
        <w:t>④</w:t>
      </w:r>
      <w:r>
        <w:rPr>
          <w:spacing w:val="-12"/>
        </w:rPr>
        <w:t>禁止性控制。根据法律、法规和公司相关规定，基金禁止投资受限制的证券并禁止从</w:t>
      </w:r>
      <w:r>
        <w:rPr>
          <w:spacing w:val="-6"/>
        </w:rPr>
        <w:t>事受限制的行为。交易系统通过预先的设定，对上述禁止进行自动提示和限制。</w:t>
      </w:r>
    </w:p>
    <w:p>
      <w:pPr>
        <w:pStyle w:val="BodyText"/>
        <w:spacing w:line="369" w:lineRule="auto" w:before="35"/>
        <w:ind w:left="160" w:right="884" w:firstLine="434"/>
      </w:pPr>
      <w:r>
        <w:rPr>
          <w:rFonts w:ascii="等线" w:hAnsi="等线" w:eastAsia="等线" w:hint="eastAsia"/>
        </w:rPr>
        <w:t>⑤</w:t>
      </w:r>
      <w:r>
        <w:rPr/>
        <w:t>多重监控和反馈。交易管理部对投资行为进行一线监控；风险管理部进行事中的监控；监察稽核部门进行事后的监控。在监控中如发现异常情况将及时反馈并督促调整。</w:t>
      </w:r>
    </w:p>
    <w:p>
      <w:pPr>
        <w:pStyle w:val="ListParagraph"/>
        <w:numPr>
          <w:ilvl w:val="0"/>
          <w:numId w:val="5"/>
        </w:numPr>
        <w:tabs>
          <w:tab w:pos="1124" w:val="left" w:leader="none"/>
        </w:tabs>
        <w:spacing w:line="240" w:lineRule="auto" w:before="53" w:after="0"/>
        <w:ind w:left="1123" w:right="0" w:hanging="530"/>
        <w:jc w:val="left"/>
        <w:rPr>
          <w:sz w:val="21"/>
        </w:rPr>
      </w:pPr>
      <w:r>
        <w:rPr>
          <w:spacing w:val="-3"/>
          <w:sz w:val="21"/>
        </w:rPr>
        <w:t>会计控制制度</w:t>
      </w:r>
    </w:p>
    <w:p>
      <w:pPr>
        <w:pStyle w:val="BodyText"/>
        <w:spacing w:before="181"/>
        <w:ind w:left="580"/>
      </w:pPr>
      <w:r>
        <w:rPr>
          <w:rFonts w:ascii="等线" w:hAnsi="等线" w:eastAsia="等线" w:hint="eastAsia"/>
        </w:rPr>
        <w:t>①</w:t>
      </w:r>
      <w:r>
        <w:rPr/>
        <w:t>建立了基金会计的工作制度及相应的操作和控制规程，确保会计业务有章可循。</w:t>
      </w:r>
    </w:p>
    <w:p>
      <w:pPr>
        <w:pStyle w:val="BodyText"/>
        <w:spacing w:line="369" w:lineRule="auto" w:before="152"/>
        <w:ind w:left="160" w:right="871" w:firstLine="419"/>
      </w:pPr>
      <w:r>
        <w:rPr>
          <w:rFonts w:ascii="等线" w:hAnsi="等线" w:eastAsia="等线" w:hint="eastAsia"/>
        </w:rPr>
        <w:t>②</w:t>
      </w:r>
      <w:r>
        <w:rPr>
          <w:spacing w:val="-12"/>
        </w:rPr>
        <w:t>按照相互制约原则，建立了基金会计业务的复核制度以及与托管人相关业务的相互核</w:t>
      </w:r>
      <w:r>
        <w:rPr>
          <w:spacing w:val="-6"/>
        </w:rPr>
        <w:t>查监督制度。</w:t>
      </w:r>
    </w:p>
    <w:p>
      <w:pPr>
        <w:pStyle w:val="BodyText"/>
        <w:spacing w:before="34"/>
        <w:ind w:left="580"/>
      </w:pPr>
      <w:r>
        <w:rPr>
          <w:rFonts w:ascii="等线" w:hAnsi="等线" w:eastAsia="等线" w:hint="eastAsia"/>
        </w:rPr>
        <w:t>③</w:t>
      </w:r>
      <w:r>
        <w:rPr/>
        <w:t>为了防范基金会计在资金头寸管理上出现透支风险，制定了资金头寸管理制度。</w:t>
      </w:r>
    </w:p>
    <w:p>
      <w:pPr>
        <w:pStyle w:val="BodyText"/>
        <w:spacing w:before="152"/>
        <w:ind w:left="594"/>
      </w:pPr>
      <w:r>
        <w:rPr>
          <w:rFonts w:ascii="等线" w:hAnsi="等线" w:eastAsia="等线" w:hint="eastAsia"/>
        </w:rPr>
        <w:t>④</w:t>
      </w:r>
      <w:r>
        <w:rPr/>
        <w:t>制定了完善的档案保管和财务交接制度。</w:t>
      </w:r>
    </w:p>
    <w:p>
      <w:pPr>
        <w:pStyle w:val="ListParagraph"/>
        <w:numPr>
          <w:ilvl w:val="0"/>
          <w:numId w:val="5"/>
        </w:numPr>
        <w:tabs>
          <w:tab w:pos="1124" w:val="left" w:leader="none"/>
        </w:tabs>
        <w:spacing w:line="240" w:lineRule="auto" w:before="170" w:after="0"/>
        <w:ind w:left="1123" w:right="0" w:hanging="530"/>
        <w:jc w:val="left"/>
        <w:rPr>
          <w:sz w:val="21"/>
        </w:rPr>
      </w:pPr>
      <w:r>
        <w:rPr>
          <w:spacing w:val="-3"/>
          <w:sz w:val="21"/>
        </w:rPr>
        <w:t>技术系统控制制度</w:t>
      </w:r>
    </w:p>
    <w:p>
      <w:pPr>
        <w:pStyle w:val="BodyText"/>
        <w:spacing w:before="7"/>
        <w:rPr>
          <w:sz w:val="15"/>
        </w:rPr>
      </w:pPr>
    </w:p>
    <w:p>
      <w:pPr>
        <w:pStyle w:val="BodyText"/>
        <w:spacing w:line="417" w:lineRule="auto"/>
        <w:ind w:left="160" w:right="871" w:firstLine="434"/>
        <w:jc w:val="both"/>
      </w:pPr>
      <w:r>
        <w:rPr/>
        <w:t>为保证技术系统的安全稳定运行，公司对硬件设备的安全运行、数据传输与网络安全</w:t>
      </w:r>
      <w:r>
        <w:rPr>
          <w:spacing w:val="-11"/>
        </w:rPr>
        <w:t>管理、软硬件的维护、数据的备份、信息技术人员操作管理、危机处理等方面都制定了完善</w:t>
      </w:r>
      <w:r>
        <w:rPr>
          <w:spacing w:val="-7"/>
        </w:rPr>
        <w:t>的制度。</w:t>
      </w:r>
    </w:p>
    <w:p>
      <w:pPr>
        <w:pStyle w:val="ListParagraph"/>
        <w:numPr>
          <w:ilvl w:val="0"/>
          <w:numId w:val="5"/>
        </w:numPr>
        <w:tabs>
          <w:tab w:pos="1124" w:val="left" w:leader="none"/>
        </w:tabs>
        <w:spacing w:line="240" w:lineRule="auto" w:before="0" w:after="0"/>
        <w:ind w:left="1123" w:right="0" w:hanging="530"/>
        <w:jc w:val="left"/>
        <w:rPr>
          <w:sz w:val="21"/>
        </w:rPr>
      </w:pPr>
      <w:r>
        <w:rPr>
          <w:spacing w:val="-3"/>
          <w:sz w:val="21"/>
        </w:rPr>
        <w:t>人力资源管理制度</w:t>
      </w:r>
    </w:p>
    <w:p>
      <w:pPr>
        <w:pStyle w:val="BodyText"/>
        <w:spacing w:before="10"/>
        <w:rPr>
          <w:sz w:val="16"/>
        </w:rPr>
      </w:pPr>
    </w:p>
    <w:p>
      <w:pPr>
        <w:pStyle w:val="BodyText"/>
        <w:spacing w:line="446" w:lineRule="auto" w:before="1"/>
        <w:ind w:left="160" w:right="884" w:firstLine="434"/>
      </w:pPr>
      <w:r>
        <w:rPr/>
        <w:t>公司建立了科学的招聘解聘制度、培训制度、考核制度、薪酬制度等人事管理制度， 确保人力资源的有效管理。</w:t>
      </w:r>
    </w:p>
    <w:p>
      <w:pPr>
        <w:pStyle w:val="ListParagraph"/>
        <w:numPr>
          <w:ilvl w:val="0"/>
          <w:numId w:val="5"/>
        </w:numPr>
        <w:tabs>
          <w:tab w:pos="1124" w:val="left" w:leader="none"/>
        </w:tabs>
        <w:spacing w:line="267" w:lineRule="exact" w:before="0" w:after="0"/>
        <w:ind w:left="1123" w:right="0" w:hanging="530"/>
        <w:jc w:val="left"/>
        <w:rPr>
          <w:sz w:val="21"/>
        </w:rPr>
      </w:pPr>
      <w:r>
        <w:rPr>
          <w:spacing w:val="-3"/>
          <w:sz w:val="21"/>
        </w:rPr>
        <w:t>监察制度</w:t>
      </w:r>
    </w:p>
    <w:p>
      <w:pPr>
        <w:pStyle w:val="BodyText"/>
        <w:spacing w:before="12"/>
        <w:rPr>
          <w:sz w:val="17"/>
        </w:rPr>
      </w:pPr>
    </w:p>
    <w:p>
      <w:pPr>
        <w:pStyle w:val="BodyText"/>
        <w:spacing w:line="446" w:lineRule="auto"/>
        <w:ind w:left="160" w:right="884" w:firstLine="434"/>
      </w:pPr>
      <w:r>
        <w:rPr/>
        <w:t>公司设立了监察部门，负责公司的法律事务和监察工作。监察制度包括违规行为的调查程序和处理制度，以及对员工行为的监察。</w:t>
      </w:r>
    </w:p>
    <w:p>
      <w:pPr>
        <w:pStyle w:val="ListParagraph"/>
        <w:numPr>
          <w:ilvl w:val="0"/>
          <w:numId w:val="5"/>
        </w:numPr>
        <w:tabs>
          <w:tab w:pos="1124" w:val="left" w:leader="none"/>
        </w:tabs>
        <w:spacing w:line="250" w:lineRule="exact" w:before="0" w:after="0"/>
        <w:ind w:left="1123" w:right="0" w:hanging="530"/>
        <w:jc w:val="left"/>
        <w:rPr>
          <w:sz w:val="21"/>
        </w:rPr>
      </w:pPr>
      <w:r>
        <w:rPr>
          <w:spacing w:val="-3"/>
          <w:sz w:val="21"/>
        </w:rPr>
        <w:t>反洗钱制度</w:t>
      </w:r>
    </w:p>
    <w:p>
      <w:pPr>
        <w:pStyle w:val="BodyText"/>
        <w:spacing w:before="6"/>
        <w:rPr>
          <w:sz w:val="15"/>
        </w:rPr>
      </w:pPr>
    </w:p>
    <w:p>
      <w:pPr>
        <w:pStyle w:val="BodyText"/>
        <w:spacing w:line="417" w:lineRule="auto" w:before="1"/>
        <w:ind w:left="160" w:right="871" w:firstLine="434"/>
        <w:jc w:val="both"/>
      </w:pPr>
      <w:r>
        <w:rPr/>
        <w:t>公司设立了反洗钱工作小组作为反洗钱工作的专门机构，指定专门人员负责反洗钱和</w:t>
      </w:r>
      <w:r>
        <w:rPr>
          <w:spacing w:val="-9"/>
        </w:rPr>
        <w:t>反恐融资合规管理工作；各相关部门设立了反洗钱岗位，配备反洗钱负责人员。除建立健全</w:t>
      </w:r>
      <w:r>
        <w:rPr>
          <w:spacing w:val="-12"/>
        </w:rPr>
        <w:t>反洗钱组织体系外，公司还制定了《反洗钱工作内部控制制度》及相关业务操作规程，确保</w:t>
      </w:r>
      <w:r>
        <w:rPr>
          <w:spacing w:val="-6"/>
        </w:rPr>
        <w:t>依法切实履行金融机构反洗钱义务。</w:t>
      </w:r>
    </w:p>
    <w:p>
      <w:pPr>
        <w:pStyle w:val="BodyText"/>
        <w:spacing w:before="16"/>
        <w:ind w:left="594"/>
      </w:pPr>
      <w:r>
        <w:rPr>
          <w:rFonts w:ascii="Calibri" w:eastAsia="Calibri"/>
        </w:rPr>
        <w:t>4</w:t>
      </w:r>
      <w:r>
        <w:rPr/>
        <w:t>、信息沟通</w:t>
      </w:r>
    </w:p>
    <w:p>
      <w:pPr>
        <w:pStyle w:val="BodyText"/>
        <w:spacing w:before="12"/>
        <w:rPr>
          <w:sz w:val="17"/>
        </w:rPr>
      </w:pPr>
    </w:p>
    <w:p>
      <w:pPr>
        <w:pStyle w:val="BodyText"/>
        <w:ind w:left="594"/>
      </w:pPr>
      <w:r>
        <w:rPr/>
        <w:t>公司建立了内部办公自动化信息系统与业务汇报体系，通过建立有效的信息交流渠</w:t>
      </w:r>
    </w:p>
    <w:p>
      <w:pPr>
        <w:spacing w:after="0"/>
        <w:sectPr>
          <w:pgSz w:w="11910" w:h="16840"/>
          <w:pgMar w:header="877" w:footer="995" w:top="1420" w:bottom="1180" w:left="1640" w:right="920"/>
        </w:sectPr>
      </w:pPr>
    </w:p>
    <w:p>
      <w:pPr>
        <w:pStyle w:val="BodyText"/>
        <w:spacing w:line="446" w:lineRule="auto" w:before="126"/>
        <w:ind w:left="160" w:right="893"/>
        <w:jc w:val="both"/>
      </w:pPr>
      <w:r>
        <w:rPr/>
        <w:t>道，公司员工及各级管理人员可以充分了解与其职责相关的信息，信息及时送交适当的人员进行处理。目前公司业务均已做到了办公自动化，不同的人员根据其业务性质及层级具有不同的权限。</w:t>
      </w:r>
    </w:p>
    <w:p>
      <w:pPr>
        <w:pStyle w:val="BodyText"/>
        <w:spacing w:line="265" w:lineRule="exact"/>
        <w:ind w:left="594"/>
      </w:pPr>
      <w:r>
        <w:rPr>
          <w:rFonts w:ascii="Calibri" w:eastAsia="Calibri"/>
        </w:rPr>
        <w:t>5</w:t>
      </w:r>
      <w:r>
        <w:rPr/>
        <w:t>、内部监控</w:t>
      </w:r>
    </w:p>
    <w:p>
      <w:pPr>
        <w:pStyle w:val="BodyText"/>
        <w:rPr>
          <w:sz w:val="18"/>
        </w:rPr>
      </w:pPr>
    </w:p>
    <w:p>
      <w:pPr>
        <w:pStyle w:val="BodyText"/>
        <w:spacing w:line="446" w:lineRule="auto"/>
        <w:ind w:left="160" w:right="871" w:firstLine="434"/>
        <w:jc w:val="both"/>
      </w:pPr>
      <w:r>
        <w:rPr/>
        <w:t>公司设立了独立于各业务部门的稽核部门，通过定期或不定期检查，评价公司内部控</w:t>
      </w:r>
      <w:r>
        <w:rPr>
          <w:spacing w:val="-10"/>
        </w:rPr>
        <w:t>制制度合理性、完备性和有效性，监督公司各项内部控制制度的执行情况，确保公司各项经</w:t>
      </w:r>
      <w:r>
        <w:rPr>
          <w:spacing w:val="-5"/>
        </w:rPr>
        <w:t>营管理活动的有效运行。</w:t>
      </w:r>
    </w:p>
    <w:p>
      <w:pPr>
        <w:pStyle w:val="BodyText"/>
        <w:spacing w:line="266" w:lineRule="exact"/>
        <w:ind w:left="580"/>
      </w:pPr>
      <w:r>
        <w:rPr>
          <w:rFonts w:ascii="Times New Roman" w:eastAsia="Times New Roman"/>
        </w:rPr>
        <w:t>6</w:t>
      </w:r>
      <w:r>
        <w:rPr/>
        <w:t>、基金管理人关于内部控制的声明</w:t>
      </w:r>
    </w:p>
    <w:p>
      <w:pPr>
        <w:pStyle w:val="BodyText"/>
        <w:spacing w:before="12"/>
        <w:rPr>
          <w:sz w:val="17"/>
        </w:rPr>
      </w:pPr>
    </w:p>
    <w:p>
      <w:pPr>
        <w:pStyle w:val="ListParagraph"/>
        <w:numPr>
          <w:ilvl w:val="0"/>
          <w:numId w:val="6"/>
        </w:numPr>
        <w:tabs>
          <w:tab w:pos="1110" w:val="left" w:leader="none"/>
        </w:tabs>
        <w:spacing w:line="240" w:lineRule="auto" w:before="0" w:after="0"/>
        <w:ind w:left="1109" w:right="0" w:hanging="530"/>
        <w:jc w:val="left"/>
        <w:rPr>
          <w:sz w:val="21"/>
        </w:rPr>
      </w:pPr>
      <w:r>
        <w:rPr>
          <w:spacing w:val="-3"/>
          <w:sz w:val="21"/>
        </w:rPr>
        <w:t>本公司确知建立、实施和维持内部控制制度是本公司董事会及管理层的责任。</w:t>
      </w:r>
    </w:p>
    <w:p>
      <w:pPr>
        <w:pStyle w:val="BodyText"/>
        <w:rPr>
          <w:sz w:val="18"/>
        </w:rPr>
      </w:pPr>
    </w:p>
    <w:p>
      <w:pPr>
        <w:pStyle w:val="ListParagraph"/>
        <w:numPr>
          <w:ilvl w:val="0"/>
          <w:numId w:val="6"/>
        </w:numPr>
        <w:tabs>
          <w:tab w:pos="1110" w:val="left" w:leader="none"/>
        </w:tabs>
        <w:spacing w:line="240" w:lineRule="auto" w:before="0" w:after="0"/>
        <w:ind w:left="1109" w:right="0" w:hanging="530"/>
        <w:jc w:val="left"/>
        <w:rPr>
          <w:sz w:val="21"/>
        </w:rPr>
      </w:pPr>
      <w:r>
        <w:rPr>
          <w:spacing w:val="-3"/>
          <w:sz w:val="21"/>
        </w:rPr>
        <w:t>上述关于内部控制的披露真实、准确。</w:t>
      </w:r>
    </w:p>
    <w:p>
      <w:pPr>
        <w:pStyle w:val="BodyText"/>
        <w:spacing w:before="8"/>
        <w:rPr>
          <w:sz w:val="16"/>
        </w:rPr>
      </w:pPr>
    </w:p>
    <w:p>
      <w:pPr>
        <w:pStyle w:val="ListParagraph"/>
        <w:numPr>
          <w:ilvl w:val="0"/>
          <w:numId w:val="6"/>
        </w:numPr>
        <w:tabs>
          <w:tab w:pos="1110" w:val="left" w:leader="none"/>
        </w:tabs>
        <w:spacing w:line="240" w:lineRule="auto" w:before="0" w:after="0"/>
        <w:ind w:left="1109" w:right="0" w:hanging="530"/>
        <w:jc w:val="left"/>
        <w:rPr>
          <w:sz w:val="21"/>
        </w:rPr>
      </w:pPr>
      <w:r>
        <w:rPr>
          <w:spacing w:val="-3"/>
          <w:sz w:val="21"/>
        </w:rPr>
        <w:t>本公司承诺将根据市场环境的变化及公司的发展不断完善内部控制制度。</w:t>
      </w:r>
    </w:p>
    <w:p>
      <w:pPr>
        <w:spacing w:after="0" w:line="240" w:lineRule="auto"/>
        <w:jc w:val="left"/>
        <w:rPr>
          <w:sz w:val="21"/>
        </w:rPr>
        <w:sectPr>
          <w:pgSz w:w="11910" w:h="16840"/>
          <w:pgMar w:header="877" w:footer="995" w:top="1420" w:bottom="1180" w:left="1640" w:right="920"/>
        </w:sectPr>
      </w:pPr>
    </w:p>
    <w:p>
      <w:pPr>
        <w:pStyle w:val="BodyText"/>
        <w:spacing w:before="7"/>
        <w:rPr>
          <w:sz w:val="29"/>
        </w:rPr>
      </w:pPr>
    </w:p>
    <w:p>
      <w:pPr>
        <w:pStyle w:val="Heading1"/>
      </w:pPr>
      <w:bookmarkStart w:name="_bookmark3" w:id="4"/>
      <w:bookmarkEnd w:id="4"/>
      <w:r>
        <w:rPr>
          <w:b w:val="0"/>
        </w:rPr>
      </w:r>
      <w:r>
        <w:rPr/>
        <w:t>四、基金托管人</w:t>
      </w:r>
    </w:p>
    <w:p>
      <w:pPr>
        <w:pStyle w:val="BodyText"/>
        <w:rPr>
          <w:b/>
          <w:sz w:val="20"/>
        </w:rPr>
      </w:pPr>
    </w:p>
    <w:p>
      <w:pPr>
        <w:pStyle w:val="BodyText"/>
        <w:spacing w:before="12"/>
        <w:rPr>
          <w:b/>
          <w:sz w:val="16"/>
        </w:rPr>
      </w:pPr>
    </w:p>
    <w:p>
      <w:pPr>
        <w:pStyle w:val="BodyText"/>
        <w:spacing w:before="71"/>
        <w:ind w:left="594"/>
      </w:pPr>
      <w:r>
        <w:rPr/>
        <w:t>（一）基金托管人情况</w:t>
      </w:r>
    </w:p>
    <w:p>
      <w:pPr>
        <w:pStyle w:val="BodyText"/>
        <w:rPr>
          <w:sz w:val="18"/>
        </w:rPr>
      </w:pPr>
    </w:p>
    <w:p>
      <w:pPr>
        <w:pStyle w:val="BodyText"/>
        <w:ind w:left="594"/>
      </w:pPr>
      <w:r>
        <w:rPr>
          <w:rFonts w:ascii="Calibri" w:eastAsia="Calibri"/>
        </w:rPr>
        <w:t>1</w:t>
      </w:r>
      <w:r>
        <w:rPr/>
        <w:t>、基本情况</w:t>
      </w:r>
    </w:p>
    <w:p>
      <w:pPr>
        <w:pStyle w:val="BodyText"/>
        <w:spacing w:before="12"/>
        <w:rPr>
          <w:sz w:val="17"/>
        </w:rPr>
      </w:pPr>
    </w:p>
    <w:p>
      <w:pPr>
        <w:pStyle w:val="BodyText"/>
        <w:spacing w:line="446" w:lineRule="auto"/>
        <w:ind w:left="594" w:right="3577"/>
      </w:pPr>
      <w:r>
        <w:rPr/>
        <w:t>名称：中国建设银行股份有限公司</w:t>
      </w:r>
      <w:r>
        <w:rPr>
          <w:rFonts w:ascii="Calibri" w:eastAsia="Calibri"/>
        </w:rPr>
        <w:t>(</w:t>
      </w:r>
      <w:r>
        <w:rPr/>
        <w:t>简称：中国建设银行</w:t>
      </w:r>
      <w:r>
        <w:rPr>
          <w:rFonts w:ascii="Calibri" w:eastAsia="Calibri"/>
        </w:rPr>
        <w:t>) </w:t>
      </w:r>
      <w:r>
        <w:rPr/>
        <w:t>住所：北京市西城区金融大街 </w:t>
      </w:r>
      <w:r>
        <w:rPr>
          <w:rFonts w:ascii="Calibri" w:eastAsia="Calibri"/>
        </w:rPr>
        <w:t>25 </w:t>
      </w:r>
      <w:r>
        <w:rPr/>
        <w:t>号</w:t>
      </w:r>
    </w:p>
    <w:p>
      <w:pPr>
        <w:pStyle w:val="BodyText"/>
        <w:spacing w:line="446" w:lineRule="auto"/>
        <w:ind w:left="594" w:right="4121"/>
      </w:pPr>
      <w:r>
        <w:rPr>
          <w:spacing w:val="-6"/>
        </w:rPr>
        <w:t>办公地址：北京市西城区闹市口大街 </w:t>
      </w:r>
      <w:r>
        <w:rPr>
          <w:rFonts w:ascii="Calibri" w:eastAsia="Calibri"/>
        </w:rPr>
        <w:t>1 </w:t>
      </w:r>
      <w:r>
        <w:rPr>
          <w:spacing w:val="-17"/>
        </w:rPr>
        <w:t>号院 </w:t>
      </w:r>
      <w:r>
        <w:rPr>
          <w:rFonts w:ascii="Calibri" w:eastAsia="Calibri"/>
        </w:rPr>
        <w:t>1 </w:t>
      </w:r>
      <w:r>
        <w:rPr/>
        <w:t>号楼</w:t>
      </w:r>
      <w:r>
        <w:rPr>
          <w:spacing w:val="-3"/>
        </w:rPr>
        <w:t>法定代表人：田国立</w:t>
      </w:r>
    </w:p>
    <w:p>
      <w:pPr>
        <w:pStyle w:val="BodyText"/>
        <w:spacing w:line="446" w:lineRule="auto"/>
        <w:ind w:left="594" w:right="5871"/>
      </w:pPr>
      <w:r>
        <w:rPr/>
        <w:t>成立时间：</w:t>
      </w:r>
      <w:r>
        <w:rPr>
          <w:rFonts w:ascii="Calibri" w:eastAsia="Calibri"/>
        </w:rPr>
        <w:t>2004 </w:t>
      </w:r>
      <w:r>
        <w:rPr/>
        <w:t>年 </w:t>
      </w:r>
      <w:r>
        <w:rPr>
          <w:rFonts w:ascii="Calibri" w:eastAsia="Calibri"/>
        </w:rPr>
        <w:t>09 </w:t>
      </w:r>
      <w:r>
        <w:rPr/>
        <w:t>月 </w:t>
      </w:r>
      <w:r>
        <w:rPr>
          <w:rFonts w:ascii="Calibri" w:eastAsia="Calibri"/>
        </w:rPr>
        <w:t>17 </w:t>
      </w:r>
      <w:r>
        <w:rPr/>
        <w:t>日组织形式：股份有限公司</w:t>
      </w:r>
    </w:p>
    <w:p>
      <w:pPr>
        <w:pStyle w:val="BodyText"/>
        <w:spacing w:line="446" w:lineRule="auto"/>
        <w:ind w:left="594" w:right="3283"/>
      </w:pPr>
      <w:r>
        <w:rPr/>
        <w:t>注册资本：贰仟伍佰亿壹仟零玖拾柒万柒仟肆佰捌拾陆元整存续期间：持续经营</w:t>
      </w:r>
    </w:p>
    <w:p>
      <w:pPr>
        <w:pStyle w:val="BodyText"/>
        <w:spacing w:line="446" w:lineRule="auto"/>
        <w:ind w:left="594" w:right="3303"/>
      </w:pPr>
      <w:r>
        <w:rPr/>
        <w:t>基金托管资格批文及文号：中国证监会证监基字</w:t>
      </w:r>
      <w:r>
        <w:rPr>
          <w:rFonts w:ascii="Calibri" w:eastAsia="Calibri"/>
        </w:rPr>
        <w:t>[1998]12 </w:t>
      </w:r>
      <w:r>
        <w:rPr/>
        <w:t>号联系人：周海新</w:t>
      </w:r>
    </w:p>
    <w:p>
      <w:pPr>
        <w:pStyle w:val="BodyText"/>
        <w:spacing w:line="267" w:lineRule="exact"/>
        <w:ind w:left="594"/>
        <w:rPr>
          <w:rFonts w:ascii="Calibri" w:eastAsia="Calibri"/>
        </w:rPr>
      </w:pPr>
      <w:r>
        <w:rPr/>
        <w:t>联系电话：</w:t>
      </w:r>
      <w:r>
        <w:rPr>
          <w:rFonts w:ascii="Calibri" w:eastAsia="Calibri"/>
        </w:rPr>
        <w:t>(021)6063 7111</w:t>
      </w:r>
    </w:p>
    <w:p>
      <w:pPr>
        <w:pStyle w:val="BodyText"/>
        <w:spacing w:before="1"/>
        <w:rPr>
          <w:rFonts w:ascii="Calibri"/>
          <w:sz w:val="18"/>
        </w:rPr>
      </w:pPr>
    </w:p>
    <w:p>
      <w:pPr>
        <w:pStyle w:val="BodyText"/>
        <w:ind w:left="594"/>
      </w:pPr>
      <w:r>
        <w:rPr>
          <w:rFonts w:ascii="Calibri" w:eastAsia="Calibri"/>
        </w:rPr>
        <w:t>2</w:t>
      </w:r>
      <w:r>
        <w:rPr/>
        <w:t>、主要人员情况</w:t>
      </w:r>
    </w:p>
    <w:p>
      <w:pPr>
        <w:pStyle w:val="BodyText"/>
        <w:spacing w:before="12"/>
        <w:rPr>
          <w:sz w:val="17"/>
        </w:rPr>
      </w:pPr>
    </w:p>
    <w:p>
      <w:pPr>
        <w:pStyle w:val="BodyText"/>
        <w:spacing w:line="446" w:lineRule="auto"/>
        <w:ind w:left="160" w:right="871" w:firstLine="434"/>
        <w:jc w:val="both"/>
      </w:pPr>
      <w:r>
        <w:rPr/>
        <w:t>中国建设银行总行设资产托管业务部，下设综合处、基金市场处、证券保险资产市场</w:t>
      </w:r>
      <w:r>
        <w:rPr>
          <w:spacing w:val="-10"/>
        </w:rPr>
        <w:t>处、理财信托股权市场处、全球托管处、养老金托管处、新兴业务处、运营管理处、跨境托</w:t>
      </w:r>
      <w:r>
        <w:rPr>
          <w:spacing w:val="-6"/>
        </w:rPr>
        <w:t>管运营处、社保及大客户服务处、托管应用系统支持处、合规监督处等 </w:t>
      </w:r>
      <w:r>
        <w:rPr>
          <w:rFonts w:ascii="Calibri" w:eastAsia="Calibri"/>
        </w:rPr>
        <w:t>12</w:t>
      </w:r>
      <w:r>
        <w:rPr>
          <w:rFonts w:ascii="Calibri" w:eastAsia="Calibri"/>
          <w:spacing w:val="34"/>
        </w:rPr>
        <w:t> </w:t>
      </w:r>
      <w:r>
        <w:rPr>
          <w:spacing w:val="-3"/>
        </w:rPr>
        <w:t>个职能处室，在</w:t>
      </w:r>
    </w:p>
    <w:p>
      <w:pPr>
        <w:pStyle w:val="BodyText"/>
        <w:spacing w:line="265" w:lineRule="exact"/>
        <w:ind w:left="160"/>
        <w:jc w:val="both"/>
      </w:pPr>
      <w:r>
        <w:rPr>
          <w:spacing w:val="-8"/>
        </w:rPr>
        <w:t>安徽合肥设有托管运营中心，在上海设有托管运营中心上海分中心，共有员工 </w:t>
      </w:r>
      <w:r>
        <w:rPr>
          <w:rFonts w:ascii="Calibri" w:eastAsia="Calibri"/>
        </w:rPr>
        <w:t>300</w:t>
      </w:r>
      <w:r>
        <w:rPr>
          <w:rFonts w:ascii="Calibri" w:eastAsia="Calibri"/>
          <w:spacing w:val="28"/>
        </w:rPr>
        <w:t> </w:t>
      </w:r>
      <w:r>
        <w:rPr>
          <w:spacing w:val="-10"/>
        </w:rPr>
        <w:t>余人。自</w:t>
      </w:r>
    </w:p>
    <w:p>
      <w:pPr>
        <w:pStyle w:val="BodyText"/>
        <w:rPr>
          <w:sz w:val="18"/>
        </w:rPr>
      </w:pPr>
    </w:p>
    <w:p>
      <w:pPr>
        <w:pStyle w:val="BodyText"/>
        <w:spacing w:line="446" w:lineRule="auto"/>
        <w:ind w:left="160" w:right="876"/>
        <w:jc w:val="both"/>
      </w:pPr>
      <w:r>
        <w:rPr>
          <w:rFonts w:ascii="Calibri" w:eastAsia="Calibri"/>
        </w:rPr>
        <w:t>2007 </w:t>
      </w:r>
      <w:r>
        <w:rPr/>
        <w:t>年起，托管部连续聘请外部会计师事务所对托管业务进行内部控制审计，并已经成为常规化的内控工作手段。</w:t>
      </w:r>
    </w:p>
    <w:p>
      <w:pPr>
        <w:pStyle w:val="BodyText"/>
        <w:spacing w:line="267" w:lineRule="exact"/>
        <w:ind w:left="594"/>
      </w:pPr>
      <w:r>
        <w:rPr>
          <w:rFonts w:ascii="Calibri" w:eastAsia="Calibri"/>
        </w:rPr>
        <w:t>3</w:t>
      </w:r>
      <w:r>
        <w:rPr/>
        <w:t>、基金托管业务经营情况</w:t>
      </w:r>
    </w:p>
    <w:p>
      <w:pPr>
        <w:pStyle w:val="BodyText"/>
        <w:rPr>
          <w:sz w:val="18"/>
        </w:rPr>
      </w:pPr>
    </w:p>
    <w:p>
      <w:pPr>
        <w:pStyle w:val="BodyText"/>
        <w:spacing w:line="446" w:lineRule="auto"/>
        <w:ind w:left="160" w:right="871" w:firstLine="434"/>
        <w:jc w:val="both"/>
      </w:pPr>
      <w:r>
        <w:rPr>
          <w:spacing w:val="-3"/>
        </w:rPr>
        <w:t>作为国内首批开办证券投资基金托管业务的商业银行，中国建设银行一直秉持</w:t>
      </w:r>
      <w:r>
        <w:rPr>
          <w:rFonts w:ascii="Calibri" w:hAnsi="Calibri" w:eastAsia="Calibri"/>
        </w:rPr>
        <w:t>“</w:t>
      </w:r>
      <w:r>
        <w:rPr>
          <w:spacing w:val="-2"/>
        </w:rPr>
        <w:t>以客户为中心</w:t>
      </w:r>
      <w:r>
        <w:rPr>
          <w:rFonts w:ascii="Calibri" w:hAnsi="Calibri" w:eastAsia="Calibri"/>
          <w:spacing w:val="-2"/>
        </w:rPr>
        <w:t>”</w:t>
      </w:r>
      <w:r>
        <w:rPr>
          <w:spacing w:val="-4"/>
        </w:rPr>
        <w:t>的经营理念，不断加强风险管理和内部控制，严格履行托管人的各项职责，切实维</w:t>
      </w:r>
      <w:r>
        <w:rPr>
          <w:spacing w:val="-8"/>
        </w:rPr>
        <w:t>护资产持有人的合法权益，为资产委托人提供高质量的托管服务。经过多年稳步发展，中国</w:t>
      </w:r>
      <w:r>
        <w:rPr>
          <w:spacing w:val="-10"/>
        </w:rPr>
        <w:t>建设银行托管资产规模不断扩大，托管业务品种不断增加，已形成包括证券投资基金、社保</w:t>
      </w:r>
    </w:p>
    <w:p>
      <w:pPr>
        <w:spacing w:after="0" w:line="446" w:lineRule="auto"/>
        <w:jc w:val="both"/>
        <w:sectPr>
          <w:pgSz w:w="11910" w:h="16840"/>
          <w:pgMar w:header="877" w:footer="995" w:top="1420" w:bottom="1180" w:left="1640" w:right="920"/>
        </w:sectPr>
      </w:pPr>
    </w:p>
    <w:p>
      <w:pPr>
        <w:pStyle w:val="BodyText"/>
        <w:spacing w:line="446" w:lineRule="auto" w:before="126"/>
        <w:ind w:left="160" w:right="871"/>
        <w:jc w:val="both"/>
      </w:pPr>
      <w:r>
        <w:rPr>
          <w:spacing w:val="-5"/>
        </w:rPr>
        <w:t>基金、保险资金、基本养老个人账户、</w:t>
      </w:r>
      <w:r>
        <w:rPr>
          <w:rFonts w:ascii="Calibri" w:eastAsia="Calibri"/>
        </w:rPr>
        <w:t>(R)QFII</w:t>
      </w:r>
      <w:r>
        <w:rPr>
          <w:spacing w:val="-8"/>
        </w:rPr>
        <w:t>、</w:t>
      </w:r>
      <w:r>
        <w:rPr>
          <w:rFonts w:ascii="Calibri" w:eastAsia="Calibri"/>
        </w:rPr>
        <w:t>(R)QDII</w:t>
      </w:r>
      <w:r>
        <w:rPr>
          <w:spacing w:val="-5"/>
        </w:rPr>
        <w:t>、企业年金、存托业务等产品在内的托管业务体系，是目前国内托管业务品种最齐全的商业银行之一。截至 </w:t>
      </w:r>
      <w:r>
        <w:rPr>
          <w:rFonts w:ascii="Calibri" w:eastAsia="Calibri"/>
        </w:rPr>
        <w:t>2020</w:t>
      </w:r>
      <w:r>
        <w:rPr>
          <w:rFonts w:ascii="Calibri" w:eastAsia="Calibri"/>
          <w:spacing w:val="27"/>
        </w:rPr>
        <w:t> </w:t>
      </w:r>
      <w:r>
        <w:rPr>
          <w:spacing w:val="-2"/>
        </w:rPr>
        <w:t>年二季度末，</w:t>
      </w:r>
    </w:p>
    <w:p>
      <w:pPr>
        <w:pStyle w:val="BodyText"/>
        <w:spacing w:line="267" w:lineRule="exact"/>
        <w:ind w:left="160"/>
        <w:jc w:val="both"/>
      </w:pPr>
      <w:r>
        <w:rPr>
          <w:spacing w:val="-6"/>
        </w:rPr>
        <w:t>中国建设银行已托管 </w:t>
      </w:r>
      <w:r>
        <w:rPr>
          <w:rFonts w:ascii="Calibri" w:eastAsia="Calibri"/>
        </w:rPr>
        <w:t>1000</w:t>
      </w:r>
      <w:r>
        <w:rPr>
          <w:rFonts w:ascii="Calibri" w:eastAsia="Calibri"/>
          <w:spacing w:val="29"/>
        </w:rPr>
        <w:t> </w:t>
      </w:r>
      <w:r>
        <w:rPr>
          <w:spacing w:val="-3"/>
        </w:rPr>
        <w:t>只证券投资基金。中国建设银行专业高效的托管服务能力和业务</w:t>
      </w:r>
    </w:p>
    <w:p>
      <w:pPr>
        <w:pStyle w:val="BodyText"/>
        <w:rPr>
          <w:sz w:val="18"/>
        </w:rPr>
      </w:pPr>
    </w:p>
    <w:p>
      <w:pPr>
        <w:pStyle w:val="BodyText"/>
        <w:spacing w:line="446" w:lineRule="auto"/>
        <w:ind w:left="160" w:right="872"/>
        <w:jc w:val="both"/>
        <w:rPr>
          <w:rFonts w:ascii="Calibri" w:hAnsi="Calibri" w:eastAsia="Calibri"/>
        </w:rPr>
      </w:pPr>
      <w:r>
        <w:rPr>
          <w:spacing w:val="-4"/>
        </w:rPr>
        <w:t>水平，赢得了业内的高度认同。中国建设银行先后 </w:t>
      </w:r>
      <w:r>
        <w:rPr>
          <w:rFonts w:ascii="Calibri" w:hAnsi="Calibri" w:eastAsia="Calibri"/>
        </w:rPr>
        <w:t>9</w:t>
      </w:r>
      <w:r>
        <w:rPr>
          <w:rFonts w:ascii="Calibri" w:hAnsi="Calibri" w:eastAsia="Calibri"/>
          <w:spacing w:val="38"/>
        </w:rPr>
        <w:t> </w:t>
      </w:r>
      <w:r>
        <w:rPr>
          <w:spacing w:val="-3"/>
        </w:rPr>
        <w:t>次获得《全球托管人》</w:t>
      </w:r>
      <w:r>
        <w:rPr>
          <w:rFonts w:ascii="Calibri" w:hAnsi="Calibri" w:eastAsia="Calibri"/>
        </w:rPr>
        <w:t>“</w:t>
      </w:r>
      <w:r>
        <w:rPr>
          <w:spacing w:val="-2"/>
        </w:rPr>
        <w:t>中国最佳托管银行</w:t>
      </w:r>
      <w:r>
        <w:rPr>
          <w:rFonts w:ascii="Calibri" w:hAnsi="Calibri" w:eastAsia="Calibri"/>
          <w:spacing w:val="-2"/>
        </w:rPr>
        <w:t>”</w:t>
      </w:r>
      <w:r>
        <w:rPr>
          <w:spacing w:val="-27"/>
        </w:rPr>
        <w:t>、</w:t>
      </w:r>
      <w:r>
        <w:rPr>
          <w:rFonts w:ascii="Calibri" w:hAnsi="Calibri" w:eastAsia="Calibri"/>
        </w:rPr>
        <w:t>4</w:t>
      </w:r>
      <w:r>
        <w:rPr>
          <w:rFonts w:ascii="Calibri" w:hAnsi="Calibri" w:eastAsia="Calibri"/>
          <w:spacing w:val="36"/>
        </w:rPr>
        <w:t> </w:t>
      </w:r>
      <w:r>
        <w:rPr>
          <w:spacing w:val="-10"/>
        </w:rPr>
        <w:t>次获得《财资》</w:t>
      </w:r>
      <w:r>
        <w:rPr>
          <w:rFonts w:ascii="Calibri" w:hAnsi="Calibri" w:eastAsia="Calibri"/>
        </w:rPr>
        <w:t>“</w:t>
      </w:r>
      <w:r>
        <w:rPr>
          <w:spacing w:val="-3"/>
        </w:rPr>
        <w:t>中国最佳次托管银行</w:t>
      </w:r>
      <w:r>
        <w:rPr>
          <w:rFonts w:ascii="Calibri" w:hAnsi="Calibri" w:eastAsia="Calibri"/>
        </w:rPr>
        <w:t>”</w:t>
      </w:r>
      <w:r>
        <w:rPr>
          <w:spacing w:val="-6"/>
        </w:rPr>
        <w:t>、连续多年荣获中央国债登记结算有限责任公司（中债）</w:t>
      </w:r>
      <w:r>
        <w:rPr>
          <w:rFonts w:ascii="Calibri" w:hAnsi="Calibri" w:eastAsia="Calibri"/>
          <w:spacing w:val="-6"/>
        </w:rPr>
        <w:t>“</w:t>
      </w:r>
      <w:r>
        <w:rPr>
          <w:spacing w:val="-5"/>
        </w:rPr>
        <w:t>优秀资产托管机构</w:t>
      </w:r>
      <w:r>
        <w:rPr>
          <w:rFonts w:ascii="Calibri" w:hAnsi="Calibri" w:eastAsia="Calibri"/>
        </w:rPr>
        <w:t>”</w:t>
      </w:r>
      <w:r>
        <w:rPr/>
        <w:t>、银行间市场清算所股份有限公司（上清所）</w:t>
      </w:r>
      <w:r>
        <w:rPr>
          <w:rFonts w:ascii="Calibri" w:hAnsi="Calibri" w:eastAsia="Calibri"/>
        </w:rPr>
        <w:t>“</w:t>
      </w:r>
      <w:r>
        <w:rPr>
          <w:spacing w:val="-4"/>
        </w:rPr>
        <w:t>优秀托管</w:t>
      </w:r>
      <w:r>
        <w:rPr/>
        <w:t>银行</w:t>
      </w:r>
      <w:r>
        <w:rPr>
          <w:rFonts w:ascii="Calibri" w:hAnsi="Calibri" w:eastAsia="Calibri"/>
        </w:rPr>
        <w:t>”</w:t>
      </w:r>
      <w:r>
        <w:rPr>
          <w:spacing w:val="-4"/>
        </w:rPr>
        <w:t>奖项，并在 </w:t>
      </w:r>
      <w:r>
        <w:rPr>
          <w:rFonts w:ascii="Calibri" w:hAnsi="Calibri" w:eastAsia="Calibri"/>
        </w:rPr>
        <w:t>2016</w:t>
      </w:r>
      <w:r>
        <w:rPr>
          <w:rFonts w:ascii="Calibri" w:hAnsi="Calibri" w:eastAsia="Calibri"/>
          <w:spacing w:val="2"/>
        </w:rPr>
        <w:t>  </w:t>
      </w:r>
      <w:r>
        <w:rPr>
          <w:spacing w:val="-3"/>
        </w:rPr>
        <w:t>年被《环球金融》评为中国市场唯一一家</w:t>
      </w:r>
      <w:r>
        <w:rPr>
          <w:rFonts w:ascii="Calibri" w:hAnsi="Calibri" w:eastAsia="Calibri"/>
        </w:rPr>
        <w:t>“</w:t>
      </w:r>
      <w:r>
        <w:rPr>
          <w:spacing w:val="-3"/>
        </w:rPr>
        <w:t>最佳托管银行</w:t>
      </w:r>
      <w:r>
        <w:rPr>
          <w:rFonts w:ascii="Calibri" w:hAnsi="Calibri" w:eastAsia="Calibri"/>
        </w:rPr>
        <w:t>”</w:t>
      </w:r>
      <w:r>
        <w:rPr>
          <w:spacing w:val="-5"/>
        </w:rPr>
        <w:t>、在 </w:t>
      </w:r>
      <w:r>
        <w:rPr>
          <w:rFonts w:ascii="Calibri" w:hAnsi="Calibri" w:eastAsia="Calibri"/>
        </w:rPr>
        <w:t>2017</w:t>
      </w:r>
    </w:p>
    <w:p>
      <w:pPr>
        <w:pStyle w:val="BodyText"/>
        <w:spacing w:line="446" w:lineRule="auto"/>
        <w:ind w:left="160" w:right="873"/>
        <w:jc w:val="both"/>
      </w:pPr>
      <w:r>
        <w:rPr>
          <w:spacing w:val="-13"/>
        </w:rPr>
        <w:t>年及 </w:t>
      </w:r>
      <w:r>
        <w:rPr>
          <w:rFonts w:ascii="Calibri" w:hAnsi="Calibri" w:eastAsia="Calibri"/>
        </w:rPr>
        <w:t>2019 </w:t>
      </w:r>
      <w:r>
        <w:rPr>
          <w:spacing w:val="-8"/>
        </w:rPr>
        <w:t>年分别荣获《亚洲银行家》</w:t>
      </w:r>
      <w:r>
        <w:rPr>
          <w:rFonts w:ascii="Calibri" w:hAnsi="Calibri" w:eastAsia="Calibri"/>
        </w:rPr>
        <w:t>“</w:t>
      </w:r>
      <w:r>
        <w:rPr>
          <w:spacing w:val="-3"/>
        </w:rPr>
        <w:t>最佳托管系统实施奖</w:t>
      </w:r>
      <w:r>
        <w:rPr>
          <w:rFonts w:ascii="Calibri" w:hAnsi="Calibri" w:eastAsia="Calibri"/>
        </w:rPr>
        <w:t>”</w:t>
      </w:r>
      <w:r>
        <w:rPr>
          <w:spacing w:val="-17"/>
        </w:rPr>
        <w:t>、</w:t>
      </w:r>
      <w:r>
        <w:rPr>
          <w:rFonts w:ascii="Calibri" w:hAnsi="Calibri" w:eastAsia="Calibri"/>
        </w:rPr>
        <w:t>“</w:t>
      </w:r>
      <w:r>
        <w:rPr>
          <w:spacing w:val="-3"/>
        </w:rPr>
        <w:t>中国年度托管业务科技实施奖</w:t>
      </w:r>
      <w:r>
        <w:rPr>
          <w:rFonts w:ascii="Calibri" w:hAnsi="Calibri" w:eastAsia="Calibri"/>
          <w:spacing w:val="-3"/>
        </w:rPr>
        <w:t>”</w:t>
      </w:r>
      <w:r>
        <w:rPr>
          <w:spacing w:val="-3"/>
        </w:rPr>
        <w:t>。</w:t>
      </w:r>
    </w:p>
    <w:p>
      <w:pPr>
        <w:pStyle w:val="BodyText"/>
        <w:spacing w:line="267" w:lineRule="exact"/>
        <w:ind w:left="594"/>
      </w:pPr>
      <w:r>
        <w:rPr/>
        <w:t>（二）基金托管人的内部控制制度</w:t>
      </w:r>
    </w:p>
    <w:p>
      <w:pPr>
        <w:pStyle w:val="BodyText"/>
        <w:spacing w:before="8"/>
        <w:rPr>
          <w:sz w:val="17"/>
        </w:rPr>
      </w:pPr>
    </w:p>
    <w:p>
      <w:pPr>
        <w:pStyle w:val="BodyText"/>
        <w:ind w:left="594"/>
      </w:pPr>
      <w:r>
        <w:rPr>
          <w:rFonts w:ascii="Calibri" w:eastAsia="Calibri"/>
        </w:rPr>
        <w:t>1</w:t>
      </w:r>
      <w:r>
        <w:rPr/>
        <w:t>、内部控制目标</w:t>
      </w:r>
    </w:p>
    <w:p>
      <w:pPr>
        <w:pStyle w:val="BodyText"/>
        <w:spacing w:before="12"/>
        <w:rPr>
          <w:sz w:val="17"/>
        </w:rPr>
      </w:pPr>
    </w:p>
    <w:p>
      <w:pPr>
        <w:pStyle w:val="BodyText"/>
        <w:spacing w:line="446" w:lineRule="auto"/>
        <w:ind w:left="160" w:right="871" w:firstLine="434"/>
        <w:jc w:val="both"/>
      </w:pPr>
      <w:r>
        <w:rPr/>
        <w:t>作为基金托管人，中国建设银行严格遵守国家有关托管业务的法律法规、行业监管规</w:t>
      </w:r>
      <w:r>
        <w:rPr>
          <w:spacing w:val="-9"/>
        </w:rPr>
        <w:t>章和本行内有关管理规定，守法经营、规范运作、严格检查，确保业务的稳健运行，保证基</w:t>
      </w:r>
      <w:r>
        <w:rPr>
          <w:spacing w:val="-11"/>
        </w:rPr>
        <w:t>金财产的安全完整，确保有关信息的真实、准确、完整、及时，保护基金份额持有人的合法权益。</w:t>
      </w:r>
    </w:p>
    <w:p>
      <w:pPr>
        <w:pStyle w:val="BodyText"/>
        <w:spacing w:line="264" w:lineRule="exact"/>
        <w:ind w:left="594"/>
      </w:pPr>
      <w:r>
        <w:rPr>
          <w:rFonts w:ascii="Calibri" w:eastAsia="Calibri"/>
        </w:rPr>
        <w:t>2</w:t>
      </w:r>
      <w:r>
        <w:rPr/>
        <w:t>、内部控制组织结构</w:t>
      </w:r>
    </w:p>
    <w:p>
      <w:pPr>
        <w:pStyle w:val="BodyText"/>
        <w:rPr>
          <w:sz w:val="18"/>
        </w:rPr>
      </w:pPr>
    </w:p>
    <w:p>
      <w:pPr>
        <w:pStyle w:val="BodyText"/>
        <w:spacing w:line="446" w:lineRule="auto"/>
        <w:ind w:left="160" w:right="871" w:firstLine="434"/>
        <w:jc w:val="both"/>
      </w:pPr>
      <w:r>
        <w:rPr/>
        <w:t>中国建设银行设有风险与内控管理委员会，负责全行风险管理与内部控制工作，对托</w:t>
      </w:r>
      <w:r>
        <w:rPr>
          <w:spacing w:val="-9"/>
        </w:rPr>
        <w:t>管业务风险控制工作进行检查指导。资产托管业务部配备了专职内控合规人员负责托管业务</w:t>
      </w:r>
      <w:r>
        <w:rPr>
          <w:spacing w:val="-5"/>
        </w:rPr>
        <w:t>的内控合规工作，具有独立行使内控合规工作职权和能力。</w:t>
      </w:r>
    </w:p>
    <w:p>
      <w:pPr>
        <w:pStyle w:val="BodyText"/>
        <w:spacing w:line="265" w:lineRule="exact"/>
        <w:ind w:left="594"/>
      </w:pPr>
      <w:r>
        <w:rPr>
          <w:rFonts w:ascii="Calibri" w:eastAsia="Calibri"/>
        </w:rPr>
        <w:t>3</w:t>
      </w:r>
      <w:r>
        <w:rPr/>
        <w:t>、内部控制制度及措施</w:t>
      </w:r>
    </w:p>
    <w:p>
      <w:pPr>
        <w:pStyle w:val="BodyText"/>
        <w:rPr>
          <w:sz w:val="18"/>
        </w:rPr>
      </w:pPr>
    </w:p>
    <w:p>
      <w:pPr>
        <w:pStyle w:val="BodyText"/>
        <w:spacing w:line="446" w:lineRule="auto"/>
        <w:ind w:left="160" w:right="768" w:firstLine="434"/>
      </w:pPr>
      <w:r>
        <w:rPr/>
        <w:t>资产托管业务部具备系统、完善的制度控制体系，建立了管理制度、控制制度、岗位 </w:t>
      </w:r>
      <w:r>
        <w:rPr>
          <w:spacing w:val="-3"/>
        </w:rPr>
        <w:t>职责、业务操作流程，可以保证托管业务的规范操作和顺利进行；业务人员具备从业资格； 业务管理严格实行复核、审核、检查制度，授权工作实行集中控制，业务印章按规程保管、</w:t>
      </w:r>
      <w:r>
        <w:rPr>
          <w:spacing w:val="-11"/>
        </w:rPr>
        <w:t>存放、使用，账户资料严格保管，制约机制严格有效；业务操作区专门设置，封闭管理，实施音像监控；业务信息由专职信息披露人负责，防止泄密；业务实现自动化操作，防止人为</w:t>
      </w:r>
      <w:r>
        <w:rPr>
          <w:spacing w:val="-6"/>
        </w:rPr>
        <w:t>事故的发生，技术系统完整、独立。</w:t>
      </w:r>
    </w:p>
    <w:p>
      <w:pPr>
        <w:pStyle w:val="BodyText"/>
        <w:spacing w:line="262" w:lineRule="exact"/>
        <w:ind w:left="594"/>
      </w:pPr>
      <w:r>
        <w:rPr/>
        <w:t>（三）基金托管人对基金管理人运作基金进行监督的方法和程序</w:t>
      </w:r>
    </w:p>
    <w:p>
      <w:pPr>
        <w:pStyle w:val="BodyText"/>
        <w:spacing w:before="12"/>
        <w:rPr>
          <w:sz w:val="17"/>
        </w:rPr>
      </w:pPr>
    </w:p>
    <w:p>
      <w:pPr>
        <w:pStyle w:val="BodyText"/>
        <w:ind w:left="594"/>
      </w:pPr>
      <w:r>
        <w:rPr>
          <w:rFonts w:ascii="Calibri" w:eastAsia="Calibri"/>
        </w:rPr>
        <w:t>1</w:t>
      </w:r>
      <w:r>
        <w:rPr/>
        <w:t>、监督方法</w:t>
      </w:r>
    </w:p>
    <w:p>
      <w:pPr>
        <w:spacing w:after="0"/>
        <w:sectPr>
          <w:pgSz w:w="11910" w:h="16840"/>
          <w:pgMar w:header="877" w:footer="995" w:top="1420" w:bottom="1180" w:left="1640" w:right="920"/>
        </w:sectPr>
      </w:pPr>
    </w:p>
    <w:p>
      <w:pPr>
        <w:pStyle w:val="BodyText"/>
        <w:spacing w:line="446" w:lineRule="auto" w:before="126"/>
        <w:ind w:left="160" w:right="871" w:firstLine="434"/>
        <w:jc w:val="both"/>
      </w:pPr>
      <w:r>
        <w:rPr/>
        <w:t>依照《基金法》及其配套法规和基金合同的约定，监督所托管基金的投资运作。利用</w:t>
      </w:r>
      <w:r>
        <w:rPr>
          <w:spacing w:val="-2"/>
        </w:rPr>
        <w:t>自行开发的</w:t>
      </w:r>
      <w:r>
        <w:rPr>
          <w:rFonts w:ascii="Calibri" w:hAnsi="Calibri" w:eastAsia="Calibri"/>
        </w:rPr>
        <w:t>“</w:t>
      </w:r>
      <w:r>
        <w:rPr>
          <w:spacing w:val="-3"/>
        </w:rPr>
        <w:t>新一代托管应用监督子系统</w:t>
      </w:r>
      <w:r>
        <w:rPr>
          <w:rFonts w:ascii="Calibri" w:hAnsi="Calibri" w:eastAsia="Calibri"/>
          <w:spacing w:val="-17"/>
        </w:rPr>
        <w:t>”</w:t>
      </w:r>
      <w:r>
        <w:rPr>
          <w:spacing w:val="-7"/>
        </w:rPr>
        <w:t>，严格按照现行法律法规以及基金合同规定，对基</w:t>
      </w:r>
      <w:r>
        <w:rPr>
          <w:spacing w:val="-10"/>
        </w:rPr>
        <w:t>金管理人运作基金的投资比例、投资范围、投资组合等情况进行监督。在日常为基金投资运作所提供的基金清算和核算服务环节中，对基金管理人发送的投资指令、基金管理人对各基</w:t>
      </w:r>
      <w:r>
        <w:rPr>
          <w:spacing w:val="-5"/>
        </w:rPr>
        <w:t>金费用的提取与开支情况进行检查监督。</w:t>
      </w:r>
    </w:p>
    <w:p>
      <w:pPr>
        <w:pStyle w:val="BodyText"/>
        <w:spacing w:line="263" w:lineRule="exact"/>
        <w:ind w:left="594"/>
      </w:pPr>
      <w:r>
        <w:rPr>
          <w:rFonts w:ascii="Calibri" w:eastAsia="Calibri"/>
        </w:rPr>
        <w:t>2</w:t>
      </w:r>
      <w:r>
        <w:rPr/>
        <w:t>、监督流程</w:t>
      </w:r>
    </w:p>
    <w:p>
      <w:pPr>
        <w:pStyle w:val="BodyText"/>
        <w:rPr>
          <w:sz w:val="18"/>
        </w:rPr>
      </w:pPr>
    </w:p>
    <w:p>
      <w:pPr>
        <w:pStyle w:val="ListParagraph"/>
        <w:numPr>
          <w:ilvl w:val="0"/>
          <w:numId w:val="7"/>
        </w:numPr>
        <w:tabs>
          <w:tab w:pos="1124" w:val="left" w:leader="none"/>
        </w:tabs>
        <w:spacing w:line="446" w:lineRule="auto" w:before="0" w:after="0"/>
        <w:ind w:left="160" w:right="871" w:firstLine="434"/>
        <w:jc w:val="both"/>
        <w:rPr>
          <w:sz w:val="21"/>
        </w:rPr>
      </w:pPr>
      <w:r>
        <w:rPr>
          <w:spacing w:val="-3"/>
          <w:sz w:val="21"/>
        </w:rPr>
        <w:t>每工作日按时通过新一代托管应用监督子系统，对各基金投资运作比例控制等情</w:t>
      </w:r>
      <w:r>
        <w:rPr>
          <w:spacing w:val="-10"/>
          <w:sz w:val="21"/>
        </w:rPr>
        <w:t>况进行监控，如发现投资异常情况，向基金管理人进行风险提示，与基金管理人进行情况核</w:t>
      </w:r>
      <w:r>
        <w:rPr>
          <w:spacing w:val="-5"/>
          <w:sz w:val="21"/>
        </w:rPr>
        <w:t>实，督促其纠正，如有重大异常事项及时报告中国证监会。</w:t>
      </w:r>
    </w:p>
    <w:p>
      <w:pPr>
        <w:pStyle w:val="ListParagraph"/>
        <w:numPr>
          <w:ilvl w:val="0"/>
          <w:numId w:val="7"/>
        </w:numPr>
        <w:tabs>
          <w:tab w:pos="1124" w:val="left" w:leader="none"/>
        </w:tabs>
        <w:spacing w:line="266" w:lineRule="exact" w:before="0" w:after="0"/>
        <w:ind w:left="1123" w:right="0" w:hanging="530"/>
        <w:jc w:val="left"/>
        <w:rPr>
          <w:sz w:val="21"/>
        </w:rPr>
      </w:pPr>
      <w:r>
        <w:rPr>
          <w:spacing w:val="-3"/>
          <w:sz w:val="21"/>
        </w:rPr>
        <w:t>收到基金管理人的划款指令后，对指令要素等内容进行核查。</w:t>
      </w:r>
    </w:p>
    <w:p>
      <w:pPr>
        <w:pStyle w:val="BodyText"/>
        <w:spacing w:before="12"/>
        <w:rPr>
          <w:sz w:val="17"/>
        </w:rPr>
      </w:pPr>
    </w:p>
    <w:p>
      <w:pPr>
        <w:pStyle w:val="ListParagraph"/>
        <w:numPr>
          <w:ilvl w:val="0"/>
          <w:numId w:val="7"/>
        </w:numPr>
        <w:tabs>
          <w:tab w:pos="1124" w:val="left" w:leader="none"/>
        </w:tabs>
        <w:spacing w:line="446" w:lineRule="auto" w:before="0" w:after="0"/>
        <w:ind w:left="160" w:right="873" w:firstLine="434"/>
        <w:jc w:val="left"/>
        <w:rPr>
          <w:sz w:val="21"/>
        </w:rPr>
      </w:pPr>
      <w:r>
        <w:rPr>
          <w:spacing w:val="-3"/>
          <w:sz w:val="21"/>
        </w:rPr>
        <w:t>通过技术或非技术手段发现基金涉嫌违规交易，电话或书面要求基金管理人进行解释或举证，如有必要将及时报告中国证监会。</w:t>
      </w:r>
    </w:p>
    <w:p>
      <w:pPr>
        <w:spacing w:after="0" w:line="446" w:lineRule="auto"/>
        <w:jc w:val="left"/>
        <w:rPr>
          <w:sz w:val="21"/>
        </w:rPr>
        <w:sectPr>
          <w:pgSz w:w="11910" w:h="16840"/>
          <w:pgMar w:header="877" w:footer="995" w:top="1420" w:bottom="1180" w:left="1640" w:right="920"/>
        </w:sectPr>
      </w:pPr>
    </w:p>
    <w:p>
      <w:pPr>
        <w:pStyle w:val="BodyText"/>
        <w:spacing w:before="7"/>
        <w:rPr>
          <w:sz w:val="29"/>
        </w:rPr>
      </w:pPr>
    </w:p>
    <w:p>
      <w:pPr>
        <w:pStyle w:val="Heading1"/>
      </w:pPr>
      <w:bookmarkStart w:name="_bookmark4" w:id="5"/>
      <w:bookmarkEnd w:id="5"/>
      <w:r>
        <w:rPr>
          <w:b w:val="0"/>
        </w:rPr>
      </w:r>
      <w:r>
        <w:rPr/>
        <w:t>五、相关服务机构</w:t>
      </w:r>
    </w:p>
    <w:p>
      <w:pPr>
        <w:pStyle w:val="BodyText"/>
        <w:rPr>
          <w:b/>
          <w:sz w:val="20"/>
        </w:rPr>
      </w:pPr>
    </w:p>
    <w:p>
      <w:pPr>
        <w:pStyle w:val="BodyText"/>
        <w:spacing w:before="8"/>
        <w:rPr>
          <w:b/>
          <w:sz w:val="15"/>
        </w:rPr>
      </w:pPr>
    </w:p>
    <w:p>
      <w:pPr>
        <w:pStyle w:val="BodyText"/>
        <w:spacing w:before="71"/>
        <w:ind w:left="580"/>
      </w:pPr>
      <w:r>
        <w:rPr/>
        <w:t>（一）销售机构</w:t>
      </w:r>
    </w:p>
    <w:p>
      <w:pPr>
        <w:pStyle w:val="BodyText"/>
        <w:spacing w:before="7"/>
        <w:rPr>
          <w:sz w:val="15"/>
        </w:rPr>
      </w:pPr>
    </w:p>
    <w:p>
      <w:pPr>
        <w:pStyle w:val="BodyText"/>
        <w:ind w:left="580"/>
      </w:pPr>
      <w:r>
        <w:rPr>
          <w:rFonts w:ascii="Calibri" w:eastAsia="Calibri"/>
        </w:rPr>
        <w:t>1</w:t>
      </w:r>
      <w:r>
        <w:rPr/>
        <w:t>、直销机构：</w:t>
      </w:r>
    </w:p>
    <w:p>
      <w:pPr>
        <w:pStyle w:val="BodyText"/>
        <w:spacing w:before="7"/>
        <w:rPr>
          <w:sz w:val="15"/>
        </w:rPr>
      </w:pPr>
    </w:p>
    <w:p>
      <w:pPr>
        <w:pStyle w:val="BodyText"/>
        <w:ind w:left="580"/>
      </w:pPr>
      <w:r>
        <w:rPr/>
        <w:t>名称：华夏基金管理有限公司</w:t>
      </w:r>
    </w:p>
    <w:p>
      <w:pPr>
        <w:pStyle w:val="BodyText"/>
        <w:spacing w:before="6"/>
        <w:rPr>
          <w:sz w:val="15"/>
        </w:rPr>
      </w:pPr>
    </w:p>
    <w:p>
      <w:pPr>
        <w:pStyle w:val="BodyText"/>
        <w:ind w:left="580"/>
      </w:pPr>
      <w:r>
        <w:rPr/>
        <w:t>住所：北京市顺义区安庆大街甲 </w:t>
      </w:r>
      <w:r>
        <w:rPr>
          <w:rFonts w:ascii="Calibri" w:eastAsia="Calibri"/>
        </w:rPr>
        <w:t>3 </w:t>
      </w:r>
      <w:r>
        <w:rPr/>
        <w:t>号院</w:t>
      </w:r>
    </w:p>
    <w:p>
      <w:pPr>
        <w:pStyle w:val="BodyText"/>
        <w:spacing w:before="7"/>
        <w:rPr>
          <w:sz w:val="15"/>
        </w:rPr>
      </w:pPr>
    </w:p>
    <w:p>
      <w:pPr>
        <w:pStyle w:val="BodyText"/>
        <w:spacing w:line="417" w:lineRule="auto"/>
        <w:ind w:left="580" w:right="3391"/>
      </w:pPr>
      <w:r>
        <w:rPr>
          <w:spacing w:val="-6"/>
        </w:rPr>
        <w:t>办公地址：北京市西城区金融大街 </w:t>
      </w:r>
      <w:r>
        <w:rPr>
          <w:rFonts w:ascii="Calibri" w:eastAsia="Calibri"/>
        </w:rPr>
        <w:t>33</w:t>
      </w:r>
      <w:r>
        <w:rPr>
          <w:rFonts w:ascii="Calibri" w:eastAsia="Calibri"/>
          <w:spacing w:val="12"/>
        </w:rPr>
        <w:t> </w:t>
      </w:r>
      <w:r>
        <w:rPr>
          <w:spacing w:val="7"/>
        </w:rPr>
        <w:t>号通泰大厦</w:t>
      </w:r>
      <w:r>
        <w:rPr>
          <w:rFonts w:ascii="Calibri" w:eastAsia="Calibri"/>
        </w:rPr>
        <w:t>B</w:t>
      </w:r>
      <w:r>
        <w:rPr>
          <w:rFonts w:ascii="Calibri" w:eastAsia="Calibri"/>
          <w:spacing w:val="8"/>
        </w:rPr>
        <w:t> </w:t>
      </w:r>
      <w:r>
        <w:rPr>
          <w:spacing w:val="-24"/>
        </w:rPr>
        <w:t>座 </w:t>
      </w:r>
      <w:r>
        <w:rPr>
          <w:rFonts w:ascii="Calibri" w:eastAsia="Calibri"/>
        </w:rPr>
        <w:t>8</w:t>
      </w:r>
      <w:r>
        <w:rPr>
          <w:rFonts w:ascii="Calibri" w:eastAsia="Calibri"/>
          <w:spacing w:val="8"/>
        </w:rPr>
        <w:t> </w:t>
      </w:r>
      <w:r>
        <w:rPr/>
        <w:t>层</w:t>
      </w:r>
      <w:r>
        <w:rPr>
          <w:spacing w:val="-3"/>
        </w:rPr>
        <w:t>法定代表人：杨明辉</w:t>
      </w:r>
    </w:p>
    <w:p>
      <w:pPr>
        <w:pStyle w:val="BodyText"/>
        <w:spacing w:line="417" w:lineRule="auto" w:before="1"/>
        <w:ind w:left="580" w:right="6098"/>
        <w:rPr>
          <w:rFonts w:ascii="Calibri" w:eastAsia="Calibri"/>
        </w:rPr>
      </w:pPr>
      <w:r>
        <w:rPr>
          <w:spacing w:val="-3"/>
        </w:rPr>
        <w:t>客户服务电话：</w:t>
      </w:r>
      <w:r>
        <w:rPr>
          <w:rFonts w:ascii="Calibri" w:eastAsia="Calibri"/>
          <w:spacing w:val="-1"/>
        </w:rPr>
        <w:t>400-818-6666 </w:t>
      </w:r>
      <w:r>
        <w:rPr/>
        <w:t>传真：</w:t>
      </w:r>
      <w:r>
        <w:rPr>
          <w:rFonts w:ascii="Calibri" w:eastAsia="Calibri"/>
        </w:rPr>
        <w:t>010-63136700</w:t>
      </w:r>
    </w:p>
    <w:p>
      <w:pPr>
        <w:pStyle w:val="BodyText"/>
        <w:spacing w:line="269" w:lineRule="exact"/>
        <w:ind w:left="580"/>
      </w:pPr>
      <w:r>
        <w:rPr/>
        <w:t>联系人：张德根</w:t>
      </w:r>
    </w:p>
    <w:p>
      <w:pPr>
        <w:pStyle w:val="BodyText"/>
        <w:spacing w:before="6"/>
        <w:rPr>
          <w:sz w:val="15"/>
        </w:rPr>
      </w:pPr>
    </w:p>
    <w:p>
      <w:pPr>
        <w:pStyle w:val="BodyText"/>
        <w:spacing w:line="417" w:lineRule="auto"/>
        <w:ind w:left="580" w:right="6293"/>
      </w:pPr>
      <w:r>
        <w:rPr/>
        <w:t>网址：</w:t>
      </w:r>
      <w:hyperlink r:id="rId13">
        <w:r>
          <w:rPr>
            <w:rFonts w:ascii="Calibri" w:eastAsia="Calibri"/>
          </w:rPr>
          <w:t>www.ChinaAMC.com</w:t>
        </w:r>
      </w:hyperlink>
      <w:r>
        <w:rPr>
          <w:rFonts w:ascii="Calibri" w:eastAsia="Calibri"/>
        </w:rPr>
        <w:t> 2</w:t>
      </w:r>
      <w:r>
        <w:rPr/>
        <w:t>、代销机构</w:t>
      </w:r>
    </w:p>
    <w:p>
      <w:pPr>
        <w:pStyle w:val="ListParagraph"/>
        <w:numPr>
          <w:ilvl w:val="0"/>
          <w:numId w:val="8"/>
        </w:numPr>
        <w:tabs>
          <w:tab w:pos="1110" w:val="left" w:leader="none"/>
        </w:tabs>
        <w:spacing w:line="269" w:lineRule="exact" w:before="0" w:after="0"/>
        <w:ind w:left="1109" w:right="0" w:hanging="530"/>
        <w:jc w:val="left"/>
        <w:rPr>
          <w:sz w:val="21"/>
        </w:rPr>
      </w:pPr>
      <w:r>
        <w:rPr>
          <w:spacing w:val="-3"/>
          <w:sz w:val="21"/>
        </w:rPr>
        <w:t>中国银行股份有限公司</w:t>
      </w:r>
    </w:p>
    <w:p>
      <w:pPr>
        <w:pStyle w:val="BodyText"/>
        <w:spacing w:before="7"/>
        <w:rPr>
          <w:sz w:val="15"/>
        </w:rPr>
      </w:pPr>
    </w:p>
    <w:p>
      <w:pPr>
        <w:pStyle w:val="BodyText"/>
        <w:ind w:left="580"/>
      </w:pPr>
      <w:r>
        <w:rPr/>
        <w:t>住所：北京市西城区复兴门内大街</w:t>
      </w:r>
      <w:r>
        <w:rPr>
          <w:rFonts w:ascii="Calibri" w:eastAsia="Calibri"/>
        </w:rPr>
        <w:t>1</w:t>
      </w:r>
      <w:r>
        <w:rPr/>
        <w:t>号</w:t>
      </w:r>
    </w:p>
    <w:p>
      <w:pPr>
        <w:pStyle w:val="BodyText"/>
        <w:spacing w:before="7"/>
        <w:rPr>
          <w:sz w:val="15"/>
        </w:rPr>
      </w:pPr>
    </w:p>
    <w:p>
      <w:pPr>
        <w:pStyle w:val="BodyText"/>
        <w:spacing w:line="417" w:lineRule="auto"/>
        <w:ind w:left="580" w:right="4873"/>
      </w:pPr>
      <w:r>
        <w:rPr/>
        <w:t>办公地址：北京市西城区复兴门内大街</w:t>
      </w:r>
      <w:r>
        <w:rPr>
          <w:rFonts w:ascii="Calibri" w:eastAsia="Calibri"/>
        </w:rPr>
        <w:t>1</w:t>
      </w:r>
      <w:r>
        <w:rPr/>
        <w:t>号法定代表人：刘连舸</w:t>
      </w:r>
    </w:p>
    <w:p>
      <w:pPr>
        <w:pStyle w:val="BodyText"/>
        <w:spacing w:line="417" w:lineRule="auto"/>
        <w:ind w:left="580" w:right="6898"/>
        <w:rPr>
          <w:rFonts w:ascii="Calibri" w:eastAsia="Calibri"/>
        </w:rPr>
      </w:pPr>
      <w:r>
        <w:rPr/>
        <w:t>电话：</w:t>
      </w:r>
      <w:r>
        <w:rPr>
          <w:rFonts w:ascii="Calibri" w:eastAsia="Calibri"/>
        </w:rPr>
        <w:t>010-66596688 </w:t>
      </w:r>
      <w:r>
        <w:rPr/>
        <w:t>传真：</w:t>
      </w:r>
      <w:r>
        <w:rPr>
          <w:rFonts w:ascii="Calibri" w:eastAsia="Calibri"/>
        </w:rPr>
        <w:t>010-66593777</w:t>
      </w:r>
    </w:p>
    <w:p>
      <w:pPr>
        <w:pStyle w:val="BodyText"/>
        <w:spacing w:line="417" w:lineRule="auto"/>
        <w:ind w:left="580" w:right="6661"/>
        <w:rPr>
          <w:rFonts w:ascii="Calibri" w:eastAsia="Calibri"/>
        </w:rPr>
      </w:pPr>
      <w:r>
        <w:rPr/>
        <w:t>联系人：客户服务中心网址：</w:t>
      </w:r>
      <w:hyperlink r:id="rId14">
        <w:r>
          <w:rPr>
            <w:rFonts w:ascii="Calibri" w:eastAsia="Calibri"/>
          </w:rPr>
          <w:t>www.boc.cn</w:t>
        </w:r>
      </w:hyperlink>
    </w:p>
    <w:p>
      <w:pPr>
        <w:pStyle w:val="BodyText"/>
        <w:ind w:left="580"/>
        <w:rPr>
          <w:rFonts w:ascii="Calibri" w:eastAsia="Calibri"/>
        </w:rPr>
      </w:pPr>
      <w:r>
        <w:rPr/>
        <w:t>客户服务电话：</w:t>
      </w:r>
      <w:r>
        <w:rPr>
          <w:rFonts w:ascii="Calibri" w:eastAsia="Calibri"/>
        </w:rPr>
        <w:t>95566</w:t>
      </w:r>
    </w:p>
    <w:p>
      <w:pPr>
        <w:pStyle w:val="BodyText"/>
        <w:spacing w:before="3"/>
        <w:rPr>
          <w:rFonts w:ascii="Calibri"/>
          <w:sz w:val="16"/>
        </w:rPr>
      </w:pPr>
    </w:p>
    <w:p>
      <w:pPr>
        <w:pStyle w:val="ListParagraph"/>
        <w:numPr>
          <w:ilvl w:val="0"/>
          <w:numId w:val="8"/>
        </w:numPr>
        <w:tabs>
          <w:tab w:pos="1110" w:val="left" w:leader="none"/>
        </w:tabs>
        <w:spacing w:line="417" w:lineRule="auto" w:before="0" w:after="0"/>
        <w:ind w:left="580" w:right="5607" w:firstLine="0"/>
        <w:jc w:val="left"/>
        <w:rPr>
          <w:sz w:val="21"/>
        </w:rPr>
      </w:pPr>
      <w:r>
        <w:rPr>
          <w:spacing w:val="-3"/>
          <w:sz w:val="21"/>
        </w:rPr>
        <w:t>中国建设银行股份有限公司住所：北京市西城区金融大街</w:t>
      </w:r>
      <w:r>
        <w:rPr>
          <w:rFonts w:ascii="Calibri" w:eastAsia="Calibri"/>
          <w:sz w:val="21"/>
        </w:rPr>
        <w:t>25</w:t>
      </w:r>
      <w:r>
        <w:rPr>
          <w:spacing w:val="-12"/>
          <w:sz w:val="21"/>
        </w:rPr>
        <w:t>号</w:t>
      </w:r>
    </w:p>
    <w:p>
      <w:pPr>
        <w:pStyle w:val="BodyText"/>
        <w:spacing w:line="417" w:lineRule="auto"/>
        <w:ind w:left="580" w:right="4349"/>
      </w:pPr>
      <w:r>
        <w:rPr>
          <w:spacing w:val="-3"/>
        </w:rPr>
        <w:t>办公地址：北京市西城区闹市口大街</w:t>
      </w:r>
      <w:r>
        <w:rPr>
          <w:rFonts w:ascii="Calibri" w:eastAsia="Calibri"/>
        </w:rPr>
        <w:t>1</w:t>
      </w:r>
      <w:r>
        <w:rPr>
          <w:spacing w:val="-2"/>
        </w:rPr>
        <w:t>号院</w:t>
      </w:r>
      <w:r>
        <w:rPr>
          <w:rFonts w:ascii="Calibri" w:eastAsia="Calibri"/>
        </w:rPr>
        <w:t>1</w:t>
      </w:r>
      <w:r>
        <w:rPr>
          <w:spacing w:val="-3"/>
        </w:rPr>
        <w:t>号楼法定代表人：田国立</w:t>
      </w:r>
    </w:p>
    <w:p>
      <w:pPr>
        <w:pStyle w:val="BodyText"/>
        <w:spacing w:line="417" w:lineRule="auto"/>
        <w:ind w:left="580" w:right="6761"/>
        <w:rPr>
          <w:rFonts w:ascii="Calibri" w:eastAsia="Calibri"/>
        </w:rPr>
      </w:pPr>
      <w:r>
        <w:rPr>
          <w:spacing w:val="-3"/>
        </w:rPr>
        <w:t>客户服务电话：</w:t>
      </w:r>
      <w:r>
        <w:rPr>
          <w:rFonts w:ascii="Calibri" w:eastAsia="Calibri"/>
          <w:spacing w:val="-5"/>
        </w:rPr>
        <w:t>95533 </w:t>
      </w:r>
      <w:r>
        <w:rPr/>
        <w:t>传真：</w:t>
      </w:r>
      <w:r>
        <w:rPr>
          <w:rFonts w:ascii="Calibri" w:eastAsia="Calibri"/>
        </w:rPr>
        <w:t>010-66275654</w:t>
      </w:r>
    </w:p>
    <w:p>
      <w:pPr>
        <w:pStyle w:val="BodyText"/>
        <w:ind w:left="580"/>
      </w:pPr>
      <w:r>
        <w:rPr/>
        <w:t>联系人：王嘉朔</w:t>
      </w:r>
    </w:p>
    <w:p>
      <w:pPr>
        <w:spacing w:after="0"/>
        <w:sectPr>
          <w:pgSz w:w="11910" w:h="16840"/>
          <w:pgMar w:header="877" w:footer="995" w:top="1420" w:bottom="1180" w:left="1640" w:right="920"/>
        </w:sectPr>
      </w:pPr>
    </w:p>
    <w:p>
      <w:pPr>
        <w:pStyle w:val="BodyText"/>
        <w:spacing w:before="110"/>
        <w:ind w:left="580"/>
        <w:rPr>
          <w:rFonts w:ascii="Calibri" w:eastAsia="Calibri"/>
        </w:rPr>
      </w:pPr>
      <w:r>
        <w:rPr/>
        <w:t>网址：</w:t>
      </w:r>
      <w:hyperlink r:id="rId15">
        <w:r>
          <w:rPr>
            <w:rFonts w:ascii="Calibri" w:eastAsia="Calibri"/>
          </w:rPr>
          <w:t>www.ccb.com</w:t>
        </w:r>
      </w:hyperlink>
    </w:p>
    <w:p>
      <w:pPr>
        <w:pStyle w:val="BodyText"/>
        <w:spacing w:before="3"/>
        <w:rPr>
          <w:rFonts w:ascii="Calibri"/>
          <w:sz w:val="16"/>
        </w:rPr>
      </w:pPr>
    </w:p>
    <w:p>
      <w:pPr>
        <w:pStyle w:val="ListParagraph"/>
        <w:numPr>
          <w:ilvl w:val="0"/>
          <w:numId w:val="8"/>
        </w:numPr>
        <w:tabs>
          <w:tab w:pos="1110" w:val="left" w:leader="none"/>
        </w:tabs>
        <w:spacing w:line="240" w:lineRule="auto" w:before="0" w:after="0"/>
        <w:ind w:left="1109" w:right="0" w:hanging="530"/>
        <w:jc w:val="left"/>
        <w:rPr>
          <w:sz w:val="21"/>
        </w:rPr>
      </w:pPr>
      <w:r>
        <w:rPr>
          <w:spacing w:val="-3"/>
          <w:sz w:val="21"/>
        </w:rPr>
        <w:t>交通银行股份有限公司</w:t>
      </w:r>
    </w:p>
    <w:p>
      <w:pPr>
        <w:pStyle w:val="BodyText"/>
        <w:spacing w:before="7"/>
        <w:rPr>
          <w:sz w:val="15"/>
        </w:rPr>
      </w:pPr>
    </w:p>
    <w:p>
      <w:pPr>
        <w:pStyle w:val="BodyText"/>
        <w:ind w:left="580"/>
      </w:pPr>
      <w:r>
        <w:rPr/>
        <w:t>住所：上海市浦东新区银城中路</w:t>
      </w:r>
      <w:r>
        <w:rPr>
          <w:rFonts w:ascii="Calibri" w:eastAsia="Calibri"/>
        </w:rPr>
        <w:t>188</w:t>
      </w:r>
      <w:r>
        <w:rPr/>
        <w:t>号</w:t>
      </w:r>
    </w:p>
    <w:p>
      <w:pPr>
        <w:pStyle w:val="BodyText"/>
        <w:spacing w:before="7"/>
        <w:rPr>
          <w:sz w:val="15"/>
        </w:rPr>
      </w:pPr>
    </w:p>
    <w:p>
      <w:pPr>
        <w:pStyle w:val="BodyText"/>
        <w:spacing w:line="417" w:lineRule="auto"/>
        <w:ind w:left="580" w:right="4870"/>
      </w:pPr>
      <w:r>
        <w:rPr/>
        <w:t>办公地址：上海市浦东新区银城中路</w:t>
      </w:r>
      <w:r>
        <w:rPr>
          <w:rFonts w:ascii="Calibri" w:eastAsia="Calibri"/>
        </w:rPr>
        <w:t>188</w:t>
      </w:r>
      <w:r>
        <w:rPr/>
        <w:t>号法定代表人：任德奇</w:t>
      </w:r>
    </w:p>
    <w:p>
      <w:pPr>
        <w:pStyle w:val="BodyText"/>
        <w:spacing w:line="417" w:lineRule="auto"/>
        <w:ind w:left="580" w:right="6898"/>
        <w:rPr>
          <w:rFonts w:ascii="Calibri" w:eastAsia="Calibri"/>
        </w:rPr>
      </w:pPr>
      <w:r>
        <w:rPr/>
        <w:t>电话：</w:t>
      </w:r>
      <w:r>
        <w:rPr>
          <w:rFonts w:ascii="Calibri" w:eastAsia="Calibri"/>
        </w:rPr>
        <w:t>021-58781234 </w:t>
      </w:r>
      <w:r>
        <w:rPr/>
        <w:t>传真：</w:t>
      </w:r>
      <w:r>
        <w:rPr>
          <w:rFonts w:ascii="Calibri" w:eastAsia="Calibri"/>
        </w:rPr>
        <w:t>021-58408483</w:t>
      </w:r>
    </w:p>
    <w:p>
      <w:pPr>
        <w:pStyle w:val="BodyText"/>
        <w:ind w:left="580"/>
      </w:pPr>
      <w:r>
        <w:rPr/>
        <w:t>联系人：陈旭</w:t>
      </w:r>
    </w:p>
    <w:p>
      <w:pPr>
        <w:pStyle w:val="BodyText"/>
        <w:spacing w:before="6"/>
        <w:rPr>
          <w:sz w:val="15"/>
        </w:rPr>
      </w:pPr>
    </w:p>
    <w:p>
      <w:pPr>
        <w:pStyle w:val="BodyText"/>
        <w:spacing w:line="417" w:lineRule="auto"/>
        <w:ind w:left="580" w:right="6230"/>
        <w:rPr>
          <w:rFonts w:ascii="Calibri" w:eastAsia="Calibri"/>
        </w:rPr>
      </w:pPr>
      <w:r>
        <w:rPr/>
        <w:t>网址：</w:t>
      </w:r>
      <w:hyperlink r:id="rId16">
        <w:r>
          <w:rPr>
            <w:rFonts w:ascii="Calibri" w:eastAsia="Calibri"/>
          </w:rPr>
          <w:t>www.bankcomm.com </w:t>
        </w:r>
      </w:hyperlink>
      <w:r>
        <w:rPr/>
        <w:t>客户服务电话：</w:t>
      </w:r>
      <w:r>
        <w:rPr>
          <w:rFonts w:ascii="Calibri" w:eastAsia="Calibri"/>
        </w:rPr>
        <w:t>95559</w:t>
      </w:r>
    </w:p>
    <w:p>
      <w:pPr>
        <w:pStyle w:val="ListParagraph"/>
        <w:numPr>
          <w:ilvl w:val="0"/>
          <w:numId w:val="8"/>
        </w:numPr>
        <w:tabs>
          <w:tab w:pos="1110" w:val="left" w:leader="none"/>
        </w:tabs>
        <w:spacing w:line="269" w:lineRule="exact" w:before="0" w:after="0"/>
        <w:ind w:left="1109" w:right="0" w:hanging="530"/>
        <w:jc w:val="left"/>
        <w:rPr>
          <w:sz w:val="21"/>
        </w:rPr>
      </w:pPr>
      <w:r>
        <w:rPr>
          <w:spacing w:val="-3"/>
          <w:sz w:val="21"/>
        </w:rPr>
        <w:t>招商银行股份有限公司</w:t>
      </w:r>
    </w:p>
    <w:p>
      <w:pPr>
        <w:pStyle w:val="BodyText"/>
        <w:spacing w:before="7"/>
        <w:rPr>
          <w:sz w:val="15"/>
        </w:rPr>
      </w:pPr>
    </w:p>
    <w:p>
      <w:pPr>
        <w:pStyle w:val="BodyText"/>
        <w:ind w:left="580"/>
      </w:pPr>
      <w:r>
        <w:rPr/>
        <w:t>住所：深圳市深南大道</w:t>
      </w:r>
      <w:r>
        <w:rPr>
          <w:rFonts w:ascii="Calibri" w:eastAsia="Calibri"/>
        </w:rPr>
        <w:t>7088</w:t>
      </w:r>
      <w:r>
        <w:rPr/>
        <w:t>号招商银行大厦</w:t>
      </w:r>
    </w:p>
    <w:p>
      <w:pPr>
        <w:pStyle w:val="BodyText"/>
        <w:spacing w:before="7"/>
        <w:rPr>
          <w:sz w:val="15"/>
        </w:rPr>
      </w:pPr>
    </w:p>
    <w:p>
      <w:pPr>
        <w:pStyle w:val="BodyText"/>
        <w:spacing w:line="417" w:lineRule="auto"/>
        <w:ind w:left="580" w:right="4344"/>
      </w:pPr>
      <w:r>
        <w:rPr/>
        <w:t>办公地址：深圳市深南大道</w:t>
      </w:r>
      <w:r>
        <w:rPr>
          <w:rFonts w:ascii="Calibri" w:eastAsia="Calibri"/>
        </w:rPr>
        <w:t>7088</w:t>
      </w:r>
      <w:r>
        <w:rPr/>
        <w:t>号招商银行大厦法定代表人：李建红</w:t>
      </w:r>
    </w:p>
    <w:p>
      <w:pPr>
        <w:pStyle w:val="BodyText"/>
        <w:spacing w:line="417" w:lineRule="auto"/>
        <w:ind w:left="580" w:right="6790"/>
        <w:rPr>
          <w:rFonts w:ascii="Calibri" w:eastAsia="Calibri"/>
        </w:rPr>
      </w:pPr>
      <w:r>
        <w:rPr/>
        <w:t>电话：</w:t>
      </w:r>
      <w:r>
        <w:rPr>
          <w:rFonts w:ascii="Calibri" w:eastAsia="Calibri"/>
        </w:rPr>
        <w:t>0755-83198888 </w:t>
      </w:r>
      <w:r>
        <w:rPr/>
        <w:t>传真：</w:t>
      </w:r>
      <w:r>
        <w:rPr>
          <w:rFonts w:ascii="Calibri" w:eastAsia="Calibri"/>
        </w:rPr>
        <w:t>0755-83195109</w:t>
      </w:r>
    </w:p>
    <w:p>
      <w:pPr>
        <w:pStyle w:val="BodyText"/>
        <w:spacing w:line="269" w:lineRule="exact"/>
        <w:ind w:left="580"/>
      </w:pPr>
      <w:r>
        <w:rPr/>
        <w:t>联系人：邓炯鹏</w:t>
      </w:r>
    </w:p>
    <w:p>
      <w:pPr>
        <w:pStyle w:val="BodyText"/>
        <w:spacing w:before="7"/>
        <w:rPr>
          <w:sz w:val="15"/>
        </w:rPr>
      </w:pPr>
    </w:p>
    <w:p>
      <w:pPr>
        <w:pStyle w:val="BodyText"/>
        <w:spacing w:line="417" w:lineRule="auto"/>
        <w:ind w:left="580" w:right="6354"/>
        <w:rPr>
          <w:rFonts w:ascii="Calibri" w:eastAsia="Calibri"/>
        </w:rPr>
      </w:pPr>
      <w:r>
        <w:rPr/>
        <w:t>网址：</w:t>
      </w:r>
      <w:hyperlink r:id="rId17">
        <w:r>
          <w:rPr>
            <w:rFonts w:ascii="Calibri" w:eastAsia="Calibri"/>
          </w:rPr>
          <w:t>www.cmbchina.com </w:t>
        </w:r>
      </w:hyperlink>
      <w:r>
        <w:rPr/>
        <w:t>客户服务电话：</w:t>
      </w:r>
      <w:r>
        <w:rPr>
          <w:rFonts w:ascii="Calibri" w:eastAsia="Calibri"/>
        </w:rPr>
        <w:t>95555</w:t>
      </w:r>
    </w:p>
    <w:p>
      <w:pPr>
        <w:pStyle w:val="ListParagraph"/>
        <w:numPr>
          <w:ilvl w:val="0"/>
          <w:numId w:val="8"/>
        </w:numPr>
        <w:tabs>
          <w:tab w:pos="1110" w:val="left" w:leader="none"/>
        </w:tabs>
        <w:spacing w:line="417" w:lineRule="auto" w:before="0" w:after="0"/>
        <w:ind w:left="580" w:right="5293" w:firstLine="0"/>
        <w:jc w:val="left"/>
        <w:rPr>
          <w:sz w:val="21"/>
        </w:rPr>
      </w:pPr>
      <w:r>
        <w:rPr>
          <w:spacing w:val="-4"/>
          <w:sz w:val="21"/>
        </w:rPr>
        <w:t>上海浦东发展银行股份有限公司</w:t>
      </w:r>
      <w:r>
        <w:rPr>
          <w:spacing w:val="-3"/>
          <w:sz w:val="21"/>
        </w:rPr>
        <w:t>住所：上海市中山东一路</w:t>
      </w:r>
      <w:r>
        <w:rPr>
          <w:rFonts w:ascii="Calibri" w:eastAsia="Calibri"/>
          <w:sz w:val="21"/>
        </w:rPr>
        <w:t>12</w:t>
      </w:r>
      <w:r>
        <w:rPr>
          <w:sz w:val="21"/>
        </w:rPr>
        <w:t>号</w:t>
      </w:r>
    </w:p>
    <w:p>
      <w:pPr>
        <w:pStyle w:val="BodyText"/>
        <w:spacing w:line="417" w:lineRule="auto"/>
        <w:ind w:left="580" w:right="5710"/>
      </w:pPr>
      <w:r>
        <w:rPr/>
        <w:t>办公地址：上海市北京东路</w:t>
      </w:r>
      <w:r>
        <w:rPr>
          <w:rFonts w:ascii="Calibri" w:eastAsia="Calibri"/>
        </w:rPr>
        <w:t>689</w:t>
      </w:r>
      <w:r>
        <w:rPr/>
        <w:t>号法定代表人：郑杨</w:t>
      </w:r>
    </w:p>
    <w:p>
      <w:pPr>
        <w:pStyle w:val="BodyText"/>
        <w:spacing w:line="417" w:lineRule="auto"/>
        <w:ind w:left="580" w:right="6898"/>
        <w:rPr>
          <w:rFonts w:ascii="Calibri" w:eastAsia="Calibri"/>
        </w:rPr>
      </w:pPr>
      <w:r>
        <w:rPr/>
        <w:t>电话：</w:t>
      </w:r>
      <w:r>
        <w:rPr>
          <w:rFonts w:ascii="Calibri" w:eastAsia="Calibri"/>
        </w:rPr>
        <w:t>021-61618888 </w:t>
      </w:r>
      <w:r>
        <w:rPr/>
        <w:t>传真：</w:t>
      </w:r>
      <w:r>
        <w:rPr>
          <w:rFonts w:ascii="Calibri" w:eastAsia="Calibri"/>
        </w:rPr>
        <w:t>021-63602431</w:t>
      </w:r>
    </w:p>
    <w:p>
      <w:pPr>
        <w:pStyle w:val="BodyText"/>
        <w:spacing w:line="417" w:lineRule="auto"/>
        <w:ind w:left="580" w:right="6522"/>
        <w:rPr>
          <w:rFonts w:ascii="Calibri" w:eastAsia="Calibri"/>
        </w:rPr>
      </w:pPr>
      <w:r>
        <w:rPr/>
        <w:t>联系人：高天、汤嘉惠网址：</w:t>
      </w:r>
      <w:hyperlink r:id="rId18">
        <w:r>
          <w:rPr>
            <w:rFonts w:ascii="Calibri" w:eastAsia="Calibri"/>
          </w:rPr>
          <w:t>www.spdb.com.cn </w:t>
        </w:r>
      </w:hyperlink>
      <w:r>
        <w:rPr/>
        <w:t>客户服务电话：</w:t>
      </w:r>
      <w:r>
        <w:rPr>
          <w:rFonts w:ascii="Calibri" w:eastAsia="Calibri"/>
        </w:rPr>
        <w:t>95528</w:t>
      </w:r>
    </w:p>
    <w:p>
      <w:pPr>
        <w:pStyle w:val="ListParagraph"/>
        <w:numPr>
          <w:ilvl w:val="0"/>
          <w:numId w:val="8"/>
        </w:numPr>
        <w:tabs>
          <w:tab w:pos="1110" w:val="left" w:leader="none"/>
        </w:tabs>
        <w:spacing w:line="240" w:lineRule="auto" w:before="0" w:after="0"/>
        <w:ind w:left="1109" w:right="0" w:hanging="530"/>
        <w:jc w:val="left"/>
        <w:rPr>
          <w:sz w:val="21"/>
        </w:rPr>
      </w:pPr>
      <w:r>
        <w:rPr>
          <w:spacing w:val="-3"/>
          <w:sz w:val="21"/>
        </w:rPr>
        <w:t>中国光大银行股份有限公司</w:t>
      </w:r>
    </w:p>
    <w:p>
      <w:pPr>
        <w:pStyle w:val="BodyText"/>
        <w:spacing w:before="6"/>
        <w:rPr>
          <w:sz w:val="15"/>
        </w:rPr>
      </w:pPr>
    </w:p>
    <w:p>
      <w:pPr>
        <w:pStyle w:val="BodyText"/>
        <w:ind w:left="580"/>
      </w:pPr>
      <w:r>
        <w:rPr/>
        <w:t>住所：北京市西城区太平桥大街</w:t>
      </w:r>
      <w:r>
        <w:rPr>
          <w:rFonts w:ascii="Calibri" w:eastAsia="Calibri"/>
        </w:rPr>
        <w:t>25</w:t>
      </w:r>
      <w:r>
        <w:rPr/>
        <w:t>号、甲</w:t>
      </w:r>
      <w:r>
        <w:rPr>
          <w:rFonts w:ascii="Calibri" w:eastAsia="Calibri"/>
        </w:rPr>
        <w:t>25</w:t>
      </w:r>
      <w:r>
        <w:rPr/>
        <w:t>号中国光大中心</w:t>
      </w:r>
    </w:p>
    <w:p>
      <w:pPr>
        <w:spacing w:after="0"/>
        <w:sectPr>
          <w:pgSz w:w="11910" w:h="16840"/>
          <w:pgMar w:header="877" w:footer="995" w:top="1420" w:bottom="1180" w:left="1640" w:right="920"/>
        </w:sectPr>
      </w:pPr>
    </w:p>
    <w:p>
      <w:pPr>
        <w:pStyle w:val="BodyText"/>
        <w:spacing w:line="417" w:lineRule="auto" w:before="110"/>
        <w:ind w:left="580" w:right="3715"/>
      </w:pPr>
      <w:r>
        <w:rPr/>
        <w:t>办公地址：北京市西城区太平桥大街</w:t>
      </w:r>
      <w:r>
        <w:rPr>
          <w:rFonts w:ascii="Calibri" w:eastAsia="Calibri"/>
        </w:rPr>
        <w:t>25</w:t>
      </w:r>
      <w:r>
        <w:rPr/>
        <w:t>号中国光大中心法定代表人：李晓鹏</w:t>
      </w:r>
    </w:p>
    <w:p>
      <w:pPr>
        <w:pStyle w:val="BodyText"/>
        <w:spacing w:line="417" w:lineRule="auto"/>
        <w:ind w:left="580" w:right="6898"/>
        <w:rPr>
          <w:rFonts w:ascii="Calibri" w:eastAsia="Calibri"/>
        </w:rPr>
      </w:pPr>
      <w:r>
        <w:rPr/>
        <w:t>电话：</w:t>
      </w:r>
      <w:r>
        <w:rPr>
          <w:rFonts w:ascii="Calibri" w:eastAsia="Calibri"/>
        </w:rPr>
        <w:t>010-63636153 </w:t>
      </w:r>
      <w:r>
        <w:rPr/>
        <w:t>传真：</w:t>
      </w:r>
      <w:r>
        <w:rPr>
          <w:rFonts w:ascii="Calibri" w:eastAsia="Calibri"/>
        </w:rPr>
        <w:t>010-63639709</w:t>
      </w:r>
    </w:p>
    <w:p>
      <w:pPr>
        <w:pStyle w:val="BodyText"/>
        <w:spacing w:line="269" w:lineRule="exact"/>
        <w:ind w:left="580"/>
      </w:pPr>
      <w:r>
        <w:rPr/>
        <w:t>联系人：朱红</w:t>
      </w:r>
    </w:p>
    <w:p>
      <w:pPr>
        <w:pStyle w:val="BodyText"/>
        <w:spacing w:before="6"/>
        <w:rPr>
          <w:sz w:val="15"/>
        </w:rPr>
      </w:pPr>
    </w:p>
    <w:p>
      <w:pPr>
        <w:pStyle w:val="BodyText"/>
        <w:spacing w:line="417" w:lineRule="auto"/>
        <w:ind w:left="580" w:right="6457"/>
        <w:rPr>
          <w:rFonts w:ascii="Calibri" w:eastAsia="Calibri"/>
        </w:rPr>
      </w:pPr>
      <w:r>
        <w:rPr/>
        <w:t>网址：</w:t>
      </w:r>
      <w:hyperlink r:id="rId19">
        <w:r>
          <w:rPr>
            <w:rFonts w:ascii="Calibri" w:eastAsia="Calibri"/>
          </w:rPr>
          <w:t>www.cebbank.com </w:t>
        </w:r>
      </w:hyperlink>
      <w:r>
        <w:rPr/>
        <w:t>客户服务电话：</w:t>
      </w:r>
      <w:r>
        <w:rPr>
          <w:rFonts w:ascii="Calibri" w:eastAsia="Calibri"/>
        </w:rPr>
        <w:t>95595</w:t>
      </w:r>
    </w:p>
    <w:p>
      <w:pPr>
        <w:pStyle w:val="ListParagraph"/>
        <w:numPr>
          <w:ilvl w:val="0"/>
          <w:numId w:val="8"/>
        </w:numPr>
        <w:tabs>
          <w:tab w:pos="1110" w:val="left" w:leader="none"/>
        </w:tabs>
        <w:spacing w:line="240" w:lineRule="auto" w:before="0" w:after="0"/>
        <w:ind w:left="1109" w:right="0" w:hanging="530"/>
        <w:jc w:val="left"/>
        <w:rPr>
          <w:sz w:val="21"/>
        </w:rPr>
      </w:pPr>
      <w:r>
        <w:rPr>
          <w:spacing w:val="-3"/>
          <w:sz w:val="21"/>
        </w:rPr>
        <w:t>平安银行股份有限公司</w:t>
      </w:r>
    </w:p>
    <w:p>
      <w:pPr>
        <w:pStyle w:val="BodyText"/>
        <w:spacing w:before="7"/>
        <w:rPr>
          <w:sz w:val="15"/>
        </w:rPr>
      </w:pPr>
    </w:p>
    <w:p>
      <w:pPr>
        <w:pStyle w:val="BodyText"/>
        <w:ind w:left="580"/>
      </w:pPr>
      <w:r>
        <w:rPr/>
        <w:t>住所：广东省深圳市深南东路</w:t>
      </w:r>
      <w:r>
        <w:rPr>
          <w:rFonts w:ascii="Calibri" w:eastAsia="Calibri"/>
        </w:rPr>
        <w:t>5047</w:t>
      </w:r>
      <w:r>
        <w:rPr/>
        <w:t>号</w:t>
      </w:r>
    </w:p>
    <w:p>
      <w:pPr>
        <w:pStyle w:val="BodyText"/>
        <w:spacing w:before="7"/>
        <w:rPr>
          <w:sz w:val="15"/>
        </w:rPr>
      </w:pPr>
    </w:p>
    <w:p>
      <w:pPr>
        <w:pStyle w:val="BodyText"/>
        <w:spacing w:line="417" w:lineRule="auto"/>
        <w:ind w:left="580" w:right="4973"/>
      </w:pPr>
      <w:r>
        <w:rPr/>
        <w:t>办公地址：广东省深圳市深南东路</w:t>
      </w:r>
      <w:r>
        <w:rPr>
          <w:rFonts w:ascii="Calibri" w:eastAsia="Calibri"/>
        </w:rPr>
        <w:t>5047</w:t>
      </w:r>
      <w:r>
        <w:rPr/>
        <w:t>号法定代表人：孙建一</w:t>
      </w:r>
    </w:p>
    <w:p>
      <w:pPr>
        <w:pStyle w:val="BodyText"/>
        <w:spacing w:line="417" w:lineRule="auto"/>
        <w:ind w:left="580" w:right="6790"/>
        <w:rPr>
          <w:rFonts w:ascii="Calibri" w:eastAsia="Calibri"/>
        </w:rPr>
      </w:pPr>
      <w:r>
        <w:rPr/>
        <w:t>电话：</w:t>
      </w:r>
      <w:r>
        <w:rPr>
          <w:rFonts w:ascii="Calibri" w:eastAsia="Calibri"/>
        </w:rPr>
        <w:t>0755-82088888 </w:t>
      </w:r>
      <w:r>
        <w:rPr/>
        <w:t>传真：</w:t>
      </w:r>
      <w:r>
        <w:rPr>
          <w:rFonts w:ascii="Calibri" w:eastAsia="Calibri"/>
        </w:rPr>
        <w:t>0755-25841098</w:t>
      </w:r>
    </w:p>
    <w:p>
      <w:pPr>
        <w:pStyle w:val="BodyText"/>
        <w:spacing w:line="269" w:lineRule="exact"/>
        <w:ind w:left="580"/>
      </w:pPr>
      <w:r>
        <w:rPr/>
        <w:t>联系人：张莉</w:t>
      </w:r>
    </w:p>
    <w:p>
      <w:pPr>
        <w:pStyle w:val="BodyText"/>
        <w:spacing w:before="6"/>
        <w:rPr>
          <w:sz w:val="15"/>
        </w:rPr>
      </w:pPr>
    </w:p>
    <w:p>
      <w:pPr>
        <w:pStyle w:val="BodyText"/>
        <w:spacing w:line="417" w:lineRule="auto" w:before="1"/>
        <w:ind w:left="580" w:right="6589"/>
        <w:rPr>
          <w:rFonts w:ascii="Calibri" w:eastAsia="Calibri"/>
        </w:rPr>
      </w:pPr>
      <w:r>
        <w:rPr/>
        <w:t>网址：</w:t>
      </w:r>
      <w:r>
        <w:rPr>
          <w:rFonts w:ascii="Calibri" w:eastAsia="Calibri"/>
        </w:rPr>
        <w:t>bank.pingan.com </w:t>
      </w:r>
      <w:r>
        <w:rPr/>
        <w:t>客户服务电话：</w:t>
      </w:r>
      <w:r>
        <w:rPr>
          <w:rFonts w:ascii="Calibri" w:eastAsia="Calibri"/>
        </w:rPr>
        <w:t>95511-3</w:t>
      </w:r>
    </w:p>
    <w:p>
      <w:pPr>
        <w:pStyle w:val="ListParagraph"/>
        <w:numPr>
          <w:ilvl w:val="0"/>
          <w:numId w:val="8"/>
        </w:numPr>
        <w:tabs>
          <w:tab w:pos="1110" w:val="left" w:leader="none"/>
        </w:tabs>
        <w:spacing w:line="269" w:lineRule="exact" w:before="0" w:after="0"/>
        <w:ind w:left="1109" w:right="0" w:hanging="530"/>
        <w:jc w:val="left"/>
        <w:rPr>
          <w:sz w:val="21"/>
        </w:rPr>
      </w:pPr>
      <w:r>
        <w:rPr>
          <w:spacing w:val="-3"/>
          <w:sz w:val="21"/>
        </w:rPr>
        <w:t>宁波银行股份有限公司</w:t>
      </w:r>
    </w:p>
    <w:p>
      <w:pPr>
        <w:pStyle w:val="BodyText"/>
        <w:spacing w:before="6"/>
        <w:rPr>
          <w:sz w:val="15"/>
        </w:rPr>
      </w:pPr>
    </w:p>
    <w:p>
      <w:pPr>
        <w:pStyle w:val="BodyText"/>
        <w:ind w:left="580"/>
      </w:pPr>
      <w:r>
        <w:rPr/>
        <w:t>住所：宁波市鄞州区宁南南路</w:t>
      </w:r>
      <w:r>
        <w:rPr>
          <w:rFonts w:ascii="Calibri" w:eastAsia="Calibri"/>
        </w:rPr>
        <w:t>700</w:t>
      </w:r>
      <w:r>
        <w:rPr/>
        <w:t>号</w:t>
      </w:r>
    </w:p>
    <w:p>
      <w:pPr>
        <w:pStyle w:val="BodyText"/>
        <w:spacing w:before="7"/>
        <w:rPr>
          <w:sz w:val="15"/>
        </w:rPr>
      </w:pPr>
    </w:p>
    <w:p>
      <w:pPr>
        <w:pStyle w:val="BodyText"/>
        <w:spacing w:line="417" w:lineRule="auto"/>
        <w:ind w:left="580" w:right="5079"/>
      </w:pPr>
      <w:r>
        <w:rPr/>
        <w:t>办公地址：宁波市鄞州区宁南南路</w:t>
      </w:r>
      <w:r>
        <w:rPr>
          <w:rFonts w:ascii="Calibri" w:eastAsia="Calibri"/>
        </w:rPr>
        <w:t>700</w:t>
      </w:r>
      <w:r>
        <w:rPr/>
        <w:t>号法定代表人：陆华裕</w:t>
      </w:r>
    </w:p>
    <w:p>
      <w:pPr>
        <w:pStyle w:val="BodyText"/>
        <w:spacing w:line="417" w:lineRule="auto"/>
        <w:ind w:left="580" w:right="6790"/>
        <w:rPr>
          <w:rFonts w:ascii="Calibri" w:eastAsia="Calibri"/>
        </w:rPr>
      </w:pPr>
      <w:r>
        <w:rPr/>
        <w:t>电话：</w:t>
      </w:r>
      <w:r>
        <w:rPr>
          <w:rFonts w:ascii="Calibri" w:eastAsia="Calibri"/>
        </w:rPr>
        <w:t>0574-89068340 </w:t>
      </w:r>
      <w:r>
        <w:rPr/>
        <w:t>传真：</w:t>
      </w:r>
      <w:r>
        <w:rPr>
          <w:rFonts w:ascii="Calibri" w:eastAsia="Calibri"/>
        </w:rPr>
        <w:t>0574-87050024</w:t>
      </w:r>
    </w:p>
    <w:p>
      <w:pPr>
        <w:pStyle w:val="BodyText"/>
        <w:ind w:left="580"/>
      </w:pPr>
      <w:r>
        <w:rPr/>
        <w:t>联系人：胡技勋</w:t>
      </w:r>
    </w:p>
    <w:p>
      <w:pPr>
        <w:pStyle w:val="BodyText"/>
        <w:spacing w:before="7"/>
        <w:rPr>
          <w:sz w:val="15"/>
        </w:rPr>
      </w:pPr>
    </w:p>
    <w:p>
      <w:pPr>
        <w:pStyle w:val="BodyText"/>
        <w:spacing w:line="417" w:lineRule="auto"/>
        <w:ind w:left="580" w:right="6717"/>
        <w:rPr>
          <w:rFonts w:ascii="Calibri" w:eastAsia="Calibri"/>
        </w:rPr>
      </w:pPr>
      <w:r>
        <w:rPr/>
        <w:t>网 址 ：</w:t>
      </w:r>
      <w:hyperlink r:id="rId20">
        <w:r>
          <w:rPr>
            <w:rFonts w:ascii="Calibri" w:eastAsia="Calibri"/>
          </w:rPr>
          <w:t>www.nbcb.cn</w:t>
        </w:r>
      </w:hyperlink>
      <w:r>
        <w:rPr>
          <w:rFonts w:ascii="Calibri" w:eastAsia="Calibri"/>
        </w:rPr>
        <w:t> </w:t>
      </w:r>
      <w:r>
        <w:rPr/>
        <w:t>客户服务电话：</w:t>
      </w:r>
      <w:r>
        <w:rPr>
          <w:rFonts w:ascii="Calibri" w:eastAsia="Calibri"/>
        </w:rPr>
        <w:t>95574</w:t>
      </w:r>
    </w:p>
    <w:p>
      <w:pPr>
        <w:pStyle w:val="ListParagraph"/>
        <w:numPr>
          <w:ilvl w:val="0"/>
          <w:numId w:val="8"/>
        </w:numPr>
        <w:tabs>
          <w:tab w:pos="1110" w:val="left" w:leader="none"/>
        </w:tabs>
        <w:spacing w:line="417" w:lineRule="auto" w:before="0" w:after="0"/>
        <w:ind w:left="580" w:right="5290" w:firstLine="0"/>
        <w:jc w:val="left"/>
        <w:rPr>
          <w:sz w:val="21"/>
        </w:rPr>
      </w:pPr>
      <w:r>
        <w:rPr>
          <w:spacing w:val="-3"/>
          <w:sz w:val="21"/>
        </w:rPr>
        <w:t>上海农村商业银行股份有限公司住所：上海市浦东新区浦东大道</w:t>
      </w:r>
      <w:r>
        <w:rPr>
          <w:rFonts w:ascii="Calibri" w:eastAsia="Calibri"/>
          <w:sz w:val="21"/>
        </w:rPr>
        <w:t>981</w:t>
      </w:r>
      <w:r>
        <w:rPr>
          <w:spacing w:val="-11"/>
          <w:sz w:val="21"/>
        </w:rPr>
        <w:t>号</w:t>
      </w:r>
    </w:p>
    <w:p>
      <w:pPr>
        <w:pStyle w:val="BodyText"/>
        <w:spacing w:line="417" w:lineRule="auto"/>
        <w:ind w:left="580" w:right="3821"/>
      </w:pPr>
      <w:r>
        <w:rPr>
          <w:spacing w:val="-3"/>
        </w:rPr>
        <w:t>办公地址：上海市银城中路</w:t>
      </w:r>
      <w:r>
        <w:rPr>
          <w:rFonts w:ascii="Calibri" w:eastAsia="Calibri"/>
        </w:rPr>
        <w:t>8</w:t>
      </w:r>
      <w:r>
        <w:rPr>
          <w:spacing w:val="-3"/>
        </w:rPr>
        <w:t>号中融碧玉蓝天大厦</w:t>
      </w:r>
      <w:r>
        <w:rPr>
          <w:rFonts w:ascii="Calibri" w:eastAsia="Calibri"/>
        </w:rPr>
        <w:t>15</w:t>
      </w:r>
      <w:r>
        <w:rPr/>
        <w:t>层</w:t>
      </w:r>
      <w:r>
        <w:rPr>
          <w:spacing w:val="-3"/>
        </w:rPr>
        <w:t>法定代表人：胡平西</w:t>
      </w:r>
    </w:p>
    <w:p>
      <w:pPr>
        <w:pStyle w:val="BodyText"/>
        <w:ind w:left="580"/>
        <w:rPr>
          <w:rFonts w:ascii="Calibri" w:eastAsia="Calibri"/>
        </w:rPr>
      </w:pPr>
      <w:r>
        <w:rPr>
          <w:spacing w:val="-2"/>
        </w:rPr>
        <w:t>电话：</w:t>
      </w:r>
      <w:r>
        <w:rPr>
          <w:rFonts w:ascii="Calibri" w:eastAsia="Calibri"/>
          <w:spacing w:val="-1"/>
        </w:rPr>
        <w:t>021-38523692</w:t>
      </w:r>
    </w:p>
    <w:p>
      <w:pPr>
        <w:spacing w:after="0"/>
        <w:rPr>
          <w:rFonts w:ascii="Calibri" w:eastAsia="Calibri"/>
        </w:rPr>
        <w:sectPr>
          <w:pgSz w:w="11910" w:h="16840"/>
          <w:pgMar w:header="877" w:footer="995" w:top="1420" w:bottom="1180" w:left="1640" w:right="920"/>
        </w:sectPr>
      </w:pPr>
    </w:p>
    <w:p>
      <w:pPr>
        <w:pStyle w:val="BodyText"/>
        <w:spacing w:before="110"/>
        <w:ind w:left="580"/>
        <w:rPr>
          <w:rFonts w:ascii="Calibri" w:eastAsia="Calibri"/>
        </w:rPr>
      </w:pPr>
      <w:r>
        <w:rPr/>
        <w:t>传真：</w:t>
      </w:r>
      <w:r>
        <w:rPr>
          <w:rFonts w:ascii="Calibri" w:eastAsia="Calibri"/>
        </w:rPr>
        <w:t>021-50105124</w:t>
      </w:r>
    </w:p>
    <w:p>
      <w:pPr>
        <w:pStyle w:val="BodyText"/>
        <w:spacing w:before="3"/>
        <w:rPr>
          <w:rFonts w:ascii="Calibri"/>
          <w:sz w:val="16"/>
        </w:rPr>
      </w:pPr>
    </w:p>
    <w:p>
      <w:pPr>
        <w:pStyle w:val="BodyText"/>
        <w:ind w:left="580"/>
      </w:pPr>
      <w:r>
        <w:rPr/>
        <w:t>联系人：施传荣</w:t>
      </w:r>
    </w:p>
    <w:p>
      <w:pPr>
        <w:pStyle w:val="BodyText"/>
        <w:spacing w:before="7"/>
        <w:rPr>
          <w:sz w:val="15"/>
        </w:rPr>
      </w:pPr>
    </w:p>
    <w:p>
      <w:pPr>
        <w:pStyle w:val="BodyText"/>
        <w:ind w:left="580"/>
        <w:rPr>
          <w:rFonts w:ascii="Calibri" w:eastAsia="Calibri"/>
        </w:rPr>
      </w:pPr>
      <w:r>
        <w:rPr/>
        <w:t>网址：</w:t>
      </w:r>
      <w:hyperlink r:id="rId21">
        <w:r>
          <w:rPr>
            <w:rFonts w:ascii="Calibri" w:eastAsia="Calibri"/>
          </w:rPr>
          <w:t>www.srcb.com</w:t>
        </w:r>
      </w:hyperlink>
    </w:p>
    <w:p>
      <w:pPr>
        <w:pStyle w:val="BodyText"/>
        <w:spacing w:before="4"/>
        <w:rPr>
          <w:rFonts w:ascii="Calibri"/>
          <w:sz w:val="16"/>
        </w:rPr>
      </w:pPr>
    </w:p>
    <w:p>
      <w:pPr>
        <w:pStyle w:val="BodyText"/>
        <w:ind w:left="580"/>
        <w:rPr>
          <w:rFonts w:ascii="Calibri" w:eastAsia="Calibri"/>
        </w:rPr>
      </w:pPr>
      <w:r>
        <w:rPr/>
        <w:t>客户服务电话：</w:t>
      </w:r>
      <w:r>
        <w:rPr>
          <w:rFonts w:ascii="Calibri" w:eastAsia="Calibri"/>
        </w:rPr>
        <w:t>021-962999</w:t>
      </w:r>
    </w:p>
    <w:p>
      <w:pPr>
        <w:pStyle w:val="BodyText"/>
        <w:spacing w:before="3"/>
        <w:rPr>
          <w:rFonts w:ascii="Calibri"/>
          <w:sz w:val="16"/>
        </w:rPr>
      </w:pPr>
    </w:p>
    <w:p>
      <w:pPr>
        <w:pStyle w:val="ListParagraph"/>
        <w:numPr>
          <w:ilvl w:val="0"/>
          <w:numId w:val="8"/>
        </w:numPr>
        <w:tabs>
          <w:tab w:pos="1218" w:val="left" w:leader="none"/>
        </w:tabs>
        <w:spacing w:line="417" w:lineRule="auto" w:before="0" w:after="0"/>
        <w:ind w:left="580" w:right="5816" w:firstLine="0"/>
        <w:jc w:val="left"/>
        <w:rPr>
          <w:sz w:val="21"/>
        </w:rPr>
      </w:pPr>
      <w:r>
        <w:rPr>
          <w:spacing w:val="-3"/>
          <w:sz w:val="21"/>
        </w:rPr>
        <w:t>东莞银行股份有限公司 住所：东莞市莞城区体育路</w:t>
      </w:r>
      <w:r>
        <w:rPr>
          <w:rFonts w:ascii="Calibri" w:eastAsia="Calibri"/>
          <w:sz w:val="21"/>
        </w:rPr>
        <w:t>21</w:t>
      </w:r>
      <w:r>
        <w:rPr>
          <w:spacing w:val="-13"/>
          <w:sz w:val="21"/>
        </w:rPr>
        <w:t>号</w:t>
      </w:r>
    </w:p>
    <w:p>
      <w:pPr>
        <w:pStyle w:val="BodyText"/>
        <w:spacing w:line="417" w:lineRule="auto"/>
        <w:ind w:left="580" w:right="5396"/>
      </w:pPr>
      <w:r>
        <w:rPr/>
        <w:t>办公地址：东莞市莞城区体育路</w:t>
      </w:r>
      <w:r>
        <w:rPr>
          <w:rFonts w:ascii="Calibri" w:eastAsia="Calibri"/>
        </w:rPr>
        <w:t>21</w:t>
      </w:r>
      <w:r>
        <w:rPr/>
        <w:t>号法定代表人：卢国锋</w:t>
      </w:r>
    </w:p>
    <w:p>
      <w:pPr>
        <w:pStyle w:val="BodyText"/>
        <w:spacing w:line="417" w:lineRule="auto"/>
        <w:ind w:left="580" w:right="6790"/>
        <w:rPr>
          <w:rFonts w:ascii="Calibri" w:eastAsia="Calibri"/>
        </w:rPr>
      </w:pPr>
      <w:r>
        <w:rPr/>
        <w:t>电话：</w:t>
      </w:r>
      <w:r>
        <w:rPr>
          <w:rFonts w:ascii="Calibri" w:eastAsia="Calibri"/>
        </w:rPr>
        <w:t>0769-22865177 </w:t>
      </w:r>
      <w:r>
        <w:rPr/>
        <w:t>传真：</w:t>
      </w:r>
      <w:r>
        <w:rPr>
          <w:rFonts w:ascii="Calibri" w:eastAsia="Calibri"/>
        </w:rPr>
        <w:t>0769-23156406</w:t>
      </w:r>
    </w:p>
    <w:p>
      <w:pPr>
        <w:pStyle w:val="BodyText"/>
        <w:spacing w:line="269" w:lineRule="exact"/>
        <w:ind w:left="580"/>
      </w:pPr>
      <w:r>
        <w:rPr/>
        <w:t>联系人：朱杰霞</w:t>
      </w:r>
    </w:p>
    <w:p>
      <w:pPr>
        <w:pStyle w:val="BodyText"/>
        <w:spacing w:before="7"/>
        <w:rPr>
          <w:sz w:val="15"/>
        </w:rPr>
      </w:pPr>
    </w:p>
    <w:p>
      <w:pPr>
        <w:pStyle w:val="BodyText"/>
        <w:spacing w:line="417" w:lineRule="auto"/>
        <w:ind w:left="580" w:right="6078"/>
        <w:rPr>
          <w:rFonts w:ascii="Calibri" w:eastAsia="Calibri"/>
        </w:rPr>
      </w:pPr>
      <w:r>
        <w:rPr/>
        <w:t>网址：</w:t>
      </w:r>
      <w:hyperlink r:id="rId22">
        <w:r>
          <w:rPr>
            <w:rFonts w:ascii="Calibri" w:eastAsia="Calibri"/>
          </w:rPr>
          <w:t>www.dongguanbank.cn </w:t>
        </w:r>
      </w:hyperlink>
      <w:r>
        <w:rPr/>
        <w:t>客户服务电话：</w:t>
      </w:r>
      <w:r>
        <w:rPr>
          <w:rFonts w:ascii="Calibri" w:eastAsia="Calibri"/>
        </w:rPr>
        <w:t>0769-956033</w:t>
      </w:r>
    </w:p>
    <w:p>
      <w:pPr>
        <w:pStyle w:val="ListParagraph"/>
        <w:numPr>
          <w:ilvl w:val="0"/>
          <w:numId w:val="8"/>
        </w:numPr>
        <w:tabs>
          <w:tab w:pos="1218" w:val="left" w:leader="none"/>
        </w:tabs>
        <w:spacing w:line="269" w:lineRule="exact" w:before="0" w:after="0"/>
        <w:ind w:left="1217" w:right="0" w:hanging="638"/>
        <w:jc w:val="left"/>
        <w:rPr>
          <w:sz w:val="21"/>
        </w:rPr>
      </w:pPr>
      <w:r>
        <w:rPr>
          <w:spacing w:val="-3"/>
          <w:sz w:val="21"/>
        </w:rPr>
        <w:t>长沙银行股份有限公司</w:t>
      </w:r>
    </w:p>
    <w:p>
      <w:pPr>
        <w:pStyle w:val="BodyText"/>
        <w:spacing w:before="7"/>
        <w:rPr>
          <w:sz w:val="15"/>
        </w:rPr>
      </w:pPr>
    </w:p>
    <w:p>
      <w:pPr>
        <w:pStyle w:val="BodyText"/>
        <w:ind w:left="580"/>
      </w:pPr>
      <w:r>
        <w:rPr/>
        <w:t>住所：长沙市岳麓区滨江路</w:t>
      </w:r>
      <w:r>
        <w:rPr>
          <w:rFonts w:ascii="Calibri" w:eastAsia="Calibri"/>
        </w:rPr>
        <w:t>53</w:t>
      </w:r>
      <w:r>
        <w:rPr/>
        <w:t>号楷林商务中心</w:t>
      </w:r>
      <w:r>
        <w:rPr>
          <w:rFonts w:ascii="Calibri" w:eastAsia="Calibri"/>
        </w:rPr>
        <w:t>B</w:t>
      </w:r>
      <w:r>
        <w:rPr/>
        <w:t>座</w:t>
      </w:r>
    </w:p>
    <w:p>
      <w:pPr>
        <w:pStyle w:val="BodyText"/>
        <w:spacing w:before="7"/>
        <w:rPr>
          <w:sz w:val="15"/>
        </w:rPr>
      </w:pPr>
    </w:p>
    <w:p>
      <w:pPr>
        <w:pStyle w:val="BodyText"/>
        <w:spacing w:line="417" w:lineRule="auto"/>
        <w:ind w:left="580" w:right="3814"/>
      </w:pPr>
      <w:r>
        <w:rPr/>
        <w:t>办公地址：长沙市岳麓区滨江路</w:t>
      </w:r>
      <w:r>
        <w:rPr>
          <w:rFonts w:ascii="Calibri" w:eastAsia="Calibri"/>
        </w:rPr>
        <w:t>53</w:t>
      </w:r>
      <w:r>
        <w:rPr/>
        <w:t>号楷林商务中心</w:t>
      </w:r>
      <w:r>
        <w:rPr>
          <w:rFonts w:ascii="Calibri" w:eastAsia="Calibri"/>
        </w:rPr>
        <w:t>B</w:t>
      </w:r>
      <w:r>
        <w:rPr/>
        <w:t>座法定代表人：朱玉国</w:t>
      </w:r>
    </w:p>
    <w:p>
      <w:pPr>
        <w:pStyle w:val="BodyText"/>
        <w:spacing w:line="417" w:lineRule="auto"/>
        <w:ind w:left="580" w:right="6790"/>
        <w:rPr>
          <w:rFonts w:ascii="Calibri" w:eastAsia="Calibri"/>
        </w:rPr>
      </w:pPr>
      <w:r>
        <w:rPr/>
        <w:t>电话：</w:t>
      </w:r>
      <w:r>
        <w:rPr>
          <w:rFonts w:ascii="Calibri" w:eastAsia="Calibri"/>
        </w:rPr>
        <w:t>0731-89736250 </w:t>
      </w:r>
      <w:r>
        <w:rPr/>
        <w:t>传真：</w:t>
      </w:r>
      <w:r>
        <w:rPr>
          <w:rFonts w:ascii="Calibri" w:eastAsia="Calibri"/>
        </w:rPr>
        <w:t>0731-89736250</w:t>
      </w:r>
    </w:p>
    <w:p>
      <w:pPr>
        <w:pStyle w:val="BodyText"/>
        <w:spacing w:line="269" w:lineRule="exact"/>
        <w:ind w:left="580"/>
      </w:pPr>
      <w:r>
        <w:rPr/>
        <w:t>联系人：于立娜</w:t>
      </w:r>
    </w:p>
    <w:p>
      <w:pPr>
        <w:pStyle w:val="BodyText"/>
        <w:spacing w:before="6"/>
        <w:rPr>
          <w:sz w:val="15"/>
        </w:rPr>
      </w:pPr>
    </w:p>
    <w:p>
      <w:pPr>
        <w:pStyle w:val="BodyText"/>
        <w:spacing w:line="417" w:lineRule="auto"/>
        <w:ind w:left="580" w:right="5792"/>
        <w:rPr>
          <w:rFonts w:ascii="Calibri" w:eastAsia="Calibri"/>
        </w:rPr>
      </w:pPr>
      <w:r>
        <w:rPr/>
        <w:t>网址：</w:t>
      </w:r>
      <w:hyperlink r:id="rId23">
        <w:r>
          <w:rPr>
            <w:rFonts w:ascii="Calibri" w:eastAsia="Calibri"/>
          </w:rPr>
          <w:t>www.bankofchangsha.com </w:t>
        </w:r>
      </w:hyperlink>
      <w:r>
        <w:rPr/>
        <w:t>客户服务电话：</w:t>
      </w:r>
      <w:r>
        <w:rPr>
          <w:rFonts w:ascii="Calibri" w:eastAsia="Calibri"/>
        </w:rPr>
        <w:t>40067-96511</w:t>
      </w:r>
    </w:p>
    <w:p>
      <w:pPr>
        <w:pStyle w:val="ListParagraph"/>
        <w:numPr>
          <w:ilvl w:val="0"/>
          <w:numId w:val="8"/>
        </w:numPr>
        <w:tabs>
          <w:tab w:pos="1218" w:val="left" w:leader="none"/>
        </w:tabs>
        <w:spacing w:line="240" w:lineRule="auto" w:before="1" w:after="0"/>
        <w:ind w:left="1217" w:right="0" w:hanging="638"/>
        <w:jc w:val="left"/>
        <w:rPr>
          <w:sz w:val="21"/>
        </w:rPr>
      </w:pPr>
      <w:r>
        <w:rPr>
          <w:spacing w:val="-3"/>
          <w:sz w:val="21"/>
        </w:rPr>
        <w:t>厦门银行股份有限公司</w:t>
      </w:r>
    </w:p>
    <w:p>
      <w:pPr>
        <w:pStyle w:val="BodyText"/>
        <w:spacing w:before="6"/>
        <w:rPr>
          <w:sz w:val="15"/>
        </w:rPr>
      </w:pPr>
    </w:p>
    <w:p>
      <w:pPr>
        <w:pStyle w:val="BodyText"/>
        <w:ind w:left="580"/>
      </w:pPr>
      <w:r>
        <w:rPr/>
        <w:t>住所：厦门市湖滨北路</w:t>
      </w:r>
      <w:r>
        <w:rPr>
          <w:rFonts w:ascii="Calibri" w:eastAsia="Calibri"/>
        </w:rPr>
        <w:t>101</w:t>
      </w:r>
      <w:r>
        <w:rPr/>
        <w:t>号商业银行大厦</w:t>
      </w:r>
    </w:p>
    <w:p>
      <w:pPr>
        <w:pStyle w:val="BodyText"/>
        <w:spacing w:before="7"/>
        <w:rPr>
          <w:sz w:val="15"/>
        </w:rPr>
      </w:pPr>
    </w:p>
    <w:p>
      <w:pPr>
        <w:pStyle w:val="BodyText"/>
        <w:spacing w:line="417" w:lineRule="auto"/>
        <w:ind w:left="580" w:right="4450"/>
      </w:pPr>
      <w:r>
        <w:rPr/>
        <w:t>办公地址：厦门市湖滨北路</w:t>
      </w:r>
      <w:r>
        <w:rPr>
          <w:rFonts w:ascii="Calibri" w:eastAsia="Calibri"/>
        </w:rPr>
        <w:t>101</w:t>
      </w:r>
      <w:r>
        <w:rPr/>
        <w:t>号商业银行大厦法定代表人：吴世群</w:t>
      </w:r>
    </w:p>
    <w:p>
      <w:pPr>
        <w:pStyle w:val="BodyText"/>
        <w:spacing w:line="417" w:lineRule="auto"/>
        <w:ind w:left="580" w:right="6898"/>
        <w:rPr>
          <w:rFonts w:ascii="Calibri" w:eastAsia="Calibri"/>
        </w:rPr>
      </w:pPr>
      <w:r>
        <w:rPr/>
        <w:t>电话：</w:t>
      </w:r>
      <w:r>
        <w:rPr>
          <w:rFonts w:ascii="Calibri" w:eastAsia="Calibri"/>
        </w:rPr>
        <w:t>0592-5310251 </w:t>
      </w:r>
      <w:r>
        <w:rPr/>
        <w:t>传真：</w:t>
      </w:r>
      <w:r>
        <w:rPr>
          <w:rFonts w:ascii="Calibri" w:eastAsia="Calibri"/>
        </w:rPr>
        <w:t>0592-5373973</w:t>
      </w:r>
    </w:p>
    <w:p>
      <w:pPr>
        <w:pStyle w:val="BodyText"/>
        <w:ind w:left="580"/>
      </w:pPr>
      <w:r>
        <w:rPr/>
        <w:t>联系人：孙瑜</w:t>
      </w:r>
    </w:p>
    <w:p>
      <w:pPr>
        <w:pStyle w:val="BodyText"/>
        <w:spacing w:before="6"/>
        <w:rPr>
          <w:sz w:val="15"/>
        </w:rPr>
      </w:pPr>
    </w:p>
    <w:p>
      <w:pPr>
        <w:pStyle w:val="BodyText"/>
        <w:spacing w:before="1"/>
        <w:ind w:left="580"/>
        <w:rPr>
          <w:rFonts w:ascii="Calibri" w:eastAsia="Calibri"/>
        </w:rPr>
      </w:pPr>
      <w:r>
        <w:rPr/>
        <w:t>网址：</w:t>
      </w:r>
      <w:hyperlink r:id="rId24">
        <w:r>
          <w:rPr>
            <w:rFonts w:ascii="Calibri" w:eastAsia="Calibri"/>
          </w:rPr>
          <w:t>www.xmccb.com</w:t>
        </w:r>
      </w:hyperlink>
    </w:p>
    <w:p>
      <w:pPr>
        <w:spacing w:after="0"/>
        <w:rPr>
          <w:rFonts w:ascii="Calibri" w:eastAsia="Calibri"/>
        </w:rPr>
        <w:sectPr>
          <w:pgSz w:w="11910" w:h="16840"/>
          <w:pgMar w:header="877" w:footer="995" w:top="1420" w:bottom="1180" w:left="1640" w:right="920"/>
        </w:sectPr>
      </w:pPr>
    </w:p>
    <w:p>
      <w:pPr>
        <w:pStyle w:val="BodyText"/>
        <w:spacing w:before="110"/>
        <w:ind w:left="580"/>
        <w:rPr>
          <w:rFonts w:ascii="Calibri" w:eastAsia="Calibri"/>
        </w:rPr>
      </w:pPr>
      <w:r>
        <w:rPr/>
        <w:t>客户服务电话：</w:t>
      </w:r>
      <w:r>
        <w:rPr>
          <w:rFonts w:ascii="Calibri" w:eastAsia="Calibri"/>
        </w:rPr>
        <w:t>400-858-8888</w:t>
      </w:r>
    </w:p>
    <w:p>
      <w:pPr>
        <w:pStyle w:val="BodyText"/>
        <w:spacing w:before="3"/>
        <w:rPr>
          <w:rFonts w:ascii="Calibri"/>
          <w:sz w:val="16"/>
        </w:rPr>
      </w:pPr>
    </w:p>
    <w:p>
      <w:pPr>
        <w:pStyle w:val="ListParagraph"/>
        <w:numPr>
          <w:ilvl w:val="0"/>
          <w:numId w:val="8"/>
        </w:numPr>
        <w:tabs>
          <w:tab w:pos="1218" w:val="left" w:leader="none"/>
        </w:tabs>
        <w:spacing w:line="417" w:lineRule="auto" w:before="0" w:after="0"/>
        <w:ind w:left="580" w:right="5607" w:firstLine="0"/>
        <w:jc w:val="left"/>
        <w:rPr>
          <w:sz w:val="21"/>
        </w:rPr>
      </w:pPr>
      <w:r>
        <w:rPr>
          <w:spacing w:val="-4"/>
          <w:sz w:val="21"/>
        </w:rPr>
        <w:t>云南红塔银行股份有限公司</w:t>
      </w:r>
      <w:r>
        <w:rPr>
          <w:spacing w:val="-3"/>
          <w:sz w:val="21"/>
        </w:rPr>
        <w:t>住所：云南省玉溪市东风南路</w:t>
      </w:r>
      <w:r>
        <w:rPr>
          <w:rFonts w:ascii="Calibri" w:eastAsia="Calibri"/>
          <w:sz w:val="21"/>
        </w:rPr>
        <w:t>2</w:t>
      </w:r>
      <w:r>
        <w:rPr>
          <w:sz w:val="21"/>
        </w:rPr>
        <w:t>号</w:t>
      </w:r>
    </w:p>
    <w:p>
      <w:pPr>
        <w:pStyle w:val="BodyText"/>
        <w:spacing w:line="417" w:lineRule="auto"/>
        <w:ind w:left="580" w:right="4018"/>
      </w:pPr>
      <w:r>
        <w:rPr/>
        <w:t>办公地址：云南省昆明市盘龙区世博路低碳中心</w:t>
      </w:r>
      <w:r>
        <w:rPr>
          <w:rFonts w:ascii="Calibri" w:eastAsia="Calibri"/>
        </w:rPr>
        <w:t>A</w:t>
      </w:r>
      <w:r>
        <w:rPr/>
        <w:t>座法定代表人：李光林</w:t>
      </w:r>
    </w:p>
    <w:p>
      <w:pPr>
        <w:pStyle w:val="BodyText"/>
        <w:spacing w:line="417" w:lineRule="auto"/>
        <w:ind w:left="580" w:right="6790"/>
        <w:rPr>
          <w:rFonts w:ascii="Calibri" w:eastAsia="Calibri"/>
        </w:rPr>
      </w:pPr>
      <w:r>
        <w:rPr/>
        <w:t>电话：</w:t>
      </w:r>
      <w:r>
        <w:rPr>
          <w:rFonts w:ascii="Calibri" w:eastAsia="Calibri"/>
        </w:rPr>
        <w:t>0871-65236624 </w:t>
      </w:r>
      <w:r>
        <w:rPr/>
        <w:t>传真：</w:t>
      </w:r>
      <w:r>
        <w:rPr>
          <w:rFonts w:ascii="Calibri" w:eastAsia="Calibri"/>
        </w:rPr>
        <w:t>0871-65236614</w:t>
      </w:r>
    </w:p>
    <w:p>
      <w:pPr>
        <w:pStyle w:val="BodyText"/>
        <w:ind w:left="580"/>
      </w:pPr>
      <w:r>
        <w:rPr/>
        <w:t>联系人：马杰</w:t>
      </w:r>
    </w:p>
    <w:p>
      <w:pPr>
        <w:pStyle w:val="BodyText"/>
        <w:spacing w:before="6"/>
        <w:rPr>
          <w:sz w:val="15"/>
        </w:rPr>
      </w:pPr>
    </w:p>
    <w:p>
      <w:pPr>
        <w:pStyle w:val="BodyText"/>
        <w:spacing w:line="417" w:lineRule="auto" w:before="1"/>
        <w:ind w:left="580" w:right="6271"/>
        <w:rPr>
          <w:rFonts w:ascii="Calibri" w:eastAsia="Calibri"/>
        </w:rPr>
      </w:pPr>
      <w:r>
        <w:rPr/>
        <w:t>网址：</w:t>
      </w:r>
      <w:hyperlink r:id="rId25">
        <w:r>
          <w:rPr>
            <w:rFonts w:ascii="Calibri" w:eastAsia="Calibri"/>
          </w:rPr>
          <w:t>www.ynhtbank.com </w:t>
        </w:r>
      </w:hyperlink>
      <w:r>
        <w:rPr/>
        <w:t>客户服务电话：</w:t>
      </w:r>
      <w:r>
        <w:rPr>
          <w:rFonts w:ascii="Calibri" w:eastAsia="Calibri"/>
        </w:rPr>
        <w:t>0877-96522</w:t>
      </w:r>
    </w:p>
    <w:p>
      <w:pPr>
        <w:pStyle w:val="ListParagraph"/>
        <w:numPr>
          <w:ilvl w:val="0"/>
          <w:numId w:val="8"/>
        </w:numPr>
        <w:tabs>
          <w:tab w:pos="1218" w:val="left" w:leader="none"/>
        </w:tabs>
        <w:spacing w:line="269" w:lineRule="exact" w:before="0" w:after="0"/>
        <w:ind w:left="1217" w:right="0" w:hanging="638"/>
        <w:jc w:val="left"/>
        <w:rPr>
          <w:sz w:val="21"/>
        </w:rPr>
      </w:pPr>
      <w:r>
        <w:rPr>
          <w:spacing w:val="-3"/>
          <w:sz w:val="21"/>
        </w:rPr>
        <w:t>鼎信汇金</w:t>
      </w:r>
      <w:r>
        <w:rPr>
          <w:sz w:val="21"/>
        </w:rPr>
        <w:t>（</w:t>
      </w:r>
      <w:r>
        <w:rPr>
          <w:spacing w:val="-2"/>
          <w:sz w:val="21"/>
        </w:rPr>
        <w:t>北京</w:t>
      </w:r>
      <w:r>
        <w:rPr>
          <w:spacing w:val="-3"/>
          <w:sz w:val="21"/>
        </w:rPr>
        <w:t>）投资管理有限公司</w:t>
      </w:r>
    </w:p>
    <w:p>
      <w:pPr>
        <w:pStyle w:val="BodyText"/>
        <w:spacing w:before="6"/>
        <w:rPr>
          <w:sz w:val="15"/>
        </w:rPr>
      </w:pPr>
    </w:p>
    <w:p>
      <w:pPr>
        <w:pStyle w:val="BodyText"/>
        <w:ind w:left="580"/>
      </w:pPr>
      <w:r>
        <w:rPr/>
        <w:t>住所：北京市朝阳区霄云路</w:t>
      </w:r>
      <w:r>
        <w:rPr>
          <w:rFonts w:ascii="Calibri" w:eastAsia="Calibri"/>
        </w:rPr>
        <w:t>40</w:t>
      </w:r>
      <w:r>
        <w:rPr/>
        <w:t>号院</w:t>
      </w:r>
      <w:r>
        <w:rPr>
          <w:rFonts w:ascii="Calibri" w:eastAsia="Calibri"/>
        </w:rPr>
        <w:t>1</w:t>
      </w:r>
      <w:r>
        <w:rPr/>
        <w:t>号楼</w:t>
      </w:r>
      <w:r>
        <w:rPr>
          <w:rFonts w:ascii="Calibri" w:eastAsia="Calibri"/>
        </w:rPr>
        <w:t>3</w:t>
      </w:r>
      <w:r>
        <w:rPr/>
        <w:t>层</w:t>
      </w:r>
      <w:r>
        <w:rPr>
          <w:rFonts w:ascii="Calibri" w:eastAsia="Calibri"/>
        </w:rPr>
        <w:t>306</w:t>
      </w:r>
      <w:r>
        <w:rPr/>
        <w:t>室</w:t>
      </w:r>
    </w:p>
    <w:p>
      <w:pPr>
        <w:pStyle w:val="BodyText"/>
        <w:spacing w:before="7"/>
        <w:rPr>
          <w:sz w:val="15"/>
        </w:rPr>
      </w:pPr>
    </w:p>
    <w:p>
      <w:pPr>
        <w:pStyle w:val="BodyText"/>
        <w:spacing w:line="417" w:lineRule="auto"/>
        <w:ind w:left="580" w:right="3814"/>
      </w:pPr>
      <w:r>
        <w:rPr/>
        <w:t>办公地址：北京市朝阳区霄云路</w:t>
      </w:r>
      <w:r>
        <w:rPr>
          <w:rFonts w:ascii="Calibri" w:eastAsia="Calibri"/>
        </w:rPr>
        <w:t>40</w:t>
      </w:r>
      <w:r>
        <w:rPr/>
        <w:t>号院</w:t>
      </w:r>
      <w:r>
        <w:rPr>
          <w:rFonts w:ascii="Calibri" w:eastAsia="Calibri"/>
        </w:rPr>
        <w:t>1</w:t>
      </w:r>
      <w:r>
        <w:rPr/>
        <w:t>号楼</w:t>
      </w:r>
      <w:r>
        <w:rPr>
          <w:rFonts w:ascii="Calibri" w:eastAsia="Calibri"/>
        </w:rPr>
        <w:t>3</w:t>
      </w:r>
      <w:r>
        <w:rPr/>
        <w:t>层</w:t>
      </w:r>
      <w:r>
        <w:rPr>
          <w:rFonts w:ascii="Calibri" w:eastAsia="Calibri"/>
        </w:rPr>
        <w:t>306</w:t>
      </w:r>
      <w:r>
        <w:rPr/>
        <w:t>室法定代表人：齐凌峰</w:t>
      </w:r>
    </w:p>
    <w:p>
      <w:pPr>
        <w:pStyle w:val="BodyText"/>
        <w:spacing w:line="417" w:lineRule="auto"/>
        <w:ind w:left="580" w:right="6898"/>
        <w:rPr>
          <w:rFonts w:ascii="Calibri" w:eastAsia="Calibri"/>
        </w:rPr>
      </w:pPr>
      <w:r>
        <w:rPr/>
        <w:t>电话：</w:t>
      </w:r>
      <w:r>
        <w:rPr>
          <w:rFonts w:ascii="Calibri" w:eastAsia="Calibri"/>
        </w:rPr>
        <w:t>010-82050520 </w:t>
      </w:r>
      <w:r>
        <w:rPr/>
        <w:t>传真：</w:t>
      </w:r>
      <w:r>
        <w:rPr>
          <w:rFonts w:ascii="Calibri" w:eastAsia="Calibri"/>
        </w:rPr>
        <w:t>010-82086110</w:t>
      </w:r>
    </w:p>
    <w:p>
      <w:pPr>
        <w:pStyle w:val="BodyText"/>
        <w:spacing w:line="269" w:lineRule="exact"/>
        <w:ind w:left="580"/>
      </w:pPr>
      <w:r>
        <w:rPr/>
        <w:t>联系人：阮志凌</w:t>
      </w:r>
    </w:p>
    <w:p>
      <w:pPr>
        <w:pStyle w:val="BodyText"/>
        <w:spacing w:before="7"/>
        <w:rPr>
          <w:sz w:val="15"/>
        </w:rPr>
      </w:pPr>
    </w:p>
    <w:p>
      <w:pPr>
        <w:pStyle w:val="BodyText"/>
        <w:ind w:left="580"/>
        <w:rPr>
          <w:rFonts w:ascii="Calibri" w:eastAsia="Calibri"/>
        </w:rPr>
      </w:pPr>
      <w:r>
        <w:rPr/>
        <w:t>网址：</w:t>
      </w:r>
      <w:hyperlink r:id="rId26">
        <w:r>
          <w:rPr>
            <w:rFonts w:ascii="Calibri" w:eastAsia="Calibri"/>
          </w:rPr>
          <w:t>www.9ifund.com</w:t>
        </w:r>
      </w:hyperlink>
    </w:p>
    <w:p>
      <w:pPr>
        <w:pStyle w:val="BodyText"/>
        <w:spacing w:before="3"/>
        <w:rPr>
          <w:rFonts w:ascii="Calibri"/>
          <w:sz w:val="16"/>
        </w:rPr>
      </w:pPr>
    </w:p>
    <w:p>
      <w:pPr>
        <w:pStyle w:val="BodyText"/>
        <w:spacing w:before="1"/>
        <w:ind w:left="580"/>
        <w:rPr>
          <w:rFonts w:ascii="Calibri" w:eastAsia="Calibri"/>
        </w:rPr>
      </w:pPr>
      <w:r>
        <w:rPr/>
        <w:t>客户服务电话：</w:t>
      </w:r>
      <w:r>
        <w:rPr>
          <w:rFonts w:ascii="Calibri" w:eastAsia="Calibri"/>
        </w:rPr>
        <w:t>400-158-5050</w:t>
      </w:r>
    </w:p>
    <w:p>
      <w:pPr>
        <w:pStyle w:val="BodyText"/>
        <w:spacing w:before="3"/>
        <w:rPr>
          <w:rFonts w:ascii="Calibri"/>
          <w:sz w:val="16"/>
        </w:rPr>
      </w:pPr>
    </w:p>
    <w:p>
      <w:pPr>
        <w:pStyle w:val="ListParagraph"/>
        <w:numPr>
          <w:ilvl w:val="0"/>
          <w:numId w:val="8"/>
        </w:numPr>
        <w:tabs>
          <w:tab w:pos="1218" w:val="left" w:leader="none"/>
        </w:tabs>
        <w:spacing w:line="240" w:lineRule="auto" w:before="0" w:after="0"/>
        <w:ind w:left="1217" w:right="0" w:hanging="638"/>
        <w:jc w:val="left"/>
        <w:rPr>
          <w:sz w:val="21"/>
        </w:rPr>
      </w:pPr>
      <w:r>
        <w:rPr>
          <w:spacing w:val="-3"/>
          <w:sz w:val="21"/>
        </w:rPr>
        <w:t>深圳市新兰德证券投资咨询有限公司</w:t>
      </w:r>
    </w:p>
    <w:p>
      <w:pPr>
        <w:pStyle w:val="BodyText"/>
        <w:spacing w:before="7"/>
        <w:rPr>
          <w:sz w:val="15"/>
        </w:rPr>
      </w:pPr>
    </w:p>
    <w:p>
      <w:pPr>
        <w:pStyle w:val="BodyText"/>
        <w:spacing w:line="417" w:lineRule="auto"/>
        <w:ind w:left="580" w:right="3181"/>
      </w:pPr>
      <w:r>
        <w:rPr>
          <w:spacing w:val="-3"/>
        </w:rPr>
        <w:t>住所：深圳市福田区福田街道民田路</w:t>
      </w:r>
      <w:r>
        <w:rPr>
          <w:rFonts w:ascii="Calibri" w:eastAsia="Calibri"/>
        </w:rPr>
        <w:t>178</w:t>
      </w:r>
      <w:r>
        <w:rPr>
          <w:spacing w:val="-3"/>
        </w:rPr>
        <w:t>号华融大厦</w:t>
      </w:r>
      <w:r>
        <w:rPr>
          <w:rFonts w:ascii="Calibri" w:eastAsia="Calibri"/>
        </w:rPr>
        <w:t>27</w:t>
      </w:r>
      <w:r>
        <w:rPr/>
        <w:t>层</w:t>
      </w:r>
      <w:r>
        <w:rPr>
          <w:rFonts w:ascii="Calibri" w:eastAsia="Calibri"/>
        </w:rPr>
        <w:t>2704 </w:t>
      </w:r>
      <w:r>
        <w:rPr>
          <w:spacing w:val="-3"/>
        </w:rPr>
        <w:t>办公地址：北京市西城区宣武门外大街</w:t>
      </w:r>
      <w:r>
        <w:rPr>
          <w:rFonts w:ascii="Calibri" w:eastAsia="Calibri"/>
        </w:rPr>
        <w:t>28</w:t>
      </w:r>
      <w:r>
        <w:rPr>
          <w:spacing w:val="-3"/>
        </w:rPr>
        <w:t>号富卓大厦</w:t>
      </w:r>
      <w:r>
        <w:rPr>
          <w:rFonts w:ascii="Calibri" w:eastAsia="Calibri"/>
        </w:rPr>
        <w:t>16</w:t>
      </w:r>
      <w:r>
        <w:rPr/>
        <w:t>层</w:t>
      </w:r>
    </w:p>
    <w:p>
      <w:pPr>
        <w:pStyle w:val="BodyText"/>
        <w:spacing w:line="417" w:lineRule="auto"/>
        <w:ind w:left="580" w:right="6837"/>
        <w:rPr>
          <w:rFonts w:ascii="Calibri" w:eastAsia="Calibri"/>
        </w:rPr>
      </w:pPr>
      <w:r>
        <w:rPr/>
        <w:t>法定代表人：洪弘电话：</w:t>
      </w:r>
      <w:r>
        <w:rPr>
          <w:rFonts w:ascii="Calibri" w:eastAsia="Calibri"/>
        </w:rPr>
        <w:t>010-83363101 </w:t>
      </w:r>
      <w:r>
        <w:rPr/>
        <w:t>传真：</w:t>
      </w:r>
      <w:r>
        <w:rPr>
          <w:rFonts w:ascii="Calibri" w:eastAsia="Calibri"/>
        </w:rPr>
        <w:t>010-83363072</w:t>
      </w:r>
    </w:p>
    <w:p>
      <w:pPr>
        <w:pStyle w:val="BodyText"/>
        <w:spacing w:line="269" w:lineRule="exact"/>
        <w:ind w:left="580"/>
      </w:pPr>
      <w:r>
        <w:rPr/>
        <w:t>联系人：文雯</w:t>
      </w:r>
    </w:p>
    <w:p>
      <w:pPr>
        <w:pStyle w:val="BodyText"/>
        <w:spacing w:before="7"/>
        <w:rPr>
          <w:sz w:val="15"/>
        </w:rPr>
      </w:pPr>
    </w:p>
    <w:p>
      <w:pPr>
        <w:pStyle w:val="BodyText"/>
        <w:ind w:left="580"/>
        <w:rPr>
          <w:rFonts w:ascii="Calibri" w:eastAsia="Calibri"/>
        </w:rPr>
      </w:pPr>
      <w:r>
        <w:rPr/>
        <w:t>网址：</w:t>
      </w:r>
      <w:hyperlink r:id="rId27">
        <w:r>
          <w:rPr>
            <w:rFonts w:ascii="Calibri" w:eastAsia="Calibri"/>
          </w:rPr>
          <w:t>http://8.jrj.com.cn/</w:t>
        </w:r>
      </w:hyperlink>
    </w:p>
    <w:p>
      <w:pPr>
        <w:pStyle w:val="BodyText"/>
        <w:spacing w:before="3"/>
        <w:rPr>
          <w:rFonts w:ascii="Calibri"/>
          <w:sz w:val="16"/>
        </w:rPr>
      </w:pPr>
    </w:p>
    <w:p>
      <w:pPr>
        <w:pStyle w:val="BodyText"/>
        <w:spacing w:before="1"/>
        <w:ind w:left="580"/>
        <w:rPr>
          <w:rFonts w:ascii="Calibri" w:eastAsia="Calibri"/>
        </w:rPr>
      </w:pPr>
      <w:r>
        <w:rPr/>
        <w:t>客户服务电话：</w:t>
      </w:r>
      <w:r>
        <w:rPr>
          <w:rFonts w:ascii="Calibri" w:eastAsia="Calibri"/>
        </w:rPr>
        <w:t>400-166-1188</w:t>
      </w:r>
    </w:p>
    <w:p>
      <w:pPr>
        <w:pStyle w:val="BodyText"/>
        <w:spacing w:before="3"/>
        <w:rPr>
          <w:rFonts w:ascii="Calibri"/>
          <w:sz w:val="16"/>
        </w:rPr>
      </w:pPr>
    </w:p>
    <w:p>
      <w:pPr>
        <w:pStyle w:val="ListParagraph"/>
        <w:numPr>
          <w:ilvl w:val="0"/>
          <w:numId w:val="8"/>
        </w:numPr>
        <w:tabs>
          <w:tab w:pos="1218" w:val="left" w:leader="none"/>
        </w:tabs>
        <w:spacing w:line="240" w:lineRule="auto" w:before="1" w:after="0"/>
        <w:ind w:left="1217" w:right="0" w:hanging="638"/>
        <w:jc w:val="left"/>
        <w:rPr>
          <w:sz w:val="21"/>
        </w:rPr>
      </w:pPr>
      <w:r>
        <w:rPr>
          <w:spacing w:val="-3"/>
          <w:sz w:val="21"/>
        </w:rPr>
        <w:t>江苏汇林保大基金销售有限公司</w:t>
      </w:r>
    </w:p>
    <w:p>
      <w:pPr>
        <w:pStyle w:val="BodyText"/>
        <w:spacing w:before="6"/>
        <w:rPr>
          <w:sz w:val="15"/>
        </w:rPr>
      </w:pPr>
    </w:p>
    <w:p>
      <w:pPr>
        <w:pStyle w:val="BodyText"/>
        <w:ind w:left="580"/>
      </w:pPr>
      <w:r>
        <w:rPr/>
        <w:t>住所：南京市高淳区经济开发区古檀大道</w:t>
      </w:r>
      <w:r>
        <w:rPr>
          <w:rFonts w:ascii="Calibri" w:eastAsia="Calibri"/>
        </w:rPr>
        <w:t>47</w:t>
      </w:r>
      <w:r>
        <w:rPr/>
        <w:t>号</w:t>
      </w:r>
    </w:p>
    <w:p>
      <w:pPr>
        <w:spacing w:after="0"/>
        <w:sectPr>
          <w:pgSz w:w="11910" w:h="16840"/>
          <w:pgMar w:header="877" w:footer="995" w:top="1420" w:bottom="1180" w:left="1640" w:right="920"/>
        </w:sectPr>
      </w:pPr>
    </w:p>
    <w:p>
      <w:pPr>
        <w:pStyle w:val="BodyText"/>
        <w:spacing w:line="417" w:lineRule="auto" w:before="110"/>
        <w:ind w:left="580" w:right="3396"/>
      </w:pPr>
      <w:r>
        <w:rPr/>
        <w:t>办公地址：南京市鼓楼区中山北路</w:t>
      </w:r>
      <w:r>
        <w:rPr>
          <w:rFonts w:ascii="Calibri" w:eastAsia="Calibri"/>
        </w:rPr>
        <w:t>2</w:t>
      </w:r>
      <w:r>
        <w:rPr/>
        <w:t>号绿地紫峰大厦</w:t>
      </w:r>
      <w:r>
        <w:rPr>
          <w:rFonts w:ascii="Calibri" w:eastAsia="Calibri"/>
        </w:rPr>
        <w:t>2005</w:t>
      </w:r>
      <w:r>
        <w:rPr/>
        <w:t>室法定代表人：吴言林</w:t>
      </w:r>
    </w:p>
    <w:p>
      <w:pPr>
        <w:pStyle w:val="BodyText"/>
        <w:spacing w:line="269" w:lineRule="exact"/>
        <w:ind w:left="580"/>
        <w:rPr>
          <w:rFonts w:ascii="Calibri" w:eastAsia="Calibri"/>
        </w:rPr>
      </w:pPr>
      <w:r>
        <w:rPr/>
        <w:t>电话：</w:t>
      </w:r>
      <w:r>
        <w:rPr>
          <w:rFonts w:ascii="Calibri" w:eastAsia="Calibri"/>
        </w:rPr>
        <w:t>025-66046166</w:t>
      </w:r>
      <w:r>
        <w:rPr/>
        <w:t>转</w:t>
      </w:r>
      <w:r>
        <w:rPr>
          <w:rFonts w:ascii="Calibri" w:eastAsia="Calibri"/>
        </w:rPr>
        <w:t>837</w:t>
      </w:r>
    </w:p>
    <w:p>
      <w:pPr>
        <w:pStyle w:val="BodyText"/>
        <w:spacing w:before="3"/>
        <w:rPr>
          <w:rFonts w:ascii="Calibri"/>
          <w:sz w:val="16"/>
        </w:rPr>
      </w:pPr>
    </w:p>
    <w:p>
      <w:pPr>
        <w:pStyle w:val="BodyText"/>
        <w:ind w:left="580"/>
      </w:pPr>
      <w:r>
        <w:rPr/>
        <w:t>联系人：孙平</w:t>
      </w:r>
    </w:p>
    <w:p>
      <w:pPr>
        <w:pStyle w:val="BodyText"/>
        <w:spacing w:before="7"/>
        <w:rPr>
          <w:sz w:val="15"/>
        </w:rPr>
      </w:pPr>
    </w:p>
    <w:p>
      <w:pPr>
        <w:pStyle w:val="BodyText"/>
        <w:ind w:left="580"/>
        <w:rPr>
          <w:rFonts w:ascii="Calibri" w:eastAsia="Calibri"/>
        </w:rPr>
      </w:pPr>
      <w:r>
        <w:rPr/>
        <w:t>网址：</w:t>
      </w:r>
      <w:hyperlink r:id="rId28">
        <w:r>
          <w:rPr>
            <w:rFonts w:ascii="Calibri" w:eastAsia="Calibri"/>
          </w:rPr>
          <w:t>www.huilinbd.com</w:t>
        </w:r>
      </w:hyperlink>
    </w:p>
    <w:p>
      <w:pPr>
        <w:pStyle w:val="BodyText"/>
        <w:spacing w:before="4"/>
        <w:rPr>
          <w:rFonts w:ascii="Calibri"/>
          <w:sz w:val="16"/>
        </w:rPr>
      </w:pPr>
    </w:p>
    <w:p>
      <w:pPr>
        <w:pStyle w:val="BodyText"/>
        <w:ind w:left="580"/>
        <w:rPr>
          <w:rFonts w:ascii="Calibri" w:eastAsia="Calibri"/>
        </w:rPr>
      </w:pPr>
      <w:r>
        <w:rPr/>
        <w:t>客户服务电话：</w:t>
      </w:r>
      <w:r>
        <w:rPr>
          <w:rFonts w:ascii="Calibri" w:eastAsia="Calibri"/>
        </w:rPr>
        <w:t>025-66046166</w:t>
      </w:r>
    </w:p>
    <w:p>
      <w:pPr>
        <w:pStyle w:val="BodyText"/>
        <w:spacing w:before="3"/>
        <w:rPr>
          <w:rFonts w:ascii="Calibri"/>
          <w:sz w:val="16"/>
        </w:rPr>
      </w:pPr>
    </w:p>
    <w:p>
      <w:pPr>
        <w:pStyle w:val="ListParagraph"/>
        <w:numPr>
          <w:ilvl w:val="0"/>
          <w:numId w:val="8"/>
        </w:numPr>
        <w:tabs>
          <w:tab w:pos="1218" w:val="left" w:leader="none"/>
        </w:tabs>
        <w:spacing w:line="240" w:lineRule="auto" w:before="0" w:after="0"/>
        <w:ind w:left="1217" w:right="0" w:hanging="638"/>
        <w:jc w:val="left"/>
        <w:rPr>
          <w:sz w:val="21"/>
        </w:rPr>
      </w:pPr>
      <w:r>
        <w:rPr>
          <w:spacing w:val="-3"/>
          <w:sz w:val="21"/>
        </w:rPr>
        <w:t>上海挖财基金销售有限公司</w:t>
      </w:r>
    </w:p>
    <w:p>
      <w:pPr>
        <w:pStyle w:val="BodyText"/>
        <w:spacing w:before="7"/>
        <w:rPr>
          <w:sz w:val="15"/>
        </w:rPr>
      </w:pPr>
    </w:p>
    <w:p>
      <w:pPr>
        <w:pStyle w:val="BodyText"/>
        <w:spacing w:before="1"/>
        <w:ind w:left="580"/>
      </w:pPr>
      <w:r>
        <w:rPr/>
        <w:t>住所：中国（上海）自由贸易试验区杨高南路</w:t>
      </w:r>
      <w:r>
        <w:rPr>
          <w:rFonts w:ascii="Calibri" w:eastAsia="Calibri"/>
        </w:rPr>
        <w:t>799</w:t>
      </w:r>
      <w:r>
        <w:rPr/>
        <w:t>号</w:t>
      </w:r>
      <w:r>
        <w:rPr>
          <w:rFonts w:ascii="Calibri" w:eastAsia="Calibri"/>
        </w:rPr>
        <w:t>5</w:t>
      </w:r>
      <w:r>
        <w:rPr/>
        <w:t>层</w:t>
      </w:r>
      <w:r>
        <w:rPr>
          <w:rFonts w:ascii="Calibri" w:eastAsia="Calibri"/>
        </w:rPr>
        <w:t>01</w:t>
      </w:r>
      <w:r>
        <w:rPr/>
        <w:t>、</w:t>
      </w:r>
      <w:r>
        <w:rPr>
          <w:rFonts w:ascii="Calibri" w:eastAsia="Calibri"/>
        </w:rPr>
        <w:t>02</w:t>
      </w:r>
      <w:r>
        <w:rPr/>
        <w:t>、</w:t>
      </w:r>
      <w:r>
        <w:rPr>
          <w:rFonts w:ascii="Calibri" w:eastAsia="Calibri"/>
        </w:rPr>
        <w:t>03</w:t>
      </w:r>
      <w:r>
        <w:rPr/>
        <w:t>室</w:t>
      </w:r>
    </w:p>
    <w:p>
      <w:pPr>
        <w:pStyle w:val="BodyText"/>
        <w:spacing w:before="6"/>
        <w:rPr>
          <w:sz w:val="15"/>
        </w:rPr>
      </w:pPr>
    </w:p>
    <w:p>
      <w:pPr>
        <w:pStyle w:val="BodyText"/>
        <w:spacing w:line="417" w:lineRule="auto"/>
        <w:ind w:left="580" w:right="2023"/>
      </w:pPr>
      <w:r>
        <w:rPr/>
        <w:t>办公地址：中国（上海）自由贸易试验区杨高南路</w:t>
      </w:r>
      <w:r>
        <w:rPr>
          <w:rFonts w:ascii="Calibri" w:eastAsia="Calibri"/>
        </w:rPr>
        <w:t>799</w:t>
      </w:r>
      <w:r>
        <w:rPr/>
        <w:t>号</w:t>
      </w:r>
      <w:r>
        <w:rPr>
          <w:rFonts w:ascii="Calibri" w:eastAsia="Calibri"/>
        </w:rPr>
        <w:t>5</w:t>
      </w:r>
      <w:r>
        <w:rPr/>
        <w:t>层</w:t>
      </w:r>
      <w:r>
        <w:rPr>
          <w:rFonts w:ascii="Calibri" w:eastAsia="Calibri"/>
        </w:rPr>
        <w:t>01</w:t>
      </w:r>
      <w:r>
        <w:rPr/>
        <w:t>、</w:t>
      </w:r>
      <w:r>
        <w:rPr>
          <w:rFonts w:ascii="Calibri" w:eastAsia="Calibri"/>
        </w:rPr>
        <w:t>02</w:t>
      </w:r>
      <w:r>
        <w:rPr/>
        <w:t>、</w:t>
      </w:r>
      <w:r>
        <w:rPr>
          <w:rFonts w:ascii="Calibri" w:eastAsia="Calibri"/>
        </w:rPr>
        <w:t>03</w:t>
      </w:r>
      <w:r>
        <w:rPr/>
        <w:t>室法定代表人：胡燕亮</w:t>
      </w:r>
    </w:p>
    <w:p>
      <w:pPr>
        <w:pStyle w:val="BodyText"/>
        <w:spacing w:line="417" w:lineRule="auto"/>
        <w:ind w:left="580" w:right="6898"/>
        <w:rPr>
          <w:rFonts w:ascii="Calibri" w:eastAsia="Calibri"/>
        </w:rPr>
      </w:pPr>
      <w:r>
        <w:rPr/>
        <w:t>电话：</w:t>
      </w:r>
      <w:r>
        <w:rPr>
          <w:rFonts w:ascii="Calibri" w:eastAsia="Calibri"/>
        </w:rPr>
        <w:t>021-50810687 </w:t>
      </w:r>
      <w:r>
        <w:rPr/>
        <w:t>传真：</w:t>
      </w:r>
      <w:r>
        <w:rPr>
          <w:rFonts w:ascii="Calibri" w:eastAsia="Calibri"/>
        </w:rPr>
        <w:t>021-58300279</w:t>
      </w:r>
    </w:p>
    <w:p>
      <w:pPr>
        <w:pStyle w:val="BodyText"/>
        <w:spacing w:line="269" w:lineRule="exact"/>
        <w:ind w:left="580"/>
      </w:pPr>
      <w:r>
        <w:rPr/>
        <w:t>联系人：李娟</w:t>
      </w:r>
    </w:p>
    <w:p>
      <w:pPr>
        <w:pStyle w:val="BodyText"/>
        <w:spacing w:before="7"/>
        <w:rPr>
          <w:sz w:val="15"/>
        </w:rPr>
      </w:pPr>
    </w:p>
    <w:p>
      <w:pPr>
        <w:pStyle w:val="BodyText"/>
        <w:ind w:left="580"/>
        <w:rPr>
          <w:rFonts w:ascii="Calibri" w:eastAsia="Calibri"/>
        </w:rPr>
      </w:pPr>
      <w:r>
        <w:rPr/>
        <w:t>网址：</w:t>
      </w:r>
      <w:hyperlink r:id="rId29">
        <w:r>
          <w:rPr>
            <w:rFonts w:ascii="Calibri" w:eastAsia="Calibri"/>
          </w:rPr>
          <w:t>www.wacaijijin.com</w:t>
        </w:r>
      </w:hyperlink>
    </w:p>
    <w:p>
      <w:pPr>
        <w:pStyle w:val="BodyText"/>
        <w:spacing w:before="4"/>
        <w:rPr>
          <w:rFonts w:ascii="Calibri"/>
          <w:sz w:val="16"/>
        </w:rPr>
      </w:pPr>
    </w:p>
    <w:p>
      <w:pPr>
        <w:pStyle w:val="BodyText"/>
        <w:ind w:left="580"/>
        <w:rPr>
          <w:rFonts w:ascii="Calibri" w:eastAsia="Calibri"/>
        </w:rPr>
      </w:pPr>
      <w:r>
        <w:rPr/>
        <w:t>客户服务电话：</w:t>
      </w:r>
      <w:r>
        <w:rPr>
          <w:rFonts w:ascii="Calibri" w:eastAsia="Calibri"/>
        </w:rPr>
        <w:t>021-50810673</w:t>
      </w:r>
    </w:p>
    <w:p>
      <w:pPr>
        <w:pStyle w:val="BodyText"/>
        <w:spacing w:before="3"/>
        <w:rPr>
          <w:rFonts w:ascii="Calibri"/>
          <w:sz w:val="16"/>
        </w:rPr>
      </w:pPr>
    </w:p>
    <w:p>
      <w:pPr>
        <w:pStyle w:val="ListParagraph"/>
        <w:numPr>
          <w:ilvl w:val="0"/>
          <w:numId w:val="8"/>
        </w:numPr>
        <w:tabs>
          <w:tab w:pos="1218" w:val="left" w:leader="none"/>
        </w:tabs>
        <w:spacing w:line="240" w:lineRule="auto" w:before="0" w:after="0"/>
        <w:ind w:left="1217" w:right="0" w:hanging="638"/>
        <w:jc w:val="left"/>
        <w:rPr>
          <w:sz w:val="21"/>
        </w:rPr>
      </w:pPr>
      <w:r>
        <w:rPr>
          <w:spacing w:val="-3"/>
          <w:sz w:val="21"/>
        </w:rPr>
        <w:t>喜鹊财富基金销售有限公司</w:t>
      </w:r>
    </w:p>
    <w:p>
      <w:pPr>
        <w:pStyle w:val="BodyText"/>
        <w:spacing w:before="7"/>
        <w:rPr>
          <w:sz w:val="15"/>
        </w:rPr>
      </w:pPr>
    </w:p>
    <w:p>
      <w:pPr>
        <w:pStyle w:val="BodyText"/>
        <w:ind w:left="580"/>
      </w:pPr>
      <w:r>
        <w:rPr/>
        <w:t>住所：西藏拉萨市柳梧新区柳梧大厦</w:t>
      </w:r>
      <w:r>
        <w:rPr>
          <w:rFonts w:ascii="Calibri" w:eastAsia="Calibri"/>
        </w:rPr>
        <w:t>1513</w:t>
      </w:r>
      <w:r>
        <w:rPr/>
        <w:t>室</w:t>
      </w:r>
    </w:p>
    <w:p>
      <w:pPr>
        <w:pStyle w:val="BodyText"/>
        <w:spacing w:before="7"/>
        <w:rPr>
          <w:sz w:val="15"/>
        </w:rPr>
      </w:pPr>
    </w:p>
    <w:p>
      <w:pPr>
        <w:pStyle w:val="BodyText"/>
        <w:spacing w:line="417" w:lineRule="auto"/>
        <w:ind w:left="580" w:right="4344"/>
      </w:pPr>
      <w:r>
        <w:rPr/>
        <w:t>办公地址：西藏拉萨市柳梧新区柳梧大厦</w:t>
      </w:r>
      <w:r>
        <w:rPr>
          <w:rFonts w:ascii="Calibri" w:eastAsia="Calibri"/>
        </w:rPr>
        <w:t>1513</w:t>
      </w:r>
      <w:r>
        <w:rPr/>
        <w:t>室法定代表人：陈皓</w:t>
      </w:r>
    </w:p>
    <w:p>
      <w:pPr>
        <w:pStyle w:val="BodyText"/>
        <w:spacing w:line="417" w:lineRule="auto"/>
        <w:ind w:left="580" w:right="5649"/>
        <w:rPr>
          <w:rFonts w:ascii="Calibri" w:eastAsia="Calibri"/>
        </w:rPr>
      </w:pPr>
      <w:r>
        <w:rPr/>
        <w:t>电话：</w:t>
      </w:r>
      <w:r>
        <w:rPr>
          <w:rFonts w:ascii="Calibri" w:eastAsia="Calibri"/>
        </w:rPr>
        <w:t>010-58349088/18600730680 </w:t>
      </w:r>
      <w:r>
        <w:rPr/>
        <w:t>传真：</w:t>
      </w:r>
      <w:r>
        <w:rPr>
          <w:rFonts w:ascii="Calibri" w:eastAsia="Calibri"/>
        </w:rPr>
        <w:t>010-88371180</w:t>
      </w:r>
    </w:p>
    <w:p>
      <w:pPr>
        <w:pStyle w:val="BodyText"/>
        <w:ind w:left="580"/>
      </w:pPr>
      <w:r>
        <w:rPr/>
        <w:t>联系人：张萌</w:t>
      </w:r>
    </w:p>
    <w:p>
      <w:pPr>
        <w:pStyle w:val="BodyText"/>
        <w:spacing w:before="6"/>
        <w:rPr>
          <w:sz w:val="15"/>
        </w:rPr>
      </w:pPr>
    </w:p>
    <w:p>
      <w:pPr>
        <w:pStyle w:val="BodyText"/>
        <w:spacing w:before="1"/>
        <w:ind w:left="580"/>
        <w:rPr>
          <w:rFonts w:ascii="Calibri" w:eastAsia="Calibri"/>
        </w:rPr>
      </w:pPr>
      <w:r>
        <w:rPr/>
        <w:t>网址：</w:t>
      </w:r>
      <w:hyperlink r:id="rId30">
        <w:r>
          <w:rPr>
            <w:rFonts w:ascii="Calibri" w:eastAsia="Calibri"/>
          </w:rPr>
          <w:t>www.xiquefund.com</w:t>
        </w:r>
      </w:hyperlink>
    </w:p>
    <w:p>
      <w:pPr>
        <w:pStyle w:val="BodyText"/>
        <w:spacing w:before="3"/>
        <w:rPr>
          <w:rFonts w:ascii="Calibri"/>
          <w:sz w:val="16"/>
        </w:rPr>
      </w:pPr>
    </w:p>
    <w:p>
      <w:pPr>
        <w:pStyle w:val="BodyText"/>
        <w:ind w:left="580"/>
        <w:rPr>
          <w:rFonts w:ascii="Calibri" w:eastAsia="Calibri"/>
        </w:rPr>
      </w:pPr>
      <w:r>
        <w:rPr/>
        <w:t>客户服务电话：</w:t>
      </w:r>
      <w:r>
        <w:rPr>
          <w:rFonts w:ascii="Calibri" w:eastAsia="Calibri"/>
        </w:rPr>
        <w:t>400-699-7719</w:t>
      </w:r>
    </w:p>
    <w:p>
      <w:pPr>
        <w:pStyle w:val="BodyText"/>
        <w:spacing w:before="4"/>
        <w:rPr>
          <w:rFonts w:ascii="Calibri"/>
          <w:sz w:val="16"/>
        </w:rPr>
      </w:pPr>
    </w:p>
    <w:p>
      <w:pPr>
        <w:pStyle w:val="ListParagraph"/>
        <w:numPr>
          <w:ilvl w:val="0"/>
          <w:numId w:val="8"/>
        </w:numPr>
        <w:tabs>
          <w:tab w:pos="1218" w:val="left" w:leader="none"/>
        </w:tabs>
        <w:spacing w:line="240" w:lineRule="auto" w:before="0" w:after="0"/>
        <w:ind w:left="1217" w:right="0" w:hanging="638"/>
        <w:jc w:val="left"/>
        <w:rPr>
          <w:sz w:val="21"/>
        </w:rPr>
      </w:pPr>
      <w:r>
        <w:rPr>
          <w:spacing w:val="-3"/>
          <w:sz w:val="21"/>
        </w:rPr>
        <w:t>腾安基金销售</w:t>
      </w:r>
      <w:r>
        <w:rPr>
          <w:sz w:val="21"/>
        </w:rPr>
        <w:t>（</w:t>
      </w:r>
      <w:r>
        <w:rPr>
          <w:spacing w:val="-2"/>
          <w:sz w:val="21"/>
        </w:rPr>
        <w:t>深圳</w:t>
      </w:r>
      <w:r>
        <w:rPr>
          <w:sz w:val="21"/>
        </w:rPr>
        <w:t>）</w:t>
      </w:r>
      <w:r>
        <w:rPr>
          <w:spacing w:val="-3"/>
          <w:sz w:val="21"/>
        </w:rPr>
        <w:t>有限公司</w:t>
      </w:r>
    </w:p>
    <w:p>
      <w:pPr>
        <w:pStyle w:val="BodyText"/>
        <w:spacing w:before="6"/>
        <w:rPr>
          <w:sz w:val="15"/>
        </w:rPr>
      </w:pPr>
    </w:p>
    <w:p>
      <w:pPr>
        <w:pStyle w:val="BodyText"/>
        <w:spacing w:line="417" w:lineRule="auto" w:before="1"/>
        <w:ind w:left="160" w:right="873" w:firstLine="419"/>
      </w:pPr>
      <w:r>
        <w:rPr/>
        <w:t>住所：深圳市前海深港合作区前湾一路</w:t>
      </w:r>
      <w:r>
        <w:rPr>
          <w:rFonts w:ascii="Calibri" w:eastAsia="Calibri"/>
        </w:rPr>
        <w:t>1</w:t>
      </w:r>
      <w:r>
        <w:rPr/>
        <w:t>号</w:t>
      </w:r>
      <w:r>
        <w:rPr>
          <w:rFonts w:ascii="Calibri" w:eastAsia="Calibri"/>
        </w:rPr>
        <w:t>A</w:t>
      </w:r>
      <w:r>
        <w:rPr/>
        <w:t>栋</w:t>
      </w:r>
      <w:r>
        <w:rPr>
          <w:rFonts w:ascii="Calibri" w:eastAsia="Calibri"/>
        </w:rPr>
        <w:t>201</w:t>
      </w:r>
      <w:r>
        <w:rPr/>
        <w:t>室（入驻深圳市前海商务秘书有限公司）</w:t>
      </w:r>
    </w:p>
    <w:p>
      <w:pPr>
        <w:pStyle w:val="BodyText"/>
        <w:spacing w:line="417" w:lineRule="auto"/>
        <w:ind w:left="580" w:right="3502"/>
      </w:pPr>
      <w:r>
        <w:rPr/>
        <w:t>办公地址：深圳市南山区天海二路</w:t>
      </w:r>
      <w:r>
        <w:rPr>
          <w:rFonts w:ascii="Calibri" w:eastAsia="Calibri"/>
        </w:rPr>
        <w:t>33</w:t>
      </w:r>
      <w:r>
        <w:rPr/>
        <w:t>号腾讯海滨大厦</w:t>
      </w:r>
      <w:r>
        <w:rPr>
          <w:rFonts w:ascii="Calibri" w:eastAsia="Calibri"/>
        </w:rPr>
        <w:t>15</w:t>
      </w:r>
      <w:r>
        <w:rPr/>
        <w:t>楼法定代表人：刘明军</w:t>
      </w:r>
    </w:p>
    <w:p>
      <w:pPr>
        <w:pStyle w:val="BodyText"/>
        <w:ind w:left="580"/>
        <w:rPr>
          <w:rFonts w:ascii="Calibri" w:eastAsia="Calibri"/>
        </w:rPr>
      </w:pPr>
      <w:r>
        <w:rPr/>
        <w:t>电话：</w:t>
      </w:r>
      <w:r>
        <w:rPr>
          <w:rFonts w:ascii="Calibri" w:eastAsia="Calibri"/>
        </w:rPr>
        <w:t>0755-86013388</w:t>
      </w:r>
      <w:r>
        <w:rPr/>
        <w:t>转</w:t>
      </w:r>
      <w:r>
        <w:rPr>
          <w:rFonts w:ascii="Calibri" w:eastAsia="Calibri"/>
        </w:rPr>
        <w:t>80618</w:t>
      </w:r>
    </w:p>
    <w:p>
      <w:pPr>
        <w:spacing w:after="0"/>
        <w:rPr>
          <w:rFonts w:ascii="Calibri" w:eastAsia="Calibri"/>
        </w:rPr>
        <w:sectPr>
          <w:pgSz w:w="11910" w:h="16840"/>
          <w:pgMar w:header="877" w:footer="995" w:top="1420" w:bottom="1180" w:left="1640" w:right="920"/>
        </w:sectPr>
      </w:pPr>
    </w:p>
    <w:p>
      <w:pPr>
        <w:pStyle w:val="BodyText"/>
        <w:spacing w:before="110"/>
        <w:ind w:left="580"/>
      </w:pPr>
      <w:r>
        <w:rPr/>
        <w:t>联系人：谭广锋</w:t>
      </w:r>
    </w:p>
    <w:p>
      <w:pPr>
        <w:pStyle w:val="BodyText"/>
        <w:spacing w:before="6"/>
        <w:rPr>
          <w:sz w:val="15"/>
        </w:rPr>
      </w:pPr>
    </w:p>
    <w:p>
      <w:pPr>
        <w:pStyle w:val="BodyText"/>
        <w:spacing w:line="417" w:lineRule="auto"/>
        <w:ind w:left="580" w:right="6202"/>
        <w:rPr>
          <w:rFonts w:ascii="Calibri" w:eastAsia="Calibri"/>
        </w:rPr>
      </w:pPr>
      <w:r>
        <w:rPr/>
        <w:t>网址：</w:t>
      </w:r>
      <w:hyperlink r:id="rId31">
        <w:r>
          <w:rPr>
            <w:rFonts w:ascii="Calibri" w:eastAsia="Calibri"/>
          </w:rPr>
          <w:t>www.tenganxinxi.com </w:t>
        </w:r>
      </w:hyperlink>
      <w:r>
        <w:rPr/>
        <w:t>客户服务电话：</w:t>
      </w:r>
      <w:r>
        <w:rPr>
          <w:rFonts w:ascii="Calibri" w:eastAsia="Calibri"/>
        </w:rPr>
        <w:t>95017</w:t>
      </w:r>
    </w:p>
    <w:p>
      <w:pPr>
        <w:pStyle w:val="ListParagraph"/>
        <w:numPr>
          <w:ilvl w:val="0"/>
          <w:numId w:val="8"/>
        </w:numPr>
        <w:tabs>
          <w:tab w:pos="1218" w:val="left" w:leader="none"/>
        </w:tabs>
        <w:spacing w:line="269" w:lineRule="exact" w:before="0" w:after="0"/>
        <w:ind w:left="1217" w:right="0" w:hanging="638"/>
        <w:jc w:val="left"/>
        <w:rPr>
          <w:sz w:val="21"/>
        </w:rPr>
      </w:pPr>
      <w:r>
        <w:rPr>
          <w:spacing w:val="-3"/>
          <w:sz w:val="21"/>
        </w:rPr>
        <w:t>北京度小满基金销售有限公司</w:t>
      </w:r>
    </w:p>
    <w:p>
      <w:pPr>
        <w:pStyle w:val="BodyText"/>
        <w:spacing w:before="7"/>
        <w:rPr>
          <w:sz w:val="15"/>
        </w:rPr>
      </w:pPr>
    </w:p>
    <w:p>
      <w:pPr>
        <w:pStyle w:val="BodyText"/>
        <w:spacing w:line="417" w:lineRule="auto"/>
        <w:ind w:left="580" w:right="3394"/>
      </w:pPr>
      <w:r>
        <w:rPr/>
        <w:t>住所：北京市海淀区西北旺东路</w:t>
      </w:r>
      <w:r>
        <w:rPr>
          <w:rFonts w:ascii="Calibri" w:eastAsia="Calibri"/>
        </w:rPr>
        <w:t>10</w:t>
      </w:r>
      <w:r>
        <w:rPr/>
        <w:t>号院西区</w:t>
      </w:r>
      <w:r>
        <w:rPr>
          <w:rFonts w:ascii="Calibri" w:eastAsia="Calibri"/>
        </w:rPr>
        <w:t>4</w:t>
      </w:r>
      <w:r>
        <w:rPr/>
        <w:t>号楼</w:t>
      </w:r>
      <w:r>
        <w:rPr>
          <w:rFonts w:ascii="Calibri" w:eastAsia="Calibri"/>
        </w:rPr>
        <w:t>1</w:t>
      </w:r>
      <w:r>
        <w:rPr/>
        <w:t>层</w:t>
      </w:r>
      <w:r>
        <w:rPr>
          <w:rFonts w:ascii="Calibri" w:eastAsia="Calibri"/>
        </w:rPr>
        <w:t>103</w:t>
      </w:r>
      <w:r>
        <w:rPr/>
        <w:t>室办公地址：北京市海淀区西北旺东路</w:t>
      </w:r>
      <w:r>
        <w:rPr>
          <w:rFonts w:ascii="Calibri" w:eastAsia="Calibri"/>
        </w:rPr>
        <w:t>10</w:t>
      </w:r>
      <w:r>
        <w:rPr/>
        <w:t>号院西区</w:t>
      </w:r>
      <w:r>
        <w:rPr>
          <w:rFonts w:ascii="Calibri" w:eastAsia="Calibri"/>
        </w:rPr>
        <w:t>4</w:t>
      </w:r>
      <w:r>
        <w:rPr/>
        <w:t>号楼</w:t>
      </w:r>
    </w:p>
    <w:p>
      <w:pPr>
        <w:pStyle w:val="BodyText"/>
        <w:spacing w:line="417" w:lineRule="auto"/>
        <w:ind w:left="580" w:right="6837"/>
        <w:rPr>
          <w:rFonts w:ascii="Calibri" w:eastAsia="Calibri"/>
        </w:rPr>
      </w:pPr>
      <w:r>
        <w:rPr/>
        <w:t>法定代表人：葛新电话：</w:t>
      </w:r>
      <w:r>
        <w:rPr>
          <w:rFonts w:ascii="Calibri" w:eastAsia="Calibri"/>
        </w:rPr>
        <w:t>010-59403028 </w:t>
      </w:r>
      <w:r>
        <w:rPr/>
        <w:t>传真：</w:t>
      </w:r>
      <w:r>
        <w:rPr>
          <w:rFonts w:ascii="Calibri" w:eastAsia="Calibri"/>
        </w:rPr>
        <w:t>010-59403027</w:t>
      </w:r>
    </w:p>
    <w:p>
      <w:pPr>
        <w:pStyle w:val="BodyText"/>
        <w:ind w:left="580"/>
      </w:pPr>
      <w:r>
        <w:rPr/>
        <w:t>联系人：孙博超</w:t>
      </w:r>
    </w:p>
    <w:p>
      <w:pPr>
        <w:pStyle w:val="BodyText"/>
        <w:spacing w:before="7"/>
        <w:rPr>
          <w:sz w:val="15"/>
        </w:rPr>
      </w:pPr>
    </w:p>
    <w:p>
      <w:pPr>
        <w:pStyle w:val="BodyText"/>
        <w:spacing w:line="417" w:lineRule="auto"/>
        <w:ind w:left="580" w:right="6172"/>
        <w:rPr>
          <w:rFonts w:ascii="Calibri" w:eastAsia="Calibri"/>
        </w:rPr>
      </w:pPr>
      <w:r>
        <w:rPr/>
        <w:t>网址：</w:t>
      </w:r>
      <w:hyperlink r:id="rId32">
        <w:r>
          <w:rPr>
            <w:rFonts w:ascii="Calibri" w:eastAsia="Calibri"/>
          </w:rPr>
          <w:t>www.baiyingfund.com </w:t>
        </w:r>
      </w:hyperlink>
      <w:r>
        <w:rPr/>
        <w:t>客户服务电话：</w:t>
      </w:r>
      <w:r>
        <w:rPr>
          <w:rFonts w:ascii="Calibri" w:eastAsia="Calibri"/>
        </w:rPr>
        <w:t>95055-4</w:t>
      </w:r>
    </w:p>
    <w:p>
      <w:pPr>
        <w:pStyle w:val="ListParagraph"/>
        <w:numPr>
          <w:ilvl w:val="0"/>
          <w:numId w:val="8"/>
        </w:numPr>
        <w:tabs>
          <w:tab w:pos="1218" w:val="left" w:leader="none"/>
        </w:tabs>
        <w:spacing w:line="269" w:lineRule="exact" w:before="0" w:after="0"/>
        <w:ind w:left="1217" w:right="0" w:hanging="638"/>
        <w:jc w:val="left"/>
        <w:rPr>
          <w:sz w:val="21"/>
        </w:rPr>
      </w:pPr>
      <w:r>
        <w:rPr>
          <w:spacing w:val="-3"/>
          <w:sz w:val="21"/>
        </w:rPr>
        <w:t>诺亚正行基金销售有限公司</w:t>
      </w:r>
    </w:p>
    <w:p>
      <w:pPr>
        <w:pStyle w:val="BodyText"/>
        <w:spacing w:before="6"/>
        <w:rPr>
          <w:sz w:val="15"/>
        </w:rPr>
      </w:pPr>
    </w:p>
    <w:p>
      <w:pPr>
        <w:pStyle w:val="BodyText"/>
        <w:ind w:left="580"/>
      </w:pPr>
      <w:r>
        <w:rPr/>
        <w:t>住所：上海市虹口区飞虹路</w:t>
      </w:r>
      <w:r>
        <w:rPr>
          <w:rFonts w:ascii="Calibri" w:eastAsia="Calibri"/>
        </w:rPr>
        <w:t>360</w:t>
      </w:r>
      <w:r>
        <w:rPr/>
        <w:t>弄</w:t>
      </w:r>
      <w:r>
        <w:rPr>
          <w:rFonts w:ascii="Calibri" w:eastAsia="Calibri"/>
        </w:rPr>
        <w:t>9</w:t>
      </w:r>
      <w:r>
        <w:rPr/>
        <w:t>号</w:t>
      </w:r>
      <w:r>
        <w:rPr>
          <w:rFonts w:ascii="Calibri" w:eastAsia="Calibri"/>
        </w:rPr>
        <w:t>3724</w:t>
      </w:r>
      <w:r>
        <w:rPr/>
        <w:t>室</w:t>
      </w:r>
    </w:p>
    <w:p>
      <w:pPr>
        <w:pStyle w:val="BodyText"/>
        <w:spacing w:before="7"/>
        <w:rPr>
          <w:sz w:val="15"/>
        </w:rPr>
      </w:pPr>
    </w:p>
    <w:p>
      <w:pPr>
        <w:pStyle w:val="BodyText"/>
        <w:spacing w:line="417" w:lineRule="auto" w:before="1"/>
        <w:ind w:left="580" w:right="3701"/>
      </w:pPr>
      <w:r>
        <w:rPr/>
        <w:t>办公地址：上海市杨浦区昆明路</w:t>
      </w:r>
      <w:r>
        <w:rPr>
          <w:rFonts w:ascii="Calibri" w:eastAsia="Calibri"/>
        </w:rPr>
        <w:t>508</w:t>
      </w:r>
      <w:r>
        <w:rPr/>
        <w:t>号北美广场</w:t>
      </w:r>
      <w:r>
        <w:rPr>
          <w:rFonts w:ascii="Calibri" w:eastAsia="Calibri"/>
        </w:rPr>
        <w:t>B</w:t>
      </w:r>
      <w:r>
        <w:rPr/>
        <w:t>座</w:t>
      </w:r>
      <w:r>
        <w:rPr>
          <w:rFonts w:ascii="Calibri" w:eastAsia="Calibri"/>
        </w:rPr>
        <w:t>12</w:t>
      </w:r>
      <w:r>
        <w:rPr/>
        <w:t>楼法定代表人：汪静波</w:t>
      </w:r>
    </w:p>
    <w:p>
      <w:pPr>
        <w:pStyle w:val="BodyText"/>
        <w:spacing w:line="417" w:lineRule="auto"/>
        <w:ind w:left="580" w:right="6898"/>
        <w:rPr>
          <w:rFonts w:ascii="Calibri" w:eastAsia="Calibri"/>
        </w:rPr>
      </w:pPr>
      <w:r>
        <w:rPr/>
        <w:t>电话：</w:t>
      </w:r>
      <w:r>
        <w:rPr>
          <w:rFonts w:ascii="Calibri" w:eastAsia="Calibri"/>
        </w:rPr>
        <w:t>021-38509680 </w:t>
      </w:r>
      <w:r>
        <w:rPr/>
        <w:t>传真：</w:t>
      </w:r>
      <w:r>
        <w:rPr>
          <w:rFonts w:ascii="Calibri" w:eastAsia="Calibri"/>
        </w:rPr>
        <w:t>021-38509777</w:t>
      </w:r>
    </w:p>
    <w:p>
      <w:pPr>
        <w:pStyle w:val="BodyText"/>
        <w:spacing w:line="269" w:lineRule="exact"/>
        <w:ind w:left="580"/>
      </w:pPr>
      <w:r>
        <w:rPr/>
        <w:t>联系人：张裕</w:t>
      </w:r>
    </w:p>
    <w:p>
      <w:pPr>
        <w:pStyle w:val="BodyText"/>
        <w:spacing w:before="6"/>
        <w:rPr>
          <w:sz w:val="15"/>
        </w:rPr>
      </w:pPr>
    </w:p>
    <w:p>
      <w:pPr>
        <w:pStyle w:val="BodyText"/>
        <w:spacing w:line="417" w:lineRule="auto"/>
        <w:ind w:left="580" w:right="6098"/>
        <w:rPr>
          <w:rFonts w:ascii="Calibri" w:eastAsia="Calibri"/>
        </w:rPr>
      </w:pPr>
      <w:r>
        <w:rPr/>
        <w:t>网址：</w:t>
      </w:r>
      <w:hyperlink r:id="rId33">
        <w:r>
          <w:rPr>
            <w:rFonts w:ascii="Calibri" w:eastAsia="Calibri"/>
          </w:rPr>
          <w:t>www.noah-fund.com</w:t>
        </w:r>
      </w:hyperlink>
      <w:r>
        <w:rPr>
          <w:rFonts w:ascii="Calibri" w:eastAsia="Calibri"/>
        </w:rPr>
        <w:t> </w:t>
      </w:r>
      <w:r>
        <w:rPr>
          <w:spacing w:val="-3"/>
        </w:rPr>
        <w:t>客户服务电话：</w:t>
      </w:r>
      <w:r>
        <w:rPr>
          <w:rFonts w:ascii="Calibri" w:eastAsia="Calibri"/>
          <w:spacing w:val="-1"/>
        </w:rPr>
        <w:t>400-821-5399</w:t>
      </w:r>
    </w:p>
    <w:p>
      <w:pPr>
        <w:pStyle w:val="ListParagraph"/>
        <w:numPr>
          <w:ilvl w:val="0"/>
          <w:numId w:val="8"/>
        </w:numPr>
        <w:tabs>
          <w:tab w:pos="1218" w:val="left" w:leader="none"/>
        </w:tabs>
        <w:spacing w:line="240" w:lineRule="auto" w:before="0" w:after="0"/>
        <w:ind w:left="1217" w:right="0" w:hanging="638"/>
        <w:jc w:val="left"/>
        <w:rPr>
          <w:sz w:val="21"/>
        </w:rPr>
      </w:pPr>
      <w:r>
        <w:rPr>
          <w:spacing w:val="-3"/>
          <w:sz w:val="21"/>
        </w:rPr>
        <w:t>深圳众禄基金销售股份有限公司</w:t>
      </w:r>
    </w:p>
    <w:p>
      <w:pPr>
        <w:pStyle w:val="BodyText"/>
        <w:spacing w:before="7"/>
        <w:rPr>
          <w:sz w:val="15"/>
        </w:rPr>
      </w:pPr>
    </w:p>
    <w:p>
      <w:pPr>
        <w:pStyle w:val="BodyText"/>
        <w:ind w:left="580"/>
        <w:rPr>
          <w:rFonts w:ascii="Calibri" w:eastAsia="Calibri"/>
        </w:rPr>
      </w:pPr>
      <w:r>
        <w:rPr>
          <w:spacing w:val="-3"/>
        </w:rPr>
        <w:t>住所：深圳市罗湖区梨园路物资控股置地大厦</w:t>
      </w:r>
      <w:r>
        <w:rPr>
          <w:rFonts w:ascii="Calibri" w:eastAsia="Calibri"/>
        </w:rPr>
        <w:t>8</w:t>
      </w:r>
      <w:r>
        <w:rPr/>
        <w:t>楼</w:t>
      </w:r>
      <w:r>
        <w:rPr>
          <w:rFonts w:ascii="Calibri" w:eastAsia="Calibri"/>
          <w:spacing w:val="-2"/>
        </w:rPr>
        <w:t>801</w:t>
      </w:r>
    </w:p>
    <w:p>
      <w:pPr>
        <w:pStyle w:val="BodyText"/>
        <w:spacing w:before="3"/>
        <w:rPr>
          <w:rFonts w:ascii="Calibri"/>
          <w:sz w:val="16"/>
        </w:rPr>
      </w:pPr>
    </w:p>
    <w:p>
      <w:pPr>
        <w:pStyle w:val="BodyText"/>
        <w:spacing w:line="417" w:lineRule="auto" w:before="1"/>
        <w:ind w:left="580" w:right="3503"/>
      </w:pPr>
      <w:r>
        <w:rPr/>
        <w:t>办公地址：深圳市罗湖区梨园路物资控股置地大厦</w:t>
      </w:r>
      <w:r>
        <w:rPr>
          <w:rFonts w:ascii="Calibri" w:eastAsia="Calibri"/>
        </w:rPr>
        <w:t>8</w:t>
      </w:r>
      <w:r>
        <w:rPr/>
        <w:t>楼</w:t>
      </w:r>
      <w:r>
        <w:rPr>
          <w:rFonts w:ascii="Calibri" w:eastAsia="Calibri"/>
        </w:rPr>
        <w:t>801 </w:t>
      </w:r>
      <w:r>
        <w:rPr/>
        <w:t>法定代表人：薛峰</w:t>
      </w:r>
    </w:p>
    <w:p>
      <w:pPr>
        <w:pStyle w:val="BodyText"/>
        <w:spacing w:line="417" w:lineRule="auto"/>
        <w:ind w:left="580" w:right="6790"/>
        <w:rPr>
          <w:rFonts w:ascii="Calibri" w:eastAsia="Calibri"/>
        </w:rPr>
      </w:pPr>
      <w:r>
        <w:rPr/>
        <w:t>电话：</w:t>
      </w:r>
      <w:r>
        <w:rPr>
          <w:rFonts w:ascii="Calibri" w:eastAsia="Calibri"/>
        </w:rPr>
        <w:t>0755-33227950 </w:t>
      </w:r>
      <w:r>
        <w:rPr/>
        <w:t>传真：</w:t>
      </w:r>
      <w:r>
        <w:rPr>
          <w:rFonts w:ascii="Calibri" w:eastAsia="Calibri"/>
        </w:rPr>
        <w:t>0755-33227951</w:t>
      </w:r>
    </w:p>
    <w:p>
      <w:pPr>
        <w:pStyle w:val="BodyText"/>
        <w:spacing w:line="269" w:lineRule="exact"/>
        <w:ind w:left="580"/>
      </w:pPr>
      <w:r>
        <w:rPr/>
        <w:t>联系人：童彩平</w:t>
      </w:r>
    </w:p>
    <w:p>
      <w:pPr>
        <w:pStyle w:val="BodyText"/>
        <w:spacing w:before="6"/>
        <w:rPr>
          <w:sz w:val="15"/>
        </w:rPr>
      </w:pPr>
    </w:p>
    <w:p>
      <w:pPr>
        <w:pStyle w:val="BodyText"/>
        <w:ind w:left="580"/>
        <w:rPr>
          <w:rFonts w:ascii="Calibri" w:eastAsia="Calibri"/>
        </w:rPr>
      </w:pPr>
      <w:r>
        <w:rPr/>
        <w:t>网址：</w:t>
      </w:r>
      <w:hyperlink r:id="rId34">
        <w:r>
          <w:rPr>
            <w:rFonts w:ascii="Calibri" w:eastAsia="Calibri"/>
          </w:rPr>
          <w:t>www.zlfund.cn</w:t>
        </w:r>
      </w:hyperlink>
    </w:p>
    <w:p>
      <w:pPr>
        <w:pStyle w:val="BodyText"/>
        <w:spacing w:before="4"/>
        <w:rPr>
          <w:rFonts w:ascii="Calibri"/>
          <w:sz w:val="16"/>
        </w:rPr>
      </w:pPr>
    </w:p>
    <w:p>
      <w:pPr>
        <w:pStyle w:val="BodyText"/>
        <w:ind w:left="580"/>
        <w:rPr>
          <w:rFonts w:ascii="Calibri" w:eastAsia="Calibri"/>
        </w:rPr>
      </w:pPr>
      <w:r>
        <w:rPr/>
        <w:t>客户服务电话：</w:t>
      </w:r>
      <w:r>
        <w:rPr>
          <w:rFonts w:ascii="Calibri" w:eastAsia="Calibri"/>
        </w:rPr>
        <w:t>4006-788-887</w:t>
      </w:r>
    </w:p>
    <w:p>
      <w:pPr>
        <w:spacing w:after="0"/>
        <w:rPr>
          <w:rFonts w:ascii="Calibri" w:eastAsia="Calibri"/>
        </w:rPr>
        <w:sectPr>
          <w:pgSz w:w="11910" w:h="16840"/>
          <w:pgMar w:header="877" w:footer="995" w:top="1420" w:bottom="1180" w:left="1640" w:right="920"/>
        </w:sectPr>
      </w:pPr>
    </w:p>
    <w:p>
      <w:pPr>
        <w:pStyle w:val="ListParagraph"/>
        <w:numPr>
          <w:ilvl w:val="0"/>
          <w:numId w:val="8"/>
        </w:numPr>
        <w:tabs>
          <w:tab w:pos="1218" w:val="left" w:leader="none"/>
        </w:tabs>
        <w:spacing w:line="240" w:lineRule="auto" w:before="110" w:after="0"/>
        <w:ind w:left="1217" w:right="0" w:hanging="638"/>
        <w:jc w:val="left"/>
        <w:rPr>
          <w:sz w:val="21"/>
        </w:rPr>
      </w:pPr>
      <w:r>
        <w:rPr>
          <w:spacing w:val="-3"/>
          <w:sz w:val="21"/>
        </w:rPr>
        <w:t>上海天天基金销售有限公司</w:t>
      </w:r>
    </w:p>
    <w:p>
      <w:pPr>
        <w:pStyle w:val="BodyText"/>
        <w:spacing w:before="6"/>
        <w:rPr>
          <w:sz w:val="15"/>
        </w:rPr>
      </w:pPr>
    </w:p>
    <w:p>
      <w:pPr>
        <w:pStyle w:val="BodyText"/>
        <w:ind w:left="580"/>
      </w:pPr>
      <w:r>
        <w:rPr/>
        <w:t>住所：上海市徐汇区龙田路</w:t>
      </w:r>
      <w:r>
        <w:rPr>
          <w:rFonts w:ascii="Calibri" w:eastAsia="Calibri"/>
        </w:rPr>
        <w:t>190</w:t>
      </w:r>
      <w:r>
        <w:rPr/>
        <w:t>号</w:t>
      </w:r>
      <w:r>
        <w:rPr>
          <w:rFonts w:ascii="Calibri" w:eastAsia="Calibri"/>
        </w:rPr>
        <w:t>2</w:t>
      </w:r>
      <w:r>
        <w:rPr/>
        <w:t>号楼</w:t>
      </w:r>
    </w:p>
    <w:p>
      <w:pPr>
        <w:pStyle w:val="BodyText"/>
        <w:spacing w:before="7"/>
        <w:rPr>
          <w:sz w:val="15"/>
        </w:rPr>
      </w:pPr>
    </w:p>
    <w:p>
      <w:pPr>
        <w:pStyle w:val="BodyText"/>
        <w:spacing w:line="417" w:lineRule="auto"/>
        <w:ind w:left="580" w:right="3504"/>
      </w:pPr>
      <w:r>
        <w:rPr/>
        <w:t>办公地址：上海市徐汇区宛平南路</w:t>
      </w:r>
      <w:r>
        <w:rPr>
          <w:rFonts w:ascii="Calibri" w:eastAsia="Calibri"/>
        </w:rPr>
        <w:t>88</w:t>
      </w:r>
      <w:r>
        <w:rPr/>
        <w:t>号金座东方财富大厦法定代表人：其实</w:t>
      </w:r>
    </w:p>
    <w:p>
      <w:pPr>
        <w:pStyle w:val="BodyText"/>
        <w:spacing w:line="269" w:lineRule="exact"/>
        <w:ind w:left="580"/>
        <w:rPr>
          <w:rFonts w:ascii="Calibri" w:eastAsia="Calibri"/>
        </w:rPr>
      </w:pPr>
      <w:r>
        <w:rPr/>
        <w:t>电话：</w:t>
      </w:r>
      <w:r>
        <w:rPr>
          <w:rFonts w:ascii="Calibri" w:eastAsia="Calibri"/>
        </w:rPr>
        <w:t>95021</w:t>
      </w:r>
    </w:p>
    <w:p>
      <w:pPr>
        <w:pStyle w:val="BodyText"/>
        <w:spacing w:before="4"/>
        <w:rPr>
          <w:rFonts w:ascii="Calibri"/>
          <w:sz w:val="16"/>
        </w:rPr>
      </w:pPr>
    </w:p>
    <w:p>
      <w:pPr>
        <w:pStyle w:val="BodyText"/>
        <w:ind w:left="580"/>
        <w:rPr>
          <w:rFonts w:ascii="Calibri" w:eastAsia="Calibri"/>
        </w:rPr>
      </w:pPr>
      <w:r>
        <w:rPr/>
        <w:t>传真：</w:t>
      </w:r>
      <w:r>
        <w:rPr>
          <w:rFonts w:ascii="Calibri" w:eastAsia="Calibri"/>
        </w:rPr>
        <w:t>021-64385308</w:t>
      </w:r>
    </w:p>
    <w:p>
      <w:pPr>
        <w:pStyle w:val="BodyText"/>
        <w:spacing w:before="3"/>
        <w:rPr>
          <w:rFonts w:ascii="Calibri"/>
          <w:sz w:val="16"/>
        </w:rPr>
      </w:pPr>
    </w:p>
    <w:p>
      <w:pPr>
        <w:pStyle w:val="BodyText"/>
        <w:ind w:left="580"/>
      </w:pPr>
      <w:r>
        <w:rPr/>
        <w:t>联系人：屠彦洋</w:t>
      </w:r>
    </w:p>
    <w:p>
      <w:pPr>
        <w:pStyle w:val="BodyText"/>
        <w:spacing w:before="8"/>
        <w:rPr>
          <w:sz w:val="15"/>
        </w:rPr>
      </w:pPr>
    </w:p>
    <w:p>
      <w:pPr>
        <w:pStyle w:val="BodyText"/>
        <w:spacing w:line="417" w:lineRule="auto"/>
        <w:ind w:left="580" w:right="6098"/>
        <w:rPr>
          <w:rFonts w:ascii="Calibri" w:eastAsia="Calibri"/>
        </w:rPr>
      </w:pPr>
      <w:r>
        <w:rPr/>
        <w:t>网址：</w:t>
      </w:r>
      <w:hyperlink r:id="rId35">
        <w:r>
          <w:rPr>
            <w:rFonts w:ascii="Calibri" w:eastAsia="Calibri"/>
          </w:rPr>
          <w:t>www.1234567.com.cn </w:t>
        </w:r>
      </w:hyperlink>
      <w:r>
        <w:rPr/>
        <w:t>客户服务电话：</w:t>
      </w:r>
      <w:r>
        <w:rPr>
          <w:rFonts w:ascii="Calibri" w:eastAsia="Calibri"/>
        </w:rPr>
        <w:t>400-181-8188</w:t>
      </w:r>
    </w:p>
    <w:p>
      <w:pPr>
        <w:pStyle w:val="ListParagraph"/>
        <w:numPr>
          <w:ilvl w:val="0"/>
          <w:numId w:val="8"/>
        </w:numPr>
        <w:tabs>
          <w:tab w:pos="1218" w:val="left" w:leader="none"/>
        </w:tabs>
        <w:spacing w:line="269" w:lineRule="exact" w:before="0" w:after="0"/>
        <w:ind w:left="1217" w:right="0" w:hanging="638"/>
        <w:jc w:val="left"/>
        <w:rPr>
          <w:sz w:val="21"/>
        </w:rPr>
      </w:pPr>
      <w:r>
        <w:rPr>
          <w:spacing w:val="-3"/>
          <w:sz w:val="21"/>
        </w:rPr>
        <w:t>上海好买基金销售有限公司</w:t>
      </w:r>
    </w:p>
    <w:p>
      <w:pPr>
        <w:pStyle w:val="BodyText"/>
        <w:spacing w:before="6"/>
        <w:rPr>
          <w:sz w:val="15"/>
        </w:rPr>
      </w:pPr>
    </w:p>
    <w:p>
      <w:pPr>
        <w:pStyle w:val="BodyText"/>
        <w:spacing w:before="1"/>
        <w:ind w:left="580"/>
      </w:pPr>
      <w:r>
        <w:rPr/>
        <w:t>住所：上海市虹口区场中路</w:t>
      </w:r>
      <w:r>
        <w:rPr>
          <w:rFonts w:ascii="Calibri" w:eastAsia="Calibri"/>
        </w:rPr>
        <w:t>685</w:t>
      </w:r>
      <w:r>
        <w:rPr/>
        <w:t>弄</w:t>
      </w:r>
      <w:r>
        <w:rPr>
          <w:rFonts w:ascii="Calibri" w:eastAsia="Calibri"/>
        </w:rPr>
        <w:t>37</w:t>
      </w:r>
      <w:r>
        <w:rPr/>
        <w:t>号</w:t>
      </w:r>
      <w:r>
        <w:rPr>
          <w:rFonts w:ascii="Calibri" w:eastAsia="Calibri"/>
        </w:rPr>
        <w:t>4</w:t>
      </w:r>
      <w:r>
        <w:rPr/>
        <w:t>号楼</w:t>
      </w:r>
      <w:r>
        <w:rPr>
          <w:rFonts w:ascii="Calibri" w:eastAsia="Calibri"/>
        </w:rPr>
        <w:t>449</w:t>
      </w:r>
      <w:r>
        <w:rPr/>
        <w:t>室</w:t>
      </w:r>
    </w:p>
    <w:p>
      <w:pPr>
        <w:pStyle w:val="BodyText"/>
        <w:spacing w:before="6"/>
        <w:rPr>
          <w:sz w:val="15"/>
        </w:rPr>
      </w:pPr>
    </w:p>
    <w:p>
      <w:pPr>
        <w:pStyle w:val="BodyText"/>
        <w:spacing w:line="417" w:lineRule="auto"/>
        <w:ind w:left="580" w:right="2129"/>
      </w:pPr>
      <w:r>
        <w:rPr/>
        <w:t>办公地址：上海市浦东新区浦东南路</w:t>
      </w:r>
      <w:r>
        <w:rPr>
          <w:rFonts w:ascii="Calibri" w:eastAsia="Calibri"/>
        </w:rPr>
        <w:t>1118</w:t>
      </w:r>
      <w:r>
        <w:rPr/>
        <w:t>号鄂尔多斯国际大厦</w:t>
      </w:r>
      <w:r>
        <w:rPr>
          <w:rFonts w:ascii="Calibri" w:eastAsia="Calibri"/>
        </w:rPr>
        <w:t>903~906</w:t>
      </w:r>
      <w:r>
        <w:rPr/>
        <w:t>室法定代表人：杨文斌</w:t>
      </w:r>
    </w:p>
    <w:p>
      <w:pPr>
        <w:pStyle w:val="BodyText"/>
        <w:spacing w:line="417" w:lineRule="auto"/>
        <w:ind w:left="580" w:right="6898"/>
        <w:rPr>
          <w:rFonts w:ascii="Calibri" w:eastAsia="Calibri"/>
        </w:rPr>
      </w:pPr>
      <w:r>
        <w:rPr/>
        <w:t>电话：</w:t>
      </w:r>
      <w:r>
        <w:rPr>
          <w:rFonts w:ascii="Calibri" w:eastAsia="Calibri"/>
        </w:rPr>
        <w:t>021-20613635 </w:t>
      </w:r>
      <w:r>
        <w:rPr/>
        <w:t>传真：</w:t>
      </w:r>
      <w:r>
        <w:rPr>
          <w:rFonts w:ascii="Calibri" w:eastAsia="Calibri"/>
        </w:rPr>
        <w:t>021-68596916</w:t>
      </w:r>
    </w:p>
    <w:p>
      <w:pPr>
        <w:pStyle w:val="BodyText"/>
        <w:ind w:left="580"/>
      </w:pPr>
      <w:r>
        <w:rPr/>
        <w:t>联系人：周天雪</w:t>
      </w:r>
    </w:p>
    <w:p>
      <w:pPr>
        <w:pStyle w:val="BodyText"/>
        <w:spacing w:before="7"/>
        <w:rPr>
          <w:sz w:val="15"/>
        </w:rPr>
      </w:pPr>
    </w:p>
    <w:p>
      <w:pPr>
        <w:pStyle w:val="BodyText"/>
        <w:ind w:left="580"/>
        <w:rPr>
          <w:rFonts w:ascii="Calibri" w:eastAsia="Calibri"/>
        </w:rPr>
      </w:pPr>
      <w:r>
        <w:rPr/>
        <w:t>网址：</w:t>
      </w:r>
      <w:hyperlink r:id="rId36">
        <w:r>
          <w:rPr>
            <w:rFonts w:ascii="Calibri" w:eastAsia="Calibri"/>
          </w:rPr>
          <w:t>www.ehowbuy.com</w:t>
        </w:r>
      </w:hyperlink>
    </w:p>
    <w:p>
      <w:pPr>
        <w:pStyle w:val="BodyText"/>
        <w:spacing w:before="3"/>
        <w:rPr>
          <w:rFonts w:ascii="Calibri"/>
          <w:sz w:val="16"/>
        </w:rPr>
      </w:pPr>
    </w:p>
    <w:p>
      <w:pPr>
        <w:pStyle w:val="BodyText"/>
        <w:ind w:left="580"/>
        <w:rPr>
          <w:rFonts w:ascii="Calibri" w:eastAsia="Calibri"/>
        </w:rPr>
      </w:pPr>
      <w:r>
        <w:rPr/>
        <w:t>客户服务电话：</w:t>
      </w:r>
      <w:r>
        <w:rPr>
          <w:rFonts w:ascii="Calibri" w:eastAsia="Calibri"/>
        </w:rPr>
        <w:t>400-700-9665</w:t>
      </w:r>
    </w:p>
    <w:p>
      <w:pPr>
        <w:pStyle w:val="BodyText"/>
        <w:spacing w:before="4"/>
        <w:rPr>
          <w:rFonts w:ascii="Calibri"/>
          <w:sz w:val="16"/>
        </w:rPr>
      </w:pPr>
    </w:p>
    <w:p>
      <w:pPr>
        <w:pStyle w:val="ListParagraph"/>
        <w:numPr>
          <w:ilvl w:val="0"/>
          <w:numId w:val="8"/>
        </w:numPr>
        <w:tabs>
          <w:tab w:pos="1218" w:val="left" w:leader="none"/>
        </w:tabs>
        <w:spacing w:line="240" w:lineRule="auto" w:before="0" w:after="0"/>
        <w:ind w:left="1217" w:right="0" w:hanging="638"/>
        <w:jc w:val="left"/>
        <w:rPr>
          <w:sz w:val="21"/>
        </w:rPr>
      </w:pPr>
      <w:r>
        <w:rPr>
          <w:spacing w:val="-2"/>
          <w:sz w:val="21"/>
        </w:rPr>
        <w:t>蚂蚁</w:t>
      </w:r>
      <w:r>
        <w:rPr>
          <w:sz w:val="21"/>
        </w:rPr>
        <w:t>（</w:t>
      </w:r>
      <w:r>
        <w:rPr>
          <w:spacing w:val="-2"/>
          <w:sz w:val="21"/>
        </w:rPr>
        <w:t>杭州</w:t>
      </w:r>
      <w:r>
        <w:rPr>
          <w:spacing w:val="-3"/>
          <w:sz w:val="21"/>
        </w:rPr>
        <w:t>）基金销售有限公司</w:t>
      </w:r>
    </w:p>
    <w:p>
      <w:pPr>
        <w:pStyle w:val="BodyText"/>
        <w:spacing w:before="7"/>
        <w:rPr>
          <w:sz w:val="15"/>
        </w:rPr>
      </w:pPr>
    </w:p>
    <w:p>
      <w:pPr>
        <w:pStyle w:val="BodyText"/>
        <w:spacing w:line="417" w:lineRule="auto"/>
        <w:ind w:left="580" w:right="2868"/>
      </w:pPr>
      <w:r>
        <w:rPr/>
        <w:t>住所：浙江省杭州市余杭区五常街道文一西路</w:t>
      </w:r>
      <w:r>
        <w:rPr>
          <w:rFonts w:ascii="Calibri" w:eastAsia="Calibri"/>
        </w:rPr>
        <w:t>969</w:t>
      </w:r>
      <w:r>
        <w:rPr/>
        <w:t>号</w:t>
      </w:r>
      <w:r>
        <w:rPr>
          <w:rFonts w:ascii="Calibri" w:eastAsia="Calibri"/>
        </w:rPr>
        <w:t>3</w:t>
      </w:r>
      <w:r>
        <w:rPr/>
        <w:t>幢</w:t>
      </w:r>
      <w:r>
        <w:rPr>
          <w:rFonts w:ascii="Calibri" w:eastAsia="Calibri"/>
        </w:rPr>
        <w:t>5</w:t>
      </w:r>
      <w:r>
        <w:rPr/>
        <w:t>层</w:t>
      </w:r>
      <w:r>
        <w:rPr>
          <w:rFonts w:ascii="Calibri" w:eastAsia="Calibri"/>
        </w:rPr>
        <w:t>599</w:t>
      </w:r>
      <w:r>
        <w:rPr/>
        <w:t>室办公地址：浙江省杭州市西湖区万塘路</w:t>
      </w:r>
      <w:r>
        <w:rPr>
          <w:rFonts w:ascii="Calibri" w:eastAsia="Calibri"/>
        </w:rPr>
        <w:t>18</w:t>
      </w:r>
      <w:r>
        <w:rPr/>
        <w:t>号黄龙时代广场</w:t>
      </w:r>
      <w:r>
        <w:rPr>
          <w:rFonts w:ascii="Calibri" w:eastAsia="Calibri"/>
        </w:rPr>
        <w:t>B</w:t>
      </w:r>
      <w:r>
        <w:rPr/>
        <w:t>座</w:t>
      </w:r>
      <w:r>
        <w:rPr>
          <w:rFonts w:ascii="Calibri" w:eastAsia="Calibri"/>
        </w:rPr>
        <w:t>6F </w:t>
      </w:r>
      <w:r>
        <w:rPr/>
        <w:t>法定代表人：祖国明</w:t>
      </w:r>
    </w:p>
    <w:p>
      <w:pPr>
        <w:pStyle w:val="BodyText"/>
        <w:ind w:left="580"/>
        <w:rPr>
          <w:rFonts w:ascii="Calibri" w:eastAsia="Calibri"/>
        </w:rPr>
      </w:pPr>
      <w:r>
        <w:rPr/>
        <w:t>电话：</w:t>
      </w:r>
      <w:r>
        <w:rPr>
          <w:rFonts w:ascii="Calibri" w:eastAsia="Calibri"/>
        </w:rPr>
        <w:t>18205712248</w:t>
      </w:r>
    </w:p>
    <w:p>
      <w:pPr>
        <w:pStyle w:val="BodyText"/>
        <w:spacing w:before="3"/>
        <w:rPr>
          <w:rFonts w:ascii="Calibri"/>
          <w:sz w:val="16"/>
        </w:rPr>
      </w:pPr>
    </w:p>
    <w:p>
      <w:pPr>
        <w:pStyle w:val="BodyText"/>
        <w:ind w:left="580"/>
      </w:pPr>
      <w:r>
        <w:rPr/>
        <w:t>联系人：韩爱斌</w:t>
      </w:r>
    </w:p>
    <w:p>
      <w:pPr>
        <w:pStyle w:val="BodyText"/>
        <w:spacing w:before="7"/>
        <w:rPr>
          <w:sz w:val="15"/>
        </w:rPr>
      </w:pPr>
    </w:p>
    <w:p>
      <w:pPr>
        <w:pStyle w:val="BodyText"/>
        <w:ind w:left="580"/>
        <w:rPr>
          <w:rFonts w:ascii="Calibri" w:eastAsia="Calibri"/>
        </w:rPr>
      </w:pPr>
      <w:r>
        <w:rPr/>
        <w:t>网址：</w:t>
      </w:r>
      <w:hyperlink r:id="rId37">
        <w:r>
          <w:rPr>
            <w:rFonts w:ascii="Calibri" w:eastAsia="Calibri"/>
          </w:rPr>
          <w:t>www.fund123.cn</w:t>
        </w:r>
      </w:hyperlink>
    </w:p>
    <w:p>
      <w:pPr>
        <w:pStyle w:val="BodyText"/>
        <w:spacing w:before="4"/>
        <w:rPr>
          <w:rFonts w:ascii="Calibri"/>
          <w:sz w:val="16"/>
        </w:rPr>
      </w:pPr>
    </w:p>
    <w:p>
      <w:pPr>
        <w:pStyle w:val="BodyText"/>
        <w:ind w:left="580"/>
        <w:rPr>
          <w:rFonts w:ascii="Calibri" w:eastAsia="Calibri"/>
        </w:rPr>
      </w:pPr>
      <w:r>
        <w:rPr/>
        <w:t>客户服务电话：</w:t>
      </w:r>
      <w:r>
        <w:rPr>
          <w:rFonts w:ascii="Calibri" w:eastAsia="Calibri"/>
        </w:rPr>
        <w:t>4000-766-123</w:t>
      </w:r>
    </w:p>
    <w:p>
      <w:pPr>
        <w:pStyle w:val="BodyText"/>
        <w:spacing w:before="3"/>
        <w:rPr>
          <w:rFonts w:ascii="Calibri"/>
          <w:sz w:val="16"/>
        </w:rPr>
      </w:pPr>
    </w:p>
    <w:p>
      <w:pPr>
        <w:pStyle w:val="ListParagraph"/>
        <w:numPr>
          <w:ilvl w:val="0"/>
          <w:numId w:val="8"/>
        </w:numPr>
        <w:tabs>
          <w:tab w:pos="1218" w:val="left" w:leader="none"/>
        </w:tabs>
        <w:spacing w:line="240" w:lineRule="auto" w:before="0" w:after="0"/>
        <w:ind w:left="1217" w:right="0" w:hanging="638"/>
        <w:jc w:val="left"/>
        <w:rPr>
          <w:sz w:val="21"/>
        </w:rPr>
      </w:pPr>
      <w:r>
        <w:rPr>
          <w:spacing w:val="-3"/>
          <w:sz w:val="21"/>
        </w:rPr>
        <w:t>上海长量基金销售有限公司</w:t>
      </w:r>
    </w:p>
    <w:p>
      <w:pPr>
        <w:pStyle w:val="BodyText"/>
        <w:spacing w:before="7"/>
        <w:rPr>
          <w:sz w:val="15"/>
        </w:rPr>
      </w:pPr>
    </w:p>
    <w:p>
      <w:pPr>
        <w:pStyle w:val="BodyText"/>
        <w:ind w:left="580"/>
      </w:pPr>
      <w:r>
        <w:rPr/>
        <w:t>住所：上海市浦东新区高翔路</w:t>
      </w:r>
      <w:r>
        <w:rPr>
          <w:rFonts w:ascii="Calibri" w:eastAsia="Calibri"/>
        </w:rPr>
        <w:t>526</w:t>
      </w:r>
      <w:r>
        <w:rPr/>
        <w:t>号</w:t>
      </w:r>
      <w:r>
        <w:rPr>
          <w:rFonts w:ascii="Calibri" w:eastAsia="Calibri"/>
        </w:rPr>
        <w:t>2</w:t>
      </w:r>
      <w:r>
        <w:rPr/>
        <w:t>幢</w:t>
      </w:r>
      <w:r>
        <w:rPr>
          <w:rFonts w:ascii="Calibri" w:eastAsia="Calibri"/>
        </w:rPr>
        <w:t>220</w:t>
      </w:r>
      <w:r>
        <w:rPr/>
        <w:t>室</w:t>
      </w:r>
    </w:p>
    <w:p>
      <w:pPr>
        <w:pStyle w:val="BodyText"/>
        <w:spacing w:before="7"/>
        <w:rPr>
          <w:sz w:val="15"/>
        </w:rPr>
      </w:pPr>
    </w:p>
    <w:p>
      <w:pPr>
        <w:pStyle w:val="BodyText"/>
        <w:spacing w:line="417" w:lineRule="auto"/>
        <w:ind w:left="580" w:right="3283"/>
      </w:pPr>
      <w:r>
        <w:rPr/>
        <w:t>办公地址：上海市浦东新区浦东大道</w:t>
      </w:r>
      <w:r>
        <w:rPr>
          <w:rFonts w:ascii="Calibri" w:eastAsia="Calibri"/>
        </w:rPr>
        <w:t>555</w:t>
      </w:r>
      <w:r>
        <w:rPr/>
        <w:t>号裕景国际</w:t>
      </w:r>
      <w:r>
        <w:rPr>
          <w:rFonts w:ascii="Calibri" w:eastAsia="Calibri"/>
        </w:rPr>
        <w:t>B</w:t>
      </w:r>
      <w:r>
        <w:rPr/>
        <w:t>座</w:t>
      </w:r>
      <w:r>
        <w:rPr>
          <w:rFonts w:ascii="Calibri" w:eastAsia="Calibri"/>
        </w:rPr>
        <w:t>16</w:t>
      </w:r>
      <w:r>
        <w:rPr/>
        <w:t>层法定代表人：张跃伟</w:t>
      </w:r>
    </w:p>
    <w:p>
      <w:pPr>
        <w:spacing w:after="0" w:line="417" w:lineRule="auto"/>
        <w:sectPr>
          <w:pgSz w:w="11910" w:h="16840"/>
          <w:pgMar w:header="877" w:footer="995" w:top="1420" w:bottom="1180" w:left="1640" w:right="920"/>
        </w:sectPr>
      </w:pPr>
    </w:p>
    <w:p>
      <w:pPr>
        <w:pStyle w:val="BodyText"/>
        <w:spacing w:line="417" w:lineRule="auto" w:before="110"/>
        <w:ind w:left="580" w:right="6898"/>
        <w:rPr>
          <w:rFonts w:ascii="Calibri" w:eastAsia="Calibri"/>
        </w:rPr>
      </w:pPr>
      <w:r>
        <w:rPr/>
        <w:t>电话：</w:t>
      </w:r>
      <w:r>
        <w:rPr>
          <w:rFonts w:ascii="Calibri" w:eastAsia="Calibri"/>
        </w:rPr>
        <w:t>021-20691832 </w:t>
      </w:r>
      <w:r>
        <w:rPr/>
        <w:t>传真：</w:t>
      </w:r>
      <w:r>
        <w:rPr>
          <w:rFonts w:ascii="Calibri" w:eastAsia="Calibri"/>
        </w:rPr>
        <w:t>021-20691861</w:t>
      </w:r>
    </w:p>
    <w:p>
      <w:pPr>
        <w:pStyle w:val="BodyText"/>
        <w:spacing w:line="269" w:lineRule="exact"/>
        <w:ind w:left="580"/>
      </w:pPr>
      <w:r>
        <w:rPr/>
        <w:t>联系人：黄辉</w:t>
      </w:r>
    </w:p>
    <w:p>
      <w:pPr>
        <w:pStyle w:val="BodyText"/>
        <w:spacing w:before="6"/>
        <w:rPr>
          <w:sz w:val="15"/>
        </w:rPr>
      </w:pPr>
    </w:p>
    <w:p>
      <w:pPr>
        <w:pStyle w:val="BodyText"/>
        <w:ind w:left="580"/>
        <w:rPr>
          <w:rFonts w:ascii="Calibri" w:eastAsia="Calibri"/>
        </w:rPr>
      </w:pPr>
      <w:r>
        <w:rPr/>
        <w:t>网址：</w:t>
      </w:r>
      <w:hyperlink r:id="rId38">
        <w:r>
          <w:rPr>
            <w:rFonts w:ascii="Calibri" w:eastAsia="Calibri"/>
          </w:rPr>
          <w:t>www.erichfund.com</w:t>
        </w:r>
      </w:hyperlink>
    </w:p>
    <w:p>
      <w:pPr>
        <w:pStyle w:val="BodyText"/>
        <w:spacing w:before="4"/>
        <w:rPr>
          <w:rFonts w:ascii="Calibri"/>
          <w:sz w:val="16"/>
        </w:rPr>
      </w:pPr>
    </w:p>
    <w:p>
      <w:pPr>
        <w:pStyle w:val="BodyText"/>
        <w:ind w:left="580"/>
        <w:rPr>
          <w:rFonts w:ascii="Calibri" w:eastAsia="Calibri"/>
        </w:rPr>
      </w:pPr>
      <w:r>
        <w:rPr/>
        <w:t>客户服务电话：</w:t>
      </w:r>
      <w:r>
        <w:rPr>
          <w:rFonts w:ascii="Calibri" w:eastAsia="Calibri"/>
        </w:rPr>
        <w:t>400-820-2899</w:t>
      </w:r>
    </w:p>
    <w:p>
      <w:pPr>
        <w:pStyle w:val="BodyText"/>
        <w:spacing w:before="4"/>
        <w:rPr>
          <w:rFonts w:ascii="Calibri"/>
          <w:sz w:val="16"/>
        </w:rPr>
      </w:pPr>
    </w:p>
    <w:p>
      <w:pPr>
        <w:pStyle w:val="ListParagraph"/>
        <w:numPr>
          <w:ilvl w:val="0"/>
          <w:numId w:val="8"/>
        </w:numPr>
        <w:tabs>
          <w:tab w:pos="1218" w:val="left" w:leader="none"/>
        </w:tabs>
        <w:spacing w:line="240" w:lineRule="auto" w:before="0" w:after="0"/>
        <w:ind w:left="1217" w:right="0" w:hanging="638"/>
        <w:jc w:val="left"/>
        <w:rPr>
          <w:sz w:val="21"/>
        </w:rPr>
      </w:pPr>
      <w:r>
        <w:rPr>
          <w:spacing w:val="-3"/>
          <w:sz w:val="21"/>
        </w:rPr>
        <w:t>浙江同花顺基金销售有限公司</w:t>
      </w:r>
    </w:p>
    <w:p>
      <w:pPr>
        <w:pStyle w:val="BodyText"/>
        <w:spacing w:before="6"/>
        <w:rPr>
          <w:sz w:val="15"/>
        </w:rPr>
      </w:pPr>
    </w:p>
    <w:p>
      <w:pPr>
        <w:pStyle w:val="BodyText"/>
        <w:ind w:left="580"/>
      </w:pPr>
      <w:r>
        <w:rPr/>
        <w:t>住所：浙江省杭州市文二西路一号元茂大厦</w:t>
      </w:r>
      <w:r>
        <w:rPr>
          <w:rFonts w:ascii="Calibri" w:eastAsia="Calibri"/>
        </w:rPr>
        <w:t>903</w:t>
      </w:r>
      <w:r>
        <w:rPr/>
        <w:t>室</w:t>
      </w:r>
    </w:p>
    <w:p>
      <w:pPr>
        <w:pStyle w:val="BodyText"/>
        <w:spacing w:before="8"/>
        <w:rPr>
          <w:sz w:val="15"/>
        </w:rPr>
      </w:pPr>
    </w:p>
    <w:p>
      <w:pPr>
        <w:pStyle w:val="BodyText"/>
        <w:spacing w:line="417" w:lineRule="auto"/>
        <w:ind w:left="580" w:right="2559"/>
      </w:pPr>
      <w:r>
        <w:rPr/>
        <w:t>办公地址：浙江省杭州市余杭区五常街道同顺街</w:t>
      </w:r>
      <w:r>
        <w:rPr>
          <w:rFonts w:ascii="Calibri" w:eastAsia="Calibri"/>
        </w:rPr>
        <w:t>18</w:t>
      </w:r>
      <w:r>
        <w:rPr/>
        <w:t>号同花顺大楼</w:t>
      </w:r>
      <w:r>
        <w:rPr>
          <w:rFonts w:ascii="Calibri" w:eastAsia="Calibri"/>
        </w:rPr>
        <w:t>4</w:t>
      </w:r>
      <w:r>
        <w:rPr/>
        <w:t>层法定代表人：凌顺平</w:t>
      </w:r>
    </w:p>
    <w:p>
      <w:pPr>
        <w:pStyle w:val="BodyText"/>
        <w:spacing w:line="417" w:lineRule="auto"/>
        <w:ind w:left="580" w:right="6303"/>
        <w:rPr>
          <w:rFonts w:ascii="Calibri" w:eastAsia="Calibri"/>
        </w:rPr>
      </w:pPr>
      <w:r>
        <w:rPr/>
        <w:t>电话：</w:t>
      </w:r>
      <w:r>
        <w:rPr>
          <w:rFonts w:ascii="Calibri" w:eastAsia="Calibri"/>
        </w:rPr>
        <w:t>0571-88911818-8653 </w:t>
      </w:r>
      <w:r>
        <w:rPr/>
        <w:t>传真：</w:t>
      </w:r>
      <w:r>
        <w:rPr>
          <w:rFonts w:ascii="Calibri" w:eastAsia="Calibri"/>
        </w:rPr>
        <w:t>0571-86800423</w:t>
      </w:r>
    </w:p>
    <w:p>
      <w:pPr>
        <w:pStyle w:val="BodyText"/>
        <w:spacing w:line="269" w:lineRule="exact"/>
        <w:ind w:left="580"/>
      </w:pPr>
      <w:r>
        <w:rPr/>
        <w:t>联系人：吴强</w:t>
      </w:r>
    </w:p>
    <w:p>
      <w:pPr>
        <w:pStyle w:val="BodyText"/>
        <w:spacing w:before="6"/>
        <w:rPr>
          <w:sz w:val="15"/>
        </w:rPr>
      </w:pPr>
    </w:p>
    <w:p>
      <w:pPr>
        <w:pStyle w:val="BodyText"/>
        <w:ind w:left="580"/>
        <w:rPr>
          <w:rFonts w:ascii="Calibri" w:eastAsia="Calibri"/>
        </w:rPr>
      </w:pPr>
      <w:r>
        <w:rPr/>
        <w:t>网址：</w:t>
      </w:r>
      <w:hyperlink r:id="rId39">
        <w:r>
          <w:rPr>
            <w:rFonts w:ascii="Calibri" w:eastAsia="Calibri"/>
          </w:rPr>
          <w:t>www.5ifund.com</w:t>
        </w:r>
      </w:hyperlink>
    </w:p>
    <w:p>
      <w:pPr>
        <w:pStyle w:val="BodyText"/>
        <w:spacing w:before="4"/>
        <w:rPr>
          <w:rFonts w:ascii="Calibri"/>
          <w:sz w:val="16"/>
        </w:rPr>
      </w:pPr>
    </w:p>
    <w:p>
      <w:pPr>
        <w:pStyle w:val="BodyText"/>
        <w:ind w:left="580"/>
        <w:rPr>
          <w:rFonts w:ascii="Calibri" w:eastAsia="Calibri"/>
        </w:rPr>
      </w:pPr>
      <w:r>
        <w:rPr/>
        <w:t>客户服务电话：</w:t>
      </w:r>
      <w:r>
        <w:rPr>
          <w:rFonts w:ascii="Calibri" w:eastAsia="Calibri"/>
        </w:rPr>
        <w:t>400-877-3772</w:t>
      </w:r>
    </w:p>
    <w:p>
      <w:pPr>
        <w:pStyle w:val="BodyText"/>
        <w:spacing w:before="4"/>
        <w:rPr>
          <w:rFonts w:ascii="Calibri"/>
          <w:sz w:val="16"/>
        </w:rPr>
      </w:pPr>
    </w:p>
    <w:p>
      <w:pPr>
        <w:pStyle w:val="ListParagraph"/>
        <w:numPr>
          <w:ilvl w:val="0"/>
          <w:numId w:val="8"/>
        </w:numPr>
        <w:tabs>
          <w:tab w:pos="1218" w:val="left" w:leader="none"/>
        </w:tabs>
        <w:spacing w:line="240" w:lineRule="auto" w:before="0" w:after="0"/>
        <w:ind w:left="1217" w:right="0" w:hanging="638"/>
        <w:jc w:val="left"/>
        <w:rPr>
          <w:sz w:val="21"/>
        </w:rPr>
      </w:pPr>
      <w:r>
        <w:rPr>
          <w:spacing w:val="-3"/>
          <w:sz w:val="21"/>
        </w:rPr>
        <w:t>上海利得基金销售有限公司</w:t>
      </w:r>
    </w:p>
    <w:p>
      <w:pPr>
        <w:pStyle w:val="BodyText"/>
        <w:spacing w:before="6"/>
        <w:rPr>
          <w:sz w:val="15"/>
        </w:rPr>
      </w:pPr>
    </w:p>
    <w:p>
      <w:pPr>
        <w:pStyle w:val="BodyText"/>
        <w:spacing w:before="1"/>
        <w:ind w:left="580"/>
      </w:pPr>
      <w:r>
        <w:rPr/>
        <w:t>住所：上海市宝山区蕴川路</w:t>
      </w:r>
      <w:r>
        <w:rPr>
          <w:rFonts w:ascii="Calibri" w:eastAsia="Calibri"/>
        </w:rPr>
        <w:t>5475</w:t>
      </w:r>
      <w:r>
        <w:rPr/>
        <w:t>号</w:t>
      </w:r>
      <w:r>
        <w:rPr>
          <w:rFonts w:ascii="Calibri" w:eastAsia="Calibri"/>
        </w:rPr>
        <w:t>1033</w:t>
      </w:r>
      <w:r>
        <w:rPr/>
        <w:t>室</w:t>
      </w:r>
    </w:p>
    <w:p>
      <w:pPr>
        <w:pStyle w:val="BodyText"/>
        <w:spacing w:before="6"/>
        <w:rPr>
          <w:sz w:val="15"/>
        </w:rPr>
      </w:pPr>
    </w:p>
    <w:p>
      <w:pPr>
        <w:pStyle w:val="BodyText"/>
        <w:spacing w:line="417" w:lineRule="auto"/>
        <w:ind w:left="580" w:right="4551"/>
      </w:pPr>
      <w:r>
        <w:rPr/>
        <w:t>办公地址：上海市虹口区东大名路</w:t>
      </w:r>
      <w:r>
        <w:rPr>
          <w:rFonts w:ascii="Calibri" w:eastAsia="Calibri"/>
        </w:rPr>
        <w:t>1098</w:t>
      </w:r>
      <w:r>
        <w:rPr/>
        <w:t>号</w:t>
      </w:r>
      <w:r>
        <w:rPr>
          <w:rFonts w:ascii="Calibri" w:eastAsia="Calibri"/>
        </w:rPr>
        <w:t>53</w:t>
      </w:r>
      <w:r>
        <w:rPr/>
        <w:t>楼法定代表人：沈继伟</w:t>
      </w:r>
    </w:p>
    <w:p>
      <w:pPr>
        <w:pStyle w:val="BodyText"/>
        <w:spacing w:line="417" w:lineRule="auto"/>
        <w:ind w:left="580" w:right="6898"/>
        <w:rPr>
          <w:rFonts w:ascii="Calibri" w:eastAsia="Calibri"/>
        </w:rPr>
      </w:pPr>
      <w:r>
        <w:rPr/>
        <w:t>电话：</w:t>
      </w:r>
      <w:r>
        <w:rPr>
          <w:rFonts w:ascii="Calibri" w:eastAsia="Calibri"/>
        </w:rPr>
        <w:t>021-50583533 </w:t>
      </w:r>
      <w:r>
        <w:rPr/>
        <w:t>传真：</w:t>
      </w:r>
      <w:r>
        <w:rPr>
          <w:rFonts w:ascii="Calibri" w:eastAsia="Calibri"/>
        </w:rPr>
        <w:t>021-61101630</w:t>
      </w:r>
    </w:p>
    <w:p>
      <w:pPr>
        <w:pStyle w:val="BodyText"/>
        <w:spacing w:line="269" w:lineRule="exact"/>
        <w:ind w:left="580"/>
      </w:pPr>
      <w:r>
        <w:rPr/>
        <w:t>联系人：曹怡晨</w:t>
      </w:r>
    </w:p>
    <w:p>
      <w:pPr>
        <w:pStyle w:val="BodyText"/>
        <w:spacing w:before="7"/>
        <w:rPr>
          <w:sz w:val="15"/>
        </w:rPr>
      </w:pPr>
    </w:p>
    <w:p>
      <w:pPr>
        <w:pStyle w:val="BodyText"/>
        <w:spacing w:line="417" w:lineRule="auto"/>
        <w:ind w:left="580" w:right="5511"/>
        <w:rPr>
          <w:rFonts w:ascii="Calibri" w:eastAsia="Calibri"/>
        </w:rPr>
      </w:pPr>
      <w:r>
        <w:rPr/>
        <w:t>网址：</w:t>
      </w:r>
      <w:hyperlink r:id="rId40">
        <w:r>
          <w:rPr>
            <w:rFonts w:ascii="Calibri" w:eastAsia="Calibri"/>
          </w:rPr>
          <w:t>http://www.leadfund.com.cn/ </w:t>
        </w:r>
      </w:hyperlink>
      <w:r>
        <w:rPr/>
        <w:t>客户服务电话：</w:t>
      </w:r>
      <w:r>
        <w:rPr>
          <w:rFonts w:ascii="Calibri" w:eastAsia="Calibri"/>
        </w:rPr>
        <w:t>95733</w:t>
      </w:r>
    </w:p>
    <w:p>
      <w:pPr>
        <w:pStyle w:val="ListParagraph"/>
        <w:numPr>
          <w:ilvl w:val="0"/>
          <w:numId w:val="8"/>
        </w:numPr>
        <w:tabs>
          <w:tab w:pos="1218" w:val="left" w:leader="none"/>
        </w:tabs>
        <w:spacing w:line="269" w:lineRule="exact" w:before="0" w:after="0"/>
        <w:ind w:left="1217" w:right="0" w:hanging="638"/>
        <w:jc w:val="left"/>
        <w:rPr>
          <w:sz w:val="21"/>
        </w:rPr>
      </w:pPr>
      <w:r>
        <w:rPr>
          <w:spacing w:val="-3"/>
          <w:sz w:val="21"/>
        </w:rPr>
        <w:t>乾道盈泰基金销售</w:t>
      </w:r>
      <w:r>
        <w:rPr>
          <w:sz w:val="21"/>
        </w:rPr>
        <w:t>（</w:t>
      </w:r>
      <w:r>
        <w:rPr>
          <w:spacing w:val="-2"/>
          <w:sz w:val="21"/>
        </w:rPr>
        <w:t>北京</w:t>
      </w:r>
      <w:r>
        <w:rPr>
          <w:sz w:val="21"/>
        </w:rPr>
        <w:t>）</w:t>
      </w:r>
      <w:r>
        <w:rPr>
          <w:spacing w:val="-3"/>
          <w:sz w:val="21"/>
        </w:rPr>
        <w:t>有限公司</w:t>
      </w:r>
    </w:p>
    <w:p>
      <w:pPr>
        <w:pStyle w:val="BodyText"/>
        <w:spacing w:before="7"/>
        <w:rPr>
          <w:sz w:val="15"/>
        </w:rPr>
      </w:pPr>
    </w:p>
    <w:p>
      <w:pPr>
        <w:pStyle w:val="BodyText"/>
        <w:ind w:left="580"/>
      </w:pPr>
      <w:r>
        <w:rPr/>
        <w:t>住所：北京市海淀区东北旺村南</w:t>
      </w:r>
      <w:r>
        <w:rPr>
          <w:rFonts w:ascii="Calibri" w:eastAsia="Calibri"/>
        </w:rPr>
        <w:t>1</w:t>
      </w:r>
      <w:r>
        <w:rPr/>
        <w:t>号楼</w:t>
      </w:r>
      <w:r>
        <w:rPr>
          <w:rFonts w:ascii="Calibri" w:eastAsia="Calibri"/>
        </w:rPr>
        <w:t>7</w:t>
      </w:r>
      <w:r>
        <w:rPr/>
        <w:t>层</w:t>
      </w:r>
      <w:r>
        <w:rPr>
          <w:rFonts w:ascii="Calibri" w:eastAsia="Calibri"/>
        </w:rPr>
        <w:t>7117</w:t>
      </w:r>
      <w:r>
        <w:rPr/>
        <w:t>室</w:t>
      </w:r>
    </w:p>
    <w:p>
      <w:pPr>
        <w:pStyle w:val="BodyText"/>
        <w:spacing w:before="7"/>
        <w:rPr>
          <w:sz w:val="15"/>
        </w:rPr>
      </w:pPr>
    </w:p>
    <w:p>
      <w:pPr>
        <w:pStyle w:val="BodyText"/>
        <w:spacing w:line="417" w:lineRule="auto"/>
        <w:ind w:left="580" w:right="3713"/>
      </w:pPr>
      <w:r>
        <w:rPr/>
        <w:t>办公地址：北京市西城区德外大街合生财富广场</w:t>
      </w:r>
      <w:r>
        <w:rPr>
          <w:rFonts w:ascii="Calibri" w:eastAsia="Calibri"/>
        </w:rPr>
        <w:t>1302</w:t>
      </w:r>
      <w:r>
        <w:rPr/>
        <w:t>室法定代表人：王兴吉</w:t>
      </w:r>
    </w:p>
    <w:p>
      <w:pPr>
        <w:pStyle w:val="BodyText"/>
        <w:spacing w:line="417" w:lineRule="auto"/>
        <w:ind w:left="580" w:right="6898"/>
        <w:rPr>
          <w:rFonts w:ascii="Calibri" w:eastAsia="Calibri"/>
        </w:rPr>
      </w:pPr>
      <w:r>
        <w:rPr/>
        <w:t>电话：</w:t>
      </w:r>
      <w:r>
        <w:rPr>
          <w:rFonts w:ascii="Calibri" w:eastAsia="Calibri"/>
        </w:rPr>
        <w:t>010-62062880 </w:t>
      </w:r>
      <w:r>
        <w:rPr/>
        <w:t>传真：</w:t>
      </w:r>
      <w:r>
        <w:rPr>
          <w:rFonts w:ascii="Calibri" w:eastAsia="Calibri"/>
        </w:rPr>
        <w:t>010-82057741</w:t>
      </w:r>
    </w:p>
    <w:p>
      <w:pPr>
        <w:pStyle w:val="BodyText"/>
        <w:ind w:left="580"/>
      </w:pPr>
      <w:r>
        <w:rPr/>
        <w:t>联系人：高雪超</w:t>
      </w:r>
    </w:p>
    <w:p>
      <w:pPr>
        <w:spacing w:after="0"/>
        <w:sectPr>
          <w:pgSz w:w="11910" w:h="16840"/>
          <w:pgMar w:header="877" w:footer="995" w:top="1420" w:bottom="1180" w:left="1640" w:right="920"/>
        </w:sectPr>
      </w:pPr>
    </w:p>
    <w:p>
      <w:pPr>
        <w:pStyle w:val="BodyText"/>
        <w:spacing w:line="417" w:lineRule="auto" w:before="110"/>
        <w:ind w:left="580" w:right="6170"/>
        <w:rPr>
          <w:rFonts w:ascii="Calibri" w:eastAsia="Calibri"/>
        </w:rPr>
      </w:pPr>
      <w:r>
        <w:rPr/>
        <w:t>网 址 ：</w:t>
      </w:r>
      <w:hyperlink r:id="rId41">
        <w:r>
          <w:rPr>
            <w:rFonts w:ascii="Calibri" w:eastAsia="Calibri"/>
          </w:rPr>
          <w:t>www.qiandaojr.com</w:t>
        </w:r>
      </w:hyperlink>
      <w:r>
        <w:rPr>
          <w:rFonts w:ascii="Calibri" w:eastAsia="Calibri"/>
        </w:rPr>
        <w:t> </w:t>
      </w:r>
      <w:r>
        <w:rPr/>
        <w:t>客户服务电话：</w:t>
      </w:r>
      <w:r>
        <w:rPr>
          <w:rFonts w:ascii="Calibri" w:eastAsia="Calibri"/>
        </w:rPr>
        <w:t>4000888080</w:t>
      </w:r>
    </w:p>
    <w:p>
      <w:pPr>
        <w:pStyle w:val="ListParagraph"/>
        <w:numPr>
          <w:ilvl w:val="0"/>
          <w:numId w:val="8"/>
        </w:numPr>
        <w:tabs>
          <w:tab w:pos="1218" w:val="left" w:leader="none"/>
        </w:tabs>
        <w:spacing w:line="269" w:lineRule="exact" w:before="0" w:after="0"/>
        <w:ind w:left="1217" w:right="0" w:hanging="638"/>
        <w:jc w:val="left"/>
        <w:rPr>
          <w:sz w:val="21"/>
        </w:rPr>
      </w:pPr>
      <w:r>
        <w:rPr>
          <w:spacing w:val="-3"/>
          <w:sz w:val="21"/>
        </w:rPr>
        <w:t>泛华普益基金销售有限公司</w:t>
      </w:r>
    </w:p>
    <w:p>
      <w:pPr>
        <w:pStyle w:val="BodyText"/>
        <w:spacing w:before="6"/>
        <w:rPr>
          <w:sz w:val="15"/>
        </w:rPr>
      </w:pPr>
    </w:p>
    <w:p>
      <w:pPr>
        <w:pStyle w:val="BodyText"/>
        <w:ind w:left="580"/>
      </w:pPr>
      <w:r>
        <w:rPr/>
        <w:t>住所：成都市成华区建设路</w:t>
      </w:r>
      <w:r>
        <w:rPr>
          <w:rFonts w:ascii="Calibri" w:eastAsia="Calibri"/>
        </w:rPr>
        <w:t>9</w:t>
      </w:r>
      <w:r>
        <w:rPr/>
        <w:t>号高地中心</w:t>
      </w:r>
      <w:r>
        <w:rPr>
          <w:rFonts w:ascii="Calibri" w:eastAsia="Calibri"/>
        </w:rPr>
        <w:t>1101</w:t>
      </w:r>
      <w:r>
        <w:rPr/>
        <w:t>室</w:t>
      </w:r>
    </w:p>
    <w:p>
      <w:pPr>
        <w:pStyle w:val="BodyText"/>
        <w:spacing w:before="7"/>
        <w:rPr>
          <w:sz w:val="15"/>
        </w:rPr>
      </w:pPr>
    </w:p>
    <w:p>
      <w:pPr>
        <w:pStyle w:val="BodyText"/>
        <w:spacing w:line="417" w:lineRule="auto"/>
        <w:ind w:left="580" w:right="1596"/>
      </w:pPr>
      <w:r>
        <w:rPr/>
        <w:t>办公地址：成都市金牛区花照壁西顺街</w:t>
      </w:r>
      <w:r>
        <w:rPr>
          <w:rFonts w:ascii="Calibri" w:eastAsia="Calibri"/>
        </w:rPr>
        <w:t>399</w:t>
      </w:r>
      <w:r>
        <w:rPr/>
        <w:t>号</w:t>
      </w:r>
      <w:r>
        <w:rPr>
          <w:rFonts w:ascii="Calibri" w:eastAsia="Calibri"/>
        </w:rPr>
        <w:t>1</w:t>
      </w:r>
      <w:r>
        <w:rPr/>
        <w:t>栋</w:t>
      </w:r>
      <w:r>
        <w:rPr>
          <w:rFonts w:ascii="Calibri" w:eastAsia="Calibri"/>
        </w:rPr>
        <w:t>1</w:t>
      </w:r>
      <w:r>
        <w:rPr/>
        <w:t>单元龙湖西宸天街</w:t>
      </w:r>
      <w:r>
        <w:rPr>
          <w:rFonts w:ascii="Calibri" w:eastAsia="Calibri"/>
        </w:rPr>
        <w:t>B</w:t>
      </w:r>
      <w:r>
        <w:rPr/>
        <w:t>座</w:t>
      </w:r>
      <w:r>
        <w:rPr>
          <w:rFonts w:ascii="Calibri" w:eastAsia="Calibri"/>
        </w:rPr>
        <w:t>1201</w:t>
      </w:r>
      <w:r>
        <w:rPr/>
        <w:t>号法定代表人：于海锋</w:t>
      </w:r>
    </w:p>
    <w:p>
      <w:pPr>
        <w:pStyle w:val="BodyText"/>
        <w:spacing w:line="269" w:lineRule="exact"/>
        <w:ind w:left="580"/>
        <w:rPr>
          <w:rFonts w:ascii="Calibri" w:eastAsia="Calibri"/>
        </w:rPr>
      </w:pPr>
      <w:r>
        <w:rPr/>
        <w:t>电话：</w:t>
      </w:r>
      <w:r>
        <w:rPr>
          <w:rFonts w:ascii="Calibri" w:eastAsia="Calibri"/>
        </w:rPr>
        <w:t>13910181936</w:t>
      </w:r>
    </w:p>
    <w:p>
      <w:pPr>
        <w:pStyle w:val="BodyText"/>
        <w:spacing w:before="4"/>
        <w:rPr>
          <w:rFonts w:ascii="Calibri"/>
          <w:sz w:val="16"/>
        </w:rPr>
      </w:pPr>
    </w:p>
    <w:p>
      <w:pPr>
        <w:pStyle w:val="BodyText"/>
        <w:ind w:left="580"/>
        <w:rPr>
          <w:rFonts w:ascii="Calibri" w:eastAsia="Calibri"/>
        </w:rPr>
      </w:pPr>
      <w:r>
        <w:rPr/>
        <w:t>传真：</w:t>
      </w:r>
      <w:r>
        <w:rPr>
          <w:rFonts w:ascii="Calibri" w:eastAsia="Calibri"/>
        </w:rPr>
        <w:t>-</w:t>
      </w:r>
    </w:p>
    <w:p>
      <w:pPr>
        <w:pStyle w:val="BodyText"/>
        <w:spacing w:before="4"/>
        <w:rPr>
          <w:rFonts w:ascii="Calibri"/>
          <w:sz w:val="16"/>
        </w:rPr>
      </w:pPr>
    </w:p>
    <w:p>
      <w:pPr>
        <w:pStyle w:val="BodyText"/>
        <w:ind w:left="580"/>
      </w:pPr>
      <w:r>
        <w:rPr/>
        <w:t>联系人：隋亚方</w:t>
      </w:r>
    </w:p>
    <w:p>
      <w:pPr>
        <w:pStyle w:val="BodyText"/>
        <w:spacing w:before="7"/>
        <w:rPr>
          <w:sz w:val="15"/>
        </w:rPr>
      </w:pPr>
    </w:p>
    <w:p>
      <w:pPr>
        <w:pStyle w:val="BodyText"/>
        <w:spacing w:line="417" w:lineRule="auto"/>
        <w:ind w:left="580" w:right="5681"/>
        <w:rPr>
          <w:rFonts w:ascii="Calibri" w:eastAsia="Calibri"/>
        </w:rPr>
      </w:pPr>
      <w:r>
        <w:rPr/>
        <w:t>网址：</w:t>
      </w:r>
      <w:r>
        <w:rPr>
          <w:rFonts w:ascii="Calibri" w:eastAsia="Calibri"/>
        </w:rPr>
        <w:t>https:</w:t>
      </w:r>
      <w:hyperlink r:id="rId42">
        <w:r>
          <w:rPr>
            <w:rFonts w:ascii="Calibri" w:eastAsia="Calibri"/>
          </w:rPr>
          <w:t>//www</w:t>
        </w:r>
      </w:hyperlink>
      <w:r>
        <w:rPr>
          <w:rFonts w:ascii="Calibri" w:eastAsia="Calibri"/>
        </w:rPr>
        <w:t>.p</w:t>
      </w:r>
      <w:hyperlink r:id="rId42">
        <w:r>
          <w:rPr>
            <w:rFonts w:ascii="Calibri" w:eastAsia="Calibri"/>
          </w:rPr>
          <w:t>uyifund.com/ </w:t>
        </w:r>
      </w:hyperlink>
      <w:r>
        <w:rPr/>
        <w:t>客户服务电话：</w:t>
      </w:r>
      <w:r>
        <w:rPr>
          <w:rFonts w:ascii="Calibri" w:eastAsia="Calibri"/>
        </w:rPr>
        <w:t>400-080-3388</w:t>
      </w:r>
    </w:p>
    <w:p>
      <w:pPr>
        <w:pStyle w:val="ListParagraph"/>
        <w:numPr>
          <w:ilvl w:val="0"/>
          <w:numId w:val="8"/>
        </w:numPr>
        <w:tabs>
          <w:tab w:pos="1218" w:val="left" w:leader="none"/>
        </w:tabs>
        <w:spacing w:line="269" w:lineRule="exact" w:before="0" w:after="0"/>
        <w:ind w:left="1217" w:right="0" w:hanging="638"/>
        <w:jc w:val="left"/>
        <w:rPr>
          <w:sz w:val="21"/>
        </w:rPr>
      </w:pPr>
      <w:r>
        <w:rPr>
          <w:spacing w:val="-3"/>
          <w:sz w:val="21"/>
        </w:rPr>
        <w:t>宜信普泽</w:t>
      </w:r>
      <w:r>
        <w:rPr>
          <w:sz w:val="21"/>
        </w:rPr>
        <w:t>（</w:t>
      </w:r>
      <w:r>
        <w:rPr>
          <w:spacing w:val="-2"/>
          <w:sz w:val="21"/>
        </w:rPr>
        <w:t>北京</w:t>
      </w:r>
      <w:r>
        <w:rPr>
          <w:spacing w:val="-3"/>
          <w:sz w:val="21"/>
        </w:rPr>
        <w:t>）基金销售有限公司</w:t>
      </w:r>
    </w:p>
    <w:p>
      <w:pPr>
        <w:pStyle w:val="BodyText"/>
        <w:spacing w:before="6"/>
        <w:rPr>
          <w:sz w:val="15"/>
        </w:rPr>
      </w:pPr>
    </w:p>
    <w:p>
      <w:pPr>
        <w:pStyle w:val="BodyText"/>
        <w:spacing w:before="1"/>
        <w:ind w:left="580"/>
        <w:rPr>
          <w:rFonts w:ascii="Calibri" w:eastAsia="Calibri"/>
        </w:rPr>
      </w:pPr>
      <w:r>
        <w:rPr/>
        <w:t>住所：北京市朝阳区建国路</w:t>
      </w:r>
      <w:r>
        <w:rPr>
          <w:rFonts w:ascii="Calibri" w:eastAsia="Calibri"/>
        </w:rPr>
        <w:t>88</w:t>
      </w:r>
      <w:r>
        <w:rPr/>
        <w:t>号</w:t>
      </w:r>
      <w:r>
        <w:rPr>
          <w:rFonts w:ascii="Calibri" w:eastAsia="Calibri"/>
        </w:rPr>
        <w:t>9</w:t>
      </w:r>
      <w:r>
        <w:rPr/>
        <w:t>号楼</w:t>
      </w:r>
      <w:r>
        <w:rPr>
          <w:rFonts w:ascii="Calibri" w:eastAsia="Calibri"/>
        </w:rPr>
        <w:t>15</w:t>
      </w:r>
      <w:r>
        <w:rPr/>
        <w:t>层</w:t>
      </w:r>
      <w:r>
        <w:rPr>
          <w:rFonts w:ascii="Calibri" w:eastAsia="Calibri"/>
        </w:rPr>
        <w:t>1809</w:t>
      </w:r>
    </w:p>
    <w:p>
      <w:pPr>
        <w:pStyle w:val="BodyText"/>
        <w:spacing w:before="3"/>
        <w:rPr>
          <w:rFonts w:ascii="Calibri"/>
          <w:sz w:val="16"/>
        </w:rPr>
      </w:pPr>
    </w:p>
    <w:p>
      <w:pPr>
        <w:pStyle w:val="BodyText"/>
        <w:spacing w:line="417" w:lineRule="auto"/>
        <w:ind w:left="580" w:right="3090"/>
      </w:pPr>
      <w:r>
        <w:rPr/>
        <w:t>办公地址：北京市朝阳区建国路</w:t>
      </w:r>
      <w:r>
        <w:rPr>
          <w:rFonts w:ascii="Calibri" w:eastAsia="Calibri"/>
        </w:rPr>
        <w:t>88</w:t>
      </w:r>
      <w:r>
        <w:rPr/>
        <w:t>号</w:t>
      </w:r>
      <w:r>
        <w:rPr>
          <w:rFonts w:ascii="Calibri" w:eastAsia="Calibri"/>
        </w:rPr>
        <w:t>SOHO</w:t>
      </w:r>
      <w:r>
        <w:rPr/>
        <w:t>现代城</w:t>
      </w:r>
      <w:r>
        <w:rPr>
          <w:rFonts w:ascii="Calibri" w:eastAsia="Calibri"/>
        </w:rPr>
        <w:t>C</w:t>
      </w:r>
      <w:r>
        <w:rPr/>
        <w:t>座</w:t>
      </w:r>
      <w:r>
        <w:rPr>
          <w:rFonts w:ascii="Calibri" w:eastAsia="Calibri"/>
        </w:rPr>
        <w:t>18</w:t>
      </w:r>
      <w:r>
        <w:rPr/>
        <w:t>层</w:t>
      </w:r>
      <w:r>
        <w:rPr>
          <w:rFonts w:ascii="Calibri" w:eastAsia="Calibri"/>
        </w:rPr>
        <w:t>1809 </w:t>
      </w:r>
      <w:r>
        <w:rPr/>
        <w:t>法定代表人：沈伟桦</w:t>
      </w:r>
    </w:p>
    <w:p>
      <w:pPr>
        <w:pStyle w:val="BodyText"/>
        <w:spacing w:line="417" w:lineRule="auto"/>
        <w:ind w:left="580" w:right="6898"/>
        <w:rPr>
          <w:rFonts w:ascii="Calibri" w:eastAsia="Calibri"/>
        </w:rPr>
      </w:pPr>
      <w:r>
        <w:rPr/>
        <w:t>电话：</w:t>
      </w:r>
      <w:r>
        <w:rPr>
          <w:rFonts w:ascii="Calibri" w:eastAsia="Calibri"/>
        </w:rPr>
        <w:t>010-52855713 </w:t>
      </w:r>
      <w:r>
        <w:rPr/>
        <w:t>传真：</w:t>
      </w:r>
      <w:r>
        <w:rPr>
          <w:rFonts w:ascii="Calibri" w:eastAsia="Calibri"/>
        </w:rPr>
        <w:t>010-85894285</w:t>
      </w:r>
    </w:p>
    <w:p>
      <w:pPr>
        <w:pStyle w:val="BodyText"/>
        <w:spacing w:line="269" w:lineRule="exact"/>
        <w:ind w:left="580"/>
      </w:pPr>
      <w:r>
        <w:rPr/>
        <w:t>联系人：程刚</w:t>
      </w:r>
    </w:p>
    <w:p>
      <w:pPr>
        <w:pStyle w:val="BodyText"/>
        <w:spacing w:before="7"/>
        <w:rPr>
          <w:sz w:val="15"/>
        </w:rPr>
      </w:pPr>
    </w:p>
    <w:p>
      <w:pPr>
        <w:pStyle w:val="BodyText"/>
        <w:ind w:left="580"/>
        <w:rPr>
          <w:rFonts w:ascii="Calibri" w:eastAsia="Calibri"/>
        </w:rPr>
      </w:pPr>
      <w:r>
        <w:rPr/>
        <w:t>网址：</w:t>
      </w:r>
      <w:hyperlink r:id="rId43">
        <w:r>
          <w:rPr>
            <w:rFonts w:ascii="Calibri" w:eastAsia="Calibri"/>
          </w:rPr>
          <w:t>www.yixinfund.com</w:t>
        </w:r>
      </w:hyperlink>
    </w:p>
    <w:p>
      <w:pPr>
        <w:pStyle w:val="BodyText"/>
        <w:spacing w:before="3"/>
        <w:rPr>
          <w:rFonts w:ascii="Calibri"/>
          <w:sz w:val="16"/>
        </w:rPr>
      </w:pPr>
    </w:p>
    <w:p>
      <w:pPr>
        <w:pStyle w:val="BodyText"/>
        <w:spacing w:before="1"/>
        <w:ind w:left="580"/>
        <w:rPr>
          <w:rFonts w:ascii="Calibri" w:eastAsia="Calibri"/>
        </w:rPr>
      </w:pPr>
      <w:r>
        <w:rPr/>
        <w:t>客户服务电话：</w:t>
      </w:r>
      <w:r>
        <w:rPr>
          <w:rFonts w:ascii="Calibri" w:eastAsia="Calibri"/>
        </w:rPr>
        <w:t>400-609-9200</w:t>
      </w:r>
    </w:p>
    <w:p>
      <w:pPr>
        <w:pStyle w:val="BodyText"/>
        <w:spacing w:before="3"/>
        <w:rPr>
          <w:rFonts w:ascii="Calibri"/>
          <w:sz w:val="16"/>
        </w:rPr>
      </w:pPr>
    </w:p>
    <w:p>
      <w:pPr>
        <w:pStyle w:val="ListParagraph"/>
        <w:numPr>
          <w:ilvl w:val="0"/>
          <w:numId w:val="8"/>
        </w:numPr>
        <w:tabs>
          <w:tab w:pos="1218" w:val="left" w:leader="none"/>
        </w:tabs>
        <w:spacing w:line="417" w:lineRule="auto" w:before="0" w:after="0"/>
        <w:ind w:left="580" w:right="5542" w:firstLine="0"/>
        <w:jc w:val="left"/>
        <w:rPr>
          <w:sz w:val="21"/>
        </w:rPr>
      </w:pPr>
      <w:r>
        <w:rPr>
          <w:spacing w:val="-3"/>
          <w:sz w:val="21"/>
        </w:rPr>
        <w:t>南京苏宁基金销售有限公司住所：南京市玄武区苏宁大道</w:t>
      </w:r>
      <w:r>
        <w:rPr>
          <w:rFonts w:ascii="Calibri" w:eastAsia="Calibri"/>
          <w:sz w:val="21"/>
        </w:rPr>
        <w:t>1-5</w:t>
      </w:r>
      <w:r>
        <w:rPr>
          <w:spacing w:val="-12"/>
          <w:sz w:val="21"/>
        </w:rPr>
        <w:t>号</w:t>
      </w:r>
    </w:p>
    <w:p>
      <w:pPr>
        <w:pStyle w:val="BodyText"/>
        <w:spacing w:line="417" w:lineRule="auto" w:before="1"/>
        <w:ind w:left="580" w:right="4769"/>
      </w:pPr>
      <w:r>
        <w:rPr/>
        <w:t>办公地址：南京市玄武区苏宁大道苏宁总部法定代表人：刘汉青</w:t>
      </w:r>
    </w:p>
    <w:p>
      <w:pPr>
        <w:pStyle w:val="BodyText"/>
        <w:spacing w:line="417" w:lineRule="auto"/>
        <w:ind w:left="580" w:right="6194"/>
        <w:rPr>
          <w:rFonts w:ascii="Calibri" w:eastAsia="Calibri"/>
        </w:rPr>
      </w:pPr>
      <w:r>
        <w:rPr/>
        <w:t>电话：</w:t>
      </w:r>
      <w:r>
        <w:rPr>
          <w:rFonts w:ascii="Calibri" w:eastAsia="Calibri"/>
        </w:rPr>
        <w:t>025-66996699-887226 </w:t>
      </w:r>
      <w:r>
        <w:rPr/>
        <w:t>传真：</w:t>
      </w:r>
      <w:r>
        <w:rPr>
          <w:rFonts w:ascii="Calibri" w:eastAsia="Calibri"/>
        </w:rPr>
        <w:t>025-66008800-887226</w:t>
      </w:r>
    </w:p>
    <w:p>
      <w:pPr>
        <w:pStyle w:val="BodyText"/>
        <w:spacing w:line="269" w:lineRule="exact"/>
        <w:ind w:left="580"/>
      </w:pPr>
      <w:r>
        <w:rPr/>
        <w:t>联系人：王峰</w:t>
      </w:r>
    </w:p>
    <w:p>
      <w:pPr>
        <w:pStyle w:val="BodyText"/>
        <w:spacing w:before="6"/>
        <w:rPr>
          <w:sz w:val="15"/>
        </w:rPr>
      </w:pPr>
    </w:p>
    <w:p>
      <w:pPr>
        <w:pStyle w:val="BodyText"/>
        <w:spacing w:line="417" w:lineRule="auto"/>
        <w:ind w:left="580" w:right="6679"/>
        <w:rPr>
          <w:rFonts w:ascii="Calibri" w:eastAsia="Calibri"/>
        </w:rPr>
      </w:pPr>
      <w:r>
        <w:rPr/>
        <w:t>网址：</w:t>
      </w:r>
      <w:hyperlink r:id="rId44">
        <w:r>
          <w:rPr>
            <w:rFonts w:ascii="Calibri" w:eastAsia="Calibri"/>
          </w:rPr>
          <w:t>www.snjijin.com </w:t>
        </w:r>
      </w:hyperlink>
      <w:r>
        <w:rPr/>
        <w:t>客户服务电话：</w:t>
      </w:r>
      <w:r>
        <w:rPr>
          <w:rFonts w:ascii="Calibri" w:eastAsia="Calibri"/>
        </w:rPr>
        <w:t>95177</w:t>
      </w:r>
    </w:p>
    <w:p>
      <w:pPr>
        <w:pStyle w:val="ListParagraph"/>
        <w:numPr>
          <w:ilvl w:val="0"/>
          <w:numId w:val="8"/>
        </w:numPr>
        <w:tabs>
          <w:tab w:pos="1218" w:val="left" w:leader="none"/>
        </w:tabs>
        <w:spacing w:line="240" w:lineRule="auto" w:before="0" w:after="0"/>
        <w:ind w:left="1217" w:right="0" w:hanging="638"/>
        <w:jc w:val="left"/>
        <w:rPr>
          <w:sz w:val="21"/>
        </w:rPr>
      </w:pPr>
      <w:r>
        <w:rPr>
          <w:spacing w:val="-3"/>
          <w:sz w:val="21"/>
        </w:rPr>
        <w:t>浦领基金销售有限公司</w:t>
      </w:r>
    </w:p>
    <w:p>
      <w:pPr>
        <w:spacing w:after="0" w:line="240" w:lineRule="auto"/>
        <w:jc w:val="left"/>
        <w:rPr>
          <w:sz w:val="21"/>
        </w:rPr>
        <w:sectPr>
          <w:pgSz w:w="11910" w:h="16840"/>
          <w:pgMar w:header="877" w:footer="995" w:top="1420" w:bottom="1180" w:left="1640" w:right="920"/>
        </w:sectPr>
      </w:pPr>
    </w:p>
    <w:p>
      <w:pPr>
        <w:pStyle w:val="BodyText"/>
        <w:spacing w:line="417" w:lineRule="auto" w:before="110"/>
        <w:ind w:left="580" w:right="3600"/>
      </w:pPr>
      <w:r>
        <w:rPr/>
        <w:t>住所：北京市朝阳区望京东园四区</w:t>
      </w:r>
      <w:r>
        <w:rPr>
          <w:rFonts w:ascii="Calibri" w:eastAsia="Calibri"/>
        </w:rPr>
        <w:t>2</w:t>
      </w:r>
      <w:r>
        <w:rPr/>
        <w:t>号楼</w:t>
      </w:r>
      <w:r>
        <w:rPr>
          <w:rFonts w:ascii="Calibri" w:eastAsia="Calibri"/>
        </w:rPr>
        <w:t>10</w:t>
      </w:r>
      <w:r>
        <w:rPr/>
        <w:t>层</w:t>
      </w:r>
      <w:r>
        <w:rPr>
          <w:rFonts w:ascii="Calibri" w:eastAsia="Calibri"/>
        </w:rPr>
        <w:t>1001</w:t>
      </w:r>
      <w:r>
        <w:rPr/>
        <w:t>号</w:t>
      </w:r>
      <w:r>
        <w:rPr>
          <w:rFonts w:ascii="Calibri" w:eastAsia="Calibri"/>
        </w:rPr>
        <w:t>04</w:t>
      </w:r>
      <w:r>
        <w:rPr/>
        <w:t>室办公地址：北京市朝阳区望京中航资本大厦</w:t>
      </w:r>
      <w:r>
        <w:rPr>
          <w:rFonts w:ascii="Calibri" w:eastAsia="Calibri"/>
        </w:rPr>
        <w:t>10</w:t>
      </w:r>
      <w:r>
        <w:rPr/>
        <w:t>层</w:t>
      </w:r>
    </w:p>
    <w:p>
      <w:pPr>
        <w:pStyle w:val="BodyText"/>
        <w:spacing w:line="417" w:lineRule="auto"/>
        <w:ind w:left="580" w:right="6870"/>
        <w:jc w:val="both"/>
        <w:rPr>
          <w:rFonts w:ascii="Calibri" w:eastAsia="Calibri"/>
        </w:rPr>
      </w:pPr>
      <w:r>
        <w:rPr/>
        <w:t>法定代表人：聂婉君电话：</w:t>
      </w:r>
      <w:r>
        <w:rPr>
          <w:rFonts w:ascii="Calibri" w:eastAsia="Calibri"/>
        </w:rPr>
        <w:t>010-59497361 </w:t>
      </w:r>
      <w:r>
        <w:rPr/>
        <w:t>传真：</w:t>
      </w:r>
      <w:r>
        <w:rPr>
          <w:rFonts w:ascii="Calibri" w:eastAsia="Calibri"/>
        </w:rPr>
        <w:t>010-64788016</w:t>
      </w:r>
    </w:p>
    <w:p>
      <w:pPr>
        <w:pStyle w:val="BodyText"/>
        <w:spacing w:line="269" w:lineRule="exact"/>
        <w:ind w:left="580"/>
      </w:pPr>
      <w:r>
        <w:rPr/>
        <w:t>联系人：李艳</w:t>
      </w:r>
    </w:p>
    <w:p>
      <w:pPr>
        <w:pStyle w:val="BodyText"/>
        <w:spacing w:before="6"/>
        <w:rPr>
          <w:sz w:val="15"/>
        </w:rPr>
      </w:pPr>
    </w:p>
    <w:p>
      <w:pPr>
        <w:pStyle w:val="BodyText"/>
        <w:ind w:left="580"/>
        <w:rPr>
          <w:rFonts w:ascii="Calibri" w:eastAsia="Calibri"/>
        </w:rPr>
      </w:pPr>
      <w:r>
        <w:rPr/>
        <w:t>网址：</w:t>
      </w:r>
      <w:hyperlink r:id="rId45">
        <w:r>
          <w:rPr>
            <w:rFonts w:ascii="Calibri" w:eastAsia="Calibri"/>
          </w:rPr>
          <w:t>www.zscffund.com</w:t>
        </w:r>
      </w:hyperlink>
    </w:p>
    <w:p>
      <w:pPr>
        <w:pStyle w:val="BodyText"/>
        <w:spacing w:before="4"/>
        <w:rPr>
          <w:rFonts w:ascii="Calibri"/>
          <w:sz w:val="16"/>
        </w:rPr>
      </w:pPr>
    </w:p>
    <w:p>
      <w:pPr>
        <w:pStyle w:val="BodyText"/>
        <w:ind w:left="580"/>
        <w:rPr>
          <w:rFonts w:ascii="Calibri" w:eastAsia="Calibri"/>
        </w:rPr>
      </w:pPr>
      <w:r>
        <w:rPr/>
        <w:t>客户服务电话：</w:t>
      </w:r>
      <w:r>
        <w:rPr>
          <w:rFonts w:ascii="Calibri" w:eastAsia="Calibri"/>
        </w:rPr>
        <w:t>400-012-5899</w:t>
      </w:r>
    </w:p>
    <w:p>
      <w:pPr>
        <w:pStyle w:val="BodyText"/>
        <w:spacing w:before="4"/>
        <w:rPr>
          <w:rFonts w:ascii="Calibri"/>
          <w:sz w:val="16"/>
        </w:rPr>
      </w:pPr>
    </w:p>
    <w:p>
      <w:pPr>
        <w:pStyle w:val="ListParagraph"/>
        <w:numPr>
          <w:ilvl w:val="0"/>
          <w:numId w:val="8"/>
        </w:numPr>
        <w:tabs>
          <w:tab w:pos="1218" w:val="left" w:leader="none"/>
        </w:tabs>
        <w:spacing w:line="417" w:lineRule="auto" w:before="0" w:after="0"/>
        <w:ind w:left="580" w:right="4652" w:firstLine="0"/>
        <w:jc w:val="left"/>
        <w:rPr>
          <w:sz w:val="21"/>
        </w:rPr>
      </w:pPr>
      <w:r>
        <w:rPr>
          <w:spacing w:val="-3"/>
          <w:sz w:val="21"/>
        </w:rPr>
        <w:t>通华财富</w:t>
      </w:r>
      <w:r>
        <w:rPr>
          <w:sz w:val="21"/>
        </w:rPr>
        <w:t>（</w:t>
      </w:r>
      <w:r>
        <w:rPr>
          <w:spacing w:val="-2"/>
          <w:sz w:val="21"/>
        </w:rPr>
        <w:t>上海</w:t>
      </w:r>
      <w:r>
        <w:rPr>
          <w:spacing w:val="-3"/>
          <w:sz w:val="21"/>
        </w:rPr>
        <w:t>）基金销售有限公司住所：上海市虹口区同丰路</w:t>
      </w:r>
      <w:r>
        <w:rPr>
          <w:rFonts w:ascii="Calibri" w:eastAsia="Calibri"/>
          <w:sz w:val="21"/>
        </w:rPr>
        <w:t>667</w:t>
      </w:r>
      <w:r>
        <w:rPr>
          <w:spacing w:val="-3"/>
          <w:sz w:val="21"/>
        </w:rPr>
        <w:t>弄</w:t>
      </w:r>
      <w:r>
        <w:rPr>
          <w:rFonts w:ascii="Calibri" w:eastAsia="Calibri"/>
          <w:sz w:val="21"/>
        </w:rPr>
        <w:t>107</w:t>
      </w:r>
      <w:r>
        <w:rPr>
          <w:spacing w:val="-3"/>
          <w:sz w:val="21"/>
        </w:rPr>
        <w:t>号</w:t>
      </w:r>
      <w:r>
        <w:rPr>
          <w:rFonts w:ascii="Calibri" w:eastAsia="Calibri"/>
          <w:sz w:val="21"/>
        </w:rPr>
        <w:t>201</w:t>
      </w:r>
      <w:r>
        <w:rPr>
          <w:sz w:val="21"/>
        </w:rPr>
        <w:t>室</w:t>
      </w:r>
    </w:p>
    <w:p>
      <w:pPr>
        <w:pStyle w:val="BodyText"/>
        <w:spacing w:line="417" w:lineRule="auto"/>
        <w:ind w:left="580" w:right="3610"/>
      </w:pPr>
      <w:r>
        <w:rPr/>
        <w:t>办公地址：上海市浦东新区金沪路</w:t>
      </w:r>
      <w:r>
        <w:rPr>
          <w:rFonts w:ascii="Calibri" w:eastAsia="Calibri"/>
        </w:rPr>
        <w:t>55</w:t>
      </w:r>
      <w:r>
        <w:rPr/>
        <w:t>号通华科技大厦</w:t>
      </w:r>
      <w:r>
        <w:rPr>
          <w:rFonts w:ascii="Calibri" w:eastAsia="Calibri"/>
        </w:rPr>
        <w:t>2</w:t>
      </w:r>
      <w:r>
        <w:rPr/>
        <w:t>层法定代表人：沈丹义</w:t>
      </w:r>
    </w:p>
    <w:p>
      <w:pPr>
        <w:pStyle w:val="BodyText"/>
        <w:spacing w:line="417" w:lineRule="auto"/>
        <w:ind w:left="580" w:right="6898"/>
        <w:rPr>
          <w:rFonts w:ascii="Calibri" w:eastAsia="Calibri"/>
        </w:rPr>
      </w:pPr>
      <w:r>
        <w:rPr/>
        <w:t>电话：</w:t>
      </w:r>
      <w:r>
        <w:rPr>
          <w:rFonts w:ascii="Calibri" w:eastAsia="Calibri"/>
        </w:rPr>
        <w:t>021-60818757 </w:t>
      </w:r>
      <w:r>
        <w:rPr/>
        <w:t>传真：</w:t>
      </w:r>
      <w:r>
        <w:rPr>
          <w:rFonts w:ascii="Calibri" w:eastAsia="Calibri"/>
        </w:rPr>
        <w:t>021-60810695</w:t>
      </w:r>
    </w:p>
    <w:p>
      <w:pPr>
        <w:pStyle w:val="BodyText"/>
        <w:ind w:left="580"/>
      </w:pPr>
      <w:r>
        <w:rPr/>
        <w:t>联系人：周晶</w:t>
      </w:r>
    </w:p>
    <w:p>
      <w:pPr>
        <w:pStyle w:val="BodyText"/>
        <w:spacing w:before="6"/>
        <w:rPr>
          <w:sz w:val="15"/>
        </w:rPr>
      </w:pPr>
    </w:p>
    <w:p>
      <w:pPr>
        <w:pStyle w:val="BodyText"/>
        <w:spacing w:line="417" w:lineRule="auto"/>
        <w:ind w:left="580" w:right="6098"/>
        <w:rPr>
          <w:rFonts w:ascii="Calibri" w:eastAsia="Calibri"/>
        </w:rPr>
      </w:pPr>
      <w:r>
        <w:rPr/>
        <w:t>网址：</w:t>
      </w:r>
      <w:hyperlink r:id="rId46">
        <w:r>
          <w:rPr>
            <w:rFonts w:ascii="Calibri" w:eastAsia="Calibri"/>
          </w:rPr>
          <w:t>www.tonghuafund.com </w:t>
        </w:r>
      </w:hyperlink>
      <w:r>
        <w:rPr/>
        <w:t>客户服务电话：</w:t>
      </w:r>
      <w:r>
        <w:rPr>
          <w:rFonts w:ascii="Calibri" w:eastAsia="Calibri"/>
        </w:rPr>
        <w:t>400-101-9301</w:t>
      </w:r>
    </w:p>
    <w:p>
      <w:pPr>
        <w:pStyle w:val="ListParagraph"/>
        <w:numPr>
          <w:ilvl w:val="0"/>
          <w:numId w:val="8"/>
        </w:numPr>
        <w:tabs>
          <w:tab w:pos="1218" w:val="left" w:leader="none"/>
        </w:tabs>
        <w:spacing w:line="269" w:lineRule="exact" w:before="0" w:after="0"/>
        <w:ind w:left="1217" w:right="0" w:hanging="638"/>
        <w:jc w:val="left"/>
        <w:rPr>
          <w:sz w:val="21"/>
        </w:rPr>
      </w:pPr>
      <w:r>
        <w:rPr>
          <w:spacing w:val="-3"/>
          <w:sz w:val="21"/>
        </w:rPr>
        <w:t>北京汇成基金销售有限公司</w:t>
      </w:r>
    </w:p>
    <w:p>
      <w:pPr>
        <w:pStyle w:val="BodyText"/>
        <w:spacing w:before="7"/>
        <w:rPr>
          <w:sz w:val="15"/>
        </w:rPr>
      </w:pPr>
    </w:p>
    <w:p>
      <w:pPr>
        <w:pStyle w:val="BodyText"/>
        <w:ind w:left="580"/>
        <w:rPr>
          <w:rFonts w:ascii="Calibri" w:eastAsia="Calibri"/>
        </w:rPr>
      </w:pPr>
      <w:r>
        <w:rPr/>
        <w:t>住所：北京市海淀区中关村大街</w:t>
      </w:r>
      <w:r>
        <w:rPr>
          <w:rFonts w:ascii="Calibri" w:eastAsia="Calibri"/>
        </w:rPr>
        <w:t>11</w:t>
      </w:r>
      <w:r>
        <w:rPr/>
        <w:t>号</w:t>
      </w:r>
      <w:r>
        <w:rPr>
          <w:rFonts w:ascii="Calibri" w:eastAsia="Calibri"/>
        </w:rPr>
        <w:t>11</w:t>
      </w:r>
      <w:r>
        <w:rPr/>
        <w:t>层</w:t>
      </w:r>
      <w:r>
        <w:rPr>
          <w:rFonts w:ascii="Calibri" w:eastAsia="Calibri"/>
        </w:rPr>
        <w:t>1108</w:t>
      </w:r>
    </w:p>
    <w:p>
      <w:pPr>
        <w:pStyle w:val="BodyText"/>
        <w:spacing w:before="3"/>
        <w:rPr>
          <w:rFonts w:ascii="Calibri"/>
          <w:sz w:val="16"/>
        </w:rPr>
      </w:pPr>
    </w:p>
    <w:p>
      <w:pPr>
        <w:pStyle w:val="BodyText"/>
        <w:spacing w:line="417" w:lineRule="auto"/>
        <w:ind w:left="580" w:right="4129"/>
      </w:pPr>
      <w:r>
        <w:rPr/>
        <w:t>办公地址：北京市海淀区中关村大街</w:t>
      </w:r>
      <w:r>
        <w:rPr>
          <w:rFonts w:ascii="Calibri" w:eastAsia="Calibri"/>
        </w:rPr>
        <w:t>11</w:t>
      </w:r>
      <w:r>
        <w:rPr/>
        <w:t>号</w:t>
      </w:r>
      <w:r>
        <w:rPr>
          <w:rFonts w:ascii="Calibri" w:eastAsia="Calibri"/>
        </w:rPr>
        <w:t>11</w:t>
      </w:r>
      <w:r>
        <w:rPr/>
        <w:t>层</w:t>
      </w:r>
      <w:r>
        <w:rPr>
          <w:rFonts w:ascii="Calibri" w:eastAsia="Calibri"/>
        </w:rPr>
        <w:t>1108 </w:t>
      </w:r>
      <w:r>
        <w:rPr/>
        <w:t>法定代表人：王伟刚</w:t>
      </w:r>
    </w:p>
    <w:p>
      <w:pPr>
        <w:pStyle w:val="BodyText"/>
        <w:spacing w:line="417" w:lineRule="auto" w:before="1"/>
        <w:ind w:left="580" w:right="6898"/>
        <w:rPr>
          <w:rFonts w:ascii="Calibri" w:eastAsia="Calibri"/>
        </w:rPr>
      </w:pPr>
      <w:r>
        <w:rPr/>
        <w:t>电话：</w:t>
      </w:r>
      <w:r>
        <w:rPr>
          <w:rFonts w:ascii="Calibri" w:eastAsia="Calibri"/>
        </w:rPr>
        <w:t>010-56282140 </w:t>
      </w:r>
      <w:r>
        <w:rPr/>
        <w:t>传真：</w:t>
      </w:r>
      <w:r>
        <w:rPr>
          <w:rFonts w:ascii="Calibri" w:eastAsia="Calibri"/>
        </w:rPr>
        <w:t>010-62680827</w:t>
      </w:r>
    </w:p>
    <w:p>
      <w:pPr>
        <w:pStyle w:val="BodyText"/>
        <w:spacing w:line="269" w:lineRule="exact"/>
        <w:ind w:left="580"/>
      </w:pPr>
      <w:r>
        <w:rPr/>
        <w:t>联系人：丁向坤</w:t>
      </w:r>
    </w:p>
    <w:p>
      <w:pPr>
        <w:pStyle w:val="BodyText"/>
        <w:spacing w:before="6"/>
        <w:rPr>
          <w:sz w:val="15"/>
        </w:rPr>
      </w:pPr>
    </w:p>
    <w:p>
      <w:pPr>
        <w:pStyle w:val="BodyText"/>
        <w:ind w:left="580"/>
        <w:rPr>
          <w:rFonts w:ascii="Calibri" w:eastAsia="Calibri"/>
        </w:rPr>
      </w:pPr>
      <w:r>
        <w:rPr/>
        <w:t>网址： </w:t>
      </w:r>
      <w:hyperlink r:id="rId47">
        <w:r>
          <w:rPr>
            <w:rFonts w:ascii="Calibri" w:eastAsia="Calibri"/>
          </w:rPr>
          <w:t>www.hcjijin.com</w:t>
        </w:r>
      </w:hyperlink>
    </w:p>
    <w:p>
      <w:pPr>
        <w:pStyle w:val="BodyText"/>
        <w:spacing w:before="4"/>
        <w:rPr>
          <w:rFonts w:ascii="Calibri"/>
          <w:sz w:val="16"/>
        </w:rPr>
      </w:pPr>
    </w:p>
    <w:p>
      <w:pPr>
        <w:pStyle w:val="BodyText"/>
        <w:ind w:left="580"/>
        <w:rPr>
          <w:rFonts w:ascii="Calibri" w:eastAsia="Calibri"/>
        </w:rPr>
      </w:pPr>
      <w:r>
        <w:rPr/>
        <w:t>客户服务电话：</w:t>
      </w:r>
      <w:r>
        <w:rPr>
          <w:rFonts w:ascii="Calibri" w:eastAsia="Calibri"/>
        </w:rPr>
        <w:t>400-619-9059</w:t>
      </w:r>
    </w:p>
    <w:p>
      <w:pPr>
        <w:pStyle w:val="BodyText"/>
        <w:spacing w:before="4"/>
        <w:rPr>
          <w:rFonts w:ascii="Calibri"/>
          <w:sz w:val="16"/>
        </w:rPr>
      </w:pPr>
    </w:p>
    <w:p>
      <w:pPr>
        <w:pStyle w:val="ListParagraph"/>
        <w:numPr>
          <w:ilvl w:val="0"/>
          <w:numId w:val="8"/>
        </w:numPr>
        <w:tabs>
          <w:tab w:pos="1218" w:val="left" w:leader="none"/>
        </w:tabs>
        <w:spacing w:line="240" w:lineRule="auto" w:before="0" w:after="0"/>
        <w:ind w:left="1217" w:right="0" w:hanging="638"/>
        <w:jc w:val="left"/>
        <w:rPr>
          <w:sz w:val="21"/>
        </w:rPr>
      </w:pPr>
      <w:r>
        <w:rPr>
          <w:spacing w:val="-3"/>
          <w:sz w:val="21"/>
        </w:rPr>
        <w:t>北京钱景基金销售有限公司</w:t>
      </w:r>
    </w:p>
    <w:p>
      <w:pPr>
        <w:pStyle w:val="BodyText"/>
        <w:spacing w:before="6"/>
        <w:rPr>
          <w:sz w:val="15"/>
        </w:rPr>
      </w:pPr>
    </w:p>
    <w:p>
      <w:pPr>
        <w:pStyle w:val="BodyText"/>
        <w:ind w:left="580"/>
        <w:rPr>
          <w:rFonts w:ascii="Calibri" w:eastAsia="Calibri"/>
        </w:rPr>
      </w:pPr>
      <w:r>
        <w:rPr>
          <w:spacing w:val="-3"/>
        </w:rPr>
        <w:t>住所：北京市海淀区丹棱街</w:t>
      </w:r>
      <w:r>
        <w:rPr>
          <w:rFonts w:ascii="Calibri" w:eastAsia="Calibri"/>
          <w:spacing w:val="-1"/>
        </w:rPr>
        <w:t>6</w:t>
      </w:r>
      <w:r>
        <w:rPr>
          <w:spacing w:val="-1"/>
        </w:rPr>
        <w:t>号</w:t>
      </w:r>
      <w:r>
        <w:rPr>
          <w:rFonts w:ascii="Calibri" w:eastAsia="Calibri"/>
          <w:spacing w:val="-1"/>
        </w:rPr>
        <w:t>1</w:t>
      </w:r>
      <w:r>
        <w:rPr>
          <w:spacing w:val="-1"/>
        </w:rPr>
        <w:t>幢</w:t>
      </w:r>
      <w:r>
        <w:rPr>
          <w:rFonts w:ascii="Calibri" w:eastAsia="Calibri"/>
          <w:spacing w:val="-1"/>
        </w:rPr>
        <w:t>9</w:t>
      </w:r>
      <w:r>
        <w:rPr>
          <w:spacing w:val="-3"/>
        </w:rPr>
        <w:t>层</w:t>
      </w:r>
      <w:r>
        <w:rPr>
          <w:rFonts w:ascii="Calibri" w:eastAsia="Calibri"/>
          <w:spacing w:val="-1"/>
        </w:rPr>
        <w:t>1008-1012</w:t>
      </w:r>
    </w:p>
    <w:p>
      <w:pPr>
        <w:pStyle w:val="BodyText"/>
        <w:spacing w:before="4"/>
        <w:rPr>
          <w:rFonts w:ascii="Calibri"/>
          <w:sz w:val="16"/>
        </w:rPr>
      </w:pPr>
    </w:p>
    <w:p>
      <w:pPr>
        <w:pStyle w:val="BodyText"/>
        <w:spacing w:line="417" w:lineRule="auto" w:before="1"/>
        <w:ind w:left="580" w:right="3958"/>
      </w:pPr>
      <w:r>
        <w:rPr/>
        <w:t>办公地址：北京市海淀区丹棱街</w:t>
      </w:r>
      <w:r>
        <w:rPr>
          <w:rFonts w:ascii="Calibri" w:eastAsia="Calibri"/>
        </w:rPr>
        <w:t>6</w:t>
      </w:r>
      <w:r>
        <w:rPr/>
        <w:t>号</w:t>
      </w:r>
      <w:r>
        <w:rPr>
          <w:rFonts w:ascii="Calibri" w:eastAsia="Calibri"/>
        </w:rPr>
        <w:t>1</w:t>
      </w:r>
      <w:r>
        <w:rPr/>
        <w:t>幢</w:t>
      </w:r>
      <w:r>
        <w:rPr>
          <w:rFonts w:ascii="Calibri" w:eastAsia="Calibri"/>
        </w:rPr>
        <w:t>9</w:t>
      </w:r>
      <w:r>
        <w:rPr/>
        <w:t>层</w:t>
      </w:r>
      <w:r>
        <w:rPr>
          <w:rFonts w:ascii="Calibri" w:eastAsia="Calibri"/>
        </w:rPr>
        <w:t>1008-1012 </w:t>
      </w:r>
      <w:r>
        <w:rPr/>
        <w:t>法定代表人：赵荣春</w:t>
      </w:r>
    </w:p>
    <w:p>
      <w:pPr>
        <w:spacing w:after="0" w:line="417" w:lineRule="auto"/>
        <w:sectPr>
          <w:pgSz w:w="11910" w:h="16840"/>
          <w:pgMar w:header="877" w:footer="995" w:top="1420" w:bottom="1180" w:left="1640" w:right="920"/>
        </w:sectPr>
      </w:pPr>
    </w:p>
    <w:p>
      <w:pPr>
        <w:pStyle w:val="BodyText"/>
        <w:spacing w:line="417" w:lineRule="auto" w:before="110"/>
        <w:ind w:left="580" w:right="6898"/>
        <w:rPr>
          <w:rFonts w:ascii="Calibri" w:eastAsia="Calibri"/>
        </w:rPr>
      </w:pPr>
      <w:r>
        <w:rPr/>
        <w:t>电话：</w:t>
      </w:r>
      <w:r>
        <w:rPr>
          <w:rFonts w:ascii="Calibri" w:eastAsia="Calibri"/>
        </w:rPr>
        <w:t>010-57418829 </w:t>
      </w:r>
      <w:r>
        <w:rPr/>
        <w:t>传真：</w:t>
      </w:r>
      <w:r>
        <w:rPr>
          <w:rFonts w:ascii="Calibri" w:eastAsia="Calibri"/>
        </w:rPr>
        <w:t>010-57569671</w:t>
      </w:r>
    </w:p>
    <w:p>
      <w:pPr>
        <w:pStyle w:val="BodyText"/>
        <w:spacing w:line="269" w:lineRule="exact"/>
        <w:ind w:left="580"/>
      </w:pPr>
      <w:r>
        <w:rPr/>
        <w:t>联系人：魏争</w:t>
      </w:r>
    </w:p>
    <w:p>
      <w:pPr>
        <w:pStyle w:val="BodyText"/>
        <w:spacing w:before="6"/>
        <w:rPr>
          <w:sz w:val="15"/>
        </w:rPr>
      </w:pPr>
    </w:p>
    <w:p>
      <w:pPr>
        <w:pStyle w:val="BodyText"/>
        <w:ind w:left="580"/>
        <w:rPr>
          <w:rFonts w:ascii="Calibri" w:eastAsia="Calibri"/>
        </w:rPr>
      </w:pPr>
      <w:r>
        <w:rPr/>
        <w:t>网址：</w:t>
      </w:r>
      <w:hyperlink r:id="rId48">
        <w:r>
          <w:rPr>
            <w:rFonts w:ascii="Calibri" w:eastAsia="Calibri"/>
          </w:rPr>
          <w:t>www.niuji.net</w:t>
        </w:r>
      </w:hyperlink>
    </w:p>
    <w:p>
      <w:pPr>
        <w:pStyle w:val="BodyText"/>
        <w:spacing w:before="4"/>
        <w:rPr>
          <w:rFonts w:ascii="Calibri"/>
          <w:sz w:val="16"/>
        </w:rPr>
      </w:pPr>
    </w:p>
    <w:p>
      <w:pPr>
        <w:pStyle w:val="BodyText"/>
        <w:ind w:left="580"/>
        <w:rPr>
          <w:rFonts w:ascii="Calibri" w:eastAsia="Calibri"/>
        </w:rPr>
      </w:pPr>
      <w:r>
        <w:rPr/>
        <w:t>客户服务电话：</w:t>
      </w:r>
      <w:r>
        <w:rPr>
          <w:rFonts w:ascii="Calibri" w:eastAsia="Calibri"/>
        </w:rPr>
        <w:t>400-893-6885</w:t>
      </w:r>
    </w:p>
    <w:p>
      <w:pPr>
        <w:pStyle w:val="BodyText"/>
        <w:spacing w:before="4"/>
        <w:rPr>
          <w:rFonts w:ascii="Calibri"/>
          <w:sz w:val="16"/>
        </w:rPr>
      </w:pPr>
    </w:p>
    <w:p>
      <w:pPr>
        <w:pStyle w:val="ListParagraph"/>
        <w:numPr>
          <w:ilvl w:val="0"/>
          <w:numId w:val="8"/>
        </w:numPr>
        <w:tabs>
          <w:tab w:pos="1218" w:val="left" w:leader="none"/>
        </w:tabs>
        <w:spacing w:line="240" w:lineRule="auto" w:before="0" w:after="0"/>
        <w:ind w:left="1217" w:right="0" w:hanging="638"/>
        <w:jc w:val="left"/>
        <w:rPr>
          <w:sz w:val="21"/>
        </w:rPr>
      </w:pPr>
      <w:r>
        <w:rPr>
          <w:spacing w:val="-3"/>
          <w:sz w:val="21"/>
        </w:rPr>
        <w:t>北京植信基金销售有限公司</w:t>
      </w:r>
    </w:p>
    <w:p>
      <w:pPr>
        <w:pStyle w:val="BodyText"/>
        <w:spacing w:before="6"/>
        <w:rPr>
          <w:sz w:val="15"/>
        </w:rPr>
      </w:pPr>
    </w:p>
    <w:p>
      <w:pPr>
        <w:pStyle w:val="BodyText"/>
        <w:spacing w:line="417" w:lineRule="auto"/>
        <w:ind w:left="580" w:right="4349"/>
        <w:jc w:val="both"/>
      </w:pPr>
      <w:r>
        <w:rPr/>
        <w:t>住所：北京市密云县兴盛南路</w:t>
      </w:r>
      <w:r>
        <w:rPr>
          <w:rFonts w:ascii="Calibri" w:eastAsia="Calibri"/>
        </w:rPr>
        <w:t>8</w:t>
      </w:r>
      <w:r>
        <w:rPr/>
        <w:t>号院</w:t>
      </w:r>
      <w:r>
        <w:rPr>
          <w:rFonts w:ascii="Calibri" w:eastAsia="Calibri"/>
        </w:rPr>
        <w:t>2</w:t>
      </w:r>
      <w:r>
        <w:rPr/>
        <w:t>号楼</w:t>
      </w:r>
      <w:r>
        <w:rPr>
          <w:rFonts w:ascii="Calibri" w:eastAsia="Calibri"/>
        </w:rPr>
        <w:t>106-67 </w:t>
      </w:r>
      <w:r>
        <w:rPr/>
        <w:t>办公地址：北京市朝阳区盛世龙源国食苑</w:t>
      </w:r>
      <w:r>
        <w:rPr>
          <w:rFonts w:ascii="Calibri" w:eastAsia="Calibri"/>
        </w:rPr>
        <w:t>10</w:t>
      </w:r>
      <w:r>
        <w:rPr/>
        <w:t>号楼法定代表人：王军辉</w:t>
      </w:r>
    </w:p>
    <w:p>
      <w:pPr>
        <w:pStyle w:val="BodyText"/>
        <w:spacing w:line="417" w:lineRule="auto" w:before="1"/>
        <w:ind w:left="580" w:right="6098"/>
      </w:pPr>
      <w:r>
        <w:rPr/>
        <w:t>客户服务电话：</w:t>
      </w:r>
      <w:r>
        <w:rPr>
          <w:rFonts w:ascii="Calibri" w:eastAsia="Calibri"/>
        </w:rPr>
        <w:t>400-680-2123 </w:t>
      </w:r>
      <w:r>
        <w:rPr/>
        <w:t>联系人：吴鹏</w:t>
      </w:r>
    </w:p>
    <w:p>
      <w:pPr>
        <w:pStyle w:val="BodyText"/>
        <w:spacing w:line="269" w:lineRule="exact"/>
        <w:ind w:left="580"/>
        <w:rPr>
          <w:rFonts w:ascii="Calibri" w:eastAsia="Calibri"/>
        </w:rPr>
      </w:pPr>
      <w:r>
        <w:rPr/>
        <w:t>网址：</w:t>
      </w:r>
      <w:hyperlink r:id="rId49">
        <w:r>
          <w:rPr>
            <w:rFonts w:ascii="Calibri" w:eastAsia="Calibri"/>
          </w:rPr>
          <w:t>www.zhixin-inv.com</w:t>
        </w:r>
      </w:hyperlink>
    </w:p>
    <w:p>
      <w:pPr>
        <w:pStyle w:val="BodyText"/>
        <w:spacing w:before="3"/>
        <w:rPr>
          <w:rFonts w:ascii="Calibri"/>
          <w:sz w:val="16"/>
        </w:rPr>
      </w:pPr>
    </w:p>
    <w:p>
      <w:pPr>
        <w:pStyle w:val="ListParagraph"/>
        <w:numPr>
          <w:ilvl w:val="0"/>
          <w:numId w:val="8"/>
        </w:numPr>
        <w:tabs>
          <w:tab w:pos="1218" w:val="left" w:leader="none"/>
        </w:tabs>
        <w:spacing w:line="240" w:lineRule="auto" w:before="0" w:after="0"/>
        <w:ind w:left="1217" w:right="0" w:hanging="638"/>
        <w:jc w:val="left"/>
        <w:rPr>
          <w:sz w:val="21"/>
        </w:rPr>
      </w:pPr>
      <w:r>
        <w:rPr>
          <w:spacing w:val="-3"/>
          <w:sz w:val="21"/>
        </w:rPr>
        <w:t>上海大智慧基金销售有限公司</w:t>
      </w:r>
    </w:p>
    <w:p>
      <w:pPr>
        <w:pStyle w:val="BodyText"/>
        <w:spacing w:before="7"/>
        <w:rPr>
          <w:sz w:val="15"/>
        </w:rPr>
      </w:pPr>
    </w:p>
    <w:p>
      <w:pPr>
        <w:pStyle w:val="BodyText"/>
        <w:ind w:left="580"/>
      </w:pPr>
      <w:r>
        <w:rPr/>
        <w:t>住所：中国（上海）自由贸易试验区杨高南路</w:t>
      </w:r>
      <w:r>
        <w:rPr>
          <w:rFonts w:ascii="Calibri" w:eastAsia="Calibri"/>
        </w:rPr>
        <w:t>428</w:t>
      </w:r>
      <w:r>
        <w:rPr/>
        <w:t>号</w:t>
      </w:r>
      <w:r>
        <w:rPr>
          <w:rFonts w:ascii="Calibri" w:eastAsia="Calibri"/>
        </w:rPr>
        <w:t>1</w:t>
      </w:r>
      <w:r>
        <w:rPr/>
        <w:t>号楼</w:t>
      </w:r>
      <w:r>
        <w:rPr>
          <w:rFonts w:ascii="Calibri" w:eastAsia="Calibri"/>
        </w:rPr>
        <w:t>1102</w:t>
      </w:r>
      <w:r>
        <w:rPr/>
        <w:t>单元</w:t>
      </w:r>
    </w:p>
    <w:p>
      <w:pPr>
        <w:pStyle w:val="BodyText"/>
        <w:spacing w:before="7"/>
        <w:rPr>
          <w:sz w:val="15"/>
        </w:rPr>
      </w:pPr>
    </w:p>
    <w:p>
      <w:pPr>
        <w:pStyle w:val="BodyText"/>
        <w:spacing w:line="417" w:lineRule="auto"/>
        <w:ind w:left="580" w:right="2237"/>
      </w:pPr>
      <w:r>
        <w:rPr/>
        <w:t>办公地址：中国（上海）自由贸易试验区杨高南路</w:t>
      </w:r>
      <w:r>
        <w:rPr>
          <w:rFonts w:ascii="Calibri" w:eastAsia="Calibri"/>
        </w:rPr>
        <w:t>428</w:t>
      </w:r>
      <w:r>
        <w:rPr/>
        <w:t>号</w:t>
      </w:r>
      <w:r>
        <w:rPr>
          <w:rFonts w:ascii="Calibri" w:eastAsia="Calibri"/>
        </w:rPr>
        <w:t>1</w:t>
      </w:r>
      <w:r>
        <w:rPr/>
        <w:t>号楼</w:t>
      </w:r>
      <w:r>
        <w:rPr>
          <w:rFonts w:ascii="Calibri" w:eastAsia="Calibri"/>
        </w:rPr>
        <w:t>1102</w:t>
      </w:r>
      <w:r>
        <w:rPr/>
        <w:t>单元法定代表人：申健</w:t>
      </w:r>
    </w:p>
    <w:p>
      <w:pPr>
        <w:pStyle w:val="BodyText"/>
        <w:spacing w:line="417" w:lineRule="auto"/>
        <w:ind w:left="580" w:right="6898"/>
        <w:rPr>
          <w:rFonts w:ascii="Calibri" w:eastAsia="Calibri"/>
        </w:rPr>
      </w:pPr>
      <w:r>
        <w:rPr/>
        <w:t>电话：</w:t>
      </w:r>
      <w:r>
        <w:rPr>
          <w:rFonts w:ascii="Calibri" w:eastAsia="Calibri"/>
        </w:rPr>
        <w:t>18017373527 </w:t>
      </w:r>
      <w:r>
        <w:rPr/>
        <w:t>传真：</w:t>
      </w:r>
      <w:r>
        <w:rPr>
          <w:rFonts w:ascii="Calibri" w:eastAsia="Calibri"/>
        </w:rPr>
        <w:t>021-20219923</w:t>
      </w:r>
    </w:p>
    <w:p>
      <w:pPr>
        <w:pStyle w:val="BodyText"/>
        <w:spacing w:line="269" w:lineRule="exact"/>
        <w:ind w:left="580"/>
      </w:pPr>
      <w:r>
        <w:rPr/>
        <w:t>联系人：张蜓</w:t>
      </w:r>
    </w:p>
    <w:p>
      <w:pPr>
        <w:pStyle w:val="BodyText"/>
        <w:spacing w:before="6"/>
        <w:rPr>
          <w:sz w:val="15"/>
        </w:rPr>
      </w:pPr>
    </w:p>
    <w:p>
      <w:pPr>
        <w:pStyle w:val="BodyText"/>
        <w:spacing w:line="417" w:lineRule="auto"/>
        <w:ind w:left="580" w:right="5943"/>
        <w:rPr>
          <w:rFonts w:ascii="Calibri" w:eastAsia="Calibri"/>
        </w:rPr>
      </w:pPr>
      <w:r>
        <w:rPr/>
        <w:t>网址：</w:t>
      </w:r>
      <w:r>
        <w:rPr>
          <w:rFonts w:ascii="Calibri" w:eastAsia="Calibri"/>
        </w:rPr>
        <w:t>https:</w:t>
      </w:r>
      <w:hyperlink r:id="rId50">
        <w:r>
          <w:rPr>
            <w:rFonts w:ascii="Calibri" w:eastAsia="Calibri"/>
          </w:rPr>
          <w:t>//www</w:t>
        </w:r>
      </w:hyperlink>
      <w:r>
        <w:rPr>
          <w:rFonts w:ascii="Calibri" w:eastAsia="Calibri"/>
        </w:rPr>
        <w:t>.w</w:t>
      </w:r>
      <w:hyperlink r:id="rId50">
        <w:r>
          <w:rPr>
            <w:rFonts w:ascii="Calibri" w:eastAsia="Calibri"/>
          </w:rPr>
          <w:t>g.com.cn/ </w:t>
        </w:r>
      </w:hyperlink>
      <w:r>
        <w:rPr/>
        <w:t>客户服务电话：</w:t>
      </w:r>
      <w:r>
        <w:rPr>
          <w:rFonts w:ascii="Calibri" w:eastAsia="Calibri"/>
        </w:rPr>
        <w:t>021-20292031</w:t>
      </w:r>
    </w:p>
    <w:p>
      <w:pPr>
        <w:pStyle w:val="ListParagraph"/>
        <w:numPr>
          <w:ilvl w:val="0"/>
          <w:numId w:val="8"/>
        </w:numPr>
        <w:tabs>
          <w:tab w:pos="1218" w:val="left" w:leader="none"/>
        </w:tabs>
        <w:spacing w:line="240" w:lineRule="auto" w:before="1" w:after="0"/>
        <w:ind w:left="1217" w:right="0" w:hanging="638"/>
        <w:jc w:val="left"/>
        <w:rPr>
          <w:sz w:val="21"/>
        </w:rPr>
      </w:pPr>
      <w:r>
        <w:rPr>
          <w:spacing w:val="-3"/>
          <w:sz w:val="21"/>
        </w:rPr>
        <w:t>济安财富</w:t>
      </w:r>
      <w:r>
        <w:rPr>
          <w:sz w:val="21"/>
        </w:rPr>
        <w:t>（</w:t>
      </w:r>
      <w:r>
        <w:rPr>
          <w:spacing w:val="-2"/>
          <w:sz w:val="21"/>
        </w:rPr>
        <w:t>北京</w:t>
      </w:r>
      <w:r>
        <w:rPr>
          <w:spacing w:val="-3"/>
          <w:sz w:val="21"/>
        </w:rPr>
        <w:t>）基金销售有限公司</w:t>
      </w:r>
    </w:p>
    <w:p>
      <w:pPr>
        <w:pStyle w:val="BodyText"/>
        <w:spacing w:before="6"/>
        <w:rPr>
          <w:sz w:val="15"/>
        </w:rPr>
      </w:pPr>
    </w:p>
    <w:p>
      <w:pPr>
        <w:pStyle w:val="BodyText"/>
        <w:ind w:left="580"/>
        <w:rPr>
          <w:rFonts w:ascii="Calibri" w:eastAsia="Calibri"/>
        </w:rPr>
      </w:pPr>
      <w:r>
        <w:rPr/>
        <w:t>住所：北京市朝阳区太阳宫中路</w:t>
      </w:r>
      <w:r>
        <w:rPr>
          <w:rFonts w:ascii="Calibri" w:eastAsia="Calibri"/>
        </w:rPr>
        <w:t>16</w:t>
      </w:r>
      <w:r>
        <w:rPr/>
        <w:t>号院</w:t>
      </w:r>
      <w:r>
        <w:rPr>
          <w:rFonts w:ascii="Calibri" w:eastAsia="Calibri"/>
        </w:rPr>
        <w:t>1</w:t>
      </w:r>
      <w:r>
        <w:rPr/>
        <w:t>号楼</w:t>
      </w:r>
      <w:r>
        <w:rPr>
          <w:rFonts w:ascii="Calibri" w:eastAsia="Calibri"/>
        </w:rPr>
        <w:t>3</w:t>
      </w:r>
      <w:r>
        <w:rPr/>
        <w:t>层</w:t>
      </w:r>
      <w:r>
        <w:rPr>
          <w:rFonts w:ascii="Calibri" w:eastAsia="Calibri"/>
        </w:rPr>
        <w:t>307</w:t>
      </w:r>
    </w:p>
    <w:p>
      <w:pPr>
        <w:pStyle w:val="BodyText"/>
        <w:spacing w:before="4"/>
        <w:rPr>
          <w:rFonts w:ascii="Calibri"/>
          <w:sz w:val="16"/>
        </w:rPr>
      </w:pPr>
    </w:p>
    <w:p>
      <w:pPr>
        <w:pStyle w:val="BodyText"/>
        <w:spacing w:line="417" w:lineRule="auto"/>
        <w:ind w:left="580" w:right="3604"/>
      </w:pPr>
      <w:r>
        <w:rPr/>
        <w:t>办公地址：北京市朝阳区太阳宫中路</w:t>
      </w:r>
      <w:r>
        <w:rPr>
          <w:rFonts w:ascii="Calibri" w:eastAsia="Calibri"/>
        </w:rPr>
        <w:t>16</w:t>
      </w:r>
      <w:r>
        <w:rPr/>
        <w:t>号院</w:t>
      </w:r>
      <w:r>
        <w:rPr>
          <w:rFonts w:ascii="Calibri" w:eastAsia="Calibri"/>
        </w:rPr>
        <w:t>1</w:t>
      </w:r>
      <w:r>
        <w:rPr/>
        <w:t>号楼</w:t>
      </w:r>
      <w:r>
        <w:rPr>
          <w:rFonts w:ascii="Calibri" w:eastAsia="Calibri"/>
        </w:rPr>
        <w:t>3</w:t>
      </w:r>
      <w:r>
        <w:rPr/>
        <w:t>层</w:t>
      </w:r>
      <w:r>
        <w:rPr>
          <w:rFonts w:ascii="Calibri" w:eastAsia="Calibri"/>
        </w:rPr>
        <w:t>307 </w:t>
      </w:r>
      <w:r>
        <w:rPr/>
        <w:t>法定代表人：杨健</w:t>
      </w:r>
    </w:p>
    <w:p>
      <w:pPr>
        <w:pStyle w:val="BodyText"/>
        <w:spacing w:line="417" w:lineRule="auto"/>
        <w:ind w:left="580" w:right="6898"/>
        <w:rPr>
          <w:rFonts w:ascii="Calibri" w:eastAsia="Calibri"/>
        </w:rPr>
      </w:pPr>
      <w:r>
        <w:rPr/>
        <w:t>电话：</w:t>
      </w:r>
      <w:r>
        <w:rPr>
          <w:rFonts w:ascii="Calibri" w:eastAsia="Calibri"/>
        </w:rPr>
        <w:t>010-65309516 </w:t>
      </w:r>
      <w:r>
        <w:rPr/>
        <w:t>传真：</w:t>
      </w:r>
      <w:r>
        <w:rPr>
          <w:rFonts w:ascii="Calibri" w:eastAsia="Calibri"/>
        </w:rPr>
        <w:t>010-65330699</w:t>
      </w:r>
    </w:p>
    <w:p>
      <w:pPr>
        <w:pStyle w:val="BodyText"/>
        <w:spacing w:line="269" w:lineRule="exact"/>
        <w:ind w:left="580"/>
      </w:pPr>
      <w:r>
        <w:rPr/>
        <w:t>联系人：李海燕</w:t>
      </w:r>
    </w:p>
    <w:p>
      <w:pPr>
        <w:pStyle w:val="BodyText"/>
        <w:spacing w:before="7"/>
        <w:rPr>
          <w:sz w:val="15"/>
        </w:rPr>
      </w:pPr>
    </w:p>
    <w:p>
      <w:pPr>
        <w:pStyle w:val="BodyText"/>
        <w:spacing w:line="417" w:lineRule="auto"/>
        <w:ind w:left="580" w:right="6098"/>
        <w:rPr>
          <w:rFonts w:ascii="Calibri" w:eastAsia="Calibri"/>
        </w:rPr>
      </w:pPr>
      <w:r>
        <w:rPr/>
        <w:t>网址：</w:t>
      </w:r>
      <w:hyperlink r:id="rId51">
        <w:r>
          <w:rPr>
            <w:rFonts w:ascii="Calibri" w:eastAsia="Calibri"/>
          </w:rPr>
          <w:t>www.jianfortune.com </w:t>
        </w:r>
      </w:hyperlink>
      <w:r>
        <w:rPr/>
        <w:t>客户服务电话：</w:t>
      </w:r>
      <w:r>
        <w:rPr>
          <w:rFonts w:ascii="Calibri" w:eastAsia="Calibri"/>
        </w:rPr>
        <w:t>400-673-7010</w:t>
      </w:r>
    </w:p>
    <w:p>
      <w:pPr>
        <w:spacing w:after="0" w:line="417" w:lineRule="auto"/>
        <w:rPr>
          <w:rFonts w:ascii="Calibri" w:eastAsia="Calibri"/>
        </w:rPr>
        <w:sectPr>
          <w:pgSz w:w="11910" w:h="16840"/>
          <w:pgMar w:header="877" w:footer="995" w:top="1420" w:bottom="1180" w:left="1640" w:right="920"/>
        </w:sectPr>
      </w:pPr>
    </w:p>
    <w:p>
      <w:pPr>
        <w:pStyle w:val="ListParagraph"/>
        <w:numPr>
          <w:ilvl w:val="0"/>
          <w:numId w:val="8"/>
        </w:numPr>
        <w:tabs>
          <w:tab w:pos="1218" w:val="left" w:leader="none"/>
        </w:tabs>
        <w:spacing w:line="240" w:lineRule="auto" w:before="110" w:after="0"/>
        <w:ind w:left="1217" w:right="0" w:hanging="638"/>
        <w:jc w:val="left"/>
        <w:rPr>
          <w:sz w:val="21"/>
        </w:rPr>
      </w:pPr>
      <w:r>
        <w:rPr>
          <w:spacing w:val="-3"/>
          <w:sz w:val="21"/>
        </w:rPr>
        <w:t>上海万得基金销售有限公司</w:t>
      </w:r>
    </w:p>
    <w:p>
      <w:pPr>
        <w:pStyle w:val="BodyText"/>
        <w:spacing w:before="6"/>
        <w:rPr>
          <w:sz w:val="15"/>
        </w:rPr>
      </w:pPr>
    </w:p>
    <w:p>
      <w:pPr>
        <w:pStyle w:val="BodyText"/>
        <w:spacing w:line="417" w:lineRule="auto"/>
        <w:ind w:left="580" w:right="3598"/>
      </w:pPr>
      <w:r>
        <w:rPr/>
        <w:t>住所：中国（上海）自由贸易试验区福山路</w:t>
      </w:r>
      <w:r>
        <w:rPr>
          <w:rFonts w:ascii="Calibri" w:eastAsia="Calibri"/>
        </w:rPr>
        <w:t>33</w:t>
      </w:r>
      <w:r>
        <w:rPr/>
        <w:t>号</w:t>
      </w:r>
      <w:r>
        <w:rPr>
          <w:rFonts w:ascii="Calibri" w:eastAsia="Calibri"/>
        </w:rPr>
        <w:t>11</w:t>
      </w:r>
      <w:r>
        <w:rPr/>
        <w:t>楼</w:t>
      </w:r>
      <w:r>
        <w:rPr>
          <w:rFonts w:ascii="Calibri" w:eastAsia="Calibri"/>
        </w:rPr>
        <w:t>B</w:t>
      </w:r>
      <w:r>
        <w:rPr/>
        <w:t>座办公地址：上海市浦东新区浦明路</w:t>
      </w:r>
      <w:r>
        <w:rPr>
          <w:rFonts w:ascii="Calibri" w:eastAsia="Calibri"/>
        </w:rPr>
        <w:t>1500</w:t>
      </w:r>
      <w:r>
        <w:rPr/>
        <w:t>号万得大厦</w:t>
      </w:r>
      <w:r>
        <w:rPr>
          <w:rFonts w:ascii="Calibri" w:eastAsia="Calibri"/>
        </w:rPr>
        <w:t>11</w:t>
      </w:r>
      <w:r>
        <w:rPr/>
        <w:t>楼法定代表人：黄祎</w:t>
      </w:r>
    </w:p>
    <w:p>
      <w:pPr>
        <w:pStyle w:val="BodyText"/>
        <w:spacing w:line="417" w:lineRule="auto"/>
        <w:ind w:left="580" w:right="6898"/>
        <w:rPr>
          <w:rFonts w:ascii="Calibri" w:eastAsia="Calibri"/>
        </w:rPr>
      </w:pPr>
      <w:r>
        <w:rPr/>
        <w:t>电话：</w:t>
      </w:r>
      <w:r>
        <w:rPr>
          <w:rFonts w:ascii="Calibri" w:eastAsia="Calibri"/>
        </w:rPr>
        <w:t>021-50712782 </w:t>
      </w:r>
      <w:r>
        <w:rPr/>
        <w:t>传真：</w:t>
      </w:r>
      <w:r>
        <w:rPr>
          <w:rFonts w:ascii="Calibri" w:eastAsia="Calibri"/>
        </w:rPr>
        <w:t>021-50710161</w:t>
      </w:r>
    </w:p>
    <w:p>
      <w:pPr>
        <w:pStyle w:val="BodyText"/>
        <w:spacing w:line="269" w:lineRule="exact"/>
        <w:ind w:left="580"/>
      </w:pPr>
      <w:r>
        <w:rPr/>
        <w:t>联系人：徐亚丹</w:t>
      </w:r>
    </w:p>
    <w:p>
      <w:pPr>
        <w:pStyle w:val="BodyText"/>
        <w:spacing w:before="7"/>
        <w:rPr>
          <w:sz w:val="15"/>
        </w:rPr>
      </w:pPr>
    </w:p>
    <w:p>
      <w:pPr>
        <w:pStyle w:val="BodyText"/>
        <w:spacing w:line="417" w:lineRule="auto"/>
        <w:ind w:left="580" w:right="6098"/>
        <w:rPr>
          <w:rFonts w:ascii="Calibri" w:eastAsia="Calibri"/>
        </w:rPr>
      </w:pPr>
      <w:r>
        <w:rPr/>
        <w:t>网址：</w:t>
      </w:r>
      <w:hyperlink r:id="rId52">
        <w:r>
          <w:rPr>
            <w:rFonts w:ascii="Calibri" w:eastAsia="Calibri"/>
          </w:rPr>
          <w:t>www.520fund.com.cn </w:t>
        </w:r>
      </w:hyperlink>
      <w:r>
        <w:rPr/>
        <w:t>客户服务电话：</w:t>
      </w:r>
      <w:r>
        <w:rPr>
          <w:rFonts w:ascii="Calibri" w:eastAsia="Calibri"/>
        </w:rPr>
        <w:t>400-799-1888</w:t>
      </w:r>
    </w:p>
    <w:p>
      <w:pPr>
        <w:pStyle w:val="ListParagraph"/>
        <w:numPr>
          <w:ilvl w:val="0"/>
          <w:numId w:val="8"/>
        </w:numPr>
        <w:tabs>
          <w:tab w:pos="1218" w:val="left" w:leader="none"/>
        </w:tabs>
        <w:spacing w:line="269" w:lineRule="exact" w:before="0" w:after="0"/>
        <w:ind w:left="1217" w:right="0" w:hanging="638"/>
        <w:jc w:val="left"/>
        <w:rPr>
          <w:sz w:val="21"/>
        </w:rPr>
      </w:pPr>
      <w:r>
        <w:rPr>
          <w:spacing w:val="-3"/>
          <w:sz w:val="21"/>
        </w:rPr>
        <w:t>上海联泰基金销售有限公司</w:t>
      </w:r>
    </w:p>
    <w:p>
      <w:pPr>
        <w:pStyle w:val="BodyText"/>
        <w:spacing w:before="7"/>
        <w:rPr>
          <w:sz w:val="15"/>
        </w:rPr>
      </w:pPr>
    </w:p>
    <w:p>
      <w:pPr>
        <w:pStyle w:val="BodyText"/>
        <w:spacing w:line="417" w:lineRule="auto"/>
        <w:ind w:left="580" w:right="3185"/>
      </w:pPr>
      <w:r>
        <w:rPr/>
        <w:t>住所：中国（上海）自由贸易试验区富特北路</w:t>
      </w:r>
      <w:r>
        <w:rPr>
          <w:rFonts w:ascii="Calibri" w:eastAsia="Calibri"/>
        </w:rPr>
        <w:t>277</w:t>
      </w:r>
      <w:r>
        <w:rPr/>
        <w:t>号</w:t>
      </w:r>
      <w:r>
        <w:rPr>
          <w:rFonts w:ascii="Calibri" w:eastAsia="Calibri"/>
        </w:rPr>
        <w:t>3</w:t>
      </w:r>
      <w:r>
        <w:rPr/>
        <w:t>层</w:t>
      </w:r>
      <w:r>
        <w:rPr>
          <w:rFonts w:ascii="Calibri" w:eastAsia="Calibri"/>
        </w:rPr>
        <w:t>310</w:t>
      </w:r>
      <w:r>
        <w:rPr/>
        <w:t>室办公地址：中国（上海）长宁区福泉北路</w:t>
      </w:r>
      <w:r>
        <w:rPr>
          <w:rFonts w:ascii="Calibri" w:eastAsia="Calibri"/>
        </w:rPr>
        <w:t>518</w:t>
      </w:r>
      <w:r>
        <w:rPr/>
        <w:t>号</w:t>
      </w:r>
      <w:r>
        <w:rPr>
          <w:rFonts w:ascii="Calibri" w:eastAsia="Calibri"/>
        </w:rPr>
        <w:t>8</w:t>
      </w:r>
      <w:r>
        <w:rPr/>
        <w:t>座</w:t>
      </w:r>
      <w:r>
        <w:rPr>
          <w:rFonts w:ascii="Calibri" w:eastAsia="Calibri"/>
        </w:rPr>
        <w:t>3</w:t>
      </w:r>
      <w:r>
        <w:rPr/>
        <w:t>层</w:t>
      </w:r>
    </w:p>
    <w:p>
      <w:pPr>
        <w:pStyle w:val="BodyText"/>
        <w:spacing w:line="417" w:lineRule="auto"/>
        <w:ind w:left="580" w:right="6870"/>
        <w:rPr>
          <w:rFonts w:ascii="Calibri" w:eastAsia="Calibri"/>
        </w:rPr>
      </w:pPr>
      <w:r>
        <w:rPr/>
        <w:t>法定代表人：尹彬彬电话：</w:t>
      </w:r>
      <w:r>
        <w:rPr>
          <w:rFonts w:ascii="Calibri" w:eastAsia="Calibri"/>
        </w:rPr>
        <w:t>15201924977 </w:t>
      </w:r>
      <w:r>
        <w:rPr/>
        <w:t>传真：</w:t>
      </w:r>
      <w:r>
        <w:rPr>
          <w:rFonts w:ascii="Calibri" w:eastAsia="Calibri"/>
        </w:rPr>
        <w:t>021-52975270</w:t>
      </w:r>
    </w:p>
    <w:p>
      <w:pPr>
        <w:pStyle w:val="BodyText"/>
        <w:ind w:left="580"/>
      </w:pPr>
      <w:r>
        <w:rPr/>
        <w:t>联系人：兰敏</w:t>
      </w:r>
    </w:p>
    <w:p>
      <w:pPr>
        <w:pStyle w:val="BodyText"/>
        <w:spacing w:before="6"/>
        <w:rPr>
          <w:sz w:val="15"/>
        </w:rPr>
      </w:pPr>
    </w:p>
    <w:p>
      <w:pPr>
        <w:pStyle w:val="BodyText"/>
        <w:ind w:left="580"/>
        <w:rPr>
          <w:rFonts w:ascii="Calibri" w:eastAsia="Calibri"/>
        </w:rPr>
      </w:pPr>
      <w:r>
        <w:rPr/>
        <w:t>网址：</w:t>
      </w:r>
      <w:hyperlink r:id="rId53">
        <w:r>
          <w:rPr>
            <w:rFonts w:ascii="Calibri" w:eastAsia="Calibri"/>
          </w:rPr>
          <w:t>www.66liantai.com</w:t>
        </w:r>
      </w:hyperlink>
    </w:p>
    <w:p>
      <w:pPr>
        <w:pStyle w:val="BodyText"/>
        <w:spacing w:before="4"/>
        <w:rPr>
          <w:rFonts w:ascii="Calibri"/>
          <w:sz w:val="16"/>
        </w:rPr>
      </w:pPr>
    </w:p>
    <w:p>
      <w:pPr>
        <w:pStyle w:val="BodyText"/>
        <w:ind w:left="580"/>
        <w:rPr>
          <w:rFonts w:ascii="Calibri" w:eastAsia="Calibri"/>
        </w:rPr>
      </w:pPr>
      <w:r>
        <w:rPr/>
        <w:t>客户服务电话：</w:t>
      </w:r>
      <w:r>
        <w:rPr>
          <w:rFonts w:ascii="Calibri" w:eastAsia="Calibri"/>
        </w:rPr>
        <w:t>400-118-1188</w:t>
      </w:r>
    </w:p>
    <w:p>
      <w:pPr>
        <w:pStyle w:val="BodyText"/>
        <w:spacing w:before="3"/>
        <w:rPr>
          <w:rFonts w:ascii="Calibri"/>
          <w:sz w:val="16"/>
        </w:rPr>
      </w:pPr>
    </w:p>
    <w:p>
      <w:pPr>
        <w:pStyle w:val="ListParagraph"/>
        <w:numPr>
          <w:ilvl w:val="0"/>
          <w:numId w:val="8"/>
        </w:numPr>
        <w:tabs>
          <w:tab w:pos="1218" w:val="left" w:leader="none"/>
        </w:tabs>
        <w:spacing w:line="417" w:lineRule="auto" w:before="1" w:after="0"/>
        <w:ind w:left="580" w:right="4664" w:firstLine="0"/>
        <w:jc w:val="left"/>
        <w:rPr>
          <w:sz w:val="21"/>
        </w:rPr>
      </w:pPr>
      <w:r>
        <w:rPr>
          <w:spacing w:val="-3"/>
          <w:sz w:val="21"/>
        </w:rPr>
        <w:t>泰诚财富基金销售</w:t>
      </w:r>
      <w:r>
        <w:rPr>
          <w:sz w:val="21"/>
        </w:rPr>
        <w:t>（</w:t>
      </w:r>
      <w:r>
        <w:rPr>
          <w:spacing w:val="-2"/>
          <w:sz w:val="21"/>
        </w:rPr>
        <w:t>大连</w:t>
      </w:r>
      <w:r>
        <w:rPr>
          <w:sz w:val="21"/>
        </w:rPr>
        <w:t>）</w:t>
      </w:r>
      <w:r>
        <w:rPr>
          <w:spacing w:val="-3"/>
          <w:sz w:val="21"/>
        </w:rPr>
        <w:t>有限公司住所：辽宁省大连市沙河口区星海中龙园</w:t>
      </w:r>
      <w:r>
        <w:rPr>
          <w:rFonts w:ascii="Calibri" w:eastAsia="Calibri"/>
          <w:sz w:val="21"/>
        </w:rPr>
        <w:t>3</w:t>
      </w:r>
      <w:r>
        <w:rPr>
          <w:spacing w:val="-12"/>
          <w:sz w:val="21"/>
        </w:rPr>
        <w:t>号</w:t>
      </w:r>
    </w:p>
    <w:p>
      <w:pPr>
        <w:pStyle w:val="BodyText"/>
        <w:spacing w:line="417" w:lineRule="auto"/>
        <w:ind w:left="580" w:right="4243"/>
      </w:pPr>
      <w:r>
        <w:rPr/>
        <w:t>办公地址：辽宁省大连市沙河口区星海中龙园</w:t>
      </w:r>
      <w:r>
        <w:rPr>
          <w:rFonts w:ascii="Calibri" w:eastAsia="Calibri"/>
        </w:rPr>
        <w:t>3</w:t>
      </w:r>
      <w:r>
        <w:rPr/>
        <w:t>号法定代表人：李春光</w:t>
      </w:r>
    </w:p>
    <w:p>
      <w:pPr>
        <w:pStyle w:val="BodyText"/>
        <w:spacing w:line="417" w:lineRule="auto"/>
        <w:ind w:left="580" w:right="6410"/>
        <w:rPr>
          <w:rFonts w:ascii="Calibri" w:eastAsia="Calibri"/>
        </w:rPr>
      </w:pPr>
      <w:r>
        <w:rPr/>
        <w:t>电话：</w:t>
      </w:r>
      <w:r>
        <w:rPr>
          <w:rFonts w:ascii="Calibri" w:eastAsia="Calibri"/>
        </w:rPr>
        <w:t>0411-88891212-317 </w:t>
      </w:r>
      <w:r>
        <w:rPr/>
        <w:t>传真：</w:t>
      </w:r>
      <w:r>
        <w:rPr>
          <w:rFonts w:ascii="Calibri" w:eastAsia="Calibri"/>
        </w:rPr>
        <w:t>0411-84396536</w:t>
      </w:r>
    </w:p>
    <w:p>
      <w:pPr>
        <w:pStyle w:val="BodyText"/>
        <w:spacing w:line="269" w:lineRule="exact"/>
        <w:ind w:left="580"/>
      </w:pPr>
      <w:r>
        <w:rPr/>
        <w:t>联系人：张晓辉</w:t>
      </w:r>
    </w:p>
    <w:p>
      <w:pPr>
        <w:pStyle w:val="BodyText"/>
        <w:spacing w:before="6"/>
        <w:rPr>
          <w:sz w:val="15"/>
        </w:rPr>
      </w:pPr>
    </w:p>
    <w:p>
      <w:pPr>
        <w:pStyle w:val="BodyText"/>
        <w:spacing w:line="417" w:lineRule="auto"/>
        <w:ind w:left="580" w:right="6098"/>
        <w:rPr>
          <w:rFonts w:ascii="Calibri" w:eastAsia="Calibri"/>
        </w:rPr>
      </w:pPr>
      <w:r>
        <w:rPr/>
        <w:t>网址：</w:t>
      </w:r>
      <w:hyperlink r:id="rId54">
        <w:r>
          <w:rPr>
            <w:rFonts w:ascii="Calibri" w:eastAsia="Calibri"/>
          </w:rPr>
          <w:t>www.haojiyoujijin.com </w:t>
        </w:r>
      </w:hyperlink>
      <w:r>
        <w:rPr/>
        <w:t>客户服务电话：</w:t>
      </w:r>
      <w:r>
        <w:rPr>
          <w:rFonts w:ascii="Calibri" w:eastAsia="Calibri"/>
        </w:rPr>
        <w:t>400-0411-001</w:t>
      </w:r>
    </w:p>
    <w:p>
      <w:pPr>
        <w:pStyle w:val="ListParagraph"/>
        <w:numPr>
          <w:ilvl w:val="0"/>
          <w:numId w:val="8"/>
        </w:numPr>
        <w:tabs>
          <w:tab w:pos="1218" w:val="left" w:leader="none"/>
        </w:tabs>
        <w:spacing w:line="269" w:lineRule="exact" w:before="0" w:after="0"/>
        <w:ind w:left="1217" w:right="0" w:hanging="638"/>
        <w:jc w:val="left"/>
        <w:rPr>
          <w:sz w:val="21"/>
        </w:rPr>
      </w:pPr>
      <w:r>
        <w:rPr>
          <w:spacing w:val="-3"/>
          <w:sz w:val="21"/>
        </w:rPr>
        <w:t>上海汇付基金销售有限公司</w:t>
      </w:r>
    </w:p>
    <w:p>
      <w:pPr>
        <w:pStyle w:val="BodyText"/>
        <w:spacing w:before="7"/>
        <w:rPr>
          <w:sz w:val="15"/>
        </w:rPr>
      </w:pPr>
    </w:p>
    <w:p>
      <w:pPr>
        <w:pStyle w:val="BodyText"/>
        <w:ind w:left="580"/>
      </w:pPr>
      <w:r>
        <w:rPr/>
        <w:t>住所：上海市黄浦区黄河路</w:t>
      </w:r>
      <w:r>
        <w:rPr>
          <w:rFonts w:ascii="Calibri" w:eastAsia="Calibri"/>
        </w:rPr>
        <w:t>333</w:t>
      </w:r>
      <w:r>
        <w:rPr/>
        <w:t>号</w:t>
      </w:r>
      <w:r>
        <w:rPr>
          <w:rFonts w:ascii="Calibri" w:eastAsia="Calibri"/>
        </w:rPr>
        <w:t>201</w:t>
      </w:r>
      <w:r>
        <w:rPr/>
        <w:t>室</w:t>
      </w:r>
      <w:r>
        <w:rPr>
          <w:rFonts w:ascii="Calibri" w:eastAsia="Calibri"/>
        </w:rPr>
        <w:t>A</w:t>
      </w:r>
      <w:r>
        <w:rPr/>
        <w:t>区</w:t>
      </w:r>
      <w:r>
        <w:rPr>
          <w:rFonts w:ascii="Calibri" w:eastAsia="Calibri"/>
        </w:rPr>
        <w:t>056</w:t>
      </w:r>
      <w:r>
        <w:rPr/>
        <w:t>单元</w:t>
      </w:r>
    </w:p>
    <w:p>
      <w:pPr>
        <w:pStyle w:val="BodyText"/>
        <w:spacing w:before="7"/>
        <w:rPr>
          <w:sz w:val="15"/>
        </w:rPr>
      </w:pPr>
    </w:p>
    <w:p>
      <w:pPr>
        <w:pStyle w:val="BodyText"/>
        <w:ind w:left="580"/>
      </w:pPr>
      <w:r>
        <w:rPr/>
        <w:t>办公地址：上海市徐汇区宜山路</w:t>
      </w:r>
      <w:r>
        <w:rPr>
          <w:rFonts w:ascii="Calibri" w:eastAsia="Calibri"/>
        </w:rPr>
        <w:t>700</w:t>
      </w:r>
      <w:r>
        <w:rPr/>
        <w:t>号普天信息产业园</w:t>
      </w:r>
      <w:r>
        <w:rPr>
          <w:rFonts w:ascii="Calibri" w:eastAsia="Calibri"/>
        </w:rPr>
        <w:t>2</w:t>
      </w:r>
      <w:r>
        <w:rPr/>
        <w:t>期</w:t>
      </w:r>
      <w:r>
        <w:rPr>
          <w:rFonts w:ascii="Calibri" w:eastAsia="Calibri"/>
        </w:rPr>
        <w:t>C5</w:t>
      </w:r>
      <w:r>
        <w:rPr/>
        <w:t>栋</w:t>
      </w:r>
    </w:p>
    <w:p>
      <w:pPr>
        <w:spacing w:after="0"/>
        <w:sectPr>
          <w:pgSz w:w="11910" w:h="16840"/>
          <w:pgMar w:header="877" w:footer="995" w:top="1420" w:bottom="1180" w:left="1640" w:right="920"/>
        </w:sectPr>
      </w:pPr>
    </w:p>
    <w:p>
      <w:pPr>
        <w:pStyle w:val="BodyText"/>
        <w:spacing w:line="417" w:lineRule="auto" w:before="110"/>
        <w:ind w:left="580" w:right="6837"/>
        <w:rPr>
          <w:rFonts w:ascii="Calibri" w:eastAsia="Calibri"/>
        </w:rPr>
      </w:pPr>
      <w:r>
        <w:rPr/>
        <w:t>法定代表人：金佶电话：</w:t>
      </w:r>
      <w:r>
        <w:rPr>
          <w:rFonts w:ascii="Calibri" w:eastAsia="Calibri"/>
        </w:rPr>
        <w:t>021-33323999 </w:t>
      </w:r>
      <w:r>
        <w:rPr/>
        <w:t>传真：</w:t>
      </w:r>
      <w:r>
        <w:rPr>
          <w:rFonts w:ascii="Calibri" w:eastAsia="Calibri"/>
        </w:rPr>
        <w:t>021-33323837</w:t>
      </w:r>
    </w:p>
    <w:p>
      <w:pPr>
        <w:pStyle w:val="BodyText"/>
        <w:spacing w:line="269" w:lineRule="exact"/>
        <w:ind w:left="580"/>
      </w:pPr>
      <w:r>
        <w:rPr/>
        <w:t>联系人：甄宝林</w:t>
      </w:r>
    </w:p>
    <w:p>
      <w:pPr>
        <w:pStyle w:val="BodyText"/>
        <w:spacing w:before="6"/>
        <w:rPr>
          <w:sz w:val="15"/>
        </w:rPr>
      </w:pPr>
    </w:p>
    <w:p>
      <w:pPr>
        <w:pStyle w:val="BodyText"/>
        <w:ind w:left="580"/>
        <w:rPr>
          <w:rFonts w:ascii="Calibri" w:eastAsia="Calibri"/>
        </w:rPr>
      </w:pPr>
      <w:r>
        <w:rPr/>
        <w:t>网址：</w:t>
      </w:r>
      <w:hyperlink r:id="rId55">
        <w:r>
          <w:rPr>
            <w:rFonts w:ascii="Calibri" w:eastAsia="Calibri"/>
          </w:rPr>
          <w:t>www.hotjijin.com</w:t>
        </w:r>
      </w:hyperlink>
    </w:p>
    <w:p>
      <w:pPr>
        <w:pStyle w:val="BodyText"/>
        <w:spacing w:before="4"/>
        <w:rPr>
          <w:rFonts w:ascii="Calibri"/>
          <w:sz w:val="16"/>
        </w:rPr>
      </w:pPr>
    </w:p>
    <w:p>
      <w:pPr>
        <w:pStyle w:val="BodyText"/>
        <w:ind w:left="580"/>
        <w:rPr>
          <w:rFonts w:ascii="Calibri" w:eastAsia="Calibri"/>
        </w:rPr>
      </w:pPr>
      <w:r>
        <w:rPr/>
        <w:t>客户服务电话：</w:t>
      </w:r>
      <w:r>
        <w:rPr>
          <w:rFonts w:ascii="Calibri" w:eastAsia="Calibri"/>
        </w:rPr>
        <w:t>021-34013999</w:t>
      </w:r>
    </w:p>
    <w:p>
      <w:pPr>
        <w:pStyle w:val="BodyText"/>
        <w:spacing w:before="4"/>
        <w:rPr>
          <w:rFonts w:ascii="Calibri"/>
          <w:sz w:val="16"/>
        </w:rPr>
      </w:pPr>
    </w:p>
    <w:p>
      <w:pPr>
        <w:pStyle w:val="ListParagraph"/>
        <w:numPr>
          <w:ilvl w:val="0"/>
          <w:numId w:val="8"/>
        </w:numPr>
        <w:tabs>
          <w:tab w:pos="1218" w:val="left" w:leader="none"/>
        </w:tabs>
        <w:spacing w:line="240" w:lineRule="auto" w:before="0" w:after="0"/>
        <w:ind w:left="1217" w:right="0" w:hanging="638"/>
        <w:jc w:val="left"/>
        <w:rPr>
          <w:sz w:val="21"/>
        </w:rPr>
      </w:pPr>
      <w:r>
        <w:rPr>
          <w:spacing w:val="-3"/>
          <w:sz w:val="21"/>
        </w:rPr>
        <w:t>上海基煜基金销售有限公司</w:t>
      </w:r>
    </w:p>
    <w:p>
      <w:pPr>
        <w:pStyle w:val="BodyText"/>
        <w:spacing w:before="7"/>
        <w:rPr>
          <w:sz w:val="15"/>
        </w:rPr>
      </w:pPr>
    </w:p>
    <w:p>
      <w:pPr>
        <w:pStyle w:val="BodyText"/>
        <w:spacing w:line="417" w:lineRule="auto"/>
        <w:ind w:left="580" w:right="1080"/>
      </w:pPr>
      <w:r>
        <w:rPr/>
        <w:t>住所：上海市崇明县长兴镇路潘园公路</w:t>
      </w:r>
      <w:r>
        <w:rPr>
          <w:rFonts w:ascii="Calibri" w:eastAsia="Calibri"/>
        </w:rPr>
        <w:t>1800</w:t>
      </w:r>
      <w:r>
        <w:rPr/>
        <w:t>号</w:t>
      </w:r>
      <w:r>
        <w:rPr>
          <w:rFonts w:ascii="Calibri" w:eastAsia="Calibri"/>
        </w:rPr>
        <w:t>2</w:t>
      </w:r>
      <w:r>
        <w:rPr/>
        <w:t>号楼</w:t>
      </w:r>
      <w:r>
        <w:rPr>
          <w:rFonts w:ascii="Calibri" w:eastAsia="Calibri"/>
        </w:rPr>
        <w:t>6153</w:t>
      </w:r>
      <w:r>
        <w:rPr/>
        <w:t>室（上海泰和经济发展区） 办公地址：上海市浦东新区银城中路</w:t>
      </w:r>
      <w:r>
        <w:rPr>
          <w:rFonts w:ascii="Calibri" w:eastAsia="Calibri"/>
        </w:rPr>
        <w:t>488</w:t>
      </w:r>
      <w:r>
        <w:rPr/>
        <w:t>号太平金融大厦</w:t>
      </w:r>
      <w:r>
        <w:rPr>
          <w:rFonts w:ascii="Calibri" w:eastAsia="Calibri"/>
        </w:rPr>
        <w:t>1503</w:t>
      </w:r>
      <w:r>
        <w:rPr/>
        <w:t>室</w:t>
      </w:r>
    </w:p>
    <w:p>
      <w:pPr>
        <w:pStyle w:val="BodyText"/>
        <w:spacing w:line="269" w:lineRule="exact"/>
        <w:ind w:left="580"/>
      </w:pPr>
      <w:r>
        <w:rPr/>
        <w:t>法定代表人：王翔</w:t>
      </w:r>
    </w:p>
    <w:p>
      <w:pPr>
        <w:pStyle w:val="BodyText"/>
        <w:spacing w:before="7"/>
        <w:rPr>
          <w:sz w:val="15"/>
        </w:rPr>
      </w:pPr>
    </w:p>
    <w:p>
      <w:pPr>
        <w:pStyle w:val="BodyText"/>
        <w:spacing w:line="417" w:lineRule="auto"/>
        <w:ind w:left="580" w:right="6474"/>
        <w:rPr>
          <w:rFonts w:ascii="Calibri" w:eastAsia="Calibri"/>
        </w:rPr>
      </w:pPr>
      <w:r>
        <w:rPr/>
        <w:t>电话：</w:t>
      </w:r>
      <w:r>
        <w:rPr>
          <w:rFonts w:ascii="Calibri" w:eastAsia="Calibri"/>
        </w:rPr>
        <w:t>021-35385521*210 </w:t>
      </w:r>
      <w:r>
        <w:rPr/>
        <w:t>传真：</w:t>
      </w:r>
      <w:r>
        <w:rPr>
          <w:rFonts w:ascii="Calibri" w:eastAsia="Calibri"/>
        </w:rPr>
        <w:t>021-55085991</w:t>
      </w:r>
    </w:p>
    <w:p>
      <w:pPr>
        <w:pStyle w:val="BodyText"/>
        <w:spacing w:line="269" w:lineRule="exact"/>
        <w:ind w:left="580"/>
      </w:pPr>
      <w:r>
        <w:rPr/>
        <w:t>联系人：蓝杰</w:t>
      </w:r>
    </w:p>
    <w:p>
      <w:pPr>
        <w:pStyle w:val="BodyText"/>
        <w:spacing w:before="6"/>
        <w:rPr>
          <w:sz w:val="15"/>
        </w:rPr>
      </w:pPr>
    </w:p>
    <w:p>
      <w:pPr>
        <w:pStyle w:val="BodyText"/>
        <w:spacing w:line="417" w:lineRule="auto" w:before="1"/>
        <w:ind w:left="580" w:right="6098"/>
        <w:rPr>
          <w:rFonts w:ascii="Calibri" w:eastAsia="Calibri"/>
        </w:rPr>
      </w:pPr>
      <w:r>
        <w:rPr/>
        <w:t>网址：</w:t>
      </w:r>
      <w:hyperlink r:id="rId56">
        <w:r>
          <w:rPr>
            <w:rFonts w:ascii="Calibri" w:eastAsia="Calibri"/>
          </w:rPr>
          <w:t>www.jiyufund.com.cn </w:t>
        </w:r>
      </w:hyperlink>
      <w:r>
        <w:rPr/>
        <w:t>客户服务电话：</w:t>
      </w:r>
      <w:r>
        <w:rPr>
          <w:rFonts w:ascii="Calibri" w:eastAsia="Calibri"/>
        </w:rPr>
        <w:t>400-820-5369</w:t>
      </w:r>
    </w:p>
    <w:p>
      <w:pPr>
        <w:pStyle w:val="ListParagraph"/>
        <w:numPr>
          <w:ilvl w:val="0"/>
          <w:numId w:val="8"/>
        </w:numPr>
        <w:tabs>
          <w:tab w:pos="1218" w:val="left" w:leader="none"/>
        </w:tabs>
        <w:spacing w:line="240" w:lineRule="auto" w:before="0" w:after="0"/>
        <w:ind w:left="1217" w:right="0" w:hanging="638"/>
        <w:jc w:val="left"/>
        <w:rPr>
          <w:sz w:val="21"/>
        </w:rPr>
      </w:pPr>
      <w:r>
        <w:rPr>
          <w:spacing w:val="-3"/>
          <w:sz w:val="21"/>
        </w:rPr>
        <w:t>上海中正达广基金销售有限公司</w:t>
      </w:r>
    </w:p>
    <w:p>
      <w:pPr>
        <w:pStyle w:val="BodyText"/>
        <w:spacing w:before="6"/>
        <w:rPr>
          <w:sz w:val="15"/>
        </w:rPr>
      </w:pPr>
    </w:p>
    <w:p>
      <w:pPr>
        <w:pStyle w:val="BodyText"/>
        <w:ind w:left="580"/>
      </w:pPr>
      <w:r>
        <w:rPr/>
        <w:t>住所：上海市徐汇区龙腾大道</w:t>
      </w:r>
      <w:r>
        <w:rPr>
          <w:rFonts w:ascii="Calibri" w:eastAsia="Calibri"/>
        </w:rPr>
        <w:t>2815</w:t>
      </w:r>
      <w:r>
        <w:rPr/>
        <w:t>号</w:t>
      </w:r>
      <w:r>
        <w:rPr>
          <w:rFonts w:ascii="Calibri" w:eastAsia="Calibri"/>
        </w:rPr>
        <w:t>302</w:t>
      </w:r>
      <w:r>
        <w:rPr/>
        <w:t>室</w:t>
      </w:r>
    </w:p>
    <w:p>
      <w:pPr>
        <w:pStyle w:val="BodyText"/>
        <w:spacing w:before="7"/>
        <w:rPr>
          <w:sz w:val="15"/>
        </w:rPr>
      </w:pPr>
    </w:p>
    <w:p>
      <w:pPr>
        <w:pStyle w:val="BodyText"/>
        <w:spacing w:line="417" w:lineRule="auto"/>
        <w:ind w:left="580" w:right="4443"/>
      </w:pPr>
      <w:r>
        <w:rPr/>
        <w:t>办公地址：上海市徐汇区龙腾大道</w:t>
      </w:r>
      <w:r>
        <w:rPr>
          <w:rFonts w:ascii="Calibri" w:eastAsia="Calibri"/>
        </w:rPr>
        <w:t>2815</w:t>
      </w:r>
      <w:r>
        <w:rPr/>
        <w:t>号</w:t>
      </w:r>
      <w:r>
        <w:rPr>
          <w:rFonts w:ascii="Calibri" w:eastAsia="Calibri"/>
        </w:rPr>
        <w:t>302</w:t>
      </w:r>
      <w:r>
        <w:rPr/>
        <w:t>室法定代表人：黄欣</w:t>
      </w:r>
    </w:p>
    <w:p>
      <w:pPr>
        <w:pStyle w:val="BodyText"/>
        <w:spacing w:line="417" w:lineRule="auto"/>
        <w:ind w:left="580" w:right="6513"/>
        <w:rPr>
          <w:rFonts w:ascii="Calibri" w:eastAsia="Calibri"/>
        </w:rPr>
      </w:pPr>
      <w:r>
        <w:rPr/>
        <w:t>电话：</w:t>
      </w:r>
      <w:r>
        <w:rPr>
          <w:rFonts w:ascii="Calibri" w:eastAsia="Calibri"/>
        </w:rPr>
        <w:t>021-33768132-801 </w:t>
      </w:r>
      <w:r>
        <w:rPr/>
        <w:t>传真：</w:t>
      </w:r>
      <w:r>
        <w:rPr>
          <w:rFonts w:ascii="Calibri" w:eastAsia="Calibri"/>
        </w:rPr>
        <w:t>021-33768132-802</w:t>
      </w:r>
    </w:p>
    <w:p>
      <w:pPr>
        <w:pStyle w:val="BodyText"/>
        <w:ind w:left="580"/>
      </w:pPr>
      <w:r>
        <w:rPr/>
        <w:t>联系人：戴珉微</w:t>
      </w:r>
    </w:p>
    <w:p>
      <w:pPr>
        <w:pStyle w:val="BodyText"/>
        <w:spacing w:before="7"/>
        <w:rPr>
          <w:sz w:val="15"/>
        </w:rPr>
      </w:pPr>
    </w:p>
    <w:p>
      <w:pPr>
        <w:pStyle w:val="BodyText"/>
        <w:spacing w:line="417" w:lineRule="auto"/>
        <w:ind w:left="580" w:right="5763"/>
        <w:rPr>
          <w:rFonts w:ascii="Calibri" w:eastAsia="Calibri"/>
        </w:rPr>
      </w:pPr>
      <w:r>
        <w:rPr/>
        <w:t>网址：</w:t>
      </w:r>
      <w:hyperlink r:id="rId57">
        <w:r>
          <w:rPr>
            <w:rFonts w:ascii="Calibri" w:eastAsia="Calibri"/>
          </w:rPr>
          <w:t>www.zhongzhengfund.com </w:t>
        </w:r>
      </w:hyperlink>
      <w:r>
        <w:rPr/>
        <w:t>客户服务电话：</w:t>
      </w:r>
      <w:r>
        <w:rPr>
          <w:rFonts w:ascii="Calibri" w:eastAsia="Calibri"/>
        </w:rPr>
        <w:t>400-6767-523</w:t>
      </w:r>
    </w:p>
    <w:p>
      <w:pPr>
        <w:pStyle w:val="ListParagraph"/>
        <w:numPr>
          <w:ilvl w:val="0"/>
          <w:numId w:val="8"/>
        </w:numPr>
        <w:tabs>
          <w:tab w:pos="1218" w:val="left" w:leader="none"/>
        </w:tabs>
        <w:spacing w:line="269" w:lineRule="exact" w:before="0" w:after="0"/>
        <w:ind w:left="1217" w:right="0" w:hanging="638"/>
        <w:jc w:val="left"/>
        <w:rPr>
          <w:sz w:val="21"/>
        </w:rPr>
      </w:pPr>
      <w:r>
        <w:rPr>
          <w:spacing w:val="-3"/>
          <w:sz w:val="21"/>
        </w:rPr>
        <w:t>上海陆金所基金销售有限公司</w:t>
      </w:r>
    </w:p>
    <w:p>
      <w:pPr>
        <w:pStyle w:val="BodyText"/>
        <w:spacing w:before="6"/>
        <w:rPr>
          <w:sz w:val="15"/>
        </w:rPr>
      </w:pPr>
    </w:p>
    <w:p>
      <w:pPr>
        <w:pStyle w:val="BodyText"/>
        <w:spacing w:line="417" w:lineRule="auto" w:before="1"/>
        <w:ind w:left="580" w:right="3922"/>
      </w:pPr>
      <w:r>
        <w:rPr/>
        <w:t>住所：上海市浦东新区陆家嘴环路</w:t>
      </w:r>
      <w:r>
        <w:rPr>
          <w:rFonts w:ascii="Calibri" w:eastAsia="Calibri"/>
        </w:rPr>
        <w:t>1333</w:t>
      </w:r>
      <w:r>
        <w:rPr/>
        <w:t>号</w:t>
      </w:r>
      <w:r>
        <w:rPr>
          <w:rFonts w:ascii="Calibri" w:eastAsia="Calibri"/>
        </w:rPr>
        <w:t>14</w:t>
      </w:r>
      <w:r>
        <w:rPr/>
        <w:t>楼</w:t>
      </w:r>
      <w:r>
        <w:rPr>
          <w:rFonts w:ascii="Calibri" w:eastAsia="Calibri"/>
        </w:rPr>
        <w:t>09</w:t>
      </w:r>
      <w:r>
        <w:rPr/>
        <w:t>单元办公地址：上海市浦东新区陆家嘴环路</w:t>
      </w:r>
      <w:r>
        <w:rPr>
          <w:rFonts w:ascii="Calibri" w:eastAsia="Calibri"/>
        </w:rPr>
        <w:t>1333</w:t>
      </w:r>
      <w:r>
        <w:rPr/>
        <w:t>号</w:t>
      </w:r>
    </w:p>
    <w:p>
      <w:pPr>
        <w:pStyle w:val="BodyText"/>
        <w:spacing w:line="417" w:lineRule="auto"/>
        <w:ind w:left="580" w:right="6870"/>
        <w:jc w:val="both"/>
        <w:rPr>
          <w:rFonts w:ascii="Calibri" w:eastAsia="Calibri"/>
        </w:rPr>
      </w:pPr>
      <w:r>
        <w:rPr/>
        <w:t>法定代表人：王之光电话：</w:t>
      </w:r>
      <w:r>
        <w:rPr>
          <w:rFonts w:ascii="Calibri" w:eastAsia="Calibri"/>
        </w:rPr>
        <w:t>021-20665952 </w:t>
      </w:r>
      <w:r>
        <w:rPr/>
        <w:t>传真：</w:t>
      </w:r>
      <w:r>
        <w:rPr>
          <w:rFonts w:ascii="Calibri" w:eastAsia="Calibri"/>
        </w:rPr>
        <w:t>021-22066653</w:t>
      </w:r>
    </w:p>
    <w:p>
      <w:pPr>
        <w:spacing w:after="0" w:line="417" w:lineRule="auto"/>
        <w:jc w:val="both"/>
        <w:rPr>
          <w:rFonts w:ascii="Calibri" w:eastAsia="Calibri"/>
        </w:rPr>
        <w:sectPr>
          <w:pgSz w:w="11910" w:h="16840"/>
          <w:pgMar w:header="877" w:footer="995" w:top="1420" w:bottom="1180" w:left="1640" w:right="920"/>
        </w:sectPr>
      </w:pPr>
    </w:p>
    <w:p>
      <w:pPr>
        <w:pStyle w:val="BodyText"/>
        <w:spacing w:before="110"/>
        <w:ind w:left="580"/>
      </w:pPr>
      <w:r>
        <w:rPr/>
        <w:t>联系人：宁博宇</w:t>
      </w:r>
    </w:p>
    <w:p>
      <w:pPr>
        <w:pStyle w:val="BodyText"/>
        <w:spacing w:before="6"/>
        <w:rPr>
          <w:sz w:val="15"/>
        </w:rPr>
      </w:pPr>
    </w:p>
    <w:p>
      <w:pPr>
        <w:pStyle w:val="BodyText"/>
        <w:ind w:left="580"/>
        <w:rPr>
          <w:rFonts w:ascii="Calibri" w:eastAsia="Calibri"/>
        </w:rPr>
      </w:pPr>
      <w:r>
        <w:rPr/>
        <w:t>网址：</w:t>
      </w:r>
      <w:hyperlink r:id="rId58">
        <w:r>
          <w:rPr>
            <w:rFonts w:ascii="Calibri" w:eastAsia="Calibri"/>
          </w:rPr>
          <w:t>www.lufunds.com</w:t>
        </w:r>
      </w:hyperlink>
    </w:p>
    <w:p>
      <w:pPr>
        <w:pStyle w:val="BodyText"/>
        <w:spacing w:before="4"/>
        <w:rPr>
          <w:rFonts w:ascii="Calibri"/>
          <w:sz w:val="16"/>
        </w:rPr>
      </w:pPr>
    </w:p>
    <w:p>
      <w:pPr>
        <w:pStyle w:val="BodyText"/>
        <w:ind w:left="580"/>
        <w:rPr>
          <w:rFonts w:ascii="Calibri" w:eastAsia="Calibri"/>
        </w:rPr>
      </w:pPr>
      <w:r>
        <w:rPr/>
        <w:t>客户服务电话：</w:t>
      </w:r>
      <w:r>
        <w:rPr>
          <w:rFonts w:ascii="Calibri" w:eastAsia="Calibri"/>
        </w:rPr>
        <w:t>400-821-9031</w:t>
      </w:r>
    </w:p>
    <w:p>
      <w:pPr>
        <w:pStyle w:val="BodyText"/>
        <w:spacing w:before="4"/>
        <w:rPr>
          <w:rFonts w:ascii="Calibri"/>
          <w:sz w:val="16"/>
        </w:rPr>
      </w:pPr>
    </w:p>
    <w:p>
      <w:pPr>
        <w:pStyle w:val="ListParagraph"/>
        <w:numPr>
          <w:ilvl w:val="0"/>
          <w:numId w:val="8"/>
        </w:numPr>
        <w:tabs>
          <w:tab w:pos="1218" w:val="left" w:leader="none"/>
        </w:tabs>
        <w:spacing w:line="240" w:lineRule="auto" w:before="0" w:after="0"/>
        <w:ind w:left="1217" w:right="0" w:hanging="638"/>
        <w:jc w:val="left"/>
        <w:rPr>
          <w:sz w:val="21"/>
        </w:rPr>
      </w:pPr>
      <w:r>
        <w:rPr>
          <w:spacing w:val="-3"/>
          <w:sz w:val="21"/>
        </w:rPr>
        <w:t>珠海盈米基金销售有限公司</w:t>
      </w:r>
    </w:p>
    <w:p>
      <w:pPr>
        <w:pStyle w:val="BodyText"/>
        <w:spacing w:before="6"/>
        <w:rPr>
          <w:sz w:val="15"/>
        </w:rPr>
      </w:pPr>
    </w:p>
    <w:p>
      <w:pPr>
        <w:pStyle w:val="BodyText"/>
        <w:ind w:left="580"/>
        <w:rPr>
          <w:rFonts w:ascii="Calibri" w:eastAsia="Calibri"/>
        </w:rPr>
      </w:pPr>
      <w:r>
        <w:rPr/>
        <w:t>住所：珠海市横琴新区宝华路</w:t>
      </w:r>
      <w:r>
        <w:rPr>
          <w:rFonts w:ascii="Calibri" w:eastAsia="Calibri"/>
        </w:rPr>
        <w:t>6</w:t>
      </w:r>
      <w:r>
        <w:rPr/>
        <w:t>号</w:t>
      </w:r>
      <w:r>
        <w:rPr>
          <w:rFonts w:ascii="Calibri" w:eastAsia="Calibri"/>
        </w:rPr>
        <w:t>105</w:t>
      </w:r>
      <w:r>
        <w:rPr/>
        <w:t>室</w:t>
      </w:r>
      <w:r>
        <w:rPr>
          <w:rFonts w:ascii="Calibri" w:eastAsia="Calibri"/>
        </w:rPr>
        <w:t>-3491</w:t>
      </w:r>
    </w:p>
    <w:p>
      <w:pPr>
        <w:pStyle w:val="BodyText"/>
        <w:spacing w:before="4"/>
        <w:rPr>
          <w:rFonts w:ascii="Calibri"/>
          <w:sz w:val="16"/>
        </w:rPr>
      </w:pPr>
    </w:p>
    <w:p>
      <w:pPr>
        <w:pStyle w:val="BodyText"/>
        <w:spacing w:line="417" w:lineRule="auto"/>
        <w:ind w:left="580" w:right="1744"/>
      </w:pPr>
      <w:r>
        <w:rPr/>
        <w:t>办公地址：广东省广州市海珠区琶洲大道东</w:t>
      </w:r>
      <w:r>
        <w:rPr>
          <w:rFonts w:ascii="Calibri" w:eastAsia="Calibri"/>
        </w:rPr>
        <w:t>1</w:t>
      </w:r>
      <w:r>
        <w:rPr/>
        <w:t>号保利国际广场南塔</w:t>
      </w:r>
      <w:r>
        <w:rPr>
          <w:rFonts w:ascii="Calibri" w:eastAsia="Calibri"/>
        </w:rPr>
        <w:t>B1201-1203 </w:t>
      </w:r>
      <w:r>
        <w:rPr/>
        <w:t>法定代表人：肖雯</w:t>
      </w:r>
    </w:p>
    <w:p>
      <w:pPr>
        <w:pStyle w:val="BodyText"/>
        <w:spacing w:line="417" w:lineRule="auto"/>
        <w:ind w:left="580" w:right="6898"/>
        <w:rPr>
          <w:rFonts w:ascii="Calibri" w:eastAsia="Calibri"/>
        </w:rPr>
      </w:pPr>
      <w:r>
        <w:rPr/>
        <w:t>电话：</w:t>
      </w:r>
      <w:r>
        <w:rPr>
          <w:rFonts w:ascii="Calibri" w:eastAsia="Calibri"/>
        </w:rPr>
        <w:t>020-89629021 </w:t>
      </w:r>
      <w:r>
        <w:rPr/>
        <w:t>传真：</w:t>
      </w:r>
      <w:r>
        <w:rPr>
          <w:rFonts w:ascii="Calibri" w:eastAsia="Calibri"/>
        </w:rPr>
        <w:t>020-89629011</w:t>
      </w:r>
    </w:p>
    <w:p>
      <w:pPr>
        <w:pStyle w:val="BodyText"/>
        <w:spacing w:line="269" w:lineRule="exact"/>
        <w:ind w:left="580"/>
      </w:pPr>
      <w:r>
        <w:rPr/>
        <w:t>联系人：吴煜浩</w:t>
      </w:r>
    </w:p>
    <w:p>
      <w:pPr>
        <w:pStyle w:val="BodyText"/>
        <w:spacing w:before="7"/>
        <w:rPr>
          <w:sz w:val="15"/>
        </w:rPr>
      </w:pPr>
    </w:p>
    <w:p>
      <w:pPr>
        <w:pStyle w:val="BodyText"/>
        <w:ind w:left="580"/>
        <w:rPr>
          <w:rFonts w:ascii="Calibri" w:eastAsia="Calibri"/>
        </w:rPr>
      </w:pPr>
      <w:r>
        <w:rPr/>
        <w:t>网址：</w:t>
      </w:r>
      <w:hyperlink r:id="rId59">
        <w:r>
          <w:rPr>
            <w:rFonts w:ascii="Calibri" w:eastAsia="Calibri"/>
          </w:rPr>
          <w:t>www.yingmi.cn</w:t>
        </w:r>
      </w:hyperlink>
    </w:p>
    <w:p>
      <w:pPr>
        <w:pStyle w:val="BodyText"/>
        <w:spacing w:before="4"/>
        <w:rPr>
          <w:rFonts w:ascii="Calibri"/>
          <w:sz w:val="16"/>
        </w:rPr>
      </w:pPr>
    </w:p>
    <w:p>
      <w:pPr>
        <w:pStyle w:val="BodyText"/>
        <w:ind w:left="580"/>
        <w:rPr>
          <w:rFonts w:ascii="Calibri" w:eastAsia="Calibri"/>
        </w:rPr>
      </w:pPr>
      <w:r>
        <w:rPr/>
        <w:t>客户服务电话：</w:t>
      </w:r>
      <w:r>
        <w:rPr>
          <w:rFonts w:ascii="Calibri" w:eastAsia="Calibri"/>
        </w:rPr>
        <w:t>020-89629066</w:t>
      </w:r>
    </w:p>
    <w:p>
      <w:pPr>
        <w:pStyle w:val="BodyText"/>
        <w:spacing w:before="3"/>
        <w:rPr>
          <w:rFonts w:ascii="Calibri"/>
          <w:sz w:val="16"/>
        </w:rPr>
      </w:pPr>
    </w:p>
    <w:p>
      <w:pPr>
        <w:pStyle w:val="ListParagraph"/>
        <w:numPr>
          <w:ilvl w:val="0"/>
          <w:numId w:val="8"/>
        </w:numPr>
        <w:tabs>
          <w:tab w:pos="1218" w:val="left" w:leader="none"/>
        </w:tabs>
        <w:spacing w:line="240" w:lineRule="auto" w:before="0" w:after="0"/>
        <w:ind w:left="1217" w:right="0" w:hanging="638"/>
        <w:jc w:val="left"/>
        <w:rPr>
          <w:sz w:val="21"/>
        </w:rPr>
      </w:pPr>
      <w:r>
        <w:rPr>
          <w:spacing w:val="-3"/>
          <w:sz w:val="21"/>
        </w:rPr>
        <w:t>和耕传承基金销售有限公司</w:t>
      </w:r>
    </w:p>
    <w:p>
      <w:pPr>
        <w:pStyle w:val="BodyText"/>
        <w:spacing w:before="7"/>
        <w:rPr>
          <w:sz w:val="15"/>
        </w:rPr>
      </w:pPr>
    </w:p>
    <w:p>
      <w:pPr>
        <w:pStyle w:val="BodyText"/>
        <w:ind w:left="580"/>
      </w:pPr>
      <w:r>
        <w:rPr/>
        <w:t>住所：河南自贸试验区郑州片区（郑东）东风东路东、康宁街北</w:t>
      </w:r>
      <w:r>
        <w:rPr>
          <w:rFonts w:ascii="Calibri" w:eastAsia="Calibri"/>
        </w:rPr>
        <w:t>6</w:t>
      </w:r>
      <w:r>
        <w:rPr/>
        <w:t>号楼</w:t>
      </w:r>
      <w:r>
        <w:rPr>
          <w:rFonts w:ascii="Calibri" w:eastAsia="Calibri"/>
        </w:rPr>
        <w:t>6</w:t>
      </w:r>
      <w:r>
        <w:rPr/>
        <w:t>楼</w:t>
      </w:r>
      <w:r>
        <w:rPr>
          <w:rFonts w:ascii="Calibri" w:eastAsia="Calibri"/>
        </w:rPr>
        <w:t>602</w:t>
      </w:r>
      <w:r>
        <w:rPr/>
        <w:t>、</w:t>
      </w:r>
      <w:r>
        <w:rPr>
          <w:rFonts w:ascii="Calibri" w:eastAsia="Calibri"/>
        </w:rPr>
        <w:t>603</w:t>
      </w:r>
      <w:r>
        <w:rPr/>
        <w:t>房</w:t>
      </w:r>
    </w:p>
    <w:p>
      <w:pPr>
        <w:pStyle w:val="BodyText"/>
        <w:rPr>
          <w:sz w:val="10"/>
        </w:rPr>
      </w:pPr>
    </w:p>
    <w:p>
      <w:pPr>
        <w:pStyle w:val="BodyText"/>
        <w:spacing w:before="71"/>
        <w:ind w:left="160"/>
      </w:pPr>
      <w:r>
        <w:rPr>
          <w:w w:val="100"/>
        </w:rPr>
        <w:t>间</w:t>
      </w:r>
    </w:p>
    <w:p>
      <w:pPr>
        <w:pStyle w:val="BodyText"/>
        <w:spacing w:before="12"/>
        <w:rPr>
          <w:sz w:val="9"/>
        </w:rPr>
      </w:pPr>
    </w:p>
    <w:p>
      <w:pPr>
        <w:pStyle w:val="BodyText"/>
        <w:spacing w:line="417" w:lineRule="auto" w:before="72"/>
        <w:ind w:left="580" w:right="3713"/>
      </w:pPr>
      <w:r>
        <w:rPr/>
        <w:t>办公地址：北京市朝阳区酒仙桥路</w:t>
      </w:r>
      <w:r>
        <w:rPr>
          <w:rFonts w:ascii="Calibri" w:eastAsia="Calibri"/>
        </w:rPr>
        <w:t>6</w:t>
      </w:r>
      <w:r>
        <w:rPr/>
        <w:t>号院国际电子城</w:t>
      </w:r>
      <w:r>
        <w:rPr>
          <w:rFonts w:ascii="Calibri" w:eastAsia="Calibri"/>
        </w:rPr>
        <w:t>b</w:t>
      </w:r>
      <w:r>
        <w:rPr/>
        <w:t>座法定代表人：王旋</w:t>
      </w:r>
    </w:p>
    <w:p>
      <w:pPr>
        <w:pStyle w:val="BodyText"/>
        <w:spacing w:line="417" w:lineRule="auto"/>
        <w:ind w:left="580" w:right="6790"/>
        <w:rPr>
          <w:rFonts w:ascii="Calibri" w:eastAsia="Calibri"/>
        </w:rPr>
      </w:pPr>
      <w:r>
        <w:rPr/>
        <w:t>电话：</w:t>
      </w:r>
      <w:r>
        <w:rPr>
          <w:rFonts w:ascii="Calibri" w:eastAsia="Calibri"/>
        </w:rPr>
        <w:t>0371-85518396 </w:t>
      </w:r>
      <w:r>
        <w:rPr/>
        <w:t>传真：</w:t>
      </w:r>
      <w:r>
        <w:rPr>
          <w:rFonts w:ascii="Calibri" w:eastAsia="Calibri"/>
        </w:rPr>
        <w:t>0371-85518397</w:t>
      </w:r>
    </w:p>
    <w:p>
      <w:pPr>
        <w:pStyle w:val="BodyText"/>
        <w:spacing w:line="269" w:lineRule="exact"/>
        <w:ind w:left="580"/>
      </w:pPr>
      <w:r>
        <w:rPr/>
        <w:t>联系人：胡静华</w:t>
      </w:r>
    </w:p>
    <w:p>
      <w:pPr>
        <w:pStyle w:val="BodyText"/>
        <w:spacing w:before="6"/>
        <w:rPr>
          <w:sz w:val="15"/>
        </w:rPr>
      </w:pPr>
    </w:p>
    <w:p>
      <w:pPr>
        <w:pStyle w:val="BodyText"/>
        <w:ind w:left="580"/>
        <w:rPr>
          <w:rFonts w:ascii="Calibri" w:eastAsia="Calibri"/>
        </w:rPr>
      </w:pPr>
      <w:r>
        <w:rPr/>
        <w:t>网址：</w:t>
      </w:r>
      <w:hyperlink r:id="rId60">
        <w:r>
          <w:rPr>
            <w:rFonts w:ascii="Calibri" w:eastAsia="Calibri"/>
          </w:rPr>
          <w:t>www.hgccpb.com</w:t>
        </w:r>
      </w:hyperlink>
    </w:p>
    <w:p>
      <w:pPr>
        <w:pStyle w:val="BodyText"/>
        <w:spacing w:before="4"/>
        <w:rPr>
          <w:rFonts w:ascii="Calibri"/>
          <w:sz w:val="16"/>
        </w:rPr>
      </w:pPr>
    </w:p>
    <w:p>
      <w:pPr>
        <w:pStyle w:val="BodyText"/>
        <w:spacing w:before="1"/>
        <w:ind w:left="580"/>
        <w:rPr>
          <w:rFonts w:ascii="Calibri" w:eastAsia="Calibri"/>
        </w:rPr>
      </w:pPr>
      <w:r>
        <w:rPr/>
        <w:t>客户服务电话：</w:t>
      </w:r>
      <w:r>
        <w:rPr>
          <w:rFonts w:ascii="Calibri" w:eastAsia="Calibri"/>
        </w:rPr>
        <w:t>4000-555-671</w:t>
      </w:r>
    </w:p>
    <w:p>
      <w:pPr>
        <w:pStyle w:val="BodyText"/>
        <w:spacing w:before="3"/>
        <w:rPr>
          <w:rFonts w:ascii="Calibri"/>
          <w:sz w:val="16"/>
        </w:rPr>
      </w:pPr>
    </w:p>
    <w:p>
      <w:pPr>
        <w:pStyle w:val="ListParagraph"/>
        <w:numPr>
          <w:ilvl w:val="0"/>
          <w:numId w:val="8"/>
        </w:numPr>
        <w:tabs>
          <w:tab w:pos="1218" w:val="left" w:leader="none"/>
        </w:tabs>
        <w:spacing w:line="240" w:lineRule="auto" w:before="0" w:after="0"/>
        <w:ind w:left="1217" w:right="0" w:hanging="638"/>
        <w:jc w:val="left"/>
        <w:rPr>
          <w:sz w:val="21"/>
        </w:rPr>
      </w:pPr>
      <w:r>
        <w:rPr>
          <w:spacing w:val="-3"/>
          <w:sz w:val="21"/>
        </w:rPr>
        <w:t>奕丰基金销售有限公司</w:t>
      </w:r>
    </w:p>
    <w:p>
      <w:pPr>
        <w:pStyle w:val="BodyText"/>
        <w:spacing w:before="7"/>
        <w:rPr>
          <w:sz w:val="15"/>
        </w:rPr>
      </w:pPr>
    </w:p>
    <w:p>
      <w:pPr>
        <w:pStyle w:val="BodyText"/>
        <w:ind w:left="580"/>
      </w:pPr>
      <w:r>
        <w:rPr/>
        <w:t>住所：深圳市前海深港合作区前湾一路</w:t>
      </w:r>
      <w:r>
        <w:rPr>
          <w:rFonts w:ascii="Calibri" w:eastAsia="Calibri"/>
        </w:rPr>
        <w:t>1</w:t>
      </w:r>
      <w:r>
        <w:rPr/>
        <w:t>号</w:t>
      </w:r>
      <w:r>
        <w:rPr>
          <w:rFonts w:ascii="Calibri" w:eastAsia="Calibri"/>
        </w:rPr>
        <w:t>A</w:t>
      </w:r>
      <w:r>
        <w:rPr/>
        <w:t>栋</w:t>
      </w:r>
      <w:r>
        <w:rPr>
          <w:rFonts w:ascii="Calibri" w:eastAsia="Calibri"/>
        </w:rPr>
        <w:t>201</w:t>
      </w:r>
      <w:r>
        <w:rPr/>
        <w:t>室</w:t>
      </w:r>
    </w:p>
    <w:p>
      <w:pPr>
        <w:pStyle w:val="BodyText"/>
        <w:spacing w:before="6"/>
        <w:rPr>
          <w:sz w:val="15"/>
        </w:rPr>
      </w:pPr>
    </w:p>
    <w:p>
      <w:pPr>
        <w:pStyle w:val="BodyText"/>
        <w:spacing w:line="417" w:lineRule="auto" w:before="1"/>
        <w:ind w:left="580" w:right="2959"/>
        <w:rPr>
          <w:rFonts w:ascii="Calibri" w:eastAsia="Calibri"/>
        </w:rPr>
      </w:pPr>
      <w:r>
        <w:rPr/>
        <w:t>办公地址：深圳市南山区海德三道航天科技广场</w:t>
      </w:r>
      <w:r>
        <w:rPr>
          <w:rFonts w:ascii="Calibri" w:eastAsia="Calibri"/>
        </w:rPr>
        <w:t>A</w:t>
      </w:r>
      <w:r>
        <w:rPr/>
        <w:t>座</w:t>
      </w:r>
      <w:r>
        <w:rPr>
          <w:rFonts w:ascii="Calibri" w:eastAsia="Calibri"/>
        </w:rPr>
        <w:t>17</w:t>
      </w:r>
      <w:r>
        <w:rPr/>
        <w:t>楼</w:t>
      </w:r>
      <w:r>
        <w:rPr>
          <w:rFonts w:ascii="Calibri" w:eastAsia="Calibri"/>
        </w:rPr>
        <w:t>1704</w:t>
      </w:r>
      <w:r>
        <w:rPr/>
        <w:t>室法定代表人：</w:t>
      </w:r>
      <w:r>
        <w:rPr>
          <w:rFonts w:ascii="Calibri" w:eastAsia="Calibri"/>
        </w:rPr>
        <w:t>TEO WEE HOWE</w:t>
      </w:r>
    </w:p>
    <w:p>
      <w:pPr>
        <w:pStyle w:val="BodyText"/>
        <w:spacing w:line="417" w:lineRule="auto"/>
        <w:ind w:left="580" w:right="6790"/>
        <w:rPr>
          <w:rFonts w:ascii="Calibri" w:eastAsia="Calibri"/>
        </w:rPr>
      </w:pPr>
      <w:r>
        <w:rPr/>
        <w:t>电话：</w:t>
      </w:r>
      <w:r>
        <w:rPr>
          <w:rFonts w:ascii="Calibri" w:eastAsia="Calibri"/>
        </w:rPr>
        <w:t>0755-89460507 </w:t>
      </w:r>
      <w:r>
        <w:rPr/>
        <w:t>传真：</w:t>
      </w:r>
      <w:r>
        <w:rPr>
          <w:rFonts w:ascii="Calibri" w:eastAsia="Calibri"/>
        </w:rPr>
        <w:t>0755-21674453</w:t>
      </w:r>
    </w:p>
    <w:p>
      <w:pPr>
        <w:pStyle w:val="BodyText"/>
        <w:ind w:left="580"/>
      </w:pPr>
      <w:r>
        <w:rPr/>
        <w:t>联系人：叶健</w:t>
      </w:r>
    </w:p>
    <w:p>
      <w:pPr>
        <w:pStyle w:val="BodyText"/>
        <w:spacing w:before="6"/>
        <w:rPr>
          <w:sz w:val="15"/>
        </w:rPr>
      </w:pPr>
    </w:p>
    <w:p>
      <w:pPr>
        <w:pStyle w:val="BodyText"/>
        <w:ind w:left="580"/>
        <w:rPr>
          <w:rFonts w:ascii="Calibri" w:eastAsia="Calibri"/>
        </w:rPr>
      </w:pPr>
      <w:r>
        <w:rPr/>
        <w:t>网址：</w:t>
      </w:r>
      <w:hyperlink r:id="rId61">
        <w:r>
          <w:rPr>
            <w:rFonts w:ascii="Calibri" w:eastAsia="Calibri"/>
          </w:rPr>
          <w:t>www.ifastps.com.cn</w:t>
        </w:r>
      </w:hyperlink>
    </w:p>
    <w:p>
      <w:pPr>
        <w:spacing w:after="0"/>
        <w:rPr>
          <w:rFonts w:ascii="Calibri" w:eastAsia="Calibri"/>
        </w:rPr>
        <w:sectPr>
          <w:pgSz w:w="11910" w:h="16840"/>
          <w:pgMar w:header="877" w:footer="995" w:top="1420" w:bottom="1180" w:left="1640" w:right="920"/>
        </w:sectPr>
      </w:pPr>
    </w:p>
    <w:p>
      <w:pPr>
        <w:pStyle w:val="BodyText"/>
        <w:spacing w:before="110"/>
        <w:ind w:left="580"/>
        <w:rPr>
          <w:rFonts w:ascii="Calibri" w:eastAsia="Calibri"/>
        </w:rPr>
      </w:pPr>
      <w:r>
        <w:rPr/>
        <w:t>客户服务电话：</w:t>
      </w:r>
      <w:r>
        <w:rPr>
          <w:rFonts w:ascii="Calibri" w:eastAsia="Calibri"/>
        </w:rPr>
        <w:t>400-684-0500</w:t>
      </w:r>
    </w:p>
    <w:p>
      <w:pPr>
        <w:pStyle w:val="BodyText"/>
        <w:spacing w:before="3"/>
        <w:rPr>
          <w:rFonts w:ascii="Calibri"/>
          <w:sz w:val="16"/>
        </w:rPr>
      </w:pPr>
    </w:p>
    <w:p>
      <w:pPr>
        <w:pStyle w:val="ListParagraph"/>
        <w:numPr>
          <w:ilvl w:val="0"/>
          <w:numId w:val="8"/>
        </w:numPr>
        <w:tabs>
          <w:tab w:pos="1218" w:val="left" w:leader="none"/>
        </w:tabs>
        <w:spacing w:line="417" w:lineRule="auto" w:before="0" w:after="0"/>
        <w:ind w:left="580" w:right="4767" w:firstLine="0"/>
        <w:jc w:val="left"/>
        <w:rPr>
          <w:sz w:val="21"/>
        </w:rPr>
      </w:pPr>
      <w:r>
        <w:rPr>
          <w:spacing w:val="-3"/>
          <w:sz w:val="21"/>
        </w:rPr>
        <w:t>中证金牛</w:t>
      </w:r>
      <w:r>
        <w:rPr>
          <w:sz w:val="21"/>
        </w:rPr>
        <w:t>（</w:t>
      </w:r>
      <w:r>
        <w:rPr>
          <w:spacing w:val="-2"/>
          <w:sz w:val="21"/>
        </w:rPr>
        <w:t>北京</w:t>
      </w:r>
      <w:r>
        <w:rPr>
          <w:spacing w:val="-3"/>
          <w:sz w:val="21"/>
        </w:rPr>
        <w:t>）</w:t>
      </w:r>
      <w:r>
        <w:rPr>
          <w:spacing w:val="-4"/>
          <w:sz w:val="21"/>
        </w:rPr>
        <w:t>投资咨询有限公司</w:t>
      </w:r>
      <w:r>
        <w:rPr>
          <w:spacing w:val="-3"/>
          <w:sz w:val="21"/>
        </w:rPr>
        <w:t>住所：北京市丰台区东管头</w:t>
      </w:r>
      <w:r>
        <w:rPr>
          <w:rFonts w:ascii="Calibri" w:eastAsia="Calibri"/>
          <w:sz w:val="21"/>
        </w:rPr>
        <w:t>1</w:t>
      </w:r>
      <w:r>
        <w:rPr>
          <w:sz w:val="21"/>
        </w:rPr>
        <w:t>号</w:t>
      </w:r>
      <w:r>
        <w:rPr>
          <w:rFonts w:ascii="Calibri" w:eastAsia="Calibri"/>
          <w:sz w:val="21"/>
        </w:rPr>
        <w:t>2</w:t>
      </w:r>
      <w:r>
        <w:rPr>
          <w:spacing w:val="-2"/>
          <w:sz w:val="21"/>
        </w:rPr>
        <w:t>号楼</w:t>
      </w:r>
      <w:r>
        <w:rPr>
          <w:rFonts w:ascii="Calibri" w:eastAsia="Calibri"/>
          <w:sz w:val="21"/>
        </w:rPr>
        <w:t>2-45</w:t>
      </w:r>
      <w:r>
        <w:rPr>
          <w:sz w:val="21"/>
        </w:rPr>
        <w:t>室</w:t>
      </w:r>
    </w:p>
    <w:p>
      <w:pPr>
        <w:pStyle w:val="BodyText"/>
        <w:spacing w:line="417" w:lineRule="auto"/>
        <w:ind w:left="580" w:right="2859"/>
      </w:pPr>
      <w:r>
        <w:rPr/>
        <w:t>办公地址：北京市宣武门外大街甲一号新华社第三工作区</w:t>
      </w:r>
      <w:r>
        <w:rPr>
          <w:rFonts w:ascii="Calibri" w:eastAsia="Calibri"/>
        </w:rPr>
        <w:t>A</w:t>
      </w:r>
      <w:r>
        <w:rPr/>
        <w:t>座</w:t>
      </w:r>
      <w:r>
        <w:rPr>
          <w:rFonts w:ascii="Calibri" w:eastAsia="Calibri"/>
        </w:rPr>
        <w:t>5</w:t>
      </w:r>
      <w:r>
        <w:rPr/>
        <w:t>层法定代表人：钱昊旻</w:t>
      </w:r>
    </w:p>
    <w:p>
      <w:pPr>
        <w:pStyle w:val="BodyText"/>
        <w:spacing w:line="417" w:lineRule="auto"/>
        <w:ind w:left="580" w:right="6898"/>
        <w:rPr>
          <w:rFonts w:ascii="Calibri" w:eastAsia="Calibri"/>
        </w:rPr>
      </w:pPr>
      <w:r>
        <w:rPr/>
        <w:t>电话：</w:t>
      </w:r>
      <w:r>
        <w:rPr>
          <w:rFonts w:ascii="Calibri" w:eastAsia="Calibri"/>
        </w:rPr>
        <w:t>010-59336519 </w:t>
      </w:r>
      <w:r>
        <w:rPr/>
        <w:t>传真：</w:t>
      </w:r>
      <w:r>
        <w:rPr>
          <w:rFonts w:ascii="Calibri" w:eastAsia="Calibri"/>
        </w:rPr>
        <w:t>010-59336500</w:t>
      </w:r>
    </w:p>
    <w:p>
      <w:pPr>
        <w:pStyle w:val="BodyText"/>
        <w:ind w:left="580"/>
      </w:pPr>
      <w:r>
        <w:rPr/>
        <w:t>联系人：孙雯</w:t>
      </w:r>
    </w:p>
    <w:p>
      <w:pPr>
        <w:pStyle w:val="BodyText"/>
        <w:spacing w:before="6"/>
        <w:rPr>
          <w:sz w:val="15"/>
        </w:rPr>
      </w:pPr>
    </w:p>
    <w:p>
      <w:pPr>
        <w:pStyle w:val="BodyText"/>
        <w:spacing w:before="1"/>
        <w:ind w:left="580"/>
        <w:rPr>
          <w:rFonts w:ascii="Calibri" w:eastAsia="Calibri"/>
        </w:rPr>
      </w:pPr>
      <w:r>
        <w:rPr/>
        <w:t>网址：</w:t>
      </w:r>
      <w:hyperlink r:id="rId62">
        <w:r>
          <w:rPr>
            <w:rFonts w:ascii="Calibri" w:eastAsia="Calibri"/>
          </w:rPr>
          <w:t>www.jnlc.com</w:t>
        </w:r>
      </w:hyperlink>
    </w:p>
    <w:p>
      <w:pPr>
        <w:pStyle w:val="BodyText"/>
        <w:spacing w:before="3"/>
        <w:rPr>
          <w:rFonts w:ascii="Calibri"/>
          <w:sz w:val="16"/>
        </w:rPr>
      </w:pPr>
    </w:p>
    <w:p>
      <w:pPr>
        <w:pStyle w:val="BodyText"/>
        <w:ind w:left="580"/>
        <w:rPr>
          <w:rFonts w:ascii="Calibri" w:eastAsia="Calibri"/>
        </w:rPr>
      </w:pPr>
      <w:r>
        <w:rPr/>
        <w:t>客户服务电话：</w:t>
      </w:r>
      <w:r>
        <w:rPr>
          <w:rFonts w:ascii="Calibri" w:eastAsia="Calibri"/>
        </w:rPr>
        <w:t>4008-909-998</w:t>
      </w:r>
    </w:p>
    <w:p>
      <w:pPr>
        <w:pStyle w:val="BodyText"/>
        <w:spacing w:before="4"/>
        <w:rPr>
          <w:rFonts w:ascii="Calibri"/>
          <w:sz w:val="16"/>
        </w:rPr>
      </w:pPr>
    </w:p>
    <w:p>
      <w:pPr>
        <w:pStyle w:val="ListParagraph"/>
        <w:numPr>
          <w:ilvl w:val="0"/>
          <w:numId w:val="8"/>
        </w:numPr>
        <w:tabs>
          <w:tab w:pos="1218" w:val="left" w:leader="none"/>
        </w:tabs>
        <w:spacing w:line="240" w:lineRule="auto" w:before="0" w:after="0"/>
        <w:ind w:left="1217" w:right="0" w:hanging="638"/>
        <w:jc w:val="left"/>
        <w:rPr>
          <w:sz w:val="21"/>
        </w:rPr>
      </w:pPr>
      <w:r>
        <w:rPr>
          <w:spacing w:val="-3"/>
          <w:sz w:val="21"/>
        </w:rPr>
        <w:t>京东肯特瑞基金销售有限公司</w:t>
      </w:r>
    </w:p>
    <w:p>
      <w:pPr>
        <w:pStyle w:val="BodyText"/>
        <w:spacing w:before="6"/>
        <w:rPr>
          <w:sz w:val="15"/>
        </w:rPr>
      </w:pPr>
    </w:p>
    <w:p>
      <w:pPr>
        <w:pStyle w:val="BodyText"/>
        <w:spacing w:before="1"/>
        <w:ind w:left="580"/>
        <w:rPr>
          <w:rFonts w:ascii="Calibri" w:eastAsia="Calibri"/>
        </w:rPr>
      </w:pPr>
      <w:r>
        <w:rPr/>
        <w:t>住所：北京市海淀区显龙山路</w:t>
      </w:r>
      <w:r>
        <w:rPr>
          <w:rFonts w:ascii="Calibri" w:eastAsia="Calibri"/>
        </w:rPr>
        <w:t>19</w:t>
      </w:r>
      <w:r>
        <w:rPr/>
        <w:t>号</w:t>
      </w:r>
      <w:r>
        <w:rPr>
          <w:rFonts w:ascii="Calibri" w:eastAsia="Calibri"/>
        </w:rPr>
        <w:t>1</w:t>
      </w:r>
      <w:r>
        <w:rPr/>
        <w:t>幢</w:t>
      </w:r>
      <w:r>
        <w:rPr>
          <w:rFonts w:ascii="Calibri" w:eastAsia="Calibri"/>
        </w:rPr>
        <w:t>4</w:t>
      </w:r>
      <w:r>
        <w:rPr/>
        <w:t>层</w:t>
      </w:r>
      <w:r>
        <w:rPr>
          <w:rFonts w:ascii="Calibri" w:eastAsia="Calibri"/>
        </w:rPr>
        <w:t>1</w:t>
      </w:r>
      <w:r>
        <w:rPr/>
        <w:t>座</w:t>
      </w:r>
      <w:r>
        <w:rPr>
          <w:rFonts w:ascii="Calibri" w:eastAsia="Calibri"/>
        </w:rPr>
        <w:t>401</w:t>
      </w:r>
    </w:p>
    <w:p>
      <w:pPr>
        <w:pStyle w:val="BodyText"/>
        <w:spacing w:before="3"/>
        <w:rPr>
          <w:rFonts w:ascii="Calibri"/>
          <w:sz w:val="16"/>
        </w:rPr>
      </w:pPr>
    </w:p>
    <w:p>
      <w:pPr>
        <w:pStyle w:val="BodyText"/>
        <w:spacing w:line="417" w:lineRule="auto"/>
        <w:ind w:left="580" w:right="1826"/>
      </w:pPr>
      <w:r>
        <w:rPr/>
        <w:t>办公地址：北京市大兴区亦庄经济开发区科创十一街十八号院京东集团总部法定代表人：江卉</w:t>
      </w:r>
    </w:p>
    <w:p>
      <w:pPr>
        <w:pStyle w:val="BodyText"/>
        <w:spacing w:line="417" w:lineRule="auto"/>
        <w:ind w:left="580" w:right="6898"/>
        <w:rPr>
          <w:rFonts w:ascii="Calibri" w:eastAsia="Calibri"/>
        </w:rPr>
      </w:pPr>
      <w:r>
        <w:rPr/>
        <w:t>电话：</w:t>
      </w:r>
      <w:r>
        <w:rPr>
          <w:rFonts w:ascii="Calibri" w:eastAsia="Calibri"/>
        </w:rPr>
        <w:t>010-89188692 </w:t>
      </w:r>
      <w:r>
        <w:rPr/>
        <w:t>传真：</w:t>
      </w:r>
      <w:r>
        <w:rPr>
          <w:rFonts w:ascii="Calibri" w:eastAsia="Calibri"/>
        </w:rPr>
        <w:t>010-89180000</w:t>
      </w:r>
    </w:p>
    <w:p>
      <w:pPr>
        <w:pStyle w:val="BodyText"/>
        <w:spacing w:line="269" w:lineRule="exact"/>
        <w:ind w:left="580"/>
      </w:pPr>
      <w:r>
        <w:rPr/>
        <w:t>联系人：黄立影</w:t>
      </w:r>
    </w:p>
    <w:p>
      <w:pPr>
        <w:pStyle w:val="BodyText"/>
        <w:spacing w:before="7"/>
        <w:rPr>
          <w:sz w:val="15"/>
        </w:rPr>
      </w:pPr>
    </w:p>
    <w:p>
      <w:pPr>
        <w:pStyle w:val="BodyText"/>
        <w:ind w:left="580"/>
        <w:rPr>
          <w:rFonts w:ascii="Calibri" w:eastAsia="Calibri"/>
        </w:rPr>
      </w:pPr>
      <w:r>
        <w:rPr/>
        <w:t>网址：</w:t>
      </w:r>
      <w:hyperlink r:id="rId63">
        <w:r>
          <w:rPr>
            <w:rFonts w:ascii="Calibri" w:eastAsia="Calibri"/>
          </w:rPr>
          <w:t>http://fund.jd.com/</w:t>
        </w:r>
      </w:hyperlink>
    </w:p>
    <w:p>
      <w:pPr>
        <w:pStyle w:val="BodyText"/>
        <w:spacing w:before="4"/>
        <w:rPr>
          <w:rFonts w:ascii="Calibri"/>
          <w:sz w:val="16"/>
        </w:rPr>
      </w:pPr>
    </w:p>
    <w:p>
      <w:pPr>
        <w:pStyle w:val="BodyText"/>
        <w:ind w:left="580"/>
        <w:rPr>
          <w:rFonts w:ascii="Calibri" w:eastAsia="Calibri"/>
        </w:rPr>
      </w:pPr>
      <w:r>
        <w:rPr/>
        <w:t>客户服务电话：</w:t>
      </w:r>
      <w:r>
        <w:rPr>
          <w:rFonts w:ascii="Calibri" w:eastAsia="Calibri"/>
        </w:rPr>
        <w:t>95118</w:t>
      </w:r>
      <w:r>
        <w:rPr/>
        <w:t>、</w:t>
      </w:r>
      <w:r>
        <w:rPr>
          <w:rFonts w:ascii="Calibri" w:eastAsia="Calibri"/>
        </w:rPr>
        <w:t>400-098-8511</w:t>
      </w:r>
    </w:p>
    <w:p>
      <w:pPr>
        <w:pStyle w:val="BodyText"/>
        <w:spacing w:before="3"/>
        <w:rPr>
          <w:rFonts w:ascii="Calibri"/>
          <w:sz w:val="16"/>
        </w:rPr>
      </w:pPr>
    </w:p>
    <w:p>
      <w:pPr>
        <w:pStyle w:val="ListParagraph"/>
        <w:numPr>
          <w:ilvl w:val="0"/>
          <w:numId w:val="8"/>
        </w:numPr>
        <w:tabs>
          <w:tab w:pos="1218" w:val="left" w:leader="none"/>
        </w:tabs>
        <w:spacing w:line="240" w:lineRule="auto" w:before="0" w:after="0"/>
        <w:ind w:left="1217" w:right="0" w:hanging="638"/>
        <w:jc w:val="left"/>
        <w:rPr>
          <w:sz w:val="21"/>
        </w:rPr>
      </w:pPr>
      <w:r>
        <w:rPr>
          <w:spacing w:val="-3"/>
          <w:sz w:val="21"/>
        </w:rPr>
        <w:t>大连网金基金销售有限公司</w:t>
      </w:r>
    </w:p>
    <w:p>
      <w:pPr>
        <w:pStyle w:val="BodyText"/>
        <w:spacing w:before="7"/>
        <w:rPr>
          <w:sz w:val="15"/>
        </w:rPr>
      </w:pPr>
    </w:p>
    <w:p>
      <w:pPr>
        <w:pStyle w:val="BodyText"/>
        <w:ind w:left="580"/>
        <w:rPr>
          <w:rFonts w:ascii="Calibri" w:eastAsia="Calibri"/>
        </w:rPr>
      </w:pPr>
      <w:r>
        <w:rPr/>
        <w:t>住所：中国大连市沙河口区体坛路</w:t>
      </w:r>
      <w:r>
        <w:rPr>
          <w:rFonts w:ascii="Calibri" w:eastAsia="Calibri"/>
        </w:rPr>
        <w:t>22</w:t>
      </w:r>
      <w:r>
        <w:rPr/>
        <w:t>号诺德大厦</w:t>
      </w:r>
      <w:r>
        <w:rPr>
          <w:rFonts w:ascii="Calibri" w:eastAsia="Calibri"/>
        </w:rPr>
        <w:t>202</w:t>
      </w:r>
    </w:p>
    <w:p>
      <w:pPr>
        <w:pStyle w:val="BodyText"/>
        <w:spacing w:before="4"/>
        <w:rPr>
          <w:rFonts w:ascii="Calibri"/>
          <w:sz w:val="16"/>
        </w:rPr>
      </w:pPr>
    </w:p>
    <w:p>
      <w:pPr>
        <w:pStyle w:val="BodyText"/>
        <w:spacing w:line="417" w:lineRule="auto"/>
        <w:ind w:left="580" w:right="3606"/>
      </w:pPr>
      <w:r>
        <w:rPr/>
        <w:t>办公地址：中国大连市沙河口区体坛路</w:t>
      </w:r>
      <w:r>
        <w:rPr>
          <w:rFonts w:ascii="Calibri" w:eastAsia="Calibri"/>
        </w:rPr>
        <w:t>22</w:t>
      </w:r>
      <w:r>
        <w:rPr/>
        <w:t>号诺德大厦</w:t>
      </w:r>
      <w:r>
        <w:rPr>
          <w:rFonts w:ascii="Calibri" w:eastAsia="Calibri"/>
        </w:rPr>
        <w:t>202 </w:t>
      </w:r>
      <w:r>
        <w:rPr/>
        <w:t>法定代表人：樊怀东</w:t>
      </w:r>
    </w:p>
    <w:p>
      <w:pPr>
        <w:pStyle w:val="BodyText"/>
        <w:spacing w:line="417" w:lineRule="auto"/>
        <w:ind w:left="580" w:right="6790"/>
        <w:rPr>
          <w:rFonts w:ascii="Calibri" w:eastAsia="Calibri"/>
        </w:rPr>
      </w:pPr>
      <w:r>
        <w:rPr/>
        <w:t>电话：</w:t>
      </w:r>
      <w:r>
        <w:rPr>
          <w:rFonts w:ascii="Calibri" w:eastAsia="Calibri"/>
        </w:rPr>
        <w:t>13522300698 </w:t>
      </w:r>
      <w:r>
        <w:rPr/>
        <w:t>传真：</w:t>
      </w:r>
      <w:r>
        <w:rPr>
          <w:rFonts w:ascii="Calibri" w:eastAsia="Calibri"/>
        </w:rPr>
        <w:t>0411-39027835</w:t>
      </w:r>
    </w:p>
    <w:p>
      <w:pPr>
        <w:pStyle w:val="BodyText"/>
        <w:spacing w:line="269" w:lineRule="exact"/>
        <w:ind w:left="580"/>
      </w:pPr>
      <w:r>
        <w:rPr/>
        <w:t>联系人：王清臣</w:t>
      </w:r>
    </w:p>
    <w:p>
      <w:pPr>
        <w:pStyle w:val="BodyText"/>
        <w:spacing w:before="7"/>
        <w:rPr>
          <w:sz w:val="15"/>
        </w:rPr>
      </w:pPr>
    </w:p>
    <w:p>
      <w:pPr>
        <w:pStyle w:val="BodyText"/>
        <w:spacing w:line="417" w:lineRule="auto"/>
        <w:ind w:left="580" w:right="5913"/>
        <w:rPr>
          <w:rFonts w:ascii="Calibri" w:eastAsia="Calibri"/>
        </w:rPr>
      </w:pPr>
      <w:r>
        <w:rPr/>
        <w:t>网址：</w:t>
      </w:r>
      <w:hyperlink r:id="rId64">
        <w:r>
          <w:rPr>
            <w:rFonts w:ascii="Calibri" w:eastAsia="Calibri"/>
          </w:rPr>
          <w:t>http://www.yibaijin.com/ </w:t>
        </w:r>
      </w:hyperlink>
      <w:r>
        <w:rPr/>
        <w:t>客户服务电话：</w:t>
      </w:r>
      <w:r>
        <w:rPr>
          <w:rFonts w:ascii="Calibri" w:eastAsia="Calibri"/>
        </w:rPr>
        <w:t>4000-899-100</w:t>
      </w:r>
    </w:p>
    <w:p>
      <w:pPr>
        <w:pStyle w:val="ListParagraph"/>
        <w:numPr>
          <w:ilvl w:val="0"/>
          <w:numId w:val="8"/>
        </w:numPr>
        <w:tabs>
          <w:tab w:pos="1218" w:val="left" w:leader="none"/>
        </w:tabs>
        <w:spacing w:line="417" w:lineRule="auto" w:before="0" w:after="0"/>
        <w:ind w:left="580" w:right="4553" w:firstLine="0"/>
        <w:jc w:val="left"/>
        <w:rPr>
          <w:sz w:val="21"/>
        </w:rPr>
      </w:pPr>
      <w:r>
        <w:rPr>
          <w:spacing w:val="-3"/>
          <w:sz w:val="21"/>
        </w:rPr>
        <w:t>中民财富基金销售</w:t>
      </w:r>
      <w:r>
        <w:rPr>
          <w:sz w:val="21"/>
        </w:rPr>
        <w:t>（</w:t>
      </w:r>
      <w:r>
        <w:rPr>
          <w:spacing w:val="-2"/>
          <w:sz w:val="21"/>
        </w:rPr>
        <w:t>上海</w:t>
      </w:r>
      <w:r>
        <w:rPr>
          <w:sz w:val="21"/>
        </w:rPr>
        <w:t>）</w:t>
      </w:r>
      <w:r>
        <w:rPr>
          <w:spacing w:val="-3"/>
          <w:sz w:val="21"/>
        </w:rPr>
        <w:t>有限公司 住所：上海市黄浦区中山南路</w:t>
      </w:r>
      <w:r>
        <w:rPr>
          <w:rFonts w:ascii="Calibri" w:eastAsia="Calibri"/>
          <w:sz w:val="21"/>
        </w:rPr>
        <w:t>100</w:t>
      </w:r>
      <w:r>
        <w:rPr>
          <w:spacing w:val="-3"/>
          <w:sz w:val="21"/>
        </w:rPr>
        <w:t>号</w:t>
      </w:r>
      <w:r>
        <w:rPr>
          <w:rFonts w:ascii="Calibri" w:eastAsia="Calibri"/>
          <w:sz w:val="21"/>
        </w:rPr>
        <w:t>7</w:t>
      </w:r>
      <w:r>
        <w:rPr>
          <w:sz w:val="21"/>
        </w:rPr>
        <w:t>层</w:t>
      </w:r>
      <w:r>
        <w:rPr>
          <w:rFonts w:ascii="Calibri" w:eastAsia="Calibri"/>
          <w:sz w:val="21"/>
        </w:rPr>
        <w:t>05</w:t>
      </w:r>
      <w:r>
        <w:rPr>
          <w:spacing w:val="-3"/>
          <w:sz w:val="21"/>
        </w:rPr>
        <w:t>单元</w:t>
      </w:r>
    </w:p>
    <w:p>
      <w:pPr>
        <w:spacing w:after="0" w:line="417" w:lineRule="auto"/>
        <w:jc w:val="left"/>
        <w:rPr>
          <w:sz w:val="21"/>
        </w:rPr>
        <w:sectPr>
          <w:pgSz w:w="11910" w:h="16840"/>
          <w:pgMar w:header="877" w:footer="995" w:top="1420" w:bottom="1180" w:left="1640" w:right="920"/>
        </w:sectPr>
      </w:pPr>
    </w:p>
    <w:p>
      <w:pPr>
        <w:pStyle w:val="BodyText"/>
        <w:spacing w:line="417" w:lineRule="auto" w:before="110"/>
        <w:ind w:left="580" w:right="2554"/>
      </w:pPr>
      <w:r>
        <w:rPr/>
        <w:t>办公地址：上海市浦东新区民生路</w:t>
      </w:r>
      <w:r>
        <w:rPr>
          <w:rFonts w:ascii="Calibri" w:eastAsia="Calibri"/>
        </w:rPr>
        <w:t>1199</w:t>
      </w:r>
      <w:r>
        <w:rPr/>
        <w:t>弄证大五道口广场</w:t>
      </w:r>
      <w:r>
        <w:rPr>
          <w:rFonts w:ascii="Calibri" w:eastAsia="Calibri"/>
        </w:rPr>
        <w:t>1</w:t>
      </w:r>
      <w:r>
        <w:rPr/>
        <w:t>号楼</w:t>
      </w:r>
      <w:r>
        <w:rPr>
          <w:rFonts w:ascii="Calibri" w:eastAsia="Calibri"/>
        </w:rPr>
        <w:t>27</w:t>
      </w:r>
      <w:r>
        <w:rPr/>
        <w:t>层法定代表人：弭洪军</w:t>
      </w:r>
    </w:p>
    <w:p>
      <w:pPr>
        <w:pStyle w:val="BodyText"/>
        <w:spacing w:line="417" w:lineRule="auto"/>
        <w:ind w:left="580" w:right="6898"/>
        <w:rPr>
          <w:rFonts w:ascii="Calibri" w:eastAsia="Calibri"/>
        </w:rPr>
      </w:pPr>
      <w:r>
        <w:rPr/>
        <w:t>电话：</w:t>
      </w:r>
      <w:r>
        <w:rPr>
          <w:rFonts w:ascii="Calibri" w:eastAsia="Calibri"/>
        </w:rPr>
        <w:t>021-33357030 </w:t>
      </w:r>
      <w:r>
        <w:rPr/>
        <w:t>传真：</w:t>
      </w:r>
      <w:r>
        <w:rPr>
          <w:rFonts w:ascii="Calibri" w:eastAsia="Calibri"/>
        </w:rPr>
        <w:t>021-63353736</w:t>
      </w:r>
    </w:p>
    <w:p>
      <w:pPr>
        <w:pStyle w:val="BodyText"/>
        <w:spacing w:line="269" w:lineRule="exact"/>
        <w:ind w:left="580"/>
      </w:pPr>
      <w:r>
        <w:rPr/>
        <w:t>联系人：李娜</w:t>
      </w:r>
    </w:p>
    <w:p>
      <w:pPr>
        <w:pStyle w:val="BodyText"/>
        <w:spacing w:before="6"/>
        <w:rPr>
          <w:sz w:val="15"/>
        </w:rPr>
      </w:pPr>
    </w:p>
    <w:p>
      <w:pPr>
        <w:pStyle w:val="BodyText"/>
        <w:ind w:left="580"/>
        <w:rPr>
          <w:rFonts w:ascii="Calibri" w:eastAsia="Calibri"/>
        </w:rPr>
      </w:pPr>
      <w:r>
        <w:rPr/>
        <w:t>网址：</w:t>
      </w:r>
      <w:hyperlink r:id="rId65">
        <w:r>
          <w:rPr>
            <w:rFonts w:ascii="Calibri" w:eastAsia="Calibri"/>
          </w:rPr>
          <w:t>www.cmiwm.com</w:t>
        </w:r>
      </w:hyperlink>
    </w:p>
    <w:p>
      <w:pPr>
        <w:pStyle w:val="BodyText"/>
        <w:spacing w:before="4"/>
        <w:rPr>
          <w:rFonts w:ascii="Calibri"/>
          <w:sz w:val="16"/>
        </w:rPr>
      </w:pPr>
    </w:p>
    <w:p>
      <w:pPr>
        <w:pStyle w:val="BodyText"/>
        <w:ind w:left="580"/>
        <w:rPr>
          <w:rFonts w:ascii="Calibri" w:eastAsia="Calibri"/>
        </w:rPr>
      </w:pPr>
      <w:r>
        <w:rPr/>
        <w:t>客户服务电话：</w:t>
      </w:r>
      <w:r>
        <w:rPr>
          <w:rFonts w:ascii="Calibri" w:eastAsia="Calibri"/>
        </w:rPr>
        <w:t>400-876-5716</w:t>
      </w:r>
    </w:p>
    <w:p>
      <w:pPr>
        <w:pStyle w:val="BodyText"/>
        <w:spacing w:before="4"/>
        <w:rPr>
          <w:rFonts w:ascii="Calibri"/>
          <w:sz w:val="16"/>
        </w:rPr>
      </w:pPr>
    </w:p>
    <w:p>
      <w:pPr>
        <w:pStyle w:val="ListParagraph"/>
        <w:numPr>
          <w:ilvl w:val="0"/>
          <w:numId w:val="8"/>
        </w:numPr>
        <w:tabs>
          <w:tab w:pos="1218" w:val="left" w:leader="none"/>
        </w:tabs>
        <w:spacing w:line="240" w:lineRule="auto" w:before="0" w:after="0"/>
        <w:ind w:left="1217" w:right="0" w:hanging="638"/>
        <w:jc w:val="left"/>
        <w:rPr>
          <w:sz w:val="21"/>
        </w:rPr>
      </w:pPr>
      <w:r>
        <w:rPr>
          <w:spacing w:val="-3"/>
          <w:sz w:val="21"/>
        </w:rPr>
        <w:t>深圳市金斧子基金销售有限公司</w:t>
      </w:r>
    </w:p>
    <w:p>
      <w:pPr>
        <w:pStyle w:val="BodyText"/>
        <w:spacing w:before="7"/>
        <w:rPr>
          <w:sz w:val="15"/>
        </w:rPr>
      </w:pPr>
    </w:p>
    <w:p>
      <w:pPr>
        <w:pStyle w:val="BodyText"/>
        <w:ind w:left="580"/>
        <w:rPr>
          <w:rFonts w:ascii="Calibri" w:eastAsia="Calibri"/>
        </w:rPr>
      </w:pPr>
      <w:r>
        <w:rPr/>
        <w:t>住所：深圳市南山区粤海街道科技园中区科苑路</w:t>
      </w:r>
      <w:r>
        <w:rPr>
          <w:rFonts w:ascii="Calibri" w:eastAsia="Calibri"/>
        </w:rPr>
        <w:t>15</w:t>
      </w:r>
      <w:r>
        <w:rPr/>
        <w:t>号科兴科学园</w:t>
      </w:r>
      <w:r>
        <w:rPr>
          <w:rFonts w:ascii="Calibri" w:eastAsia="Calibri"/>
        </w:rPr>
        <w:t>B</w:t>
      </w:r>
      <w:r>
        <w:rPr/>
        <w:t>栋</w:t>
      </w:r>
      <w:r>
        <w:rPr>
          <w:rFonts w:ascii="Calibri" w:eastAsia="Calibri"/>
        </w:rPr>
        <w:t>3</w:t>
      </w:r>
      <w:r>
        <w:rPr/>
        <w:t>单元</w:t>
      </w:r>
      <w:r>
        <w:rPr>
          <w:rFonts w:ascii="Calibri" w:eastAsia="Calibri"/>
        </w:rPr>
        <w:t>11</w:t>
      </w:r>
      <w:r>
        <w:rPr/>
        <w:t>层</w:t>
      </w:r>
      <w:r>
        <w:rPr>
          <w:rFonts w:ascii="Calibri" w:eastAsia="Calibri"/>
        </w:rPr>
        <w:t>1108</w:t>
      </w:r>
    </w:p>
    <w:p>
      <w:pPr>
        <w:pStyle w:val="BodyText"/>
        <w:spacing w:before="3"/>
        <w:rPr>
          <w:rFonts w:ascii="Calibri"/>
          <w:sz w:val="16"/>
        </w:rPr>
      </w:pPr>
    </w:p>
    <w:p>
      <w:pPr>
        <w:pStyle w:val="BodyText"/>
        <w:spacing w:line="422" w:lineRule="auto"/>
        <w:ind w:left="160" w:right="873" w:firstLine="419"/>
        <w:rPr>
          <w:rFonts w:ascii="Calibri" w:eastAsia="Calibri"/>
        </w:rPr>
      </w:pPr>
      <w:r>
        <w:rPr/>
        <w:t>办公地址：深圳市南山区粤海街道科技园中区科苑路</w:t>
      </w:r>
      <w:r>
        <w:rPr>
          <w:rFonts w:ascii="Calibri" w:eastAsia="Calibri"/>
        </w:rPr>
        <w:t>15</w:t>
      </w:r>
      <w:r>
        <w:rPr/>
        <w:t>号科兴科学园</w:t>
      </w:r>
      <w:r>
        <w:rPr>
          <w:rFonts w:ascii="Calibri" w:eastAsia="Calibri"/>
        </w:rPr>
        <w:t>B</w:t>
      </w:r>
      <w:r>
        <w:rPr/>
        <w:t>栋</w:t>
      </w:r>
      <w:r>
        <w:rPr>
          <w:rFonts w:ascii="Calibri" w:eastAsia="Calibri"/>
        </w:rPr>
        <w:t>3</w:t>
      </w:r>
      <w:r>
        <w:rPr/>
        <w:t>单元</w:t>
      </w:r>
      <w:r>
        <w:rPr>
          <w:rFonts w:ascii="Calibri" w:eastAsia="Calibri"/>
        </w:rPr>
        <w:t>11</w:t>
      </w:r>
      <w:r>
        <w:rPr/>
        <w:t>层</w:t>
      </w:r>
      <w:r>
        <w:rPr>
          <w:rFonts w:ascii="Calibri" w:eastAsia="Calibri"/>
        </w:rPr>
        <w:t>1108</w:t>
      </w:r>
    </w:p>
    <w:p>
      <w:pPr>
        <w:pStyle w:val="BodyText"/>
        <w:spacing w:line="417" w:lineRule="auto" w:before="12"/>
        <w:ind w:left="580" w:right="6790"/>
        <w:rPr>
          <w:rFonts w:ascii="Calibri" w:eastAsia="Calibri"/>
        </w:rPr>
      </w:pPr>
      <w:r>
        <w:rPr/>
        <w:t>法定代表人：赖任军电话：</w:t>
      </w:r>
      <w:r>
        <w:rPr>
          <w:rFonts w:ascii="Calibri" w:eastAsia="Calibri"/>
        </w:rPr>
        <w:t>0755-84355914 </w:t>
      </w:r>
      <w:r>
        <w:rPr/>
        <w:t>传真：</w:t>
      </w:r>
      <w:r>
        <w:rPr>
          <w:rFonts w:ascii="Calibri" w:eastAsia="Calibri"/>
        </w:rPr>
        <w:t>0755-26920530</w:t>
      </w:r>
    </w:p>
    <w:p>
      <w:pPr>
        <w:pStyle w:val="BodyText"/>
        <w:ind w:left="580"/>
      </w:pPr>
      <w:r>
        <w:rPr/>
        <w:t>联系人：陈丽霞</w:t>
      </w:r>
    </w:p>
    <w:p>
      <w:pPr>
        <w:pStyle w:val="BodyText"/>
        <w:spacing w:before="6"/>
        <w:rPr>
          <w:sz w:val="15"/>
        </w:rPr>
      </w:pPr>
    </w:p>
    <w:p>
      <w:pPr>
        <w:pStyle w:val="BodyText"/>
        <w:ind w:left="580"/>
        <w:rPr>
          <w:rFonts w:ascii="Calibri" w:eastAsia="Calibri"/>
        </w:rPr>
      </w:pPr>
      <w:r>
        <w:rPr/>
        <w:t>网址：</w:t>
      </w:r>
      <w:hyperlink r:id="rId66">
        <w:r>
          <w:rPr>
            <w:rFonts w:ascii="Calibri" w:eastAsia="Calibri"/>
          </w:rPr>
          <w:t>www.jfzinv.com</w:t>
        </w:r>
      </w:hyperlink>
    </w:p>
    <w:p>
      <w:pPr>
        <w:pStyle w:val="BodyText"/>
        <w:spacing w:before="4"/>
        <w:rPr>
          <w:rFonts w:ascii="Calibri"/>
          <w:sz w:val="16"/>
        </w:rPr>
      </w:pPr>
    </w:p>
    <w:p>
      <w:pPr>
        <w:pStyle w:val="BodyText"/>
        <w:ind w:left="580"/>
        <w:rPr>
          <w:rFonts w:ascii="Calibri" w:eastAsia="Calibri"/>
        </w:rPr>
      </w:pPr>
      <w:r>
        <w:rPr/>
        <w:t>客户服务电话：</w:t>
      </w:r>
      <w:r>
        <w:rPr>
          <w:rFonts w:ascii="Calibri" w:eastAsia="Calibri"/>
        </w:rPr>
        <w:t>400-9302-888</w:t>
      </w:r>
    </w:p>
    <w:p>
      <w:pPr>
        <w:pStyle w:val="BodyText"/>
        <w:spacing w:before="3"/>
        <w:rPr>
          <w:rFonts w:ascii="Calibri"/>
          <w:sz w:val="16"/>
        </w:rPr>
      </w:pPr>
    </w:p>
    <w:p>
      <w:pPr>
        <w:pStyle w:val="ListParagraph"/>
        <w:numPr>
          <w:ilvl w:val="0"/>
          <w:numId w:val="8"/>
        </w:numPr>
        <w:tabs>
          <w:tab w:pos="1218" w:val="left" w:leader="none"/>
        </w:tabs>
        <w:spacing w:line="240" w:lineRule="auto" w:before="1" w:after="0"/>
        <w:ind w:left="1217" w:right="0" w:hanging="638"/>
        <w:jc w:val="left"/>
        <w:rPr>
          <w:sz w:val="21"/>
        </w:rPr>
      </w:pPr>
      <w:r>
        <w:rPr>
          <w:spacing w:val="-3"/>
          <w:sz w:val="21"/>
        </w:rPr>
        <w:t>北京蛋卷基金销售有限公司</w:t>
      </w:r>
    </w:p>
    <w:p>
      <w:pPr>
        <w:pStyle w:val="BodyText"/>
        <w:spacing w:before="6"/>
        <w:rPr>
          <w:sz w:val="15"/>
        </w:rPr>
      </w:pPr>
    </w:p>
    <w:p>
      <w:pPr>
        <w:pStyle w:val="BodyText"/>
        <w:ind w:left="580"/>
        <w:rPr>
          <w:rFonts w:ascii="Calibri" w:eastAsia="Calibri"/>
        </w:rPr>
      </w:pPr>
      <w:r>
        <w:rPr/>
        <w:t>住所：北京市朝阳区阜通东大街</w:t>
      </w:r>
      <w:r>
        <w:rPr>
          <w:rFonts w:ascii="Calibri" w:eastAsia="Calibri"/>
        </w:rPr>
        <w:t>1</w:t>
      </w:r>
      <w:r>
        <w:rPr/>
        <w:t>号院</w:t>
      </w:r>
      <w:r>
        <w:rPr>
          <w:rFonts w:ascii="Calibri" w:eastAsia="Calibri"/>
        </w:rPr>
        <w:t>6</w:t>
      </w:r>
      <w:r>
        <w:rPr/>
        <w:t>号楼</w:t>
      </w:r>
      <w:r>
        <w:rPr>
          <w:rFonts w:ascii="Calibri" w:eastAsia="Calibri"/>
        </w:rPr>
        <w:t>2</w:t>
      </w:r>
      <w:r>
        <w:rPr/>
        <w:t>单元</w:t>
      </w:r>
      <w:r>
        <w:rPr>
          <w:rFonts w:ascii="Calibri" w:eastAsia="Calibri"/>
        </w:rPr>
        <w:t>21</w:t>
      </w:r>
      <w:r>
        <w:rPr/>
        <w:t>层</w:t>
      </w:r>
      <w:r>
        <w:rPr>
          <w:rFonts w:ascii="Calibri" w:eastAsia="Calibri"/>
        </w:rPr>
        <w:t>222507</w:t>
      </w:r>
    </w:p>
    <w:p>
      <w:pPr>
        <w:pStyle w:val="BodyText"/>
        <w:spacing w:before="4"/>
        <w:rPr>
          <w:rFonts w:ascii="Calibri"/>
          <w:sz w:val="16"/>
        </w:rPr>
      </w:pPr>
    </w:p>
    <w:p>
      <w:pPr>
        <w:pStyle w:val="BodyText"/>
        <w:spacing w:line="417" w:lineRule="auto"/>
        <w:ind w:left="580" w:right="2759"/>
      </w:pPr>
      <w:r>
        <w:rPr/>
        <w:t>办公地址：北京市朝阳区阜通东大街</w:t>
      </w:r>
      <w:r>
        <w:rPr>
          <w:rFonts w:ascii="Calibri" w:eastAsia="Calibri"/>
        </w:rPr>
        <w:t>1</w:t>
      </w:r>
      <w:r>
        <w:rPr/>
        <w:t>号院</w:t>
      </w:r>
      <w:r>
        <w:rPr>
          <w:rFonts w:ascii="Calibri" w:eastAsia="Calibri"/>
        </w:rPr>
        <w:t>6</w:t>
      </w:r>
      <w:r>
        <w:rPr/>
        <w:t>号楼</w:t>
      </w:r>
      <w:r>
        <w:rPr>
          <w:rFonts w:ascii="Calibri" w:eastAsia="Calibri"/>
        </w:rPr>
        <w:t>2</w:t>
      </w:r>
      <w:r>
        <w:rPr/>
        <w:t>单元</w:t>
      </w:r>
      <w:r>
        <w:rPr>
          <w:rFonts w:ascii="Calibri" w:eastAsia="Calibri"/>
        </w:rPr>
        <w:t>21</w:t>
      </w:r>
      <w:r>
        <w:rPr/>
        <w:t>层</w:t>
      </w:r>
      <w:r>
        <w:rPr>
          <w:rFonts w:ascii="Calibri" w:eastAsia="Calibri"/>
        </w:rPr>
        <w:t>222507 </w:t>
      </w:r>
      <w:r>
        <w:rPr/>
        <w:t>法定代表人：钟斐斐</w:t>
      </w:r>
    </w:p>
    <w:p>
      <w:pPr>
        <w:pStyle w:val="BodyText"/>
        <w:spacing w:line="417" w:lineRule="auto"/>
        <w:ind w:left="580" w:right="6898"/>
        <w:rPr>
          <w:rFonts w:ascii="Calibri" w:eastAsia="Calibri"/>
        </w:rPr>
      </w:pPr>
      <w:r>
        <w:rPr/>
        <w:t>电话：</w:t>
      </w:r>
      <w:r>
        <w:rPr>
          <w:rFonts w:ascii="Calibri" w:eastAsia="Calibri"/>
        </w:rPr>
        <w:t>010-61840688 </w:t>
      </w:r>
      <w:r>
        <w:rPr/>
        <w:t>传真：</w:t>
      </w:r>
      <w:r>
        <w:rPr>
          <w:rFonts w:ascii="Calibri" w:eastAsia="Calibri"/>
        </w:rPr>
        <w:t>010-61840699</w:t>
      </w:r>
    </w:p>
    <w:p>
      <w:pPr>
        <w:pStyle w:val="BodyText"/>
        <w:spacing w:line="269" w:lineRule="exact"/>
        <w:ind w:left="580"/>
      </w:pPr>
      <w:r>
        <w:rPr/>
        <w:t>联系人：袁永姣</w:t>
      </w:r>
    </w:p>
    <w:p>
      <w:pPr>
        <w:pStyle w:val="BodyText"/>
        <w:spacing w:before="7"/>
        <w:rPr>
          <w:sz w:val="15"/>
        </w:rPr>
      </w:pPr>
    </w:p>
    <w:p>
      <w:pPr>
        <w:pStyle w:val="BodyText"/>
        <w:spacing w:line="417" w:lineRule="auto"/>
        <w:ind w:left="580" w:right="6043"/>
        <w:rPr>
          <w:rFonts w:ascii="Calibri" w:eastAsia="Calibri"/>
        </w:rPr>
      </w:pPr>
      <w:r>
        <w:rPr/>
        <w:t>网址：</w:t>
      </w:r>
      <w:r>
        <w:rPr>
          <w:rFonts w:ascii="Calibri" w:eastAsia="Calibri"/>
        </w:rPr>
        <w:t>https://danjuanapp.com </w:t>
      </w:r>
      <w:r>
        <w:rPr/>
        <w:t>客户服务电话：</w:t>
      </w:r>
      <w:r>
        <w:rPr>
          <w:rFonts w:ascii="Calibri" w:eastAsia="Calibri"/>
        </w:rPr>
        <w:t>400-159-9288</w:t>
      </w:r>
    </w:p>
    <w:p>
      <w:pPr>
        <w:pStyle w:val="ListParagraph"/>
        <w:numPr>
          <w:ilvl w:val="0"/>
          <w:numId w:val="8"/>
        </w:numPr>
        <w:tabs>
          <w:tab w:pos="1218" w:val="left" w:leader="none"/>
        </w:tabs>
        <w:spacing w:line="269" w:lineRule="exact" w:before="0" w:after="0"/>
        <w:ind w:left="1217" w:right="0" w:hanging="638"/>
        <w:jc w:val="left"/>
        <w:rPr>
          <w:sz w:val="21"/>
        </w:rPr>
      </w:pPr>
      <w:r>
        <w:rPr>
          <w:spacing w:val="-3"/>
          <w:sz w:val="21"/>
        </w:rPr>
        <w:t>天津万家财富资产管理有限公司</w:t>
      </w:r>
    </w:p>
    <w:p>
      <w:pPr>
        <w:pStyle w:val="BodyText"/>
        <w:spacing w:before="6"/>
        <w:rPr>
          <w:sz w:val="15"/>
        </w:rPr>
      </w:pPr>
    </w:p>
    <w:p>
      <w:pPr>
        <w:pStyle w:val="BodyText"/>
        <w:spacing w:line="417" w:lineRule="auto" w:before="1"/>
        <w:ind w:left="580" w:right="1646"/>
      </w:pPr>
      <w:r>
        <w:rPr/>
        <w:t>住所：天津自贸区（中心商务区）迎宾大道</w:t>
      </w:r>
      <w:r>
        <w:rPr>
          <w:rFonts w:ascii="Calibri" w:eastAsia="Calibri"/>
        </w:rPr>
        <w:t>1988</w:t>
      </w:r>
      <w:r>
        <w:rPr/>
        <w:t>号滨海浙商大厦公寓</w:t>
      </w:r>
      <w:r>
        <w:rPr>
          <w:rFonts w:ascii="Calibri" w:eastAsia="Calibri"/>
        </w:rPr>
        <w:t>2-2413</w:t>
      </w:r>
      <w:r>
        <w:rPr/>
        <w:t>室办公地址：北京市西城区丰盛胡同</w:t>
      </w:r>
      <w:r>
        <w:rPr>
          <w:rFonts w:ascii="Calibri" w:eastAsia="Calibri"/>
        </w:rPr>
        <w:t>28</w:t>
      </w:r>
      <w:r>
        <w:rPr/>
        <w:t>号太平洋保险大厦</w:t>
      </w:r>
      <w:r>
        <w:rPr>
          <w:rFonts w:ascii="Calibri" w:eastAsia="Calibri"/>
        </w:rPr>
        <w:t>5</w:t>
      </w:r>
      <w:r>
        <w:rPr/>
        <w:t>层</w:t>
      </w:r>
    </w:p>
    <w:p>
      <w:pPr>
        <w:pStyle w:val="BodyText"/>
        <w:ind w:left="580"/>
      </w:pPr>
      <w:r>
        <w:rPr/>
        <w:t>法定代表人：李修辞</w:t>
      </w:r>
    </w:p>
    <w:p>
      <w:pPr>
        <w:spacing w:after="0"/>
        <w:sectPr>
          <w:pgSz w:w="11910" w:h="16840"/>
          <w:pgMar w:header="877" w:footer="995" w:top="1420" w:bottom="1180" w:left="1640" w:right="920"/>
        </w:sectPr>
      </w:pPr>
    </w:p>
    <w:p>
      <w:pPr>
        <w:pStyle w:val="BodyText"/>
        <w:spacing w:line="417" w:lineRule="auto" w:before="110"/>
        <w:ind w:left="580" w:right="6898"/>
        <w:rPr>
          <w:rFonts w:ascii="Calibri" w:eastAsia="Calibri"/>
        </w:rPr>
      </w:pPr>
      <w:r>
        <w:rPr/>
        <w:t>电话：</w:t>
      </w:r>
      <w:r>
        <w:rPr>
          <w:rFonts w:ascii="Calibri" w:eastAsia="Calibri"/>
        </w:rPr>
        <w:t>18511290872 </w:t>
      </w:r>
      <w:r>
        <w:rPr/>
        <w:t>传真：</w:t>
      </w:r>
      <w:r>
        <w:rPr>
          <w:rFonts w:ascii="Calibri" w:eastAsia="Calibri"/>
        </w:rPr>
        <w:t>010-59013828</w:t>
      </w:r>
    </w:p>
    <w:p>
      <w:pPr>
        <w:pStyle w:val="BodyText"/>
        <w:spacing w:line="269" w:lineRule="exact"/>
        <w:ind w:left="580"/>
      </w:pPr>
      <w:r>
        <w:rPr/>
        <w:t>联系人：邵玉磊</w:t>
      </w:r>
    </w:p>
    <w:p>
      <w:pPr>
        <w:pStyle w:val="BodyText"/>
        <w:spacing w:before="6"/>
        <w:rPr>
          <w:sz w:val="15"/>
        </w:rPr>
      </w:pPr>
    </w:p>
    <w:p>
      <w:pPr>
        <w:pStyle w:val="BodyText"/>
        <w:spacing w:line="417" w:lineRule="auto"/>
        <w:ind w:left="580" w:right="6057"/>
        <w:rPr>
          <w:rFonts w:ascii="Calibri" w:eastAsia="Calibri"/>
        </w:rPr>
      </w:pPr>
      <w:r>
        <w:rPr/>
        <w:t>网址：</w:t>
      </w:r>
      <w:hyperlink r:id="rId67">
        <w:r>
          <w:rPr>
            <w:rFonts w:ascii="Calibri" w:eastAsia="Calibri"/>
          </w:rPr>
          <w:t>www.wanjiawealth.com </w:t>
        </w:r>
      </w:hyperlink>
      <w:r>
        <w:rPr/>
        <w:t>客户服务电话：</w:t>
      </w:r>
      <w:r>
        <w:rPr>
          <w:rFonts w:ascii="Calibri" w:eastAsia="Calibri"/>
        </w:rPr>
        <w:t>010-59013842</w:t>
      </w:r>
    </w:p>
    <w:p>
      <w:pPr>
        <w:pStyle w:val="ListParagraph"/>
        <w:numPr>
          <w:ilvl w:val="0"/>
          <w:numId w:val="8"/>
        </w:numPr>
        <w:tabs>
          <w:tab w:pos="1218" w:val="left" w:leader="none"/>
        </w:tabs>
        <w:spacing w:line="269" w:lineRule="exact" w:before="0" w:after="0"/>
        <w:ind w:left="1217" w:right="0" w:hanging="638"/>
        <w:jc w:val="left"/>
        <w:rPr>
          <w:sz w:val="21"/>
        </w:rPr>
      </w:pPr>
      <w:r>
        <w:rPr>
          <w:spacing w:val="-3"/>
          <w:sz w:val="21"/>
        </w:rPr>
        <w:t>上海华夏财富投资管理有限公司</w:t>
      </w:r>
    </w:p>
    <w:p>
      <w:pPr>
        <w:pStyle w:val="BodyText"/>
        <w:spacing w:before="7"/>
        <w:rPr>
          <w:sz w:val="15"/>
        </w:rPr>
      </w:pPr>
    </w:p>
    <w:p>
      <w:pPr>
        <w:pStyle w:val="BodyText"/>
        <w:ind w:left="580"/>
      </w:pPr>
      <w:r>
        <w:rPr/>
        <w:t>住所：上海市虹口区东大名路</w:t>
      </w:r>
      <w:r>
        <w:rPr>
          <w:rFonts w:ascii="Calibri" w:eastAsia="Calibri"/>
        </w:rPr>
        <w:t>687</w:t>
      </w:r>
      <w:r>
        <w:rPr/>
        <w:t>号一幢二楼</w:t>
      </w:r>
      <w:r>
        <w:rPr>
          <w:rFonts w:ascii="Calibri" w:eastAsia="Calibri"/>
        </w:rPr>
        <w:t>268</w:t>
      </w:r>
      <w:r>
        <w:rPr/>
        <w:t>室</w:t>
      </w:r>
    </w:p>
    <w:p>
      <w:pPr>
        <w:pStyle w:val="BodyText"/>
        <w:spacing w:before="7"/>
        <w:rPr>
          <w:sz w:val="15"/>
        </w:rPr>
      </w:pPr>
    </w:p>
    <w:p>
      <w:pPr>
        <w:pStyle w:val="BodyText"/>
        <w:spacing w:line="417" w:lineRule="auto" w:before="1"/>
        <w:ind w:left="580" w:right="3706"/>
      </w:pPr>
      <w:r>
        <w:rPr/>
        <w:t>办公地址：北京市西城区金融大街</w:t>
      </w:r>
      <w:r>
        <w:rPr>
          <w:rFonts w:ascii="Calibri" w:eastAsia="Calibri"/>
        </w:rPr>
        <w:t>33</w:t>
      </w:r>
      <w:r>
        <w:rPr/>
        <w:t>号通泰大厦</w:t>
      </w:r>
      <w:r>
        <w:rPr>
          <w:rFonts w:ascii="Calibri" w:eastAsia="Calibri"/>
        </w:rPr>
        <w:t>B</w:t>
      </w:r>
      <w:r>
        <w:rPr/>
        <w:t>座</w:t>
      </w:r>
      <w:r>
        <w:rPr>
          <w:rFonts w:ascii="Calibri" w:eastAsia="Calibri"/>
        </w:rPr>
        <w:t>8</w:t>
      </w:r>
      <w:r>
        <w:rPr/>
        <w:t>层法定代表人：毛淮平</w:t>
      </w:r>
    </w:p>
    <w:p>
      <w:pPr>
        <w:pStyle w:val="BodyText"/>
        <w:spacing w:line="417" w:lineRule="auto"/>
        <w:ind w:left="580" w:right="6898"/>
        <w:rPr>
          <w:rFonts w:ascii="Calibri" w:eastAsia="Calibri"/>
        </w:rPr>
      </w:pPr>
      <w:r>
        <w:rPr/>
        <w:t>电话：</w:t>
      </w:r>
      <w:r>
        <w:rPr>
          <w:rFonts w:ascii="Calibri" w:eastAsia="Calibri"/>
        </w:rPr>
        <w:t>010-88066326 </w:t>
      </w:r>
      <w:r>
        <w:rPr/>
        <w:t>传真：</w:t>
      </w:r>
      <w:r>
        <w:rPr>
          <w:rFonts w:ascii="Calibri" w:eastAsia="Calibri"/>
        </w:rPr>
        <w:t>010-63136184</w:t>
      </w:r>
    </w:p>
    <w:p>
      <w:pPr>
        <w:pStyle w:val="BodyText"/>
        <w:spacing w:line="269" w:lineRule="exact"/>
        <w:ind w:left="580"/>
      </w:pPr>
      <w:r>
        <w:rPr/>
        <w:t>联系人：张静怡</w:t>
      </w:r>
    </w:p>
    <w:p>
      <w:pPr>
        <w:pStyle w:val="BodyText"/>
        <w:spacing w:before="6"/>
        <w:rPr>
          <w:sz w:val="15"/>
        </w:rPr>
      </w:pPr>
    </w:p>
    <w:p>
      <w:pPr>
        <w:pStyle w:val="BodyText"/>
        <w:spacing w:line="417" w:lineRule="auto"/>
        <w:ind w:left="580" w:right="6098"/>
        <w:rPr>
          <w:rFonts w:ascii="Calibri" w:eastAsia="Calibri"/>
        </w:rPr>
      </w:pPr>
      <w:r>
        <w:rPr/>
        <w:t>网址：</w:t>
      </w:r>
      <w:hyperlink r:id="rId68">
        <w:r>
          <w:rPr>
            <w:rFonts w:ascii="Calibri" w:eastAsia="Calibri"/>
          </w:rPr>
          <w:t>www.amcfortune.com </w:t>
        </w:r>
      </w:hyperlink>
      <w:r>
        <w:rPr/>
        <w:t>客户服务电话：</w:t>
      </w:r>
      <w:r>
        <w:rPr>
          <w:rFonts w:ascii="Calibri" w:eastAsia="Calibri"/>
        </w:rPr>
        <w:t>400-817-5666</w:t>
      </w:r>
    </w:p>
    <w:p>
      <w:pPr>
        <w:pStyle w:val="ListParagraph"/>
        <w:numPr>
          <w:ilvl w:val="0"/>
          <w:numId w:val="8"/>
        </w:numPr>
        <w:tabs>
          <w:tab w:pos="1218" w:val="left" w:leader="none"/>
        </w:tabs>
        <w:spacing w:line="240" w:lineRule="auto" w:before="0" w:after="0"/>
        <w:ind w:left="1217" w:right="0" w:hanging="638"/>
        <w:jc w:val="left"/>
        <w:rPr>
          <w:sz w:val="21"/>
        </w:rPr>
      </w:pPr>
      <w:r>
        <w:rPr>
          <w:spacing w:val="-3"/>
          <w:sz w:val="21"/>
        </w:rPr>
        <w:t>中信期货有限公司</w:t>
      </w:r>
    </w:p>
    <w:p>
      <w:pPr>
        <w:pStyle w:val="BodyText"/>
        <w:spacing w:before="7"/>
        <w:rPr>
          <w:sz w:val="15"/>
        </w:rPr>
      </w:pPr>
    </w:p>
    <w:p>
      <w:pPr>
        <w:pStyle w:val="BodyText"/>
        <w:ind w:left="580"/>
      </w:pPr>
      <w:r>
        <w:rPr/>
        <w:t>住所：深圳市福田区中心三路</w:t>
      </w:r>
      <w:r>
        <w:rPr>
          <w:rFonts w:ascii="Calibri" w:eastAsia="Calibri"/>
        </w:rPr>
        <w:t>8</w:t>
      </w:r>
      <w:r>
        <w:rPr/>
        <w:t>号卓越时代广场（二期）北座</w:t>
      </w:r>
      <w:r>
        <w:rPr>
          <w:rFonts w:ascii="Calibri" w:eastAsia="Calibri"/>
        </w:rPr>
        <w:t>13</w:t>
      </w:r>
      <w:r>
        <w:rPr/>
        <w:t>层</w:t>
      </w:r>
      <w:r>
        <w:rPr>
          <w:rFonts w:ascii="Calibri" w:eastAsia="Calibri"/>
        </w:rPr>
        <w:t>1301-1305</w:t>
      </w:r>
      <w:r>
        <w:rPr/>
        <w:t>、</w:t>
      </w:r>
      <w:r>
        <w:rPr>
          <w:rFonts w:ascii="Calibri" w:eastAsia="Calibri"/>
        </w:rPr>
        <w:t>14</w:t>
      </w:r>
      <w:r>
        <w:rPr/>
        <w:t>层</w:t>
      </w:r>
    </w:p>
    <w:p>
      <w:pPr>
        <w:pStyle w:val="BodyText"/>
        <w:spacing w:before="6"/>
        <w:rPr>
          <w:sz w:val="15"/>
        </w:rPr>
      </w:pPr>
    </w:p>
    <w:p>
      <w:pPr>
        <w:pStyle w:val="BodyText"/>
        <w:spacing w:before="1"/>
        <w:ind w:left="580"/>
        <w:rPr>
          <w:rFonts w:ascii="Calibri" w:eastAsia="Calibri"/>
        </w:rPr>
      </w:pPr>
      <w:r>
        <w:rPr/>
        <w:t>办公地址：深圳市福田区中心三路</w:t>
      </w:r>
      <w:r>
        <w:rPr>
          <w:rFonts w:ascii="Calibri" w:eastAsia="Calibri"/>
        </w:rPr>
        <w:t>8</w:t>
      </w:r>
      <w:r>
        <w:rPr/>
        <w:t>号卓越时代广场（二期）北座</w:t>
      </w:r>
      <w:r>
        <w:rPr>
          <w:rFonts w:ascii="Calibri" w:eastAsia="Calibri"/>
        </w:rPr>
        <w:t>13</w:t>
      </w:r>
      <w:r>
        <w:rPr/>
        <w:t>层</w:t>
      </w:r>
      <w:r>
        <w:rPr>
          <w:rFonts w:ascii="Calibri" w:eastAsia="Calibri"/>
        </w:rPr>
        <w:t>1301-1305</w:t>
      </w:r>
      <w:r>
        <w:rPr/>
        <w:t>、</w:t>
      </w:r>
      <w:r>
        <w:rPr>
          <w:rFonts w:ascii="Calibri" w:eastAsia="Calibri"/>
        </w:rPr>
        <w:t>14</w:t>
      </w:r>
    </w:p>
    <w:p>
      <w:pPr>
        <w:pStyle w:val="BodyText"/>
        <w:spacing w:before="5"/>
        <w:rPr>
          <w:rFonts w:ascii="Calibri"/>
          <w:sz w:val="10"/>
        </w:rPr>
      </w:pPr>
    </w:p>
    <w:p>
      <w:pPr>
        <w:pStyle w:val="BodyText"/>
        <w:spacing w:before="71"/>
        <w:ind w:left="160"/>
      </w:pPr>
      <w:r>
        <w:rPr>
          <w:w w:val="100"/>
        </w:rPr>
        <w:t>层</w:t>
      </w:r>
    </w:p>
    <w:p>
      <w:pPr>
        <w:pStyle w:val="BodyText"/>
        <w:rPr>
          <w:sz w:val="10"/>
        </w:rPr>
      </w:pPr>
    </w:p>
    <w:p>
      <w:pPr>
        <w:pStyle w:val="BodyText"/>
        <w:spacing w:line="417" w:lineRule="auto" w:before="71"/>
        <w:ind w:left="580" w:right="6742"/>
        <w:rPr>
          <w:rFonts w:ascii="Calibri" w:eastAsia="Calibri"/>
        </w:rPr>
      </w:pPr>
      <w:r>
        <w:rPr/>
        <w:t>法定代表人：张皓 电话：</w:t>
      </w:r>
      <w:r>
        <w:rPr>
          <w:rFonts w:ascii="Calibri" w:eastAsia="Calibri"/>
        </w:rPr>
        <w:t>010-60833754 </w:t>
      </w:r>
      <w:r>
        <w:rPr/>
        <w:t>传真：</w:t>
      </w:r>
      <w:r>
        <w:rPr>
          <w:rFonts w:ascii="Calibri" w:eastAsia="Calibri"/>
        </w:rPr>
        <w:t>0755-83217421</w:t>
      </w:r>
    </w:p>
    <w:p>
      <w:pPr>
        <w:pStyle w:val="BodyText"/>
        <w:ind w:left="580"/>
      </w:pPr>
      <w:r>
        <w:rPr/>
        <w:t>联系人：刘宏莹</w:t>
      </w:r>
    </w:p>
    <w:p>
      <w:pPr>
        <w:pStyle w:val="BodyText"/>
        <w:spacing w:before="7"/>
        <w:rPr>
          <w:sz w:val="15"/>
        </w:rPr>
      </w:pPr>
    </w:p>
    <w:p>
      <w:pPr>
        <w:pStyle w:val="BodyText"/>
        <w:ind w:left="580"/>
        <w:rPr>
          <w:rFonts w:ascii="Calibri" w:eastAsia="Calibri"/>
        </w:rPr>
      </w:pPr>
      <w:r>
        <w:rPr/>
        <w:t>网址：</w:t>
      </w:r>
      <w:hyperlink r:id="rId69">
        <w:r>
          <w:rPr>
            <w:rFonts w:ascii="Calibri" w:eastAsia="Calibri"/>
          </w:rPr>
          <w:t>www.citicsf.com</w:t>
        </w:r>
      </w:hyperlink>
    </w:p>
    <w:p>
      <w:pPr>
        <w:pStyle w:val="BodyText"/>
        <w:spacing w:before="3"/>
        <w:rPr>
          <w:rFonts w:ascii="Calibri"/>
          <w:sz w:val="16"/>
        </w:rPr>
      </w:pPr>
    </w:p>
    <w:p>
      <w:pPr>
        <w:pStyle w:val="BodyText"/>
        <w:spacing w:before="1"/>
        <w:ind w:left="580"/>
        <w:rPr>
          <w:rFonts w:ascii="Calibri" w:eastAsia="Calibri"/>
        </w:rPr>
      </w:pPr>
      <w:r>
        <w:rPr/>
        <w:t>客户服务电话：</w:t>
      </w:r>
      <w:r>
        <w:rPr>
          <w:rFonts w:ascii="Calibri" w:eastAsia="Calibri"/>
        </w:rPr>
        <w:t>400-990-8826</w:t>
      </w:r>
    </w:p>
    <w:p>
      <w:pPr>
        <w:pStyle w:val="BodyText"/>
        <w:spacing w:before="3"/>
        <w:rPr>
          <w:rFonts w:ascii="Calibri"/>
          <w:sz w:val="16"/>
        </w:rPr>
      </w:pPr>
    </w:p>
    <w:p>
      <w:pPr>
        <w:pStyle w:val="ListParagraph"/>
        <w:numPr>
          <w:ilvl w:val="0"/>
          <w:numId w:val="8"/>
        </w:numPr>
        <w:tabs>
          <w:tab w:pos="1218" w:val="left" w:leader="none"/>
        </w:tabs>
        <w:spacing w:line="417" w:lineRule="auto" w:before="0" w:after="0"/>
        <w:ind w:left="580" w:right="6027" w:firstLine="0"/>
        <w:jc w:val="left"/>
        <w:rPr>
          <w:sz w:val="21"/>
        </w:rPr>
      </w:pPr>
      <w:r>
        <w:rPr>
          <w:spacing w:val="-4"/>
          <w:sz w:val="21"/>
        </w:rPr>
        <w:t>弘业期货股份有限公司</w:t>
      </w:r>
      <w:r>
        <w:rPr>
          <w:spacing w:val="-3"/>
          <w:sz w:val="21"/>
        </w:rPr>
        <w:t>住所：南京市中华路</w:t>
      </w:r>
      <w:r>
        <w:rPr>
          <w:rFonts w:ascii="Calibri" w:eastAsia="Calibri"/>
          <w:sz w:val="21"/>
        </w:rPr>
        <w:t>50</w:t>
      </w:r>
      <w:r>
        <w:rPr>
          <w:sz w:val="21"/>
        </w:rPr>
        <w:t>号</w:t>
      </w:r>
    </w:p>
    <w:p>
      <w:pPr>
        <w:pStyle w:val="BodyText"/>
        <w:spacing w:line="417" w:lineRule="auto"/>
        <w:ind w:left="580" w:right="5187"/>
      </w:pPr>
      <w:r>
        <w:rPr/>
        <w:t>办公地址：南京市中华路</w:t>
      </w:r>
      <w:r>
        <w:rPr>
          <w:rFonts w:ascii="Calibri" w:eastAsia="Calibri"/>
        </w:rPr>
        <w:t>50</w:t>
      </w:r>
      <w:r>
        <w:rPr/>
        <w:t>号弘业大厦法定代表人：周剑秋</w:t>
      </w:r>
    </w:p>
    <w:p>
      <w:pPr>
        <w:pStyle w:val="BodyText"/>
        <w:spacing w:line="417" w:lineRule="auto"/>
        <w:ind w:left="580" w:right="6898"/>
        <w:rPr>
          <w:rFonts w:ascii="Calibri" w:eastAsia="Calibri"/>
        </w:rPr>
      </w:pPr>
      <w:r>
        <w:rPr/>
        <w:t>电话：</w:t>
      </w:r>
      <w:r>
        <w:rPr>
          <w:rFonts w:ascii="Calibri" w:eastAsia="Calibri"/>
        </w:rPr>
        <w:t>025-52278981 </w:t>
      </w:r>
      <w:r>
        <w:rPr/>
        <w:t>传真：</w:t>
      </w:r>
      <w:r>
        <w:rPr>
          <w:rFonts w:ascii="Calibri" w:eastAsia="Calibri"/>
        </w:rPr>
        <w:t>025-52278733</w:t>
      </w:r>
    </w:p>
    <w:p>
      <w:pPr>
        <w:spacing w:after="0" w:line="417" w:lineRule="auto"/>
        <w:rPr>
          <w:rFonts w:ascii="Calibri" w:eastAsia="Calibri"/>
        </w:rPr>
        <w:sectPr>
          <w:pgSz w:w="11910" w:h="16840"/>
          <w:pgMar w:header="877" w:footer="995" w:top="1420" w:bottom="1180" w:left="1640" w:right="920"/>
        </w:sectPr>
      </w:pPr>
    </w:p>
    <w:p>
      <w:pPr>
        <w:pStyle w:val="BodyText"/>
        <w:spacing w:before="110"/>
        <w:ind w:left="580"/>
      </w:pPr>
      <w:r>
        <w:rPr/>
        <w:t>联系人：张苏怡</w:t>
      </w:r>
    </w:p>
    <w:p>
      <w:pPr>
        <w:pStyle w:val="BodyText"/>
        <w:spacing w:before="6"/>
        <w:rPr>
          <w:sz w:val="15"/>
        </w:rPr>
      </w:pPr>
    </w:p>
    <w:p>
      <w:pPr>
        <w:pStyle w:val="BodyText"/>
        <w:ind w:left="580"/>
        <w:rPr>
          <w:rFonts w:ascii="Calibri" w:eastAsia="Calibri"/>
        </w:rPr>
      </w:pPr>
      <w:r>
        <w:rPr/>
        <w:t>网址：</w:t>
      </w:r>
      <w:hyperlink r:id="rId70">
        <w:r>
          <w:rPr>
            <w:rFonts w:ascii="Calibri" w:eastAsia="Calibri"/>
          </w:rPr>
          <w:t>www.ftol.com.cn</w:t>
        </w:r>
      </w:hyperlink>
    </w:p>
    <w:p>
      <w:pPr>
        <w:pStyle w:val="BodyText"/>
        <w:spacing w:before="4"/>
        <w:rPr>
          <w:rFonts w:ascii="Calibri"/>
          <w:sz w:val="16"/>
        </w:rPr>
      </w:pPr>
    </w:p>
    <w:p>
      <w:pPr>
        <w:pStyle w:val="BodyText"/>
        <w:ind w:left="580"/>
        <w:rPr>
          <w:rFonts w:ascii="Calibri" w:eastAsia="Calibri"/>
        </w:rPr>
      </w:pPr>
      <w:r>
        <w:rPr/>
        <w:t>客户服务电话：</w:t>
      </w:r>
      <w:r>
        <w:rPr>
          <w:rFonts w:ascii="Calibri" w:eastAsia="Calibri"/>
        </w:rPr>
        <w:t>400-828-8288</w:t>
      </w:r>
    </w:p>
    <w:p>
      <w:pPr>
        <w:pStyle w:val="BodyText"/>
        <w:spacing w:before="4"/>
        <w:rPr>
          <w:rFonts w:ascii="Calibri"/>
          <w:sz w:val="16"/>
        </w:rPr>
      </w:pPr>
    </w:p>
    <w:p>
      <w:pPr>
        <w:pStyle w:val="ListParagraph"/>
        <w:numPr>
          <w:ilvl w:val="0"/>
          <w:numId w:val="8"/>
        </w:numPr>
        <w:tabs>
          <w:tab w:pos="1218" w:val="left" w:leader="none"/>
        </w:tabs>
        <w:spacing w:line="417" w:lineRule="auto" w:before="0" w:after="0"/>
        <w:ind w:left="580" w:right="5293" w:firstLine="0"/>
        <w:jc w:val="left"/>
        <w:rPr>
          <w:sz w:val="21"/>
        </w:rPr>
      </w:pPr>
      <w:r>
        <w:rPr>
          <w:spacing w:val="-3"/>
          <w:sz w:val="21"/>
        </w:rPr>
        <w:t>中信建投证券股份有限公司  住所：北京市朝阳区安立路</w:t>
      </w:r>
      <w:r>
        <w:rPr>
          <w:rFonts w:ascii="Calibri" w:eastAsia="Calibri"/>
          <w:sz w:val="21"/>
        </w:rPr>
        <w:t>66</w:t>
      </w:r>
      <w:r>
        <w:rPr>
          <w:spacing w:val="-3"/>
          <w:sz w:val="21"/>
        </w:rPr>
        <w:t>号</w:t>
      </w:r>
      <w:r>
        <w:rPr>
          <w:rFonts w:ascii="Calibri" w:eastAsia="Calibri"/>
          <w:sz w:val="21"/>
        </w:rPr>
        <w:t>4</w:t>
      </w:r>
      <w:r>
        <w:rPr>
          <w:spacing w:val="-3"/>
          <w:sz w:val="21"/>
        </w:rPr>
        <w:t>号楼</w:t>
      </w:r>
    </w:p>
    <w:p>
      <w:pPr>
        <w:pStyle w:val="BodyText"/>
        <w:spacing w:line="417" w:lineRule="auto"/>
        <w:ind w:left="580" w:right="5290"/>
      </w:pPr>
      <w:r>
        <w:rPr>
          <w:spacing w:val="-3"/>
        </w:rPr>
        <w:t>办公地址：北京市朝阳门内大街</w:t>
      </w:r>
      <w:r>
        <w:rPr>
          <w:rFonts w:ascii="Calibri" w:eastAsia="Calibri"/>
        </w:rPr>
        <w:t>188</w:t>
      </w:r>
      <w:r>
        <w:rPr>
          <w:spacing w:val="-11"/>
        </w:rPr>
        <w:t>号</w:t>
      </w:r>
      <w:r>
        <w:rPr>
          <w:spacing w:val="-3"/>
        </w:rPr>
        <w:t>法定代表人：王常青</w:t>
      </w:r>
    </w:p>
    <w:p>
      <w:pPr>
        <w:pStyle w:val="BodyText"/>
        <w:spacing w:line="417" w:lineRule="auto"/>
        <w:ind w:left="580" w:right="6761"/>
        <w:rPr>
          <w:rFonts w:ascii="Calibri" w:eastAsia="Calibri"/>
        </w:rPr>
      </w:pPr>
      <w:r>
        <w:rPr>
          <w:spacing w:val="-3"/>
        </w:rPr>
        <w:t>客户服务电话：</w:t>
      </w:r>
      <w:r>
        <w:rPr>
          <w:rFonts w:ascii="Calibri" w:eastAsia="Calibri"/>
          <w:spacing w:val="-5"/>
        </w:rPr>
        <w:t>95587 </w:t>
      </w:r>
      <w:r>
        <w:rPr/>
        <w:t>传真：</w:t>
      </w:r>
      <w:r>
        <w:rPr>
          <w:rFonts w:ascii="Calibri" w:eastAsia="Calibri"/>
        </w:rPr>
        <w:t>010-65182261</w:t>
      </w:r>
    </w:p>
    <w:p>
      <w:pPr>
        <w:pStyle w:val="BodyText"/>
        <w:spacing w:line="269" w:lineRule="exact"/>
        <w:ind w:left="580"/>
      </w:pPr>
      <w:r>
        <w:rPr/>
        <w:t>联系人：权唐</w:t>
      </w:r>
    </w:p>
    <w:p>
      <w:pPr>
        <w:pStyle w:val="BodyText"/>
        <w:spacing w:before="6"/>
        <w:rPr>
          <w:sz w:val="15"/>
        </w:rPr>
      </w:pPr>
    </w:p>
    <w:p>
      <w:pPr>
        <w:pStyle w:val="BodyText"/>
        <w:ind w:left="580"/>
        <w:rPr>
          <w:rFonts w:ascii="Calibri" w:eastAsia="Calibri"/>
        </w:rPr>
      </w:pPr>
      <w:r>
        <w:rPr/>
        <w:t>网址：</w:t>
      </w:r>
      <w:hyperlink r:id="rId71">
        <w:r>
          <w:rPr>
            <w:rFonts w:ascii="Calibri" w:eastAsia="Calibri"/>
          </w:rPr>
          <w:t>www.csc108.com</w:t>
        </w:r>
      </w:hyperlink>
    </w:p>
    <w:p>
      <w:pPr>
        <w:pStyle w:val="BodyText"/>
        <w:spacing w:before="4"/>
        <w:rPr>
          <w:rFonts w:ascii="Calibri"/>
          <w:sz w:val="16"/>
        </w:rPr>
      </w:pPr>
    </w:p>
    <w:p>
      <w:pPr>
        <w:pStyle w:val="ListParagraph"/>
        <w:numPr>
          <w:ilvl w:val="0"/>
          <w:numId w:val="8"/>
        </w:numPr>
        <w:tabs>
          <w:tab w:pos="1218" w:val="left" w:leader="none"/>
        </w:tabs>
        <w:spacing w:line="240" w:lineRule="auto" w:before="0" w:after="0"/>
        <w:ind w:left="1217" w:right="0" w:hanging="638"/>
        <w:jc w:val="left"/>
        <w:rPr>
          <w:sz w:val="21"/>
        </w:rPr>
      </w:pPr>
      <w:r>
        <w:rPr>
          <w:spacing w:val="-3"/>
          <w:sz w:val="21"/>
        </w:rPr>
        <w:t>广发证券股份有限公司</w:t>
      </w:r>
    </w:p>
    <w:p>
      <w:pPr>
        <w:pStyle w:val="BodyText"/>
        <w:spacing w:before="7"/>
        <w:rPr>
          <w:sz w:val="15"/>
        </w:rPr>
      </w:pPr>
    </w:p>
    <w:p>
      <w:pPr>
        <w:pStyle w:val="BodyText"/>
        <w:spacing w:line="417" w:lineRule="auto"/>
        <w:ind w:left="580" w:right="3082"/>
      </w:pPr>
      <w:r>
        <w:rPr/>
        <w:t>住所：广东省广州市黄埔区中新广州知识城腾飞一街</w:t>
      </w:r>
      <w:r>
        <w:rPr>
          <w:rFonts w:ascii="Calibri" w:eastAsia="Calibri"/>
        </w:rPr>
        <w:t>2</w:t>
      </w:r>
      <w:r>
        <w:rPr/>
        <w:t>号</w:t>
      </w:r>
      <w:r>
        <w:rPr>
          <w:rFonts w:ascii="Calibri" w:eastAsia="Calibri"/>
        </w:rPr>
        <w:t>618</w:t>
      </w:r>
      <w:r>
        <w:rPr/>
        <w:t>室办公地址：广州市天河区马场路</w:t>
      </w:r>
      <w:r>
        <w:rPr>
          <w:rFonts w:ascii="Calibri" w:eastAsia="Calibri"/>
        </w:rPr>
        <w:t>26</w:t>
      </w:r>
      <w:r>
        <w:rPr/>
        <w:t>号广发证券大厦</w:t>
      </w:r>
      <w:r>
        <w:rPr>
          <w:rFonts w:ascii="Calibri" w:eastAsia="Calibri"/>
        </w:rPr>
        <w:t>36</w:t>
      </w:r>
      <w:r>
        <w:rPr/>
        <w:t>楼</w:t>
      </w:r>
    </w:p>
    <w:p>
      <w:pPr>
        <w:pStyle w:val="BodyText"/>
        <w:spacing w:line="417" w:lineRule="auto"/>
        <w:ind w:left="580" w:right="6870"/>
        <w:jc w:val="both"/>
        <w:rPr>
          <w:rFonts w:ascii="Calibri" w:eastAsia="Calibri"/>
        </w:rPr>
      </w:pPr>
      <w:r>
        <w:rPr/>
        <w:t>法定代表人：孙树明电话：</w:t>
      </w:r>
      <w:r>
        <w:rPr>
          <w:rFonts w:ascii="Calibri" w:eastAsia="Calibri"/>
        </w:rPr>
        <w:t>020-66336146 </w:t>
      </w:r>
      <w:r>
        <w:rPr/>
        <w:t>传真：</w:t>
      </w:r>
      <w:r>
        <w:rPr>
          <w:rFonts w:ascii="Calibri" w:eastAsia="Calibri"/>
        </w:rPr>
        <w:t>020-87555417</w:t>
      </w:r>
    </w:p>
    <w:p>
      <w:pPr>
        <w:pStyle w:val="BodyText"/>
        <w:spacing w:line="269" w:lineRule="exact"/>
        <w:ind w:left="580"/>
      </w:pPr>
      <w:r>
        <w:rPr/>
        <w:t>联系人：陈姗姗</w:t>
      </w:r>
    </w:p>
    <w:p>
      <w:pPr>
        <w:pStyle w:val="BodyText"/>
        <w:spacing w:before="6"/>
        <w:rPr>
          <w:sz w:val="15"/>
        </w:rPr>
      </w:pPr>
    </w:p>
    <w:p>
      <w:pPr>
        <w:pStyle w:val="BodyText"/>
        <w:spacing w:before="1"/>
        <w:ind w:left="580"/>
        <w:rPr>
          <w:rFonts w:ascii="Calibri" w:eastAsia="Calibri"/>
        </w:rPr>
      </w:pPr>
      <w:r>
        <w:rPr/>
        <w:t>网址：</w:t>
      </w:r>
      <w:hyperlink r:id="rId72">
        <w:r>
          <w:rPr>
            <w:rFonts w:ascii="Calibri" w:eastAsia="Calibri"/>
          </w:rPr>
          <w:t>www.gf.com.cn</w:t>
        </w:r>
      </w:hyperlink>
    </w:p>
    <w:p>
      <w:pPr>
        <w:pStyle w:val="BodyText"/>
        <w:spacing w:before="3"/>
        <w:rPr>
          <w:rFonts w:ascii="Calibri"/>
          <w:sz w:val="16"/>
        </w:rPr>
      </w:pPr>
    </w:p>
    <w:p>
      <w:pPr>
        <w:pStyle w:val="BodyText"/>
        <w:ind w:left="580"/>
      </w:pPr>
      <w:r>
        <w:rPr/>
        <w:t>客户服务电话：</w:t>
      </w:r>
      <w:r>
        <w:rPr>
          <w:rFonts w:ascii="Calibri" w:eastAsia="Calibri"/>
        </w:rPr>
        <w:t>95575</w:t>
      </w:r>
      <w:r>
        <w:rPr/>
        <w:t>或致电各地营业网点</w:t>
      </w:r>
    </w:p>
    <w:p>
      <w:pPr>
        <w:pStyle w:val="BodyText"/>
        <w:spacing w:before="7"/>
        <w:rPr>
          <w:sz w:val="15"/>
        </w:rPr>
      </w:pPr>
    </w:p>
    <w:p>
      <w:pPr>
        <w:pStyle w:val="ListParagraph"/>
        <w:numPr>
          <w:ilvl w:val="0"/>
          <w:numId w:val="8"/>
        </w:numPr>
        <w:tabs>
          <w:tab w:pos="1218" w:val="left" w:leader="none"/>
        </w:tabs>
        <w:spacing w:line="240" w:lineRule="auto" w:before="0" w:after="0"/>
        <w:ind w:left="1217" w:right="0" w:hanging="638"/>
        <w:jc w:val="left"/>
        <w:rPr>
          <w:sz w:val="21"/>
        </w:rPr>
      </w:pPr>
      <w:r>
        <w:rPr>
          <w:spacing w:val="-3"/>
          <w:sz w:val="21"/>
        </w:rPr>
        <w:t>中信证券股份有限公司</w:t>
      </w:r>
    </w:p>
    <w:p>
      <w:pPr>
        <w:pStyle w:val="BodyText"/>
        <w:spacing w:before="7"/>
        <w:rPr>
          <w:sz w:val="15"/>
        </w:rPr>
      </w:pPr>
    </w:p>
    <w:p>
      <w:pPr>
        <w:pStyle w:val="BodyText"/>
        <w:spacing w:line="417" w:lineRule="auto"/>
        <w:ind w:left="580" w:right="2561"/>
      </w:pPr>
      <w:r>
        <w:rPr/>
        <w:t>住所：广东省深圳市福田区中心三路</w:t>
      </w:r>
      <w:r>
        <w:rPr>
          <w:rFonts w:ascii="Calibri" w:eastAsia="Calibri"/>
        </w:rPr>
        <w:t>8</w:t>
      </w:r>
      <w:r>
        <w:rPr/>
        <w:t>号卓越时代广场（二期）北座办公地址：北京市朝阳区亮马桥路</w:t>
      </w:r>
      <w:r>
        <w:rPr>
          <w:rFonts w:ascii="Calibri" w:eastAsia="Calibri"/>
        </w:rPr>
        <w:t>48</w:t>
      </w:r>
      <w:r>
        <w:rPr/>
        <w:t>号中信证券大厦</w:t>
      </w:r>
    </w:p>
    <w:p>
      <w:pPr>
        <w:pStyle w:val="BodyText"/>
        <w:spacing w:line="417" w:lineRule="auto"/>
        <w:ind w:left="580" w:right="6870"/>
        <w:jc w:val="both"/>
        <w:rPr>
          <w:rFonts w:ascii="Calibri" w:eastAsia="Calibri"/>
        </w:rPr>
      </w:pPr>
      <w:r>
        <w:rPr/>
        <w:t>法定代表人：张佑君电话：</w:t>
      </w:r>
      <w:r>
        <w:rPr>
          <w:rFonts w:ascii="Calibri" w:eastAsia="Calibri"/>
        </w:rPr>
        <w:t>010-60838888 </w:t>
      </w:r>
      <w:r>
        <w:rPr/>
        <w:t>传真：</w:t>
      </w:r>
      <w:r>
        <w:rPr>
          <w:rFonts w:ascii="Calibri" w:eastAsia="Calibri"/>
        </w:rPr>
        <w:t>010-60836029</w:t>
      </w:r>
    </w:p>
    <w:p>
      <w:pPr>
        <w:pStyle w:val="BodyText"/>
        <w:spacing w:line="269" w:lineRule="exact"/>
        <w:ind w:left="580"/>
      </w:pPr>
      <w:r>
        <w:rPr/>
        <w:t>联系人：郑慧</w:t>
      </w:r>
    </w:p>
    <w:p>
      <w:pPr>
        <w:pStyle w:val="BodyText"/>
        <w:spacing w:before="7"/>
        <w:rPr>
          <w:sz w:val="15"/>
        </w:rPr>
      </w:pPr>
    </w:p>
    <w:p>
      <w:pPr>
        <w:pStyle w:val="BodyText"/>
        <w:spacing w:line="417" w:lineRule="auto"/>
        <w:ind w:left="580" w:right="6507"/>
        <w:rPr>
          <w:rFonts w:ascii="Calibri" w:eastAsia="Calibri"/>
        </w:rPr>
      </w:pPr>
      <w:r>
        <w:rPr/>
        <w:t>网址：</w:t>
      </w:r>
      <w:hyperlink r:id="rId73">
        <w:r>
          <w:rPr>
            <w:rFonts w:ascii="Calibri" w:eastAsia="Calibri"/>
          </w:rPr>
          <w:t>www.cs.ecitic.com </w:t>
        </w:r>
      </w:hyperlink>
      <w:r>
        <w:rPr/>
        <w:t>客户服务电话：</w:t>
      </w:r>
      <w:r>
        <w:rPr>
          <w:rFonts w:ascii="Calibri" w:eastAsia="Calibri"/>
        </w:rPr>
        <w:t>95548</w:t>
      </w:r>
    </w:p>
    <w:p>
      <w:pPr>
        <w:pStyle w:val="ListParagraph"/>
        <w:numPr>
          <w:ilvl w:val="0"/>
          <w:numId w:val="8"/>
        </w:numPr>
        <w:tabs>
          <w:tab w:pos="1218" w:val="left" w:leader="none"/>
        </w:tabs>
        <w:spacing w:line="240" w:lineRule="auto" w:before="0" w:after="0"/>
        <w:ind w:left="1217" w:right="0" w:hanging="638"/>
        <w:jc w:val="left"/>
        <w:rPr>
          <w:sz w:val="21"/>
        </w:rPr>
      </w:pPr>
      <w:r>
        <w:rPr>
          <w:spacing w:val="-3"/>
          <w:sz w:val="21"/>
        </w:rPr>
        <w:t>申万宏源证券有限公司</w:t>
      </w:r>
    </w:p>
    <w:p>
      <w:pPr>
        <w:spacing w:after="0" w:line="240" w:lineRule="auto"/>
        <w:jc w:val="left"/>
        <w:rPr>
          <w:sz w:val="21"/>
        </w:rPr>
        <w:sectPr>
          <w:pgSz w:w="11910" w:h="16840"/>
          <w:pgMar w:header="877" w:footer="995" w:top="1420" w:bottom="1180" w:left="1640" w:right="920"/>
        </w:sectPr>
      </w:pPr>
    </w:p>
    <w:p>
      <w:pPr>
        <w:pStyle w:val="BodyText"/>
        <w:spacing w:before="110"/>
        <w:ind w:left="580"/>
      </w:pPr>
      <w:r>
        <w:rPr/>
        <w:t>住所：上海市徐汇区长乐路</w:t>
      </w:r>
      <w:r>
        <w:rPr>
          <w:rFonts w:ascii="Calibri" w:eastAsia="Calibri"/>
        </w:rPr>
        <w:t>989</w:t>
      </w:r>
      <w:r>
        <w:rPr/>
        <w:t>号</w:t>
      </w:r>
      <w:r>
        <w:rPr>
          <w:rFonts w:ascii="Calibri" w:eastAsia="Calibri"/>
        </w:rPr>
        <w:t>45</w:t>
      </w:r>
      <w:r>
        <w:rPr/>
        <w:t>层</w:t>
      </w:r>
    </w:p>
    <w:p>
      <w:pPr>
        <w:pStyle w:val="BodyText"/>
        <w:spacing w:before="6"/>
        <w:rPr>
          <w:sz w:val="15"/>
        </w:rPr>
      </w:pPr>
    </w:p>
    <w:p>
      <w:pPr>
        <w:pStyle w:val="BodyText"/>
        <w:spacing w:line="417" w:lineRule="auto"/>
        <w:ind w:left="580" w:right="3809"/>
      </w:pPr>
      <w:r>
        <w:rPr/>
        <w:t>办公地址：上海市徐汇区长乐路</w:t>
      </w:r>
      <w:r>
        <w:rPr>
          <w:rFonts w:ascii="Calibri" w:eastAsia="Calibri"/>
        </w:rPr>
        <w:t>989</w:t>
      </w:r>
      <w:r>
        <w:rPr/>
        <w:t>号</w:t>
      </w:r>
      <w:r>
        <w:rPr>
          <w:rFonts w:ascii="Calibri" w:eastAsia="Calibri"/>
        </w:rPr>
        <w:t>45</w:t>
      </w:r>
      <w:r>
        <w:rPr/>
        <w:t>层（</w:t>
      </w:r>
      <w:r>
        <w:rPr>
          <w:rFonts w:ascii="Calibri" w:eastAsia="Calibri"/>
        </w:rPr>
        <w:t>200031</w:t>
      </w:r>
      <w:r>
        <w:rPr/>
        <w:t>） 法定代表人：李梅</w:t>
      </w:r>
    </w:p>
    <w:p>
      <w:pPr>
        <w:pStyle w:val="BodyText"/>
        <w:spacing w:line="417" w:lineRule="auto"/>
        <w:ind w:left="580" w:right="6898"/>
        <w:rPr>
          <w:rFonts w:ascii="Calibri" w:eastAsia="Calibri"/>
        </w:rPr>
      </w:pPr>
      <w:r>
        <w:rPr/>
        <w:t>电话：</w:t>
      </w:r>
      <w:r>
        <w:rPr>
          <w:rFonts w:ascii="Calibri" w:eastAsia="Calibri"/>
        </w:rPr>
        <w:t>021-33389888 </w:t>
      </w:r>
      <w:r>
        <w:rPr/>
        <w:t>传真：</w:t>
      </w:r>
      <w:r>
        <w:rPr>
          <w:rFonts w:ascii="Calibri" w:eastAsia="Calibri"/>
        </w:rPr>
        <w:t>021-33388224</w:t>
      </w:r>
    </w:p>
    <w:p>
      <w:pPr>
        <w:pStyle w:val="BodyText"/>
        <w:spacing w:line="269" w:lineRule="exact"/>
        <w:ind w:left="580"/>
      </w:pPr>
      <w:r>
        <w:rPr/>
        <w:t>联系人：陈宇</w:t>
      </w:r>
    </w:p>
    <w:p>
      <w:pPr>
        <w:pStyle w:val="BodyText"/>
        <w:spacing w:before="7"/>
        <w:rPr>
          <w:sz w:val="15"/>
        </w:rPr>
      </w:pPr>
    </w:p>
    <w:p>
      <w:pPr>
        <w:pStyle w:val="BodyText"/>
        <w:ind w:left="580"/>
        <w:rPr>
          <w:rFonts w:ascii="Calibri" w:eastAsia="Calibri"/>
        </w:rPr>
      </w:pPr>
      <w:r>
        <w:rPr/>
        <w:t>网址：</w:t>
      </w:r>
      <w:hyperlink r:id="rId74">
        <w:r>
          <w:rPr>
            <w:rFonts w:ascii="Calibri" w:eastAsia="Calibri"/>
          </w:rPr>
          <w:t>www.swhysc.com</w:t>
        </w:r>
      </w:hyperlink>
    </w:p>
    <w:p>
      <w:pPr>
        <w:pStyle w:val="BodyText"/>
        <w:spacing w:before="4"/>
        <w:rPr>
          <w:rFonts w:ascii="Calibri"/>
          <w:sz w:val="16"/>
        </w:rPr>
      </w:pPr>
    </w:p>
    <w:p>
      <w:pPr>
        <w:pStyle w:val="BodyText"/>
        <w:ind w:left="580"/>
        <w:rPr>
          <w:rFonts w:ascii="Calibri" w:eastAsia="Calibri"/>
        </w:rPr>
      </w:pPr>
      <w:r>
        <w:rPr/>
        <w:t>客户服务电话：</w:t>
      </w:r>
      <w:r>
        <w:rPr>
          <w:rFonts w:ascii="Calibri" w:eastAsia="Calibri"/>
        </w:rPr>
        <w:t>95523</w:t>
      </w:r>
      <w:r>
        <w:rPr/>
        <w:t>、</w:t>
      </w:r>
      <w:r>
        <w:rPr>
          <w:rFonts w:ascii="Calibri" w:eastAsia="Calibri"/>
        </w:rPr>
        <w:t>400-889-5523</w:t>
      </w:r>
    </w:p>
    <w:p>
      <w:pPr>
        <w:pStyle w:val="BodyText"/>
        <w:spacing w:before="4"/>
        <w:rPr>
          <w:rFonts w:ascii="Calibri"/>
          <w:sz w:val="16"/>
        </w:rPr>
      </w:pPr>
    </w:p>
    <w:p>
      <w:pPr>
        <w:pStyle w:val="ListParagraph"/>
        <w:numPr>
          <w:ilvl w:val="0"/>
          <w:numId w:val="8"/>
        </w:numPr>
        <w:tabs>
          <w:tab w:pos="1218" w:val="left" w:leader="none"/>
        </w:tabs>
        <w:spacing w:line="417" w:lineRule="auto" w:before="0" w:after="0"/>
        <w:ind w:left="580" w:right="6027" w:firstLine="0"/>
        <w:jc w:val="left"/>
        <w:rPr>
          <w:sz w:val="21"/>
        </w:rPr>
      </w:pPr>
      <w:r>
        <w:rPr>
          <w:spacing w:val="-4"/>
          <w:sz w:val="21"/>
        </w:rPr>
        <w:t>兴业证券股份有限公司</w:t>
      </w:r>
      <w:r>
        <w:rPr>
          <w:spacing w:val="-3"/>
          <w:sz w:val="21"/>
        </w:rPr>
        <w:t>住所：福州市湖东路</w:t>
      </w:r>
      <w:r>
        <w:rPr>
          <w:rFonts w:ascii="Calibri" w:eastAsia="Calibri"/>
          <w:sz w:val="21"/>
        </w:rPr>
        <w:t>268</w:t>
      </w:r>
      <w:r>
        <w:rPr>
          <w:sz w:val="21"/>
        </w:rPr>
        <w:t>号</w:t>
      </w:r>
    </w:p>
    <w:p>
      <w:pPr>
        <w:pStyle w:val="BodyText"/>
        <w:spacing w:line="417" w:lineRule="auto"/>
        <w:ind w:left="580" w:right="5187"/>
      </w:pPr>
      <w:r>
        <w:rPr/>
        <w:t>办公地址：上海市浦东新区长柳路</w:t>
      </w:r>
      <w:r>
        <w:rPr>
          <w:rFonts w:ascii="Calibri" w:eastAsia="Calibri"/>
        </w:rPr>
        <w:t>36</w:t>
      </w:r>
      <w:r>
        <w:rPr/>
        <w:t>号法定代表人：杨华辉</w:t>
      </w:r>
    </w:p>
    <w:p>
      <w:pPr>
        <w:pStyle w:val="BodyText"/>
        <w:spacing w:line="417" w:lineRule="auto"/>
        <w:ind w:left="580" w:right="6898"/>
        <w:rPr>
          <w:rFonts w:ascii="Calibri" w:eastAsia="Calibri"/>
        </w:rPr>
      </w:pPr>
      <w:r>
        <w:rPr/>
        <w:t>电话：</w:t>
      </w:r>
      <w:r>
        <w:rPr>
          <w:rFonts w:ascii="Calibri" w:eastAsia="Calibri"/>
        </w:rPr>
        <w:t>021-38565547 </w:t>
      </w:r>
      <w:r>
        <w:rPr/>
        <w:t>传真：</w:t>
      </w:r>
      <w:r>
        <w:rPr>
          <w:rFonts w:ascii="Calibri" w:eastAsia="Calibri"/>
        </w:rPr>
        <w:t>021-38565955</w:t>
      </w:r>
    </w:p>
    <w:p>
      <w:pPr>
        <w:pStyle w:val="BodyText"/>
        <w:ind w:left="580"/>
      </w:pPr>
      <w:r>
        <w:rPr/>
        <w:t>联系人：乔琳雪</w:t>
      </w:r>
    </w:p>
    <w:p>
      <w:pPr>
        <w:pStyle w:val="BodyText"/>
        <w:spacing w:before="6"/>
        <w:rPr>
          <w:sz w:val="15"/>
        </w:rPr>
      </w:pPr>
    </w:p>
    <w:p>
      <w:pPr>
        <w:pStyle w:val="BodyText"/>
        <w:spacing w:line="417" w:lineRule="auto"/>
        <w:ind w:left="580" w:right="6550"/>
        <w:rPr>
          <w:rFonts w:ascii="Calibri" w:eastAsia="Calibri"/>
        </w:rPr>
      </w:pPr>
      <w:r>
        <w:rPr/>
        <w:t>网址：</w:t>
      </w:r>
      <w:hyperlink r:id="rId75">
        <w:r>
          <w:rPr>
            <w:rFonts w:ascii="Calibri" w:eastAsia="Calibri"/>
          </w:rPr>
          <w:t>www.xyzq.com.cn </w:t>
        </w:r>
      </w:hyperlink>
      <w:r>
        <w:rPr/>
        <w:t>客户服务电话：</w:t>
      </w:r>
      <w:r>
        <w:rPr>
          <w:rFonts w:ascii="Calibri" w:eastAsia="Calibri"/>
        </w:rPr>
        <w:t>95562</w:t>
      </w:r>
    </w:p>
    <w:p>
      <w:pPr>
        <w:pStyle w:val="ListParagraph"/>
        <w:numPr>
          <w:ilvl w:val="0"/>
          <w:numId w:val="8"/>
        </w:numPr>
        <w:tabs>
          <w:tab w:pos="1218" w:val="left" w:leader="none"/>
        </w:tabs>
        <w:spacing w:line="269" w:lineRule="exact" w:before="0" w:after="0"/>
        <w:ind w:left="1217" w:right="0" w:hanging="638"/>
        <w:jc w:val="left"/>
        <w:rPr>
          <w:sz w:val="21"/>
        </w:rPr>
      </w:pPr>
      <w:r>
        <w:rPr>
          <w:spacing w:val="-3"/>
          <w:sz w:val="21"/>
        </w:rPr>
        <w:t>长江证券股份有限公司</w:t>
      </w:r>
    </w:p>
    <w:p>
      <w:pPr>
        <w:pStyle w:val="BodyText"/>
        <w:spacing w:before="6"/>
        <w:rPr>
          <w:sz w:val="15"/>
        </w:rPr>
      </w:pPr>
    </w:p>
    <w:p>
      <w:pPr>
        <w:pStyle w:val="BodyText"/>
        <w:spacing w:before="1"/>
        <w:ind w:left="580"/>
      </w:pPr>
      <w:r>
        <w:rPr/>
        <w:t>住所：武汉市新华路特</w:t>
      </w:r>
      <w:r>
        <w:rPr>
          <w:rFonts w:ascii="Calibri" w:eastAsia="Calibri"/>
        </w:rPr>
        <w:t>8</w:t>
      </w:r>
      <w:r>
        <w:rPr/>
        <w:t>号长江证券大厦</w:t>
      </w:r>
    </w:p>
    <w:p>
      <w:pPr>
        <w:pStyle w:val="BodyText"/>
        <w:spacing w:before="6"/>
        <w:rPr>
          <w:sz w:val="15"/>
        </w:rPr>
      </w:pPr>
    </w:p>
    <w:p>
      <w:pPr>
        <w:pStyle w:val="BodyText"/>
        <w:spacing w:line="417" w:lineRule="auto"/>
        <w:ind w:left="580" w:right="4663"/>
      </w:pPr>
      <w:r>
        <w:rPr/>
        <w:t>办公地址：武汉市新华路特</w:t>
      </w:r>
      <w:r>
        <w:rPr>
          <w:rFonts w:ascii="Calibri" w:eastAsia="Calibri"/>
        </w:rPr>
        <w:t>8</w:t>
      </w:r>
      <w:r>
        <w:rPr/>
        <w:t>号长江证券大厦法定代表人：杨泽柱</w:t>
      </w:r>
    </w:p>
    <w:p>
      <w:pPr>
        <w:pStyle w:val="BodyText"/>
        <w:spacing w:line="417" w:lineRule="auto" w:before="1"/>
        <w:ind w:left="580" w:right="6898"/>
        <w:rPr>
          <w:rFonts w:ascii="Calibri" w:eastAsia="Calibri"/>
        </w:rPr>
      </w:pPr>
      <w:r>
        <w:rPr/>
        <w:t>电话：</w:t>
      </w:r>
      <w:r>
        <w:rPr>
          <w:rFonts w:ascii="Calibri" w:eastAsia="Calibri"/>
        </w:rPr>
        <w:t>027-65799999 </w:t>
      </w:r>
      <w:r>
        <w:rPr/>
        <w:t>传真：</w:t>
      </w:r>
      <w:r>
        <w:rPr>
          <w:rFonts w:ascii="Calibri" w:eastAsia="Calibri"/>
        </w:rPr>
        <w:t>027-85481900</w:t>
      </w:r>
    </w:p>
    <w:p>
      <w:pPr>
        <w:pStyle w:val="BodyText"/>
        <w:spacing w:line="269" w:lineRule="exact"/>
        <w:ind w:left="580"/>
      </w:pPr>
      <w:r>
        <w:rPr/>
        <w:t>联系人：李良</w:t>
      </w:r>
    </w:p>
    <w:p>
      <w:pPr>
        <w:pStyle w:val="BodyText"/>
        <w:spacing w:before="6"/>
        <w:rPr>
          <w:sz w:val="15"/>
        </w:rPr>
      </w:pPr>
    </w:p>
    <w:p>
      <w:pPr>
        <w:pStyle w:val="BodyText"/>
        <w:ind w:left="580"/>
        <w:rPr>
          <w:rFonts w:ascii="Calibri" w:eastAsia="Calibri"/>
        </w:rPr>
      </w:pPr>
      <w:r>
        <w:rPr/>
        <w:t>网址：</w:t>
      </w:r>
      <w:hyperlink r:id="rId76">
        <w:r>
          <w:rPr>
            <w:rFonts w:ascii="Calibri" w:eastAsia="Calibri"/>
          </w:rPr>
          <w:t>www.95579.com</w:t>
        </w:r>
      </w:hyperlink>
    </w:p>
    <w:p>
      <w:pPr>
        <w:pStyle w:val="BodyText"/>
        <w:spacing w:before="4"/>
        <w:rPr>
          <w:rFonts w:ascii="Calibri"/>
          <w:sz w:val="16"/>
        </w:rPr>
      </w:pPr>
    </w:p>
    <w:p>
      <w:pPr>
        <w:pStyle w:val="BodyText"/>
        <w:ind w:left="580"/>
        <w:rPr>
          <w:rFonts w:ascii="Calibri" w:eastAsia="Calibri"/>
        </w:rPr>
      </w:pPr>
      <w:r>
        <w:rPr/>
        <w:t>客户服务电话：</w:t>
      </w:r>
      <w:r>
        <w:rPr>
          <w:rFonts w:ascii="Calibri" w:eastAsia="Calibri"/>
        </w:rPr>
        <w:t>95579</w:t>
      </w:r>
      <w:r>
        <w:rPr/>
        <w:t>、</w:t>
      </w:r>
      <w:r>
        <w:rPr>
          <w:rFonts w:ascii="Calibri" w:eastAsia="Calibri"/>
        </w:rPr>
        <w:t>400-888-8999</w:t>
      </w:r>
    </w:p>
    <w:p>
      <w:pPr>
        <w:pStyle w:val="BodyText"/>
        <w:spacing w:before="3"/>
        <w:rPr>
          <w:rFonts w:ascii="Calibri"/>
          <w:sz w:val="16"/>
        </w:rPr>
      </w:pPr>
    </w:p>
    <w:p>
      <w:pPr>
        <w:pStyle w:val="ListParagraph"/>
        <w:numPr>
          <w:ilvl w:val="0"/>
          <w:numId w:val="8"/>
        </w:numPr>
        <w:tabs>
          <w:tab w:pos="1218" w:val="left" w:leader="none"/>
        </w:tabs>
        <w:spacing w:line="240" w:lineRule="auto" w:before="1" w:after="0"/>
        <w:ind w:left="1217" w:right="0" w:hanging="638"/>
        <w:jc w:val="left"/>
        <w:rPr>
          <w:sz w:val="21"/>
        </w:rPr>
      </w:pPr>
      <w:r>
        <w:rPr>
          <w:spacing w:val="-3"/>
          <w:sz w:val="21"/>
        </w:rPr>
        <w:t>安信证券股份有限公司</w:t>
      </w:r>
    </w:p>
    <w:p>
      <w:pPr>
        <w:pStyle w:val="BodyText"/>
        <w:spacing w:before="6"/>
        <w:rPr>
          <w:sz w:val="15"/>
        </w:rPr>
      </w:pPr>
    </w:p>
    <w:p>
      <w:pPr>
        <w:pStyle w:val="BodyText"/>
        <w:ind w:left="580"/>
      </w:pPr>
      <w:r>
        <w:rPr/>
        <w:t>住所：深圳市福田区金田路</w:t>
      </w:r>
      <w:r>
        <w:rPr>
          <w:rFonts w:ascii="Calibri" w:eastAsia="Calibri"/>
        </w:rPr>
        <w:t>4018</w:t>
      </w:r>
      <w:r>
        <w:rPr/>
        <w:t>号安联大厦</w:t>
      </w:r>
      <w:r>
        <w:rPr>
          <w:rFonts w:ascii="Calibri" w:eastAsia="Calibri"/>
        </w:rPr>
        <w:t>35</w:t>
      </w:r>
      <w:r>
        <w:rPr/>
        <w:t>层、</w:t>
      </w:r>
      <w:r>
        <w:rPr>
          <w:rFonts w:ascii="Calibri" w:eastAsia="Calibri"/>
        </w:rPr>
        <w:t>28</w:t>
      </w:r>
      <w:r>
        <w:rPr/>
        <w:t>层</w:t>
      </w:r>
      <w:r>
        <w:rPr>
          <w:rFonts w:ascii="Calibri" w:eastAsia="Calibri"/>
        </w:rPr>
        <w:t>A02</w:t>
      </w:r>
      <w:r>
        <w:rPr/>
        <w:t>单元</w:t>
      </w:r>
    </w:p>
    <w:p>
      <w:pPr>
        <w:pStyle w:val="BodyText"/>
        <w:spacing w:before="7"/>
        <w:rPr>
          <w:sz w:val="15"/>
        </w:rPr>
      </w:pPr>
    </w:p>
    <w:p>
      <w:pPr>
        <w:pStyle w:val="BodyText"/>
        <w:spacing w:line="417" w:lineRule="auto" w:before="1"/>
        <w:ind w:left="580" w:right="2532"/>
      </w:pPr>
      <w:r>
        <w:rPr/>
        <w:t>办公地址：深圳市福田区金田路</w:t>
      </w:r>
      <w:r>
        <w:rPr>
          <w:rFonts w:ascii="Calibri" w:eastAsia="Calibri"/>
        </w:rPr>
        <w:t>4018</w:t>
      </w:r>
      <w:r>
        <w:rPr/>
        <w:t>号安联大厦</w:t>
      </w:r>
      <w:r>
        <w:rPr>
          <w:rFonts w:ascii="Calibri" w:eastAsia="Calibri"/>
        </w:rPr>
        <w:t>35</w:t>
      </w:r>
      <w:r>
        <w:rPr/>
        <w:t>层、</w:t>
      </w:r>
      <w:r>
        <w:rPr>
          <w:rFonts w:ascii="Calibri" w:eastAsia="Calibri"/>
        </w:rPr>
        <w:t>28</w:t>
      </w:r>
      <w:r>
        <w:rPr/>
        <w:t>层</w:t>
      </w:r>
      <w:r>
        <w:rPr>
          <w:rFonts w:ascii="Calibri" w:eastAsia="Calibri"/>
        </w:rPr>
        <w:t>A02</w:t>
      </w:r>
      <w:r>
        <w:rPr/>
        <w:t>单元法定代表人：黄炎勋</w:t>
      </w:r>
    </w:p>
    <w:p>
      <w:pPr>
        <w:spacing w:after="0" w:line="417" w:lineRule="auto"/>
        <w:sectPr>
          <w:pgSz w:w="11910" w:h="16840"/>
          <w:pgMar w:header="877" w:footer="995" w:top="1420" w:bottom="1180" w:left="1640" w:right="920"/>
        </w:sectPr>
      </w:pPr>
    </w:p>
    <w:p>
      <w:pPr>
        <w:pStyle w:val="BodyText"/>
        <w:spacing w:line="417" w:lineRule="auto" w:before="110"/>
        <w:ind w:left="580" w:right="6790"/>
        <w:rPr>
          <w:rFonts w:ascii="Calibri" w:eastAsia="Calibri"/>
        </w:rPr>
      </w:pPr>
      <w:r>
        <w:rPr/>
        <w:t>电话：</w:t>
      </w:r>
      <w:r>
        <w:rPr>
          <w:rFonts w:ascii="Calibri" w:eastAsia="Calibri"/>
        </w:rPr>
        <w:t>0755-82558305 </w:t>
      </w:r>
      <w:r>
        <w:rPr/>
        <w:t>传真：</w:t>
      </w:r>
      <w:r>
        <w:rPr>
          <w:rFonts w:ascii="Calibri" w:eastAsia="Calibri"/>
        </w:rPr>
        <w:t>0755-82558355</w:t>
      </w:r>
    </w:p>
    <w:p>
      <w:pPr>
        <w:pStyle w:val="BodyText"/>
        <w:spacing w:line="269" w:lineRule="exact"/>
        <w:ind w:left="580"/>
      </w:pPr>
      <w:r>
        <w:rPr/>
        <w:t>联系人：陈剑虹</w:t>
      </w:r>
    </w:p>
    <w:p>
      <w:pPr>
        <w:pStyle w:val="BodyText"/>
        <w:spacing w:before="6"/>
        <w:rPr>
          <w:sz w:val="15"/>
        </w:rPr>
      </w:pPr>
    </w:p>
    <w:p>
      <w:pPr>
        <w:pStyle w:val="BodyText"/>
        <w:spacing w:line="417" w:lineRule="auto"/>
        <w:ind w:left="580" w:right="6250"/>
        <w:rPr>
          <w:rFonts w:ascii="Calibri" w:eastAsia="Calibri"/>
        </w:rPr>
      </w:pPr>
      <w:r>
        <w:rPr/>
        <w:t>网址：</w:t>
      </w:r>
      <w:hyperlink r:id="rId77">
        <w:r>
          <w:rPr>
            <w:rFonts w:ascii="Calibri" w:eastAsia="Calibri"/>
          </w:rPr>
          <w:t>www.essence.com.cn </w:t>
        </w:r>
      </w:hyperlink>
      <w:r>
        <w:rPr/>
        <w:t>客户服务电话：</w:t>
      </w:r>
      <w:r>
        <w:rPr>
          <w:rFonts w:ascii="Calibri" w:eastAsia="Calibri"/>
        </w:rPr>
        <w:t>95517</w:t>
      </w:r>
    </w:p>
    <w:p>
      <w:pPr>
        <w:pStyle w:val="ListParagraph"/>
        <w:numPr>
          <w:ilvl w:val="0"/>
          <w:numId w:val="8"/>
        </w:numPr>
        <w:tabs>
          <w:tab w:pos="1218" w:val="left" w:leader="none"/>
        </w:tabs>
        <w:spacing w:line="417" w:lineRule="auto" w:before="0" w:after="0"/>
        <w:ind w:left="580" w:right="5924" w:firstLine="0"/>
        <w:jc w:val="left"/>
        <w:rPr>
          <w:sz w:val="21"/>
        </w:rPr>
      </w:pPr>
      <w:r>
        <w:rPr>
          <w:spacing w:val="-3"/>
          <w:sz w:val="21"/>
        </w:rPr>
        <w:t>西南证券股份有限公司住所：重庆市江北区桥北苑</w:t>
      </w:r>
      <w:r>
        <w:rPr>
          <w:rFonts w:ascii="Calibri" w:eastAsia="Calibri"/>
          <w:sz w:val="21"/>
        </w:rPr>
        <w:t>8</w:t>
      </w:r>
      <w:r>
        <w:rPr>
          <w:spacing w:val="-14"/>
          <w:sz w:val="21"/>
        </w:rPr>
        <w:t>号</w:t>
      </w:r>
    </w:p>
    <w:p>
      <w:pPr>
        <w:pStyle w:val="BodyText"/>
        <w:spacing w:line="417" w:lineRule="auto"/>
        <w:ind w:left="580" w:right="4243"/>
      </w:pPr>
      <w:r>
        <w:rPr/>
        <w:t>办公地址：重庆市江北区桥北苑</w:t>
      </w:r>
      <w:r>
        <w:rPr>
          <w:rFonts w:ascii="Calibri" w:eastAsia="Calibri"/>
        </w:rPr>
        <w:t>8</w:t>
      </w:r>
      <w:r>
        <w:rPr/>
        <w:t>号西南证券大厦法定代表人：廖庆轩</w:t>
      </w:r>
    </w:p>
    <w:p>
      <w:pPr>
        <w:pStyle w:val="BodyText"/>
        <w:spacing w:line="417" w:lineRule="auto"/>
        <w:ind w:left="580" w:right="6898"/>
        <w:rPr>
          <w:rFonts w:ascii="Calibri" w:eastAsia="Calibri"/>
        </w:rPr>
      </w:pPr>
      <w:r>
        <w:rPr/>
        <w:t>电话：</w:t>
      </w:r>
      <w:r>
        <w:rPr>
          <w:rFonts w:ascii="Calibri" w:eastAsia="Calibri"/>
        </w:rPr>
        <w:t>023-67616310 </w:t>
      </w:r>
      <w:r>
        <w:rPr/>
        <w:t>传真：</w:t>
      </w:r>
      <w:r>
        <w:rPr>
          <w:rFonts w:ascii="Calibri" w:eastAsia="Calibri"/>
        </w:rPr>
        <w:t>023-63786212</w:t>
      </w:r>
    </w:p>
    <w:p>
      <w:pPr>
        <w:pStyle w:val="BodyText"/>
        <w:spacing w:line="269" w:lineRule="exact"/>
        <w:ind w:left="580"/>
      </w:pPr>
      <w:r>
        <w:rPr/>
        <w:t>联系人：周青</w:t>
      </w:r>
    </w:p>
    <w:p>
      <w:pPr>
        <w:pStyle w:val="BodyText"/>
        <w:spacing w:before="7"/>
        <w:rPr>
          <w:sz w:val="15"/>
        </w:rPr>
      </w:pPr>
    </w:p>
    <w:p>
      <w:pPr>
        <w:pStyle w:val="BodyText"/>
        <w:ind w:left="580"/>
        <w:rPr>
          <w:rFonts w:ascii="Calibri" w:eastAsia="Calibri"/>
        </w:rPr>
      </w:pPr>
      <w:r>
        <w:rPr/>
        <w:t>网址：</w:t>
      </w:r>
      <w:hyperlink r:id="rId78">
        <w:r>
          <w:rPr>
            <w:rFonts w:ascii="Calibri" w:eastAsia="Calibri"/>
          </w:rPr>
          <w:t>www.swsc.com.cn</w:t>
        </w:r>
      </w:hyperlink>
    </w:p>
    <w:p>
      <w:pPr>
        <w:pStyle w:val="BodyText"/>
        <w:spacing w:before="3"/>
        <w:rPr>
          <w:rFonts w:ascii="Calibri"/>
          <w:sz w:val="16"/>
        </w:rPr>
      </w:pPr>
    </w:p>
    <w:p>
      <w:pPr>
        <w:pStyle w:val="BodyText"/>
        <w:ind w:left="580"/>
        <w:rPr>
          <w:rFonts w:ascii="Calibri" w:eastAsia="Calibri"/>
        </w:rPr>
      </w:pPr>
      <w:r>
        <w:rPr/>
        <w:t>客户服务电话：</w:t>
      </w:r>
      <w:r>
        <w:rPr>
          <w:rFonts w:ascii="Calibri" w:eastAsia="Calibri"/>
        </w:rPr>
        <w:t>400-809-6096</w:t>
      </w:r>
    </w:p>
    <w:p>
      <w:pPr>
        <w:pStyle w:val="BodyText"/>
        <w:spacing w:before="4"/>
        <w:rPr>
          <w:rFonts w:ascii="Calibri"/>
          <w:sz w:val="16"/>
        </w:rPr>
      </w:pPr>
    </w:p>
    <w:p>
      <w:pPr>
        <w:pStyle w:val="ListParagraph"/>
        <w:numPr>
          <w:ilvl w:val="0"/>
          <w:numId w:val="8"/>
        </w:numPr>
        <w:tabs>
          <w:tab w:pos="1218" w:val="left" w:leader="none"/>
        </w:tabs>
        <w:spacing w:line="240" w:lineRule="auto" w:before="0" w:after="0"/>
        <w:ind w:left="1217" w:right="0" w:hanging="638"/>
        <w:jc w:val="left"/>
        <w:rPr>
          <w:sz w:val="21"/>
        </w:rPr>
      </w:pPr>
      <w:r>
        <w:rPr>
          <w:spacing w:val="-3"/>
          <w:sz w:val="21"/>
        </w:rPr>
        <w:t>万联证券股份有限公司</w:t>
      </w:r>
    </w:p>
    <w:p>
      <w:pPr>
        <w:pStyle w:val="BodyText"/>
        <w:spacing w:before="7"/>
        <w:rPr>
          <w:sz w:val="15"/>
        </w:rPr>
      </w:pPr>
    </w:p>
    <w:p>
      <w:pPr>
        <w:pStyle w:val="BodyText"/>
        <w:ind w:left="580"/>
      </w:pPr>
      <w:r>
        <w:rPr/>
        <w:t>住所：广州市天河区珠江东路</w:t>
      </w:r>
      <w:r>
        <w:rPr>
          <w:rFonts w:ascii="Calibri" w:eastAsia="Calibri"/>
        </w:rPr>
        <w:t>11</w:t>
      </w:r>
      <w:r>
        <w:rPr/>
        <w:t>号高德置地广场</w:t>
      </w:r>
      <w:r>
        <w:rPr>
          <w:rFonts w:ascii="Calibri" w:eastAsia="Calibri"/>
        </w:rPr>
        <w:t>F</w:t>
      </w:r>
      <w:r>
        <w:rPr/>
        <w:t>座</w:t>
      </w:r>
      <w:r>
        <w:rPr>
          <w:rFonts w:ascii="Calibri" w:eastAsia="Calibri"/>
        </w:rPr>
        <w:t>18</w:t>
      </w:r>
      <w:r>
        <w:rPr/>
        <w:t>、</w:t>
      </w:r>
      <w:r>
        <w:rPr>
          <w:rFonts w:ascii="Calibri" w:eastAsia="Calibri"/>
        </w:rPr>
        <w:t>19</w:t>
      </w:r>
      <w:r>
        <w:rPr/>
        <w:t>楼</w:t>
      </w:r>
    </w:p>
    <w:p>
      <w:pPr>
        <w:pStyle w:val="BodyText"/>
        <w:spacing w:before="7"/>
        <w:rPr>
          <w:sz w:val="15"/>
        </w:rPr>
      </w:pPr>
    </w:p>
    <w:p>
      <w:pPr>
        <w:pStyle w:val="BodyText"/>
        <w:spacing w:line="417" w:lineRule="auto"/>
        <w:ind w:left="580" w:right="2772"/>
      </w:pPr>
      <w:r>
        <w:rPr>
          <w:spacing w:val="-3"/>
        </w:rPr>
        <w:t>办公地址：广州市天河区珠江东路</w:t>
      </w:r>
      <w:r>
        <w:rPr>
          <w:rFonts w:ascii="Calibri" w:eastAsia="Calibri"/>
        </w:rPr>
        <w:t>11</w:t>
      </w:r>
      <w:r>
        <w:rPr>
          <w:spacing w:val="-3"/>
        </w:rPr>
        <w:t>号高德置地广场</w:t>
      </w:r>
      <w:r>
        <w:rPr>
          <w:rFonts w:ascii="Calibri" w:eastAsia="Calibri"/>
        </w:rPr>
        <w:t>F</w:t>
      </w:r>
      <w:r>
        <w:rPr/>
        <w:t>座</w:t>
      </w:r>
      <w:r>
        <w:rPr>
          <w:rFonts w:ascii="Calibri" w:eastAsia="Calibri"/>
        </w:rPr>
        <w:t>18</w:t>
      </w:r>
      <w:r>
        <w:rPr/>
        <w:t>、</w:t>
      </w:r>
      <w:r>
        <w:rPr>
          <w:rFonts w:ascii="Calibri" w:eastAsia="Calibri"/>
        </w:rPr>
        <w:t>19</w:t>
      </w:r>
      <w:r>
        <w:rPr/>
        <w:t>楼</w:t>
      </w:r>
      <w:r>
        <w:rPr>
          <w:spacing w:val="-3"/>
        </w:rPr>
        <w:t>法定代表人：张建军</w:t>
      </w:r>
    </w:p>
    <w:p>
      <w:pPr>
        <w:pStyle w:val="BodyText"/>
        <w:spacing w:line="269" w:lineRule="exact"/>
        <w:ind w:left="580"/>
        <w:rPr>
          <w:rFonts w:ascii="Calibri" w:eastAsia="Calibri"/>
        </w:rPr>
      </w:pPr>
      <w:r>
        <w:rPr>
          <w:spacing w:val="-2"/>
        </w:rPr>
        <w:t>电话：</w:t>
      </w:r>
      <w:r>
        <w:rPr>
          <w:rFonts w:ascii="Calibri" w:eastAsia="Calibri"/>
          <w:spacing w:val="-1"/>
        </w:rPr>
        <w:t>020-38286588</w:t>
      </w:r>
    </w:p>
    <w:p>
      <w:pPr>
        <w:pStyle w:val="BodyText"/>
        <w:spacing w:before="3"/>
        <w:rPr>
          <w:rFonts w:ascii="Calibri"/>
          <w:sz w:val="16"/>
        </w:rPr>
      </w:pPr>
    </w:p>
    <w:p>
      <w:pPr>
        <w:pStyle w:val="BodyText"/>
        <w:spacing w:before="1"/>
        <w:ind w:left="580"/>
        <w:rPr>
          <w:rFonts w:ascii="Calibri" w:eastAsia="Calibri"/>
        </w:rPr>
      </w:pPr>
      <w:r>
        <w:rPr/>
        <w:t>传真：</w:t>
      </w:r>
      <w:r>
        <w:rPr>
          <w:rFonts w:ascii="Calibri" w:eastAsia="Calibri"/>
        </w:rPr>
        <w:t>020-22373718-1013</w:t>
      </w:r>
    </w:p>
    <w:p>
      <w:pPr>
        <w:pStyle w:val="BodyText"/>
        <w:spacing w:before="3"/>
        <w:rPr>
          <w:rFonts w:ascii="Calibri"/>
          <w:sz w:val="16"/>
        </w:rPr>
      </w:pPr>
    </w:p>
    <w:p>
      <w:pPr>
        <w:pStyle w:val="BodyText"/>
        <w:ind w:left="580"/>
      </w:pPr>
      <w:r>
        <w:rPr/>
        <w:t>联系人：王鑫</w:t>
      </w:r>
    </w:p>
    <w:p>
      <w:pPr>
        <w:pStyle w:val="BodyText"/>
        <w:spacing w:before="7"/>
        <w:rPr>
          <w:sz w:val="15"/>
        </w:rPr>
      </w:pPr>
    </w:p>
    <w:p>
      <w:pPr>
        <w:pStyle w:val="BodyText"/>
        <w:spacing w:line="417" w:lineRule="auto" w:before="1"/>
        <w:ind w:left="580" w:right="6540"/>
        <w:rPr>
          <w:rFonts w:ascii="Calibri" w:eastAsia="Calibri"/>
        </w:rPr>
      </w:pPr>
      <w:r>
        <w:rPr/>
        <w:t>网址：</w:t>
      </w:r>
      <w:hyperlink r:id="rId79">
        <w:r>
          <w:rPr>
            <w:rFonts w:ascii="Calibri" w:eastAsia="Calibri"/>
          </w:rPr>
          <w:t>www.wlzq.com.cn </w:t>
        </w:r>
      </w:hyperlink>
      <w:r>
        <w:rPr/>
        <w:t>客户服务电话：</w:t>
      </w:r>
      <w:r>
        <w:rPr>
          <w:rFonts w:ascii="Calibri" w:eastAsia="Calibri"/>
        </w:rPr>
        <w:t>95322</w:t>
      </w:r>
    </w:p>
    <w:p>
      <w:pPr>
        <w:pStyle w:val="ListParagraph"/>
        <w:numPr>
          <w:ilvl w:val="0"/>
          <w:numId w:val="8"/>
        </w:numPr>
        <w:tabs>
          <w:tab w:pos="1218" w:val="left" w:leader="none"/>
        </w:tabs>
        <w:spacing w:line="269" w:lineRule="exact" w:before="0" w:after="0"/>
        <w:ind w:left="1217" w:right="0" w:hanging="638"/>
        <w:jc w:val="left"/>
        <w:rPr>
          <w:sz w:val="21"/>
        </w:rPr>
      </w:pPr>
      <w:r>
        <w:rPr>
          <w:spacing w:val="-3"/>
          <w:sz w:val="21"/>
        </w:rPr>
        <w:t>渤海证券股份有限公司</w:t>
      </w:r>
    </w:p>
    <w:p>
      <w:pPr>
        <w:pStyle w:val="BodyText"/>
        <w:spacing w:before="6"/>
        <w:rPr>
          <w:sz w:val="15"/>
        </w:rPr>
      </w:pPr>
    </w:p>
    <w:p>
      <w:pPr>
        <w:pStyle w:val="BodyText"/>
        <w:spacing w:line="417" w:lineRule="auto"/>
        <w:ind w:left="580" w:right="3819"/>
      </w:pPr>
      <w:r>
        <w:rPr/>
        <w:t>住所：天津经济技术开发区第二大街</w:t>
      </w:r>
      <w:r>
        <w:rPr>
          <w:rFonts w:ascii="Calibri" w:eastAsia="Calibri"/>
        </w:rPr>
        <w:t>42</w:t>
      </w:r>
      <w:r>
        <w:rPr/>
        <w:t>号写字楼</w:t>
      </w:r>
      <w:r>
        <w:rPr>
          <w:rFonts w:ascii="Calibri" w:eastAsia="Calibri"/>
        </w:rPr>
        <w:t>101</w:t>
      </w:r>
      <w:r>
        <w:rPr/>
        <w:t>室办公地址：天津市南开区滨水西道</w:t>
      </w:r>
      <w:r>
        <w:rPr>
          <w:rFonts w:ascii="Calibri" w:eastAsia="Calibri"/>
        </w:rPr>
        <w:t>8</w:t>
      </w:r>
      <w:r>
        <w:rPr/>
        <w:t>号</w:t>
      </w:r>
    </w:p>
    <w:p>
      <w:pPr>
        <w:pStyle w:val="BodyText"/>
        <w:spacing w:line="417" w:lineRule="auto"/>
        <w:ind w:left="580" w:right="6870"/>
        <w:jc w:val="both"/>
        <w:rPr>
          <w:rFonts w:ascii="Calibri" w:eastAsia="Calibri"/>
        </w:rPr>
      </w:pPr>
      <w:r>
        <w:rPr/>
        <w:t>法定代表人：王春峰电话：</w:t>
      </w:r>
      <w:r>
        <w:rPr>
          <w:rFonts w:ascii="Calibri" w:eastAsia="Calibri"/>
        </w:rPr>
        <w:t>022-28451991 </w:t>
      </w:r>
      <w:r>
        <w:rPr/>
        <w:t>传真：</w:t>
      </w:r>
      <w:r>
        <w:rPr>
          <w:rFonts w:ascii="Calibri" w:eastAsia="Calibri"/>
        </w:rPr>
        <w:t>022-28451892</w:t>
      </w:r>
    </w:p>
    <w:p>
      <w:pPr>
        <w:pStyle w:val="BodyText"/>
        <w:ind w:left="580"/>
      </w:pPr>
      <w:r>
        <w:rPr/>
        <w:t>联系人：蔡霆</w:t>
      </w:r>
    </w:p>
    <w:p>
      <w:pPr>
        <w:spacing w:after="0"/>
        <w:sectPr>
          <w:pgSz w:w="11910" w:h="16840"/>
          <w:pgMar w:header="877" w:footer="995" w:top="1420" w:bottom="1180" w:left="1640" w:right="920"/>
        </w:sectPr>
      </w:pPr>
    </w:p>
    <w:p>
      <w:pPr>
        <w:pStyle w:val="BodyText"/>
        <w:spacing w:before="110"/>
        <w:ind w:left="580"/>
        <w:rPr>
          <w:rFonts w:ascii="Calibri" w:eastAsia="Calibri"/>
        </w:rPr>
      </w:pPr>
      <w:r>
        <w:rPr/>
        <w:t>网址：</w:t>
      </w:r>
      <w:hyperlink r:id="rId80">
        <w:r>
          <w:rPr>
            <w:rFonts w:ascii="Calibri" w:eastAsia="Calibri"/>
          </w:rPr>
          <w:t>www.ewww.com.cn</w:t>
        </w:r>
      </w:hyperlink>
    </w:p>
    <w:p>
      <w:pPr>
        <w:pStyle w:val="BodyText"/>
        <w:spacing w:before="3"/>
        <w:rPr>
          <w:rFonts w:ascii="Calibri"/>
          <w:sz w:val="16"/>
        </w:rPr>
      </w:pPr>
    </w:p>
    <w:p>
      <w:pPr>
        <w:pStyle w:val="BodyText"/>
        <w:ind w:left="580"/>
        <w:rPr>
          <w:rFonts w:ascii="Calibri" w:eastAsia="Calibri"/>
        </w:rPr>
      </w:pPr>
      <w:r>
        <w:rPr/>
        <w:t>客户服务电话：</w:t>
      </w:r>
      <w:r>
        <w:rPr>
          <w:rFonts w:ascii="Calibri" w:eastAsia="Calibri"/>
        </w:rPr>
        <w:t>400-651-5988</w:t>
      </w:r>
    </w:p>
    <w:p>
      <w:pPr>
        <w:pStyle w:val="BodyText"/>
        <w:spacing w:before="4"/>
        <w:rPr>
          <w:rFonts w:ascii="Calibri"/>
          <w:sz w:val="16"/>
        </w:rPr>
      </w:pPr>
    </w:p>
    <w:p>
      <w:pPr>
        <w:pStyle w:val="ListParagraph"/>
        <w:numPr>
          <w:ilvl w:val="0"/>
          <w:numId w:val="8"/>
        </w:numPr>
        <w:tabs>
          <w:tab w:pos="1218" w:val="left" w:leader="none"/>
        </w:tabs>
        <w:spacing w:line="240" w:lineRule="auto" w:before="0" w:after="0"/>
        <w:ind w:left="1217" w:right="0" w:hanging="638"/>
        <w:jc w:val="left"/>
        <w:rPr>
          <w:sz w:val="21"/>
        </w:rPr>
      </w:pPr>
      <w:r>
        <w:rPr>
          <w:spacing w:val="-3"/>
          <w:sz w:val="21"/>
        </w:rPr>
        <w:t>中信证券</w:t>
      </w:r>
      <w:r>
        <w:rPr>
          <w:sz w:val="21"/>
        </w:rPr>
        <w:t>（</w:t>
      </w:r>
      <w:r>
        <w:rPr>
          <w:spacing w:val="-2"/>
          <w:sz w:val="21"/>
        </w:rPr>
        <w:t>山东</w:t>
      </w:r>
      <w:r>
        <w:rPr>
          <w:spacing w:val="-3"/>
          <w:sz w:val="21"/>
        </w:rPr>
        <w:t>）</w:t>
      </w:r>
      <w:r>
        <w:rPr>
          <w:spacing w:val="-2"/>
          <w:sz w:val="21"/>
        </w:rPr>
        <w:t>有限责任公司</w:t>
      </w:r>
    </w:p>
    <w:p>
      <w:pPr>
        <w:pStyle w:val="BodyText"/>
        <w:spacing w:before="7"/>
        <w:rPr>
          <w:sz w:val="15"/>
        </w:rPr>
      </w:pPr>
    </w:p>
    <w:p>
      <w:pPr>
        <w:pStyle w:val="BodyText"/>
        <w:ind w:left="580"/>
        <w:rPr>
          <w:rFonts w:ascii="Calibri" w:eastAsia="Calibri"/>
        </w:rPr>
      </w:pPr>
      <w:r>
        <w:rPr/>
        <w:t>住所：山东省青岛市崂山区深圳路</w:t>
      </w:r>
      <w:r>
        <w:rPr>
          <w:rFonts w:ascii="Calibri" w:eastAsia="Calibri"/>
        </w:rPr>
        <w:t>222</w:t>
      </w:r>
      <w:r>
        <w:rPr/>
        <w:t>号</w:t>
      </w:r>
      <w:r>
        <w:rPr>
          <w:rFonts w:ascii="Calibri" w:eastAsia="Calibri"/>
        </w:rPr>
        <w:t>1</w:t>
      </w:r>
      <w:r>
        <w:rPr/>
        <w:t>号楼</w:t>
      </w:r>
      <w:r>
        <w:rPr>
          <w:rFonts w:ascii="Calibri" w:eastAsia="Calibri"/>
        </w:rPr>
        <w:t>2001</w:t>
      </w:r>
    </w:p>
    <w:p>
      <w:pPr>
        <w:pStyle w:val="BodyText"/>
        <w:spacing w:before="3"/>
        <w:rPr>
          <w:rFonts w:ascii="Calibri"/>
          <w:sz w:val="16"/>
        </w:rPr>
      </w:pPr>
    </w:p>
    <w:p>
      <w:pPr>
        <w:pStyle w:val="BodyText"/>
        <w:spacing w:line="417" w:lineRule="auto"/>
        <w:ind w:left="580" w:right="2979"/>
      </w:pPr>
      <w:r>
        <w:rPr/>
        <w:t>办公地址：山东省青岛市市南区东海西路</w:t>
      </w:r>
      <w:r>
        <w:rPr>
          <w:rFonts w:ascii="Calibri" w:eastAsia="Calibri"/>
        </w:rPr>
        <w:t>28</w:t>
      </w:r>
      <w:r>
        <w:rPr/>
        <w:t>号龙翔广场东座</w:t>
      </w:r>
      <w:r>
        <w:rPr>
          <w:rFonts w:ascii="Calibri" w:eastAsia="Calibri"/>
        </w:rPr>
        <w:t>5</w:t>
      </w:r>
      <w:r>
        <w:rPr/>
        <w:t>层法定代表人：姜晓林</w:t>
      </w:r>
    </w:p>
    <w:p>
      <w:pPr>
        <w:pStyle w:val="BodyText"/>
        <w:spacing w:line="417" w:lineRule="auto"/>
        <w:ind w:left="580" w:right="6790"/>
        <w:rPr>
          <w:rFonts w:ascii="Calibri" w:eastAsia="Calibri"/>
        </w:rPr>
      </w:pPr>
      <w:r>
        <w:rPr/>
        <w:t>电话：</w:t>
      </w:r>
      <w:r>
        <w:rPr>
          <w:rFonts w:ascii="Calibri" w:eastAsia="Calibri"/>
        </w:rPr>
        <w:t>0531-89606165 </w:t>
      </w:r>
      <w:r>
        <w:rPr/>
        <w:t>传真：</w:t>
      </w:r>
      <w:r>
        <w:rPr>
          <w:rFonts w:ascii="Calibri" w:eastAsia="Calibri"/>
        </w:rPr>
        <w:t>0532-85022605</w:t>
      </w:r>
    </w:p>
    <w:p>
      <w:pPr>
        <w:pStyle w:val="BodyText"/>
        <w:ind w:left="580"/>
      </w:pPr>
      <w:r>
        <w:rPr/>
        <w:t>联系人：刘晓明</w:t>
      </w:r>
    </w:p>
    <w:p>
      <w:pPr>
        <w:pStyle w:val="BodyText"/>
        <w:spacing w:before="7"/>
        <w:rPr>
          <w:sz w:val="15"/>
        </w:rPr>
      </w:pPr>
    </w:p>
    <w:p>
      <w:pPr>
        <w:pStyle w:val="BodyText"/>
        <w:spacing w:line="417" w:lineRule="auto"/>
        <w:ind w:left="580" w:right="6430"/>
        <w:rPr>
          <w:rFonts w:ascii="Calibri" w:eastAsia="Calibri"/>
        </w:rPr>
      </w:pPr>
      <w:r>
        <w:rPr/>
        <w:t>网址：</w:t>
      </w:r>
      <w:hyperlink r:id="rId81">
        <w:r>
          <w:rPr>
            <w:rFonts w:ascii="Calibri" w:eastAsia="Calibri"/>
          </w:rPr>
          <w:t>http://sd.citics.com </w:t>
        </w:r>
      </w:hyperlink>
      <w:r>
        <w:rPr/>
        <w:t>客户服务电话：</w:t>
      </w:r>
      <w:r>
        <w:rPr>
          <w:rFonts w:ascii="Calibri" w:eastAsia="Calibri"/>
        </w:rPr>
        <w:t>95548</w:t>
      </w:r>
    </w:p>
    <w:p>
      <w:pPr>
        <w:pStyle w:val="ListParagraph"/>
        <w:numPr>
          <w:ilvl w:val="0"/>
          <w:numId w:val="8"/>
        </w:numPr>
        <w:tabs>
          <w:tab w:pos="1218" w:val="left" w:leader="none"/>
        </w:tabs>
        <w:spacing w:line="269" w:lineRule="exact" w:before="0" w:after="0"/>
        <w:ind w:left="1217" w:right="0" w:hanging="638"/>
        <w:jc w:val="left"/>
        <w:rPr>
          <w:sz w:val="21"/>
        </w:rPr>
      </w:pPr>
      <w:r>
        <w:rPr>
          <w:spacing w:val="-3"/>
          <w:sz w:val="21"/>
        </w:rPr>
        <w:t>东兴证券股份有限公司</w:t>
      </w:r>
    </w:p>
    <w:p>
      <w:pPr>
        <w:pStyle w:val="BodyText"/>
        <w:spacing w:before="7"/>
        <w:rPr>
          <w:sz w:val="15"/>
        </w:rPr>
      </w:pPr>
    </w:p>
    <w:p>
      <w:pPr>
        <w:pStyle w:val="BodyText"/>
        <w:ind w:left="580"/>
      </w:pPr>
      <w:r>
        <w:rPr/>
        <w:t>住所：北京市西城区金融大街</w:t>
      </w:r>
      <w:r>
        <w:rPr>
          <w:rFonts w:ascii="Calibri" w:eastAsia="Calibri"/>
        </w:rPr>
        <w:t>5</w:t>
      </w:r>
      <w:r>
        <w:rPr/>
        <w:t>号新盛大厦</w:t>
      </w:r>
      <w:r>
        <w:rPr>
          <w:rFonts w:ascii="Calibri" w:eastAsia="Calibri"/>
        </w:rPr>
        <w:t>B</w:t>
      </w:r>
      <w:r>
        <w:rPr/>
        <w:t>座</w:t>
      </w:r>
      <w:r>
        <w:rPr>
          <w:rFonts w:ascii="Calibri" w:eastAsia="Calibri"/>
        </w:rPr>
        <w:t>12-15</w:t>
      </w:r>
      <w:r>
        <w:rPr/>
        <w:t>层</w:t>
      </w:r>
    </w:p>
    <w:p>
      <w:pPr>
        <w:pStyle w:val="BodyText"/>
        <w:spacing w:before="6"/>
        <w:rPr>
          <w:sz w:val="15"/>
        </w:rPr>
      </w:pPr>
    </w:p>
    <w:p>
      <w:pPr>
        <w:pStyle w:val="BodyText"/>
        <w:spacing w:line="417" w:lineRule="auto" w:before="1"/>
        <w:ind w:left="580" w:right="3430"/>
      </w:pPr>
      <w:r>
        <w:rPr/>
        <w:t>办公地址：北京市西城区金融大街</w:t>
      </w:r>
      <w:r>
        <w:rPr>
          <w:rFonts w:ascii="Calibri" w:eastAsia="Calibri"/>
        </w:rPr>
        <w:t>5</w:t>
      </w:r>
      <w:r>
        <w:rPr/>
        <w:t>号新盛大厦</w:t>
      </w:r>
      <w:r>
        <w:rPr>
          <w:rFonts w:ascii="Calibri" w:eastAsia="Calibri"/>
        </w:rPr>
        <w:t>B</w:t>
      </w:r>
      <w:r>
        <w:rPr/>
        <w:t>座</w:t>
      </w:r>
      <w:r>
        <w:rPr>
          <w:rFonts w:ascii="Calibri" w:eastAsia="Calibri"/>
        </w:rPr>
        <w:t>12-15</w:t>
      </w:r>
      <w:r>
        <w:rPr/>
        <w:t>层法定代表人：魏庆华</w:t>
      </w:r>
    </w:p>
    <w:p>
      <w:pPr>
        <w:pStyle w:val="BodyText"/>
        <w:spacing w:line="417" w:lineRule="auto"/>
        <w:ind w:left="580" w:right="6898"/>
        <w:rPr>
          <w:rFonts w:ascii="Calibri" w:eastAsia="Calibri"/>
        </w:rPr>
      </w:pPr>
      <w:r>
        <w:rPr/>
        <w:t>电话：</w:t>
      </w:r>
      <w:r>
        <w:rPr>
          <w:rFonts w:ascii="Calibri" w:eastAsia="Calibri"/>
        </w:rPr>
        <w:t>010-66555316 </w:t>
      </w:r>
      <w:r>
        <w:rPr/>
        <w:t>传真：</w:t>
      </w:r>
      <w:r>
        <w:rPr>
          <w:rFonts w:ascii="Calibri" w:eastAsia="Calibri"/>
        </w:rPr>
        <w:t>010-66555246</w:t>
      </w:r>
    </w:p>
    <w:p>
      <w:pPr>
        <w:pStyle w:val="BodyText"/>
        <w:spacing w:line="269" w:lineRule="exact"/>
        <w:ind w:left="580"/>
      </w:pPr>
      <w:r>
        <w:rPr/>
        <w:t>联系人：汤漫川</w:t>
      </w:r>
    </w:p>
    <w:p>
      <w:pPr>
        <w:pStyle w:val="BodyText"/>
        <w:spacing w:before="6"/>
        <w:rPr>
          <w:sz w:val="15"/>
        </w:rPr>
      </w:pPr>
    </w:p>
    <w:p>
      <w:pPr>
        <w:pStyle w:val="BodyText"/>
        <w:spacing w:line="417" w:lineRule="auto"/>
        <w:ind w:left="580" w:right="6615"/>
        <w:rPr>
          <w:rFonts w:ascii="Calibri" w:eastAsia="Calibri"/>
        </w:rPr>
      </w:pPr>
      <w:r>
        <w:rPr/>
        <w:t>网址：</w:t>
      </w:r>
      <w:hyperlink r:id="rId82">
        <w:r>
          <w:rPr>
            <w:rFonts w:ascii="Calibri" w:eastAsia="Calibri"/>
          </w:rPr>
          <w:t>www.dxzq.net.cn </w:t>
        </w:r>
      </w:hyperlink>
      <w:r>
        <w:rPr/>
        <w:t>客户服务电话：</w:t>
      </w:r>
      <w:r>
        <w:rPr>
          <w:rFonts w:ascii="Calibri" w:eastAsia="Calibri"/>
        </w:rPr>
        <w:t>95309</w:t>
      </w:r>
    </w:p>
    <w:p>
      <w:pPr>
        <w:pStyle w:val="ListParagraph"/>
        <w:numPr>
          <w:ilvl w:val="0"/>
          <w:numId w:val="8"/>
        </w:numPr>
        <w:tabs>
          <w:tab w:pos="1218" w:val="left" w:leader="none"/>
        </w:tabs>
        <w:spacing w:line="269" w:lineRule="exact" w:before="0" w:after="0"/>
        <w:ind w:left="1217" w:right="0" w:hanging="638"/>
        <w:jc w:val="left"/>
        <w:rPr>
          <w:sz w:val="21"/>
        </w:rPr>
      </w:pPr>
      <w:r>
        <w:rPr>
          <w:spacing w:val="-3"/>
          <w:sz w:val="21"/>
        </w:rPr>
        <w:t>东吴证券股份有限公司</w:t>
      </w:r>
    </w:p>
    <w:p>
      <w:pPr>
        <w:pStyle w:val="BodyText"/>
        <w:spacing w:before="7"/>
        <w:rPr>
          <w:sz w:val="15"/>
        </w:rPr>
      </w:pPr>
    </w:p>
    <w:p>
      <w:pPr>
        <w:pStyle w:val="BodyText"/>
        <w:spacing w:line="417" w:lineRule="auto" w:before="1"/>
        <w:ind w:left="580" w:right="5504"/>
      </w:pPr>
      <w:r>
        <w:rPr>
          <w:spacing w:val="-3"/>
        </w:rPr>
        <w:t>住所：苏州工业园区翠园路</w:t>
      </w:r>
      <w:r>
        <w:rPr>
          <w:rFonts w:ascii="Calibri" w:eastAsia="Calibri"/>
        </w:rPr>
        <w:t>181</w:t>
      </w:r>
      <w:r>
        <w:rPr/>
        <w:t>号 </w:t>
      </w:r>
      <w:r>
        <w:rPr>
          <w:spacing w:val="-3"/>
        </w:rPr>
        <w:t>办公地址：苏州工业园区星阳街</w:t>
      </w:r>
      <w:r>
        <w:rPr>
          <w:rFonts w:ascii="Calibri" w:eastAsia="Calibri"/>
        </w:rPr>
        <w:t>5</w:t>
      </w:r>
      <w:r>
        <w:rPr>
          <w:spacing w:val="-13"/>
        </w:rPr>
        <w:t>号</w:t>
      </w:r>
      <w:r>
        <w:rPr>
          <w:spacing w:val="-3"/>
        </w:rPr>
        <w:t>法定代表人：范力</w:t>
      </w:r>
    </w:p>
    <w:p>
      <w:pPr>
        <w:pStyle w:val="BodyText"/>
        <w:spacing w:line="417" w:lineRule="auto"/>
        <w:ind w:left="580" w:right="6790"/>
        <w:rPr>
          <w:rFonts w:ascii="Calibri" w:eastAsia="Calibri"/>
        </w:rPr>
      </w:pPr>
      <w:r>
        <w:rPr/>
        <w:t>电话：</w:t>
      </w:r>
      <w:r>
        <w:rPr>
          <w:rFonts w:ascii="Calibri" w:eastAsia="Calibri"/>
        </w:rPr>
        <w:t>0512-65581136 </w:t>
      </w:r>
      <w:r>
        <w:rPr/>
        <w:t>传真：</w:t>
      </w:r>
      <w:r>
        <w:rPr>
          <w:rFonts w:ascii="Calibri" w:eastAsia="Calibri"/>
        </w:rPr>
        <w:t>0512-65588021</w:t>
      </w:r>
    </w:p>
    <w:p>
      <w:pPr>
        <w:pStyle w:val="BodyText"/>
        <w:spacing w:line="269" w:lineRule="exact"/>
        <w:ind w:left="580"/>
      </w:pPr>
      <w:r>
        <w:rPr/>
        <w:t>联系人：方晓丹</w:t>
      </w:r>
    </w:p>
    <w:p>
      <w:pPr>
        <w:pStyle w:val="BodyText"/>
        <w:spacing w:before="6"/>
        <w:rPr>
          <w:sz w:val="15"/>
        </w:rPr>
      </w:pPr>
    </w:p>
    <w:p>
      <w:pPr>
        <w:pStyle w:val="BodyText"/>
        <w:spacing w:line="417" w:lineRule="auto"/>
        <w:ind w:left="580" w:right="6475"/>
        <w:rPr>
          <w:rFonts w:ascii="Calibri" w:eastAsia="Calibri"/>
        </w:rPr>
      </w:pPr>
      <w:r>
        <w:rPr/>
        <w:t>网址：</w:t>
      </w:r>
      <w:hyperlink r:id="rId83">
        <w:r>
          <w:rPr>
            <w:rFonts w:ascii="Calibri" w:eastAsia="Calibri"/>
          </w:rPr>
          <w:t>www.dwzq.com.cn </w:t>
        </w:r>
      </w:hyperlink>
      <w:r>
        <w:rPr/>
        <w:t>客户服务电话：</w:t>
      </w:r>
      <w:r>
        <w:rPr>
          <w:rFonts w:ascii="Calibri" w:eastAsia="Calibri"/>
        </w:rPr>
        <w:t>95330</w:t>
      </w:r>
    </w:p>
    <w:p>
      <w:pPr>
        <w:pStyle w:val="ListParagraph"/>
        <w:numPr>
          <w:ilvl w:val="0"/>
          <w:numId w:val="8"/>
        </w:numPr>
        <w:tabs>
          <w:tab w:pos="1218" w:val="left" w:leader="none"/>
        </w:tabs>
        <w:spacing w:line="240" w:lineRule="auto" w:before="0" w:after="0"/>
        <w:ind w:left="1217" w:right="0" w:hanging="638"/>
        <w:jc w:val="left"/>
        <w:rPr>
          <w:sz w:val="21"/>
        </w:rPr>
      </w:pPr>
      <w:r>
        <w:rPr>
          <w:spacing w:val="-3"/>
          <w:sz w:val="21"/>
        </w:rPr>
        <w:t>信达证券股份有限公司</w:t>
      </w:r>
    </w:p>
    <w:p>
      <w:pPr>
        <w:spacing w:after="0" w:line="240" w:lineRule="auto"/>
        <w:jc w:val="left"/>
        <w:rPr>
          <w:sz w:val="21"/>
        </w:rPr>
        <w:sectPr>
          <w:pgSz w:w="11910" w:h="16840"/>
          <w:pgMar w:header="877" w:footer="995" w:top="1420" w:bottom="1180" w:left="1640" w:right="920"/>
        </w:sectPr>
      </w:pPr>
    </w:p>
    <w:p>
      <w:pPr>
        <w:pStyle w:val="BodyText"/>
        <w:spacing w:before="110"/>
        <w:ind w:left="580"/>
      </w:pPr>
      <w:r>
        <w:rPr/>
        <w:t>住所：北京市西城区闹市口大街</w:t>
      </w:r>
      <w:r>
        <w:rPr>
          <w:rFonts w:ascii="Calibri" w:eastAsia="Calibri"/>
        </w:rPr>
        <w:t>9</w:t>
      </w:r>
      <w:r>
        <w:rPr/>
        <w:t>号院</w:t>
      </w:r>
      <w:r>
        <w:rPr>
          <w:rFonts w:ascii="Calibri" w:eastAsia="Calibri"/>
        </w:rPr>
        <w:t>1</w:t>
      </w:r>
      <w:r>
        <w:rPr/>
        <w:t>号楼</w:t>
      </w:r>
    </w:p>
    <w:p>
      <w:pPr>
        <w:pStyle w:val="BodyText"/>
        <w:spacing w:before="6"/>
        <w:rPr>
          <w:sz w:val="15"/>
        </w:rPr>
      </w:pPr>
    </w:p>
    <w:p>
      <w:pPr>
        <w:pStyle w:val="BodyText"/>
        <w:spacing w:line="417" w:lineRule="auto"/>
        <w:ind w:left="580" w:right="4349"/>
      </w:pPr>
      <w:r>
        <w:rPr/>
        <w:t>办公地址：北京市西城区闹市口大街</w:t>
      </w:r>
      <w:r>
        <w:rPr>
          <w:rFonts w:ascii="Calibri" w:eastAsia="Calibri"/>
        </w:rPr>
        <w:t>9</w:t>
      </w:r>
      <w:r>
        <w:rPr/>
        <w:t>号院</w:t>
      </w:r>
      <w:r>
        <w:rPr>
          <w:rFonts w:ascii="Calibri" w:eastAsia="Calibri"/>
        </w:rPr>
        <w:t>1</w:t>
      </w:r>
      <w:r>
        <w:rPr/>
        <w:t>号楼法定代表人：肖林</w:t>
      </w:r>
    </w:p>
    <w:p>
      <w:pPr>
        <w:pStyle w:val="BodyText"/>
        <w:spacing w:line="417" w:lineRule="auto"/>
        <w:ind w:left="580" w:right="6898"/>
        <w:rPr>
          <w:rFonts w:ascii="Calibri" w:eastAsia="Calibri"/>
        </w:rPr>
      </w:pPr>
      <w:r>
        <w:rPr/>
        <w:t>电话：</w:t>
      </w:r>
      <w:r>
        <w:rPr>
          <w:rFonts w:ascii="Calibri" w:eastAsia="Calibri"/>
        </w:rPr>
        <w:t>010-83252185 </w:t>
      </w:r>
      <w:r>
        <w:rPr/>
        <w:t>传真：</w:t>
      </w:r>
      <w:r>
        <w:rPr>
          <w:rFonts w:ascii="Calibri" w:eastAsia="Calibri"/>
        </w:rPr>
        <w:t>010-63080978</w:t>
      </w:r>
    </w:p>
    <w:p>
      <w:pPr>
        <w:pStyle w:val="BodyText"/>
        <w:spacing w:line="269" w:lineRule="exact"/>
        <w:ind w:left="580"/>
      </w:pPr>
      <w:r>
        <w:rPr/>
        <w:t>联系人：付婷</w:t>
      </w:r>
    </w:p>
    <w:p>
      <w:pPr>
        <w:pStyle w:val="BodyText"/>
        <w:spacing w:before="7"/>
        <w:rPr>
          <w:sz w:val="15"/>
        </w:rPr>
      </w:pPr>
    </w:p>
    <w:p>
      <w:pPr>
        <w:pStyle w:val="BodyText"/>
        <w:spacing w:line="417" w:lineRule="auto"/>
        <w:ind w:left="580" w:right="6550"/>
        <w:rPr>
          <w:rFonts w:ascii="Calibri" w:eastAsia="Calibri"/>
        </w:rPr>
      </w:pPr>
      <w:r>
        <w:rPr/>
        <w:t>网址：</w:t>
      </w:r>
      <w:hyperlink r:id="rId84">
        <w:r>
          <w:rPr>
            <w:rFonts w:ascii="Calibri" w:eastAsia="Calibri"/>
          </w:rPr>
          <w:t>www.cindasc.com </w:t>
        </w:r>
      </w:hyperlink>
      <w:r>
        <w:rPr/>
        <w:t>客户服务电话：</w:t>
      </w:r>
      <w:r>
        <w:rPr>
          <w:rFonts w:ascii="Calibri" w:eastAsia="Calibri"/>
        </w:rPr>
        <w:t>95321</w:t>
      </w:r>
    </w:p>
    <w:p>
      <w:pPr>
        <w:pStyle w:val="ListParagraph"/>
        <w:numPr>
          <w:ilvl w:val="0"/>
          <w:numId w:val="8"/>
        </w:numPr>
        <w:tabs>
          <w:tab w:pos="1218" w:val="left" w:leader="none"/>
        </w:tabs>
        <w:spacing w:line="240" w:lineRule="auto" w:before="0" w:after="0"/>
        <w:ind w:left="1217" w:right="0" w:hanging="638"/>
        <w:jc w:val="left"/>
        <w:rPr>
          <w:sz w:val="21"/>
        </w:rPr>
      </w:pPr>
      <w:r>
        <w:rPr>
          <w:spacing w:val="-3"/>
          <w:sz w:val="21"/>
        </w:rPr>
        <w:t>方正证券股份有限公司</w:t>
      </w:r>
    </w:p>
    <w:p>
      <w:pPr>
        <w:pStyle w:val="BodyText"/>
        <w:spacing w:before="7"/>
        <w:rPr>
          <w:sz w:val="15"/>
        </w:rPr>
      </w:pPr>
    </w:p>
    <w:p>
      <w:pPr>
        <w:pStyle w:val="BodyText"/>
        <w:ind w:left="580"/>
      </w:pPr>
      <w:r>
        <w:rPr/>
        <w:t>住所：湖南省长沙市芙蓉中路二段华侨国际大厦</w:t>
      </w:r>
      <w:r>
        <w:rPr>
          <w:rFonts w:ascii="Calibri" w:eastAsia="Calibri"/>
        </w:rPr>
        <w:t>22-24</w:t>
      </w:r>
      <w:r>
        <w:rPr/>
        <w:t>层</w:t>
      </w:r>
    </w:p>
    <w:p>
      <w:pPr>
        <w:pStyle w:val="BodyText"/>
        <w:spacing w:before="6"/>
        <w:rPr>
          <w:sz w:val="15"/>
        </w:rPr>
      </w:pPr>
    </w:p>
    <w:p>
      <w:pPr>
        <w:pStyle w:val="BodyText"/>
        <w:spacing w:line="417" w:lineRule="auto" w:before="1"/>
        <w:ind w:left="580" w:right="3228"/>
      </w:pPr>
      <w:r>
        <w:rPr/>
        <w:t>办公地址：湖南省长沙市芙蓉中路二段华侨国际大厦</w:t>
      </w:r>
      <w:r>
        <w:rPr>
          <w:rFonts w:ascii="Calibri" w:eastAsia="Calibri"/>
        </w:rPr>
        <w:t>22-24</w:t>
      </w:r>
      <w:r>
        <w:rPr/>
        <w:t>层法定代表人：雷杰</w:t>
      </w:r>
    </w:p>
    <w:p>
      <w:pPr>
        <w:pStyle w:val="BodyText"/>
        <w:spacing w:line="417" w:lineRule="auto"/>
        <w:ind w:left="580" w:right="6790"/>
        <w:rPr>
          <w:rFonts w:ascii="Calibri" w:eastAsia="Calibri"/>
        </w:rPr>
      </w:pPr>
      <w:r>
        <w:rPr/>
        <w:t>电话：</w:t>
      </w:r>
      <w:r>
        <w:rPr>
          <w:rFonts w:ascii="Calibri" w:eastAsia="Calibri"/>
        </w:rPr>
        <w:t>0731-85832503 </w:t>
      </w:r>
      <w:r>
        <w:rPr/>
        <w:t>传真：</w:t>
      </w:r>
      <w:r>
        <w:rPr>
          <w:rFonts w:ascii="Calibri" w:eastAsia="Calibri"/>
        </w:rPr>
        <w:t>0731-85832214</w:t>
      </w:r>
    </w:p>
    <w:p>
      <w:pPr>
        <w:pStyle w:val="BodyText"/>
        <w:ind w:left="580"/>
      </w:pPr>
      <w:r>
        <w:rPr/>
        <w:t>联系人：郭军瑞</w:t>
      </w:r>
    </w:p>
    <w:p>
      <w:pPr>
        <w:pStyle w:val="BodyText"/>
        <w:spacing w:before="6"/>
        <w:rPr>
          <w:sz w:val="15"/>
        </w:rPr>
      </w:pPr>
    </w:p>
    <w:p>
      <w:pPr>
        <w:pStyle w:val="BodyText"/>
        <w:spacing w:line="417" w:lineRule="auto"/>
        <w:ind w:left="580" w:right="6330"/>
        <w:rPr>
          <w:rFonts w:ascii="Calibri" w:eastAsia="Calibri"/>
        </w:rPr>
      </w:pPr>
      <w:r>
        <w:rPr/>
        <w:t>网址：</w:t>
      </w:r>
      <w:hyperlink r:id="rId85">
        <w:r>
          <w:rPr>
            <w:rFonts w:ascii="Calibri" w:eastAsia="Calibri"/>
          </w:rPr>
          <w:t>www.foundersc.com </w:t>
        </w:r>
      </w:hyperlink>
      <w:r>
        <w:rPr/>
        <w:t>客户服务电话：</w:t>
      </w:r>
      <w:r>
        <w:rPr>
          <w:rFonts w:ascii="Calibri" w:eastAsia="Calibri"/>
        </w:rPr>
        <w:t>95571</w:t>
      </w:r>
    </w:p>
    <w:p>
      <w:pPr>
        <w:pStyle w:val="ListParagraph"/>
        <w:numPr>
          <w:ilvl w:val="0"/>
          <w:numId w:val="8"/>
        </w:numPr>
        <w:tabs>
          <w:tab w:pos="1218" w:val="left" w:leader="none"/>
        </w:tabs>
        <w:spacing w:line="269" w:lineRule="exact" w:before="0" w:after="0"/>
        <w:ind w:left="1217" w:right="0" w:hanging="638"/>
        <w:jc w:val="left"/>
        <w:rPr>
          <w:sz w:val="21"/>
        </w:rPr>
      </w:pPr>
      <w:r>
        <w:rPr>
          <w:spacing w:val="-3"/>
          <w:sz w:val="21"/>
        </w:rPr>
        <w:t>长城证券股份有限公司</w:t>
      </w:r>
    </w:p>
    <w:p>
      <w:pPr>
        <w:pStyle w:val="BodyText"/>
        <w:spacing w:before="7"/>
        <w:rPr>
          <w:sz w:val="15"/>
        </w:rPr>
      </w:pPr>
    </w:p>
    <w:p>
      <w:pPr>
        <w:pStyle w:val="BodyText"/>
        <w:ind w:left="580"/>
      </w:pPr>
      <w:r>
        <w:rPr/>
        <w:t>住所：深圳市福田区福田街道金田路</w:t>
      </w:r>
      <w:r>
        <w:rPr>
          <w:rFonts w:ascii="Calibri" w:eastAsia="Calibri"/>
        </w:rPr>
        <w:t>2026</w:t>
      </w:r>
      <w:r>
        <w:rPr/>
        <w:t>号能源大厦南塔楼</w:t>
      </w:r>
      <w:r>
        <w:rPr>
          <w:rFonts w:ascii="Calibri" w:eastAsia="Calibri"/>
        </w:rPr>
        <w:t>10-19</w:t>
      </w:r>
      <w:r>
        <w:rPr/>
        <w:t>层</w:t>
      </w:r>
    </w:p>
    <w:p>
      <w:pPr>
        <w:pStyle w:val="BodyText"/>
        <w:spacing w:before="6"/>
        <w:rPr>
          <w:sz w:val="15"/>
        </w:rPr>
      </w:pPr>
    </w:p>
    <w:p>
      <w:pPr>
        <w:pStyle w:val="BodyText"/>
        <w:spacing w:line="417" w:lineRule="auto" w:before="1"/>
        <w:ind w:left="580" w:right="2172"/>
      </w:pPr>
      <w:r>
        <w:rPr/>
        <w:t>办公地址：深圳市福田区福田街道金田路</w:t>
      </w:r>
      <w:r>
        <w:rPr>
          <w:rFonts w:ascii="Calibri" w:eastAsia="Calibri"/>
        </w:rPr>
        <w:t>2026</w:t>
      </w:r>
      <w:r>
        <w:rPr/>
        <w:t>号能源大厦南塔楼</w:t>
      </w:r>
      <w:r>
        <w:rPr>
          <w:rFonts w:ascii="Calibri" w:eastAsia="Calibri"/>
        </w:rPr>
        <w:t>10-19</w:t>
      </w:r>
      <w:r>
        <w:rPr/>
        <w:t>层法定代表人：曹宏</w:t>
      </w:r>
    </w:p>
    <w:p>
      <w:pPr>
        <w:pStyle w:val="BodyText"/>
        <w:spacing w:line="417" w:lineRule="auto"/>
        <w:ind w:left="580" w:right="6790"/>
        <w:rPr>
          <w:rFonts w:ascii="Calibri" w:eastAsia="Calibri"/>
        </w:rPr>
      </w:pPr>
      <w:r>
        <w:rPr/>
        <w:t>电话：</w:t>
      </w:r>
      <w:r>
        <w:rPr>
          <w:rFonts w:ascii="Calibri" w:eastAsia="Calibri"/>
        </w:rPr>
        <w:t>0755-83530715 </w:t>
      </w:r>
      <w:r>
        <w:rPr/>
        <w:t>传真：</w:t>
      </w:r>
      <w:r>
        <w:rPr>
          <w:rFonts w:ascii="Calibri" w:eastAsia="Calibri"/>
        </w:rPr>
        <w:t>0755-83515567</w:t>
      </w:r>
    </w:p>
    <w:p>
      <w:pPr>
        <w:pStyle w:val="BodyText"/>
        <w:spacing w:line="269" w:lineRule="exact"/>
        <w:ind w:left="580"/>
      </w:pPr>
      <w:r>
        <w:rPr/>
        <w:t>联系人：梁浩</w:t>
      </w:r>
    </w:p>
    <w:p>
      <w:pPr>
        <w:pStyle w:val="BodyText"/>
        <w:spacing w:before="6"/>
        <w:rPr>
          <w:sz w:val="15"/>
        </w:rPr>
      </w:pPr>
    </w:p>
    <w:p>
      <w:pPr>
        <w:pStyle w:val="BodyText"/>
        <w:spacing w:line="417" w:lineRule="auto" w:before="1"/>
        <w:ind w:left="580" w:right="6761"/>
        <w:rPr>
          <w:rFonts w:ascii="Calibri" w:eastAsia="Calibri"/>
        </w:rPr>
      </w:pPr>
      <w:r>
        <w:rPr/>
        <w:t>网址：</w:t>
      </w:r>
      <w:hyperlink r:id="rId86">
        <w:r>
          <w:rPr>
            <w:rFonts w:ascii="Calibri" w:eastAsia="Calibri"/>
          </w:rPr>
          <w:t>www.cgws.com </w:t>
        </w:r>
      </w:hyperlink>
      <w:r>
        <w:rPr/>
        <w:t>客户服务电话：</w:t>
      </w:r>
      <w:r>
        <w:rPr>
          <w:rFonts w:ascii="Calibri" w:eastAsia="Calibri"/>
        </w:rPr>
        <w:t>95514</w:t>
      </w:r>
    </w:p>
    <w:p>
      <w:pPr>
        <w:pStyle w:val="ListParagraph"/>
        <w:numPr>
          <w:ilvl w:val="0"/>
          <w:numId w:val="8"/>
        </w:numPr>
        <w:tabs>
          <w:tab w:pos="1218" w:val="left" w:leader="none"/>
        </w:tabs>
        <w:spacing w:line="269" w:lineRule="exact" w:before="0" w:after="0"/>
        <w:ind w:left="1217" w:right="0" w:hanging="638"/>
        <w:jc w:val="left"/>
        <w:rPr>
          <w:sz w:val="21"/>
        </w:rPr>
      </w:pPr>
      <w:r>
        <w:rPr>
          <w:spacing w:val="-3"/>
          <w:sz w:val="21"/>
        </w:rPr>
        <w:t>光大证券股份有限公司</w:t>
      </w:r>
    </w:p>
    <w:p>
      <w:pPr>
        <w:pStyle w:val="BodyText"/>
        <w:spacing w:before="6"/>
        <w:rPr>
          <w:sz w:val="15"/>
        </w:rPr>
      </w:pPr>
    </w:p>
    <w:p>
      <w:pPr>
        <w:pStyle w:val="BodyText"/>
        <w:ind w:left="580"/>
      </w:pPr>
      <w:r>
        <w:rPr/>
        <w:t>住所：上海市静安区新闸路</w:t>
      </w:r>
      <w:r>
        <w:rPr>
          <w:rFonts w:ascii="Calibri" w:eastAsia="Calibri"/>
        </w:rPr>
        <w:t>1508</w:t>
      </w:r>
      <w:r>
        <w:rPr/>
        <w:t>号</w:t>
      </w:r>
    </w:p>
    <w:p>
      <w:pPr>
        <w:pStyle w:val="BodyText"/>
        <w:spacing w:before="7"/>
        <w:rPr>
          <w:sz w:val="15"/>
        </w:rPr>
      </w:pPr>
    </w:p>
    <w:p>
      <w:pPr>
        <w:pStyle w:val="BodyText"/>
        <w:spacing w:line="417" w:lineRule="auto" w:before="1"/>
        <w:ind w:left="580" w:right="5185"/>
      </w:pPr>
      <w:r>
        <w:rPr/>
        <w:t>办公地址：上海市静安区新闸路</w:t>
      </w:r>
      <w:r>
        <w:rPr>
          <w:rFonts w:ascii="Calibri" w:eastAsia="Calibri"/>
        </w:rPr>
        <w:t>1508</w:t>
      </w:r>
      <w:r>
        <w:rPr/>
        <w:t>号法定代表人：薛峰</w:t>
      </w:r>
    </w:p>
    <w:p>
      <w:pPr>
        <w:spacing w:after="0" w:line="417" w:lineRule="auto"/>
        <w:sectPr>
          <w:pgSz w:w="11910" w:h="16840"/>
          <w:pgMar w:header="877" w:footer="995" w:top="1420" w:bottom="1180" w:left="1640" w:right="920"/>
        </w:sectPr>
      </w:pPr>
    </w:p>
    <w:p>
      <w:pPr>
        <w:pStyle w:val="BodyText"/>
        <w:spacing w:line="417" w:lineRule="auto" w:before="110"/>
        <w:ind w:left="580" w:right="6898"/>
        <w:rPr>
          <w:rFonts w:ascii="Calibri" w:eastAsia="Calibri"/>
        </w:rPr>
      </w:pPr>
      <w:r>
        <w:rPr/>
        <w:t>电话：</w:t>
      </w:r>
      <w:r>
        <w:rPr>
          <w:rFonts w:ascii="Calibri" w:eastAsia="Calibri"/>
        </w:rPr>
        <w:t>021-22169081 </w:t>
      </w:r>
      <w:r>
        <w:rPr/>
        <w:t>传真：</w:t>
      </w:r>
      <w:r>
        <w:rPr>
          <w:rFonts w:ascii="Calibri" w:eastAsia="Calibri"/>
        </w:rPr>
        <w:t>021-22169134</w:t>
      </w:r>
    </w:p>
    <w:p>
      <w:pPr>
        <w:pStyle w:val="BodyText"/>
        <w:spacing w:line="269" w:lineRule="exact"/>
        <w:ind w:left="580"/>
      </w:pPr>
      <w:r>
        <w:rPr/>
        <w:t>联系人：刘晨</w:t>
      </w:r>
    </w:p>
    <w:p>
      <w:pPr>
        <w:pStyle w:val="BodyText"/>
        <w:spacing w:before="6"/>
        <w:rPr>
          <w:sz w:val="15"/>
        </w:rPr>
      </w:pPr>
    </w:p>
    <w:p>
      <w:pPr>
        <w:pStyle w:val="BodyText"/>
        <w:ind w:left="580"/>
        <w:rPr>
          <w:rFonts w:ascii="Calibri" w:eastAsia="Calibri"/>
        </w:rPr>
      </w:pPr>
      <w:r>
        <w:rPr/>
        <w:t>网址：</w:t>
      </w:r>
      <w:hyperlink r:id="rId87">
        <w:r>
          <w:rPr>
            <w:rFonts w:ascii="Calibri" w:eastAsia="Calibri"/>
          </w:rPr>
          <w:t>www.ebscn.com</w:t>
        </w:r>
      </w:hyperlink>
    </w:p>
    <w:p>
      <w:pPr>
        <w:pStyle w:val="BodyText"/>
        <w:spacing w:before="4"/>
        <w:rPr>
          <w:rFonts w:ascii="Calibri"/>
          <w:sz w:val="16"/>
        </w:rPr>
      </w:pPr>
    </w:p>
    <w:p>
      <w:pPr>
        <w:pStyle w:val="BodyText"/>
        <w:ind w:left="580"/>
        <w:rPr>
          <w:rFonts w:ascii="Calibri" w:eastAsia="Calibri"/>
        </w:rPr>
      </w:pPr>
      <w:r>
        <w:rPr/>
        <w:t>客户服务电话：</w:t>
      </w:r>
      <w:r>
        <w:rPr>
          <w:rFonts w:ascii="Calibri" w:eastAsia="Calibri"/>
        </w:rPr>
        <w:t>95525</w:t>
      </w:r>
      <w:r>
        <w:rPr/>
        <w:t>、</w:t>
      </w:r>
      <w:r>
        <w:rPr>
          <w:rFonts w:ascii="Calibri" w:eastAsia="Calibri"/>
        </w:rPr>
        <w:t>400-888-8788</w:t>
      </w:r>
    </w:p>
    <w:p>
      <w:pPr>
        <w:pStyle w:val="BodyText"/>
        <w:spacing w:before="4"/>
        <w:rPr>
          <w:rFonts w:ascii="Calibri"/>
          <w:sz w:val="16"/>
        </w:rPr>
      </w:pPr>
    </w:p>
    <w:p>
      <w:pPr>
        <w:pStyle w:val="ListParagraph"/>
        <w:numPr>
          <w:ilvl w:val="0"/>
          <w:numId w:val="8"/>
        </w:numPr>
        <w:tabs>
          <w:tab w:pos="1218" w:val="left" w:leader="none"/>
        </w:tabs>
        <w:spacing w:line="240" w:lineRule="auto" w:before="0" w:after="0"/>
        <w:ind w:left="1217" w:right="0" w:hanging="638"/>
        <w:jc w:val="left"/>
        <w:rPr>
          <w:sz w:val="21"/>
        </w:rPr>
      </w:pPr>
      <w:r>
        <w:rPr>
          <w:spacing w:val="-3"/>
          <w:sz w:val="21"/>
        </w:rPr>
        <w:t>中信证券华南股份有限公司</w:t>
      </w:r>
    </w:p>
    <w:p>
      <w:pPr>
        <w:pStyle w:val="BodyText"/>
        <w:spacing w:before="6"/>
        <w:rPr>
          <w:sz w:val="15"/>
        </w:rPr>
      </w:pPr>
    </w:p>
    <w:p>
      <w:pPr>
        <w:pStyle w:val="BodyText"/>
        <w:ind w:left="580"/>
      </w:pPr>
      <w:r>
        <w:rPr/>
        <w:t>住所：广州市天河区珠江西路</w:t>
      </w:r>
      <w:r>
        <w:rPr>
          <w:rFonts w:ascii="Calibri" w:eastAsia="Calibri"/>
        </w:rPr>
        <w:t>5</w:t>
      </w:r>
      <w:r>
        <w:rPr/>
        <w:t>号广州国际金融中心主塔</w:t>
      </w:r>
      <w:r>
        <w:rPr>
          <w:rFonts w:ascii="Calibri" w:eastAsia="Calibri"/>
        </w:rPr>
        <w:t>19</w:t>
      </w:r>
      <w:r>
        <w:rPr/>
        <w:t>层、</w:t>
      </w:r>
      <w:r>
        <w:rPr>
          <w:rFonts w:ascii="Calibri" w:eastAsia="Calibri"/>
        </w:rPr>
        <w:t>20</w:t>
      </w:r>
      <w:r>
        <w:rPr/>
        <w:t>层</w:t>
      </w:r>
    </w:p>
    <w:p>
      <w:pPr>
        <w:pStyle w:val="BodyText"/>
        <w:spacing w:before="8"/>
        <w:rPr>
          <w:sz w:val="15"/>
        </w:rPr>
      </w:pPr>
    </w:p>
    <w:p>
      <w:pPr>
        <w:pStyle w:val="BodyText"/>
        <w:spacing w:line="417" w:lineRule="auto"/>
        <w:ind w:left="580" w:right="2136"/>
      </w:pPr>
      <w:r>
        <w:rPr/>
        <w:t>办公地址：广州市天河区珠江西路</w:t>
      </w:r>
      <w:r>
        <w:rPr>
          <w:rFonts w:ascii="Calibri" w:eastAsia="Calibri"/>
        </w:rPr>
        <w:t>5</w:t>
      </w:r>
      <w:r>
        <w:rPr/>
        <w:t>号广州国际金融中心主塔</w:t>
      </w:r>
      <w:r>
        <w:rPr>
          <w:rFonts w:ascii="Calibri" w:eastAsia="Calibri"/>
        </w:rPr>
        <w:t>19</w:t>
      </w:r>
      <w:r>
        <w:rPr/>
        <w:t>层、</w:t>
      </w:r>
      <w:r>
        <w:rPr>
          <w:rFonts w:ascii="Calibri" w:eastAsia="Calibri"/>
        </w:rPr>
        <w:t>20</w:t>
      </w:r>
      <w:r>
        <w:rPr/>
        <w:t>层法定代表人：胡伏云</w:t>
      </w:r>
    </w:p>
    <w:p>
      <w:pPr>
        <w:pStyle w:val="BodyText"/>
        <w:spacing w:line="417" w:lineRule="auto"/>
        <w:ind w:left="580" w:right="6898"/>
        <w:rPr>
          <w:rFonts w:ascii="Calibri" w:eastAsia="Calibri"/>
        </w:rPr>
      </w:pPr>
      <w:r>
        <w:rPr/>
        <w:t>电话：</w:t>
      </w:r>
      <w:r>
        <w:rPr>
          <w:rFonts w:ascii="Calibri" w:eastAsia="Calibri"/>
        </w:rPr>
        <w:t>020-88836999 </w:t>
      </w:r>
      <w:r>
        <w:rPr/>
        <w:t>传真：</w:t>
      </w:r>
      <w:r>
        <w:rPr>
          <w:rFonts w:ascii="Calibri" w:eastAsia="Calibri"/>
        </w:rPr>
        <w:t>020-88836984</w:t>
      </w:r>
    </w:p>
    <w:p>
      <w:pPr>
        <w:pStyle w:val="BodyText"/>
        <w:spacing w:line="269" w:lineRule="exact"/>
        <w:ind w:left="580"/>
      </w:pPr>
      <w:r>
        <w:rPr/>
        <w:t>联系人：陈靖</w:t>
      </w:r>
    </w:p>
    <w:p>
      <w:pPr>
        <w:pStyle w:val="BodyText"/>
        <w:spacing w:before="6"/>
        <w:rPr>
          <w:sz w:val="15"/>
        </w:rPr>
      </w:pPr>
    </w:p>
    <w:p>
      <w:pPr>
        <w:pStyle w:val="BodyText"/>
        <w:spacing w:line="417" w:lineRule="auto"/>
        <w:ind w:left="580" w:right="6663"/>
        <w:rPr>
          <w:rFonts w:ascii="Calibri" w:eastAsia="Calibri"/>
        </w:rPr>
      </w:pPr>
      <w:r>
        <w:rPr/>
        <w:t>网址：</w:t>
      </w:r>
      <w:hyperlink r:id="rId88">
        <w:r>
          <w:rPr>
            <w:rFonts w:ascii="Calibri" w:eastAsia="Calibri"/>
          </w:rPr>
          <w:t>www.gzs.com.cn </w:t>
        </w:r>
      </w:hyperlink>
      <w:r>
        <w:rPr/>
        <w:t>客户服务电话：</w:t>
      </w:r>
      <w:r>
        <w:rPr>
          <w:rFonts w:ascii="Calibri" w:eastAsia="Calibri"/>
        </w:rPr>
        <w:t>95548</w:t>
      </w:r>
    </w:p>
    <w:p>
      <w:pPr>
        <w:pStyle w:val="ListParagraph"/>
        <w:numPr>
          <w:ilvl w:val="0"/>
          <w:numId w:val="8"/>
        </w:numPr>
        <w:tabs>
          <w:tab w:pos="1218" w:val="left" w:leader="none"/>
        </w:tabs>
        <w:spacing w:line="417" w:lineRule="auto" w:before="0" w:after="0"/>
        <w:ind w:left="580" w:right="6025" w:firstLine="0"/>
        <w:jc w:val="left"/>
        <w:rPr>
          <w:sz w:val="21"/>
        </w:rPr>
      </w:pPr>
      <w:r>
        <w:rPr>
          <w:spacing w:val="-4"/>
          <w:sz w:val="21"/>
        </w:rPr>
        <w:t>东北证券股份有限公司</w:t>
      </w:r>
      <w:r>
        <w:rPr>
          <w:spacing w:val="-3"/>
          <w:sz w:val="21"/>
        </w:rPr>
        <w:t>住所：长春市生态大街</w:t>
      </w:r>
      <w:r>
        <w:rPr>
          <w:rFonts w:ascii="Calibri" w:eastAsia="Calibri"/>
          <w:sz w:val="21"/>
        </w:rPr>
        <w:t>6666</w:t>
      </w:r>
      <w:r>
        <w:rPr>
          <w:spacing w:val="-12"/>
          <w:sz w:val="21"/>
        </w:rPr>
        <w:t>号</w:t>
      </w:r>
    </w:p>
    <w:p>
      <w:pPr>
        <w:pStyle w:val="BodyText"/>
        <w:spacing w:line="417" w:lineRule="auto"/>
        <w:ind w:left="580" w:right="5605"/>
      </w:pPr>
      <w:r>
        <w:rPr/>
        <w:t>办公地址：长春市生态大街</w:t>
      </w:r>
      <w:r>
        <w:rPr>
          <w:rFonts w:ascii="Calibri" w:eastAsia="Calibri"/>
        </w:rPr>
        <w:t>6666</w:t>
      </w:r>
      <w:r>
        <w:rPr/>
        <w:t>号法定代表人：李福春</w:t>
      </w:r>
    </w:p>
    <w:p>
      <w:pPr>
        <w:pStyle w:val="BodyText"/>
        <w:spacing w:line="417" w:lineRule="auto"/>
        <w:ind w:left="580" w:right="6790"/>
        <w:rPr>
          <w:rFonts w:ascii="Calibri" w:eastAsia="Calibri"/>
        </w:rPr>
      </w:pPr>
      <w:r>
        <w:rPr/>
        <w:t>电话：</w:t>
      </w:r>
      <w:r>
        <w:rPr>
          <w:rFonts w:ascii="Calibri" w:eastAsia="Calibri"/>
        </w:rPr>
        <w:t>0431-85096517 </w:t>
      </w:r>
      <w:r>
        <w:rPr/>
        <w:t>传真：</w:t>
      </w:r>
      <w:r>
        <w:rPr>
          <w:rFonts w:ascii="Calibri" w:eastAsia="Calibri"/>
        </w:rPr>
        <w:t>0431-85096795</w:t>
      </w:r>
    </w:p>
    <w:p>
      <w:pPr>
        <w:pStyle w:val="BodyText"/>
        <w:spacing w:line="417" w:lineRule="auto"/>
        <w:ind w:left="580" w:right="6953"/>
        <w:rPr>
          <w:rFonts w:ascii="Calibri" w:eastAsia="Calibri"/>
        </w:rPr>
      </w:pPr>
      <w:r>
        <w:rPr/>
        <w:t>联系人：安岩岩 网址：</w:t>
      </w:r>
      <w:hyperlink r:id="rId89">
        <w:r>
          <w:rPr>
            <w:rFonts w:ascii="Calibri" w:eastAsia="Calibri"/>
          </w:rPr>
          <w:t>www.nesc.cn</w:t>
        </w:r>
      </w:hyperlink>
    </w:p>
    <w:p>
      <w:pPr>
        <w:pStyle w:val="BodyText"/>
        <w:ind w:left="580"/>
        <w:rPr>
          <w:rFonts w:ascii="Calibri" w:eastAsia="Calibri"/>
        </w:rPr>
      </w:pPr>
      <w:r>
        <w:rPr/>
        <w:t>客户服务电话：</w:t>
      </w:r>
      <w:r>
        <w:rPr>
          <w:rFonts w:ascii="Calibri" w:eastAsia="Calibri"/>
        </w:rPr>
        <w:t>95360</w:t>
      </w:r>
    </w:p>
    <w:p>
      <w:pPr>
        <w:pStyle w:val="BodyText"/>
        <w:spacing w:before="3"/>
        <w:rPr>
          <w:rFonts w:ascii="Calibri"/>
          <w:sz w:val="16"/>
        </w:rPr>
      </w:pPr>
    </w:p>
    <w:p>
      <w:pPr>
        <w:pStyle w:val="ListParagraph"/>
        <w:numPr>
          <w:ilvl w:val="0"/>
          <w:numId w:val="8"/>
        </w:numPr>
        <w:tabs>
          <w:tab w:pos="1218" w:val="left" w:leader="none"/>
        </w:tabs>
        <w:spacing w:line="240" w:lineRule="auto" w:before="0" w:after="0"/>
        <w:ind w:left="1217" w:right="0" w:hanging="638"/>
        <w:jc w:val="left"/>
        <w:rPr>
          <w:sz w:val="21"/>
        </w:rPr>
      </w:pPr>
      <w:r>
        <w:rPr>
          <w:spacing w:val="-3"/>
          <w:sz w:val="21"/>
        </w:rPr>
        <w:t>南京证券股份有限公司</w:t>
      </w:r>
    </w:p>
    <w:p>
      <w:pPr>
        <w:pStyle w:val="BodyText"/>
        <w:spacing w:before="7"/>
        <w:rPr>
          <w:sz w:val="15"/>
        </w:rPr>
      </w:pPr>
    </w:p>
    <w:p>
      <w:pPr>
        <w:pStyle w:val="BodyText"/>
        <w:ind w:left="580"/>
      </w:pPr>
      <w:r>
        <w:rPr/>
        <w:t>住所：江苏省南京市江东中路</w:t>
      </w:r>
      <w:r>
        <w:rPr>
          <w:rFonts w:ascii="Calibri" w:eastAsia="Calibri"/>
        </w:rPr>
        <w:t>389</w:t>
      </w:r>
      <w:r>
        <w:rPr/>
        <w:t>号</w:t>
      </w:r>
    </w:p>
    <w:p>
      <w:pPr>
        <w:pStyle w:val="BodyText"/>
        <w:spacing w:before="6"/>
        <w:rPr>
          <w:sz w:val="15"/>
        </w:rPr>
      </w:pPr>
    </w:p>
    <w:p>
      <w:pPr>
        <w:pStyle w:val="BodyText"/>
        <w:spacing w:line="417" w:lineRule="auto" w:before="1"/>
        <w:ind w:left="580" w:right="5079"/>
      </w:pPr>
      <w:r>
        <w:rPr/>
        <w:t>办公地址：江苏省南京市江东中路</w:t>
      </w:r>
      <w:r>
        <w:rPr>
          <w:rFonts w:ascii="Calibri" w:eastAsia="Calibri"/>
        </w:rPr>
        <w:t>389</w:t>
      </w:r>
      <w:r>
        <w:rPr/>
        <w:t>号法定代表人：李剑锋</w:t>
      </w:r>
    </w:p>
    <w:p>
      <w:pPr>
        <w:pStyle w:val="BodyText"/>
        <w:spacing w:line="417" w:lineRule="auto"/>
        <w:ind w:left="580" w:right="6898"/>
        <w:rPr>
          <w:rFonts w:ascii="Calibri" w:eastAsia="Calibri"/>
        </w:rPr>
      </w:pPr>
      <w:r>
        <w:rPr/>
        <w:t>电话：</w:t>
      </w:r>
      <w:r>
        <w:rPr>
          <w:rFonts w:ascii="Calibri" w:eastAsia="Calibri"/>
        </w:rPr>
        <w:t>025-58519523 </w:t>
      </w:r>
      <w:r>
        <w:rPr/>
        <w:t>传真：</w:t>
      </w:r>
      <w:r>
        <w:rPr>
          <w:rFonts w:ascii="Calibri" w:eastAsia="Calibri"/>
        </w:rPr>
        <w:t>025-83369725</w:t>
      </w:r>
    </w:p>
    <w:p>
      <w:pPr>
        <w:pStyle w:val="BodyText"/>
        <w:ind w:left="580"/>
      </w:pPr>
      <w:r>
        <w:rPr/>
        <w:t>联系人：王万君</w:t>
      </w:r>
    </w:p>
    <w:p>
      <w:pPr>
        <w:spacing w:after="0"/>
        <w:sectPr>
          <w:pgSz w:w="11910" w:h="16840"/>
          <w:pgMar w:header="877" w:footer="995" w:top="1420" w:bottom="1180" w:left="1640" w:right="920"/>
        </w:sectPr>
      </w:pPr>
    </w:p>
    <w:p>
      <w:pPr>
        <w:pStyle w:val="BodyText"/>
        <w:spacing w:line="417" w:lineRule="auto" w:before="110"/>
        <w:ind w:left="580" w:right="6575"/>
        <w:rPr>
          <w:rFonts w:ascii="Calibri" w:eastAsia="Calibri"/>
        </w:rPr>
      </w:pPr>
      <w:r>
        <w:rPr/>
        <w:t>网址：</w:t>
      </w:r>
      <w:hyperlink r:id="rId90">
        <w:r>
          <w:rPr>
            <w:rFonts w:ascii="Calibri" w:eastAsia="Calibri"/>
          </w:rPr>
          <w:t>www.njzq.com.cn </w:t>
        </w:r>
      </w:hyperlink>
      <w:r>
        <w:rPr/>
        <w:t>客户服务电话：</w:t>
      </w:r>
      <w:r>
        <w:rPr>
          <w:rFonts w:ascii="Calibri" w:eastAsia="Calibri"/>
        </w:rPr>
        <w:t>95386</w:t>
      </w:r>
    </w:p>
    <w:p>
      <w:pPr>
        <w:pStyle w:val="ListParagraph"/>
        <w:numPr>
          <w:ilvl w:val="0"/>
          <w:numId w:val="8"/>
        </w:numPr>
        <w:tabs>
          <w:tab w:pos="1218" w:val="left" w:leader="none"/>
        </w:tabs>
        <w:spacing w:line="417" w:lineRule="auto" w:before="0" w:after="0"/>
        <w:ind w:left="580" w:right="6027" w:firstLine="0"/>
        <w:jc w:val="left"/>
        <w:rPr>
          <w:sz w:val="21"/>
        </w:rPr>
      </w:pPr>
      <w:r>
        <w:rPr>
          <w:spacing w:val="-4"/>
          <w:sz w:val="21"/>
        </w:rPr>
        <w:t>上海证券有限责任公司</w:t>
      </w:r>
      <w:r>
        <w:rPr>
          <w:spacing w:val="-3"/>
          <w:sz w:val="21"/>
        </w:rPr>
        <w:t>住所：上海市西藏中路</w:t>
      </w:r>
      <w:r>
        <w:rPr>
          <w:rFonts w:ascii="Calibri" w:eastAsia="Calibri"/>
          <w:sz w:val="21"/>
        </w:rPr>
        <w:t>336</w:t>
      </w:r>
      <w:r>
        <w:rPr>
          <w:sz w:val="21"/>
        </w:rPr>
        <w:t>号</w:t>
      </w:r>
    </w:p>
    <w:p>
      <w:pPr>
        <w:pStyle w:val="BodyText"/>
        <w:spacing w:line="417" w:lineRule="auto"/>
        <w:ind w:left="580" w:right="5710"/>
      </w:pPr>
      <w:r>
        <w:rPr/>
        <w:t>办公地址：上海市西藏中路</w:t>
      </w:r>
      <w:r>
        <w:rPr>
          <w:rFonts w:ascii="Calibri" w:eastAsia="Calibri"/>
        </w:rPr>
        <w:t>336</w:t>
      </w:r>
      <w:r>
        <w:rPr/>
        <w:t>号法定代表人：龚德雄</w:t>
      </w:r>
    </w:p>
    <w:p>
      <w:pPr>
        <w:pStyle w:val="BodyText"/>
        <w:spacing w:line="417" w:lineRule="auto"/>
        <w:ind w:left="580" w:right="6898"/>
        <w:rPr>
          <w:rFonts w:ascii="Calibri" w:eastAsia="Calibri"/>
        </w:rPr>
      </w:pPr>
      <w:r>
        <w:rPr/>
        <w:t>电话：</w:t>
      </w:r>
      <w:r>
        <w:rPr>
          <w:rFonts w:ascii="Calibri" w:eastAsia="Calibri"/>
        </w:rPr>
        <w:t>021-51539888 </w:t>
      </w:r>
      <w:r>
        <w:rPr/>
        <w:t>传真：</w:t>
      </w:r>
      <w:r>
        <w:rPr>
          <w:rFonts w:ascii="Calibri" w:eastAsia="Calibri"/>
        </w:rPr>
        <w:t>021-65217206</w:t>
      </w:r>
    </w:p>
    <w:p>
      <w:pPr>
        <w:pStyle w:val="BodyText"/>
        <w:ind w:left="580"/>
      </w:pPr>
      <w:r>
        <w:rPr/>
        <w:t>联系人：张瑾</w:t>
      </w:r>
    </w:p>
    <w:p>
      <w:pPr>
        <w:pStyle w:val="BodyText"/>
        <w:spacing w:before="6"/>
        <w:rPr>
          <w:sz w:val="15"/>
        </w:rPr>
      </w:pPr>
    </w:p>
    <w:p>
      <w:pPr>
        <w:pStyle w:val="BodyText"/>
        <w:ind w:left="580"/>
        <w:rPr>
          <w:rFonts w:ascii="Calibri" w:eastAsia="Calibri"/>
        </w:rPr>
      </w:pPr>
      <w:r>
        <w:rPr/>
        <w:t>网址：</w:t>
      </w:r>
      <w:hyperlink r:id="rId91">
        <w:r>
          <w:rPr>
            <w:rFonts w:ascii="Calibri" w:eastAsia="Calibri"/>
          </w:rPr>
          <w:t>www.962518.com</w:t>
        </w:r>
      </w:hyperlink>
    </w:p>
    <w:p>
      <w:pPr>
        <w:pStyle w:val="BodyText"/>
        <w:spacing w:before="3"/>
        <w:rPr>
          <w:rFonts w:ascii="Calibri"/>
          <w:sz w:val="16"/>
        </w:rPr>
      </w:pPr>
    </w:p>
    <w:p>
      <w:pPr>
        <w:pStyle w:val="BodyText"/>
        <w:ind w:left="580"/>
        <w:rPr>
          <w:rFonts w:ascii="Calibri" w:eastAsia="Calibri"/>
        </w:rPr>
      </w:pPr>
      <w:r>
        <w:rPr/>
        <w:t>客户服务电话：</w:t>
      </w:r>
      <w:r>
        <w:rPr>
          <w:rFonts w:ascii="Calibri" w:eastAsia="Calibri"/>
        </w:rPr>
        <w:t>400-891-8918</w:t>
      </w:r>
    </w:p>
    <w:p>
      <w:pPr>
        <w:pStyle w:val="BodyText"/>
        <w:spacing w:before="4"/>
        <w:rPr>
          <w:rFonts w:ascii="Calibri"/>
          <w:sz w:val="16"/>
        </w:rPr>
      </w:pPr>
    </w:p>
    <w:p>
      <w:pPr>
        <w:pStyle w:val="ListParagraph"/>
        <w:numPr>
          <w:ilvl w:val="0"/>
          <w:numId w:val="8"/>
        </w:numPr>
        <w:tabs>
          <w:tab w:pos="1218" w:val="left" w:leader="none"/>
        </w:tabs>
        <w:spacing w:line="240" w:lineRule="auto" w:before="0" w:after="0"/>
        <w:ind w:left="1217" w:right="0" w:hanging="638"/>
        <w:jc w:val="left"/>
        <w:rPr>
          <w:sz w:val="21"/>
        </w:rPr>
      </w:pPr>
      <w:r>
        <w:rPr>
          <w:spacing w:val="-3"/>
          <w:sz w:val="21"/>
        </w:rPr>
        <w:t>新时代证券股份有限公司</w:t>
      </w:r>
    </w:p>
    <w:p>
      <w:pPr>
        <w:pStyle w:val="BodyText"/>
        <w:spacing w:before="7"/>
        <w:rPr>
          <w:sz w:val="15"/>
        </w:rPr>
      </w:pPr>
    </w:p>
    <w:p>
      <w:pPr>
        <w:pStyle w:val="BodyText"/>
        <w:ind w:left="580"/>
        <w:rPr>
          <w:rFonts w:ascii="Calibri" w:eastAsia="Calibri"/>
        </w:rPr>
      </w:pPr>
      <w:r>
        <w:rPr/>
        <w:t>住所：北京市海淀区北三环西路</w:t>
      </w:r>
      <w:r>
        <w:rPr>
          <w:rFonts w:ascii="Calibri" w:eastAsia="Calibri"/>
        </w:rPr>
        <w:t>99</w:t>
      </w:r>
      <w:r>
        <w:rPr/>
        <w:t>号院</w:t>
      </w:r>
      <w:r>
        <w:rPr>
          <w:rFonts w:ascii="Calibri" w:eastAsia="Calibri"/>
        </w:rPr>
        <w:t>1</w:t>
      </w:r>
      <w:r>
        <w:rPr/>
        <w:t>号楼</w:t>
      </w:r>
      <w:r>
        <w:rPr>
          <w:rFonts w:ascii="Calibri" w:eastAsia="Calibri"/>
        </w:rPr>
        <w:t>15</w:t>
      </w:r>
      <w:r>
        <w:rPr/>
        <w:t>层</w:t>
      </w:r>
      <w:r>
        <w:rPr>
          <w:rFonts w:ascii="Calibri" w:eastAsia="Calibri"/>
        </w:rPr>
        <w:t>1501</w:t>
      </w:r>
    </w:p>
    <w:p>
      <w:pPr>
        <w:pStyle w:val="BodyText"/>
        <w:spacing w:before="3"/>
        <w:rPr>
          <w:rFonts w:ascii="Calibri"/>
          <w:sz w:val="16"/>
        </w:rPr>
      </w:pPr>
    </w:p>
    <w:p>
      <w:pPr>
        <w:pStyle w:val="BodyText"/>
        <w:spacing w:line="417" w:lineRule="auto"/>
        <w:ind w:left="580" w:right="3393"/>
      </w:pPr>
      <w:r>
        <w:rPr/>
        <w:t>办公地址：北京市海淀区北三环西路</w:t>
      </w:r>
      <w:r>
        <w:rPr>
          <w:rFonts w:ascii="Calibri" w:eastAsia="Calibri"/>
        </w:rPr>
        <w:t>99</w:t>
      </w:r>
      <w:r>
        <w:rPr/>
        <w:t>号院</w:t>
      </w:r>
      <w:r>
        <w:rPr>
          <w:rFonts w:ascii="Calibri" w:eastAsia="Calibri"/>
        </w:rPr>
        <w:t>1</w:t>
      </w:r>
      <w:r>
        <w:rPr/>
        <w:t>号楼</w:t>
      </w:r>
      <w:r>
        <w:rPr>
          <w:rFonts w:ascii="Calibri" w:eastAsia="Calibri"/>
        </w:rPr>
        <w:t>15</w:t>
      </w:r>
      <w:r>
        <w:rPr/>
        <w:t>层</w:t>
      </w:r>
      <w:r>
        <w:rPr>
          <w:rFonts w:ascii="Calibri" w:eastAsia="Calibri"/>
        </w:rPr>
        <w:t>1501 </w:t>
      </w:r>
      <w:r>
        <w:rPr/>
        <w:t>法定代表人：林雯</w:t>
      </w:r>
    </w:p>
    <w:p>
      <w:pPr>
        <w:pStyle w:val="BodyText"/>
        <w:spacing w:line="417" w:lineRule="auto"/>
        <w:ind w:left="580" w:right="6898"/>
        <w:rPr>
          <w:rFonts w:ascii="Calibri" w:eastAsia="Calibri"/>
        </w:rPr>
      </w:pPr>
      <w:r>
        <w:rPr/>
        <w:t>电话：</w:t>
      </w:r>
      <w:r>
        <w:rPr>
          <w:rFonts w:ascii="Calibri" w:eastAsia="Calibri"/>
        </w:rPr>
        <w:t>010-83561146 </w:t>
      </w:r>
      <w:r>
        <w:rPr/>
        <w:t>传真：</w:t>
      </w:r>
      <w:r>
        <w:rPr>
          <w:rFonts w:ascii="Calibri" w:eastAsia="Calibri"/>
        </w:rPr>
        <w:t>010-83561094</w:t>
      </w:r>
    </w:p>
    <w:p>
      <w:pPr>
        <w:pStyle w:val="BodyText"/>
        <w:spacing w:line="269" w:lineRule="exact"/>
        <w:ind w:left="580"/>
      </w:pPr>
      <w:r>
        <w:rPr/>
        <w:t>联系人：田芳芳</w:t>
      </w:r>
    </w:p>
    <w:p>
      <w:pPr>
        <w:pStyle w:val="BodyText"/>
        <w:spacing w:before="7"/>
        <w:rPr>
          <w:sz w:val="15"/>
        </w:rPr>
      </w:pPr>
    </w:p>
    <w:p>
      <w:pPr>
        <w:pStyle w:val="BodyText"/>
        <w:spacing w:line="417" w:lineRule="auto"/>
        <w:ind w:left="580" w:right="6761"/>
        <w:rPr>
          <w:rFonts w:ascii="Calibri" w:eastAsia="Calibri"/>
        </w:rPr>
      </w:pPr>
      <w:r>
        <w:rPr/>
        <w:t>网址：</w:t>
      </w:r>
      <w:hyperlink r:id="rId92">
        <w:r>
          <w:rPr>
            <w:rFonts w:ascii="Calibri" w:eastAsia="Calibri"/>
          </w:rPr>
          <w:t>www.xsdzq.cn </w:t>
        </w:r>
      </w:hyperlink>
      <w:r>
        <w:rPr/>
        <w:t>客户服务电话：</w:t>
      </w:r>
      <w:r>
        <w:rPr>
          <w:rFonts w:ascii="Calibri" w:eastAsia="Calibri"/>
        </w:rPr>
        <w:t>95399</w:t>
      </w:r>
    </w:p>
    <w:p>
      <w:pPr>
        <w:pStyle w:val="ListParagraph"/>
        <w:numPr>
          <w:ilvl w:val="0"/>
          <w:numId w:val="8"/>
        </w:numPr>
        <w:tabs>
          <w:tab w:pos="1218" w:val="left" w:leader="none"/>
        </w:tabs>
        <w:spacing w:line="269" w:lineRule="exact" w:before="0" w:after="0"/>
        <w:ind w:left="1217" w:right="0" w:hanging="638"/>
        <w:jc w:val="left"/>
        <w:rPr>
          <w:sz w:val="21"/>
        </w:rPr>
      </w:pPr>
      <w:r>
        <w:rPr>
          <w:spacing w:val="-3"/>
          <w:sz w:val="21"/>
        </w:rPr>
        <w:t>大同证券有限责任公司</w:t>
      </w:r>
    </w:p>
    <w:p>
      <w:pPr>
        <w:pStyle w:val="BodyText"/>
        <w:spacing w:before="7"/>
        <w:rPr>
          <w:sz w:val="15"/>
        </w:rPr>
      </w:pPr>
    </w:p>
    <w:p>
      <w:pPr>
        <w:pStyle w:val="BodyText"/>
        <w:ind w:left="580"/>
      </w:pPr>
      <w:r>
        <w:rPr>
          <w:spacing w:val="-3"/>
        </w:rPr>
        <w:t>住所：大同市城区迎宾街</w:t>
      </w:r>
      <w:r>
        <w:rPr>
          <w:rFonts w:ascii="Calibri" w:eastAsia="Calibri"/>
        </w:rPr>
        <w:t>15</w:t>
      </w:r>
      <w:r>
        <w:rPr>
          <w:spacing w:val="-3"/>
        </w:rPr>
        <w:t>号桐城中央</w:t>
      </w:r>
      <w:r>
        <w:rPr>
          <w:rFonts w:ascii="Calibri" w:eastAsia="Calibri"/>
        </w:rPr>
        <w:t>21</w:t>
      </w:r>
      <w:r>
        <w:rPr/>
        <w:t>层</w:t>
      </w:r>
    </w:p>
    <w:p>
      <w:pPr>
        <w:pStyle w:val="BodyText"/>
        <w:spacing w:before="7"/>
        <w:rPr>
          <w:sz w:val="15"/>
        </w:rPr>
      </w:pPr>
    </w:p>
    <w:p>
      <w:pPr>
        <w:pStyle w:val="BodyText"/>
        <w:spacing w:line="417" w:lineRule="auto"/>
        <w:ind w:left="580" w:right="2873"/>
      </w:pPr>
      <w:r>
        <w:rPr/>
        <w:t>办公地址：山西省太原市长治路</w:t>
      </w:r>
      <w:r>
        <w:rPr>
          <w:rFonts w:ascii="Calibri" w:eastAsia="Calibri"/>
        </w:rPr>
        <w:t>111</w:t>
      </w:r>
      <w:r>
        <w:rPr/>
        <w:t>号山西世贸中心</w:t>
      </w:r>
      <w:r>
        <w:rPr>
          <w:rFonts w:ascii="Calibri" w:eastAsia="Calibri"/>
        </w:rPr>
        <w:t>A</w:t>
      </w:r>
      <w:r>
        <w:rPr/>
        <w:t>座</w:t>
      </w:r>
      <w:r>
        <w:rPr>
          <w:rFonts w:ascii="Calibri" w:eastAsia="Calibri"/>
        </w:rPr>
        <w:t>F12</w:t>
      </w:r>
      <w:r>
        <w:rPr/>
        <w:t>、</w:t>
      </w:r>
      <w:r>
        <w:rPr>
          <w:rFonts w:ascii="Calibri" w:eastAsia="Calibri"/>
        </w:rPr>
        <w:t>F13 </w:t>
      </w:r>
      <w:r>
        <w:rPr/>
        <w:t>法定代表人：董祥</w:t>
      </w:r>
    </w:p>
    <w:p>
      <w:pPr>
        <w:pStyle w:val="BodyText"/>
        <w:spacing w:line="417" w:lineRule="auto"/>
        <w:ind w:left="580" w:right="6898"/>
        <w:rPr>
          <w:rFonts w:ascii="Calibri" w:eastAsia="Calibri"/>
        </w:rPr>
      </w:pPr>
      <w:r>
        <w:rPr/>
        <w:t>电话：</w:t>
      </w:r>
      <w:r>
        <w:rPr>
          <w:rFonts w:ascii="Calibri" w:eastAsia="Calibri"/>
        </w:rPr>
        <w:t>0351-4130322 </w:t>
      </w:r>
      <w:r>
        <w:rPr/>
        <w:t>传真：</w:t>
      </w:r>
      <w:r>
        <w:rPr>
          <w:rFonts w:ascii="Calibri" w:eastAsia="Calibri"/>
        </w:rPr>
        <w:t>0351-4192803</w:t>
      </w:r>
    </w:p>
    <w:p>
      <w:pPr>
        <w:pStyle w:val="BodyText"/>
        <w:spacing w:line="269" w:lineRule="exact"/>
        <w:ind w:left="580"/>
      </w:pPr>
      <w:r>
        <w:rPr/>
        <w:t>联系人：薛津</w:t>
      </w:r>
    </w:p>
    <w:p>
      <w:pPr>
        <w:pStyle w:val="BodyText"/>
        <w:spacing w:before="6"/>
        <w:rPr>
          <w:sz w:val="15"/>
        </w:rPr>
      </w:pPr>
    </w:p>
    <w:p>
      <w:pPr>
        <w:pStyle w:val="BodyText"/>
        <w:spacing w:before="1"/>
        <w:ind w:left="580"/>
        <w:rPr>
          <w:rFonts w:ascii="Calibri" w:eastAsia="Calibri"/>
        </w:rPr>
      </w:pPr>
      <w:r>
        <w:rPr/>
        <w:t>网址：</w:t>
      </w:r>
      <w:hyperlink r:id="rId93">
        <w:r>
          <w:rPr>
            <w:rFonts w:ascii="Calibri" w:eastAsia="Calibri"/>
          </w:rPr>
          <w:t>www.dtsbc.com.cn</w:t>
        </w:r>
      </w:hyperlink>
    </w:p>
    <w:p>
      <w:pPr>
        <w:pStyle w:val="BodyText"/>
        <w:spacing w:before="3"/>
        <w:rPr>
          <w:rFonts w:ascii="Calibri"/>
          <w:sz w:val="16"/>
        </w:rPr>
      </w:pPr>
    </w:p>
    <w:p>
      <w:pPr>
        <w:pStyle w:val="BodyText"/>
        <w:spacing w:before="1"/>
        <w:ind w:left="580"/>
        <w:rPr>
          <w:rFonts w:ascii="Calibri" w:eastAsia="Calibri"/>
        </w:rPr>
      </w:pPr>
      <w:r>
        <w:rPr/>
        <w:t>客户服务电话：</w:t>
      </w:r>
      <w:r>
        <w:rPr>
          <w:rFonts w:ascii="Calibri" w:eastAsia="Calibri"/>
        </w:rPr>
        <w:t>400-712-1212</w:t>
      </w:r>
    </w:p>
    <w:p>
      <w:pPr>
        <w:pStyle w:val="BodyText"/>
        <w:spacing w:before="3"/>
        <w:rPr>
          <w:rFonts w:ascii="Calibri"/>
          <w:sz w:val="16"/>
        </w:rPr>
      </w:pPr>
    </w:p>
    <w:p>
      <w:pPr>
        <w:pStyle w:val="ListParagraph"/>
        <w:numPr>
          <w:ilvl w:val="0"/>
          <w:numId w:val="8"/>
        </w:numPr>
        <w:tabs>
          <w:tab w:pos="1218" w:val="left" w:leader="none"/>
        </w:tabs>
        <w:spacing w:line="240" w:lineRule="auto" w:before="0" w:after="0"/>
        <w:ind w:left="1217" w:right="0" w:hanging="638"/>
        <w:jc w:val="left"/>
        <w:rPr>
          <w:sz w:val="21"/>
        </w:rPr>
      </w:pPr>
      <w:r>
        <w:rPr>
          <w:spacing w:val="-3"/>
          <w:sz w:val="21"/>
        </w:rPr>
        <w:t>国联证券股份有限公司</w:t>
      </w:r>
    </w:p>
    <w:p>
      <w:pPr>
        <w:spacing w:after="0" w:line="240" w:lineRule="auto"/>
        <w:jc w:val="left"/>
        <w:rPr>
          <w:sz w:val="21"/>
        </w:rPr>
        <w:sectPr>
          <w:pgSz w:w="11910" w:h="16840"/>
          <w:pgMar w:header="877" w:footer="995" w:top="1420" w:bottom="1180" w:left="1640" w:right="920"/>
        </w:sectPr>
      </w:pPr>
    </w:p>
    <w:p>
      <w:pPr>
        <w:pStyle w:val="BodyText"/>
        <w:spacing w:before="110"/>
        <w:ind w:left="580"/>
      </w:pPr>
      <w:r>
        <w:rPr/>
        <w:t>住所：无锡市太湖新城金融一街</w:t>
      </w:r>
      <w:r>
        <w:rPr>
          <w:rFonts w:ascii="Calibri" w:eastAsia="Calibri"/>
        </w:rPr>
        <w:t>8</w:t>
      </w:r>
      <w:r>
        <w:rPr/>
        <w:t>号国联金融大厦</w:t>
      </w:r>
    </w:p>
    <w:p>
      <w:pPr>
        <w:pStyle w:val="BodyText"/>
        <w:spacing w:before="6"/>
        <w:rPr>
          <w:sz w:val="15"/>
        </w:rPr>
      </w:pPr>
    </w:p>
    <w:p>
      <w:pPr>
        <w:pStyle w:val="BodyText"/>
        <w:spacing w:line="417" w:lineRule="auto"/>
        <w:ind w:left="580" w:right="3823"/>
      </w:pPr>
      <w:r>
        <w:rPr/>
        <w:t>办公地址：无锡市太湖新城金融一街</w:t>
      </w:r>
      <w:r>
        <w:rPr>
          <w:rFonts w:ascii="Calibri" w:eastAsia="Calibri"/>
        </w:rPr>
        <w:t>8</w:t>
      </w:r>
      <w:r>
        <w:rPr/>
        <w:t>号国联金融大厦法定代表人：姚志勇</w:t>
      </w:r>
    </w:p>
    <w:p>
      <w:pPr>
        <w:pStyle w:val="BodyText"/>
        <w:spacing w:line="417" w:lineRule="auto"/>
        <w:ind w:left="580" w:right="6790"/>
        <w:rPr>
          <w:rFonts w:ascii="Calibri" w:eastAsia="Calibri"/>
        </w:rPr>
      </w:pPr>
      <w:r>
        <w:rPr/>
        <w:t>电话：</w:t>
      </w:r>
      <w:r>
        <w:rPr>
          <w:rFonts w:ascii="Calibri" w:eastAsia="Calibri"/>
        </w:rPr>
        <w:t>0510-82831662 </w:t>
      </w:r>
      <w:r>
        <w:rPr/>
        <w:t>传真：</w:t>
      </w:r>
      <w:r>
        <w:rPr>
          <w:rFonts w:ascii="Calibri" w:eastAsia="Calibri"/>
        </w:rPr>
        <w:t>0510-82830162</w:t>
      </w:r>
    </w:p>
    <w:p>
      <w:pPr>
        <w:pStyle w:val="BodyText"/>
        <w:spacing w:line="269" w:lineRule="exact"/>
        <w:ind w:left="580"/>
      </w:pPr>
      <w:r>
        <w:rPr/>
        <w:t>联系人：祁昊</w:t>
      </w:r>
    </w:p>
    <w:p>
      <w:pPr>
        <w:pStyle w:val="BodyText"/>
        <w:spacing w:before="7"/>
        <w:rPr>
          <w:sz w:val="15"/>
        </w:rPr>
      </w:pPr>
    </w:p>
    <w:p>
      <w:pPr>
        <w:pStyle w:val="BodyText"/>
        <w:spacing w:line="417" w:lineRule="auto"/>
        <w:ind w:left="580" w:right="6608"/>
        <w:rPr>
          <w:rFonts w:ascii="Calibri" w:eastAsia="Calibri"/>
        </w:rPr>
      </w:pPr>
      <w:r>
        <w:rPr/>
        <w:t>网址：</w:t>
      </w:r>
      <w:hyperlink r:id="rId94">
        <w:r>
          <w:rPr>
            <w:rFonts w:ascii="Calibri" w:eastAsia="Calibri"/>
          </w:rPr>
          <w:t>www.glsc.com.cn </w:t>
        </w:r>
      </w:hyperlink>
      <w:r>
        <w:rPr/>
        <w:t>客户服务电话：</w:t>
      </w:r>
      <w:r>
        <w:rPr>
          <w:rFonts w:ascii="Calibri" w:eastAsia="Calibri"/>
        </w:rPr>
        <w:t>95570</w:t>
      </w:r>
    </w:p>
    <w:p>
      <w:pPr>
        <w:pStyle w:val="ListParagraph"/>
        <w:numPr>
          <w:ilvl w:val="0"/>
          <w:numId w:val="8"/>
        </w:numPr>
        <w:tabs>
          <w:tab w:pos="1218" w:val="left" w:leader="none"/>
        </w:tabs>
        <w:spacing w:line="240" w:lineRule="auto" w:before="0" w:after="0"/>
        <w:ind w:left="1217" w:right="0" w:hanging="638"/>
        <w:jc w:val="left"/>
        <w:rPr>
          <w:sz w:val="21"/>
        </w:rPr>
      </w:pPr>
      <w:r>
        <w:rPr>
          <w:spacing w:val="-3"/>
          <w:sz w:val="21"/>
        </w:rPr>
        <w:t>浙商证券股份有限公司</w:t>
      </w:r>
    </w:p>
    <w:p>
      <w:pPr>
        <w:pStyle w:val="BodyText"/>
        <w:spacing w:before="7"/>
        <w:rPr>
          <w:sz w:val="15"/>
        </w:rPr>
      </w:pPr>
    </w:p>
    <w:p>
      <w:pPr>
        <w:pStyle w:val="BodyText"/>
        <w:ind w:left="580"/>
      </w:pPr>
      <w:r>
        <w:rPr/>
        <w:t>住所：杭州市江干区五星路</w:t>
      </w:r>
      <w:r>
        <w:rPr>
          <w:rFonts w:ascii="Calibri" w:eastAsia="Calibri"/>
        </w:rPr>
        <w:t>201</w:t>
      </w:r>
      <w:r>
        <w:rPr/>
        <w:t>号</w:t>
      </w:r>
    </w:p>
    <w:p>
      <w:pPr>
        <w:pStyle w:val="BodyText"/>
        <w:spacing w:before="6"/>
        <w:rPr>
          <w:sz w:val="15"/>
        </w:rPr>
      </w:pPr>
    </w:p>
    <w:p>
      <w:pPr>
        <w:pStyle w:val="BodyText"/>
        <w:spacing w:line="417" w:lineRule="auto" w:before="1"/>
        <w:ind w:left="580" w:right="3713"/>
      </w:pPr>
      <w:r>
        <w:rPr/>
        <w:t>办公地址：杭州市江干区五星路</w:t>
      </w:r>
      <w:r>
        <w:rPr>
          <w:rFonts w:ascii="Calibri" w:eastAsia="Calibri"/>
        </w:rPr>
        <w:t>201</w:t>
      </w:r>
      <w:r>
        <w:rPr/>
        <w:t>号浙商证券大楼</w:t>
      </w:r>
      <w:r>
        <w:rPr>
          <w:rFonts w:ascii="Calibri" w:eastAsia="Calibri"/>
        </w:rPr>
        <w:t>8</w:t>
      </w:r>
      <w:r>
        <w:rPr/>
        <w:t>楼法定代表人：吴承根</w:t>
      </w:r>
    </w:p>
    <w:p>
      <w:pPr>
        <w:pStyle w:val="BodyText"/>
        <w:spacing w:line="417" w:lineRule="auto"/>
        <w:ind w:left="580" w:right="6790"/>
        <w:rPr>
          <w:rFonts w:ascii="Calibri" w:eastAsia="Calibri"/>
        </w:rPr>
      </w:pPr>
      <w:r>
        <w:rPr/>
        <w:t>电话：</w:t>
      </w:r>
      <w:r>
        <w:rPr>
          <w:rFonts w:ascii="Calibri" w:eastAsia="Calibri"/>
        </w:rPr>
        <w:t>0571-87901053 </w:t>
      </w:r>
      <w:r>
        <w:rPr/>
        <w:t>传真：</w:t>
      </w:r>
      <w:r>
        <w:rPr>
          <w:rFonts w:ascii="Calibri" w:eastAsia="Calibri"/>
        </w:rPr>
        <w:t>0571-87901913</w:t>
      </w:r>
    </w:p>
    <w:p>
      <w:pPr>
        <w:pStyle w:val="BodyText"/>
        <w:ind w:left="580"/>
      </w:pPr>
      <w:r>
        <w:rPr/>
        <w:t>联系人：谢相辉</w:t>
      </w:r>
    </w:p>
    <w:p>
      <w:pPr>
        <w:pStyle w:val="BodyText"/>
        <w:spacing w:before="6"/>
        <w:rPr>
          <w:sz w:val="15"/>
        </w:rPr>
      </w:pPr>
    </w:p>
    <w:p>
      <w:pPr>
        <w:pStyle w:val="BodyText"/>
        <w:spacing w:line="417" w:lineRule="auto"/>
        <w:ind w:left="580" w:right="6381"/>
        <w:rPr>
          <w:rFonts w:ascii="Calibri" w:eastAsia="Calibri"/>
        </w:rPr>
      </w:pPr>
      <w:r>
        <w:rPr/>
        <w:t>网址：</w:t>
      </w:r>
      <w:hyperlink r:id="rId95">
        <w:r>
          <w:rPr>
            <w:rFonts w:ascii="Calibri" w:eastAsia="Calibri"/>
          </w:rPr>
          <w:t>www.stocke.com.cn </w:t>
        </w:r>
      </w:hyperlink>
      <w:r>
        <w:rPr/>
        <w:t>客户服务电话：</w:t>
      </w:r>
      <w:r>
        <w:rPr>
          <w:rFonts w:ascii="Calibri" w:eastAsia="Calibri"/>
        </w:rPr>
        <w:t>95345</w:t>
      </w:r>
    </w:p>
    <w:p>
      <w:pPr>
        <w:pStyle w:val="ListParagraph"/>
        <w:numPr>
          <w:ilvl w:val="0"/>
          <w:numId w:val="8"/>
        </w:numPr>
        <w:tabs>
          <w:tab w:pos="1218" w:val="left" w:leader="none"/>
        </w:tabs>
        <w:spacing w:line="269" w:lineRule="exact" w:before="0" w:after="0"/>
        <w:ind w:left="1217" w:right="0" w:hanging="638"/>
        <w:jc w:val="left"/>
        <w:rPr>
          <w:sz w:val="21"/>
        </w:rPr>
      </w:pPr>
      <w:r>
        <w:rPr>
          <w:spacing w:val="-3"/>
          <w:sz w:val="21"/>
        </w:rPr>
        <w:t>平安证券股份有限公司</w:t>
      </w:r>
    </w:p>
    <w:p>
      <w:pPr>
        <w:pStyle w:val="BodyText"/>
        <w:spacing w:before="7"/>
        <w:rPr>
          <w:sz w:val="15"/>
        </w:rPr>
      </w:pPr>
    </w:p>
    <w:p>
      <w:pPr>
        <w:pStyle w:val="BodyText"/>
        <w:spacing w:line="417" w:lineRule="auto"/>
        <w:ind w:left="580" w:right="2268"/>
      </w:pPr>
      <w:r>
        <w:rPr/>
        <w:t>住所：深圳市福田区福田街道益田路</w:t>
      </w:r>
      <w:r>
        <w:rPr>
          <w:rFonts w:ascii="Calibri" w:eastAsia="Calibri"/>
        </w:rPr>
        <w:t>5023</w:t>
      </w:r>
      <w:r>
        <w:rPr/>
        <w:t>号平安金融中心</w:t>
      </w:r>
      <w:r>
        <w:rPr>
          <w:rFonts w:ascii="Calibri" w:eastAsia="Calibri"/>
        </w:rPr>
        <w:t>B</w:t>
      </w:r>
      <w:r>
        <w:rPr/>
        <w:t>座第</w:t>
      </w:r>
      <w:r>
        <w:rPr>
          <w:rFonts w:ascii="Calibri" w:eastAsia="Calibri"/>
        </w:rPr>
        <w:t>22-25</w:t>
      </w:r>
      <w:r>
        <w:rPr/>
        <w:t>层办公地址：深圳市福田中心区金田路</w:t>
      </w:r>
      <w:r>
        <w:rPr>
          <w:rFonts w:ascii="Calibri" w:eastAsia="Calibri"/>
        </w:rPr>
        <w:t>4036</w:t>
      </w:r>
      <w:r>
        <w:rPr/>
        <w:t>号荣超大厦</w:t>
      </w:r>
      <w:r>
        <w:rPr>
          <w:rFonts w:ascii="Calibri" w:eastAsia="Calibri"/>
        </w:rPr>
        <w:t>16-20</w:t>
      </w:r>
      <w:r>
        <w:rPr/>
        <w:t>层</w:t>
      </w:r>
    </w:p>
    <w:p>
      <w:pPr>
        <w:pStyle w:val="BodyText"/>
        <w:spacing w:line="417" w:lineRule="auto"/>
        <w:ind w:left="580" w:right="6870"/>
        <w:rPr>
          <w:rFonts w:ascii="Calibri" w:eastAsia="Calibri"/>
        </w:rPr>
      </w:pPr>
      <w:r>
        <w:rPr/>
        <w:t>法定代表人：何之江电话：</w:t>
      </w:r>
      <w:r>
        <w:rPr>
          <w:rFonts w:ascii="Calibri" w:eastAsia="Calibri"/>
        </w:rPr>
        <w:t>13916661875 </w:t>
      </w:r>
      <w:r>
        <w:rPr/>
        <w:t>传真：</w:t>
      </w:r>
      <w:r>
        <w:rPr>
          <w:rFonts w:ascii="Calibri" w:eastAsia="Calibri"/>
        </w:rPr>
        <w:t>021-33830395</w:t>
      </w:r>
    </w:p>
    <w:p>
      <w:pPr>
        <w:pStyle w:val="BodyText"/>
        <w:ind w:left="580"/>
      </w:pPr>
      <w:r>
        <w:rPr/>
        <w:t>联系人：王阳</w:t>
      </w:r>
    </w:p>
    <w:p>
      <w:pPr>
        <w:pStyle w:val="BodyText"/>
        <w:spacing w:before="6"/>
        <w:rPr>
          <w:sz w:val="15"/>
        </w:rPr>
      </w:pPr>
    </w:p>
    <w:p>
      <w:pPr>
        <w:pStyle w:val="BodyText"/>
        <w:spacing w:line="417" w:lineRule="auto"/>
        <w:ind w:left="580" w:right="6589"/>
        <w:rPr>
          <w:rFonts w:ascii="Calibri" w:eastAsia="Calibri"/>
        </w:rPr>
      </w:pPr>
      <w:r>
        <w:rPr/>
        <w:t>网址：</w:t>
      </w:r>
      <w:hyperlink r:id="rId96">
        <w:r>
          <w:rPr>
            <w:rFonts w:ascii="Calibri" w:eastAsia="Calibri"/>
          </w:rPr>
          <w:t>www.pingan.com </w:t>
        </w:r>
      </w:hyperlink>
      <w:r>
        <w:rPr/>
        <w:t>客户服务电话：</w:t>
      </w:r>
      <w:r>
        <w:rPr>
          <w:rFonts w:ascii="Calibri" w:eastAsia="Calibri"/>
        </w:rPr>
        <w:t>95511-8</w:t>
      </w:r>
    </w:p>
    <w:p>
      <w:pPr>
        <w:pStyle w:val="ListParagraph"/>
        <w:numPr>
          <w:ilvl w:val="0"/>
          <w:numId w:val="8"/>
        </w:numPr>
        <w:tabs>
          <w:tab w:pos="1218" w:val="left" w:leader="none"/>
        </w:tabs>
        <w:spacing w:line="269" w:lineRule="exact" w:before="0" w:after="0"/>
        <w:ind w:left="1217" w:right="0" w:hanging="638"/>
        <w:jc w:val="left"/>
        <w:rPr>
          <w:sz w:val="21"/>
        </w:rPr>
      </w:pPr>
      <w:r>
        <w:rPr>
          <w:spacing w:val="-3"/>
          <w:sz w:val="21"/>
        </w:rPr>
        <w:t>华安证券股份有限公司</w:t>
      </w:r>
    </w:p>
    <w:p>
      <w:pPr>
        <w:pStyle w:val="BodyText"/>
        <w:spacing w:before="7"/>
        <w:rPr>
          <w:sz w:val="15"/>
        </w:rPr>
      </w:pPr>
    </w:p>
    <w:p>
      <w:pPr>
        <w:pStyle w:val="BodyText"/>
        <w:ind w:left="580"/>
      </w:pPr>
      <w:r>
        <w:rPr/>
        <w:t>住所：安徽省合肥市政务文化新区天鹅湖路</w:t>
      </w:r>
      <w:r>
        <w:rPr>
          <w:rFonts w:ascii="Calibri" w:eastAsia="Calibri"/>
        </w:rPr>
        <w:t>198</w:t>
      </w:r>
      <w:r>
        <w:rPr/>
        <w:t>号</w:t>
      </w:r>
    </w:p>
    <w:p>
      <w:pPr>
        <w:pStyle w:val="BodyText"/>
        <w:spacing w:before="7"/>
        <w:rPr>
          <w:sz w:val="15"/>
        </w:rPr>
      </w:pPr>
    </w:p>
    <w:p>
      <w:pPr>
        <w:pStyle w:val="BodyText"/>
        <w:spacing w:line="417" w:lineRule="auto"/>
        <w:ind w:left="580" w:right="2549"/>
      </w:pPr>
      <w:r>
        <w:rPr/>
        <w:t>办公地址：安徽省合肥市政务文化新区天鹅湖路</w:t>
      </w:r>
      <w:r>
        <w:rPr>
          <w:rFonts w:ascii="Calibri" w:eastAsia="Calibri"/>
        </w:rPr>
        <w:t>198</w:t>
      </w:r>
      <w:r>
        <w:rPr/>
        <w:t>号财智中心</w:t>
      </w:r>
      <w:r>
        <w:rPr>
          <w:rFonts w:ascii="Calibri" w:eastAsia="Calibri"/>
        </w:rPr>
        <w:t>B1</w:t>
      </w:r>
      <w:r>
        <w:rPr/>
        <w:t>座法定代表人：章宏韬</w:t>
      </w:r>
    </w:p>
    <w:p>
      <w:pPr>
        <w:spacing w:after="0" w:line="417" w:lineRule="auto"/>
        <w:sectPr>
          <w:pgSz w:w="11910" w:h="16840"/>
          <w:pgMar w:header="877" w:footer="995" w:top="1420" w:bottom="1180" w:left="1640" w:right="920"/>
        </w:sectPr>
      </w:pPr>
    </w:p>
    <w:p>
      <w:pPr>
        <w:pStyle w:val="BodyText"/>
        <w:spacing w:line="417" w:lineRule="auto" w:before="110"/>
        <w:ind w:left="580" w:right="6790"/>
        <w:rPr>
          <w:rFonts w:ascii="Calibri" w:eastAsia="Calibri"/>
        </w:rPr>
      </w:pPr>
      <w:r>
        <w:rPr/>
        <w:t>电话：</w:t>
      </w:r>
      <w:r>
        <w:rPr>
          <w:rFonts w:ascii="Calibri" w:eastAsia="Calibri"/>
        </w:rPr>
        <w:t>0551-65161666 </w:t>
      </w:r>
      <w:r>
        <w:rPr/>
        <w:t>传真：</w:t>
      </w:r>
      <w:r>
        <w:rPr>
          <w:rFonts w:ascii="Calibri" w:eastAsia="Calibri"/>
        </w:rPr>
        <w:t>0551-65161600</w:t>
      </w:r>
    </w:p>
    <w:p>
      <w:pPr>
        <w:pStyle w:val="BodyText"/>
        <w:spacing w:line="269" w:lineRule="exact"/>
        <w:ind w:left="580"/>
      </w:pPr>
      <w:r>
        <w:rPr/>
        <w:t>联系人：范超</w:t>
      </w:r>
    </w:p>
    <w:p>
      <w:pPr>
        <w:pStyle w:val="BodyText"/>
        <w:spacing w:before="6"/>
        <w:rPr>
          <w:sz w:val="15"/>
        </w:rPr>
      </w:pPr>
    </w:p>
    <w:p>
      <w:pPr>
        <w:pStyle w:val="BodyText"/>
        <w:spacing w:line="417" w:lineRule="auto"/>
        <w:ind w:left="580" w:right="6761"/>
        <w:rPr>
          <w:rFonts w:ascii="Calibri" w:eastAsia="Calibri"/>
        </w:rPr>
      </w:pPr>
      <w:r>
        <w:rPr/>
        <w:t>网址：</w:t>
      </w:r>
      <w:hyperlink r:id="rId97">
        <w:r>
          <w:rPr>
            <w:rFonts w:ascii="Calibri" w:eastAsia="Calibri"/>
          </w:rPr>
          <w:t>www.hazq.com </w:t>
        </w:r>
      </w:hyperlink>
      <w:r>
        <w:rPr/>
        <w:t>客户服务电话：</w:t>
      </w:r>
      <w:r>
        <w:rPr>
          <w:rFonts w:ascii="Calibri" w:eastAsia="Calibri"/>
        </w:rPr>
        <w:t>95318</w:t>
      </w:r>
    </w:p>
    <w:p>
      <w:pPr>
        <w:pStyle w:val="ListParagraph"/>
        <w:numPr>
          <w:ilvl w:val="0"/>
          <w:numId w:val="8"/>
        </w:numPr>
        <w:tabs>
          <w:tab w:pos="1218" w:val="left" w:leader="none"/>
        </w:tabs>
        <w:spacing w:line="269" w:lineRule="exact" w:before="0" w:after="0"/>
        <w:ind w:left="1217" w:right="0" w:hanging="638"/>
        <w:jc w:val="left"/>
        <w:rPr>
          <w:sz w:val="21"/>
        </w:rPr>
      </w:pPr>
      <w:r>
        <w:rPr>
          <w:spacing w:val="-3"/>
          <w:sz w:val="21"/>
        </w:rPr>
        <w:t>财信证券有限责任公司</w:t>
      </w:r>
    </w:p>
    <w:p>
      <w:pPr>
        <w:pStyle w:val="BodyText"/>
        <w:spacing w:before="7"/>
        <w:rPr>
          <w:sz w:val="15"/>
        </w:rPr>
      </w:pPr>
    </w:p>
    <w:p>
      <w:pPr>
        <w:pStyle w:val="BodyText"/>
        <w:ind w:left="580"/>
      </w:pPr>
      <w:r>
        <w:rPr/>
        <w:t>住所：长沙市芙蓉中路二段</w:t>
      </w:r>
      <w:r>
        <w:rPr>
          <w:rFonts w:ascii="Calibri" w:eastAsia="Calibri"/>
        </w:rPr>
        <w:t>80</w:t>
      </w:r>
      <w:r>
        <w:rPr/>
        <w:t>号顺天国际财富中心</w:t>
      </w:r>
      <w:r>
        <w:rPr>
          <w:rFonts w:ascii="Calibri" w:eastAsia="Calibri"/>
        </w:rPr>
        <w:t>26</w:t>
      </w:r>
      <w:r>
        <w:rPr/>
        <w:t>层</w:t>
      </w:r>
    </w:p>
    <w:p>
      <w:pPr>
        <w:pStyle w:val="BodyText"/>
        <w:spacing w:before="7"/>
        <w:rPr>
          <w:sz w:val="15"/>
        </w:rPr>
      </w:pPr>
    </w:p>
    <w:p>
      <w:pPr>
        <w:pStyle w:val="BodyText"/>
        <w:spacing w:line="417" w:lineRule="auto" w:before="1"/>
        <w:ind w:left="580" w:right="3015"/>
      </w:pPr>
      <w:r>
        <w:rPr/>
        <w:t>办公地址：长沙市芙蓉中路二段</w:t>
      </w:r>
      <w:r>
        <w:rPr>
          <w:rFonts w:ascii="Calibri" w:eastAsia="Calibri"/>
        </w:rPr>
        <w:t>80</w:t>
      </w:r>
      <w:r>
        <w:rPr/>
        <w:t>号顺天国际财富中心</w:t>
      </w:r>
      <w:r>
        <w:rPr>
          <w:rFonts w:ascii="Calibri" w:eastAsia="Calibri"/>
        </w:rPr>
        <w:t>26-28</w:t>
      </w:r>
      <w:r>
        <w:rPr/>
        <w:t>层法定代表人：蔡一兵</w:t>
      </w:r>
    </w:p>
    <w:p>
      <w:pPr>
        <w:pStyle w:val="BodyText"/>
        <w:spacing w:line="417" w:lineRule="auto"/>
        <w:ind w:left="580" w:right="6790"/>
        <w:rPr>
          <w:rFonts w:ascii="Calibri" w:eastAsia="Calibri"/>
        </w:rPr>
      </w:pPr>
      <w:r>
        <w:rPr/>
        <w:t>电话：</w:t>
      </w:r>
      <w:r>
        <w:rPr>
          <w:rFonts w:ascii="Calibri" w:eastAsia="Calibri"/>
        </w:rPr>
        <w:t>0731-84403347 </w:t>
      </w:r>
      <w:r>
        <w:rPr/>
        <w:t>传真：</w:t>
      </w:r>
      <w:r>
        <w:rPr>
          <w:rFonts w:ascii="Calibri" w:eastAsia="Calibri"/>
        </w:rPr>
        <w:t>0731-84403439</w:t>
      </w:r>
    </w:p>
    <w:p>
      <w:pPr>
        <w:pStyle w:val="BodyText"/>
        <w:spacing w:line="269" w:lineRule="exact"/>
        <w:ind w:left="580"/>
      </w:pPr>
      <w:r>
        <w:rPr/>
        <w:t>联系人：郭静</w:t>
      </w:r>
    </w:p>
    <w:p>
      <w:pPr>
        <w:pStyle w:val="BodyText"/>
        <w:spacing w:before="6"/>
        <w:rPr>
          <w:sz w:val="15"/>
        </w:rPr>
      </w:pPr>
    </w:p>
    <w:p>
      <w:pPr>
        <w:pStyle w:val="BodyText"/>
        <w:spacing w:line="417" w:lineRule="auto"/>
        <w:ind w:left="580" w:right="6761"/>
        <w:rPr>
          <w:rFonts w:ascii="Calibri" w:eastAsia="Calibri"/>
        </w:rPr>
      </w:pPr>
      <w:r>
        <w:rPr/>
        <w:t>网址：</w:t>
      </w:r>
      <w:hyperlink r:id="rId98">
        <w:r>
          <w:rPr>
            <w:rFonts w:ascii="Calibri" w:eastAsia="Calibri"/>
          </w:rPr>
          <w:t>www.cfzq.com </w:t>
        </w:r>
      </w:hyperlink>
      <w:r>
        <w:rPr/>
        <w:t>客户服务电话：</w:t>
      </w:r>
      <w:r>
        <w:rPr>
          <w:rFonts w:ascii="Calibri" w:eastAsia="Calibri"/>
        </w:rPr>
        <w:t>95317</w:t>
      </w:r>
    </w:p>
    <w:p>
      <w:pPr>
        <w:pStyle w:val="ListParagraph"/>
        <w:numPr>
          <w:ilvl w:val="0"/>
          <w:numId w:val="8"/>
        </w:numPr>
        <w:tabs>
          <w:tab w:pos="1218" w:val="left" w:leader="none"/>
        </w:tabs>
        <w:spacing w:line="240" w:lineRule="auto" w:before="0" w:after="0"/>
        <w:ind w:left="1217" w:right="0" w:hanging="638"/>
        <w:jc w:val="left"/>
        <w:rPr>
          <w:sz w:val="21"/>
        </w:rPr>
      </w:pPr>
      <w:r>
        <w:rPr>
          <w:spacing w:val="-3"/>
          <w:sz w:val="21"/>
        </w:rPr>
        <w:t>东莞证券股份有限公司</w:t>
      </w:r>
    </w:p>
    <w:p>
      <w:pPr>
        <w:pStyle w:val="BodyText"/>
        <w:spacing w:before="7"/>
        <w:rPr>
          <w:sz w:val="15"/>
        </w:rPr>
      </w:pPr>
    </w:p>
    <w:p>
      <w:pPr>
        <w:pStyle w:val="BodyText"/>
        <w:ind w:left="580"/>
      </w:pPr>
      <w:r>
        <w:rPr/>
        <w:t>住所：东莞市莞城区可园南路</w:t>
      </w:r>
      <w:r>
        <w:rPr>
          <w:rFonts w:ascii="Calibri" w:eastAsia="Calibri"/>
        </w:rPr>
        <w:t>1</w:t>
      </w:r>
      <w:r>
        <w:rPr/>
        <w:t>号金源中心</w:t>
      </w:r>
    </w:p>
    <w:p>
      <w:pPr>
        <w:pStyle w:val="BodyText"/>
        <w:spacing w:before="6"/>
        <w:rPr>
          <w:sz w:val="15"/>
        </w:rPr>
      </w:pPr>
    </w:p>
    <w:p>
      <w:pPr>
        <w:pStyle w:val="BodyText"/>
        <w:spacing w:line="417" w:lineRule="auto" w:before="1"/>
        <w:ind w:left="580" w:right="4030"/>
      </w:pPr>
      <w:r>
        <w:rPr/>
        <w:t>办公地址：东莞市莞城区可园南路</w:t>
      </w:r>
      <w:r>
        <w:rPr>
          <w:rFonts w:ascii="Calibri" w:eastAsia="Calibri"/>
        </w:rPr>
        <w:t>1</w:t>
      </w:r>
      <w:r>
        <w:rPr/>
        <w:t>号金源中心</w:t>
      </w:r>
      <w:r>
        <w:rPr>
          <w:rFonts w:ascii="Calibri" w:eastAsia="Calibri"/>
        </w:rPr>
        <w:t>30</w:t>
      </w:r>
      <w:r>
        <w:rPr/>
        <w:t>楼法定代表人：张运勇</w:t>
      </w:r>
    </w:p>
    <w:p>
      <w:pPr>
        <w:pStyle w:val="BodyText"/>
        <w:spacing w:line="417" w:lineRule="auto"/>
        <w:ind w:left="580" w:right="5239"/>
        <w:rPr>
          <w:rFonts w:ascii="Calibri" w:eastAsia="Calibri"/>
        </w:rPr>
      </w:pPr>
      <w:r>
        <w:rPr>
          <w:spacing w:val="-1"/>
        </w:rPr>
        <w:t>电话：</w:t>
      </w:r>
      <w:r>
        <w:rPr>
          <w:rFonts w:ascii="Calibri" w:eastAsia="Calibri"/>
          <w:spacing w:val="-1"/>
        </w:rPr>
        <w:t>0769-22115712</w:t>
      </w:r>
      <w:r>
        <w:rPr>
          <w:spacing w:val="-3"/>
        </w:rPr>
        <w:t>、</w:t>
      </w:r>
      <w:r>
        <w:rPr>
          <w:rFonts w:ascii="Calibri" w:eastAsia="Calibri"/>
          <w:spacing w:val="-1"/>
        </w:rPr>
        <w:t>0769-22119348 </w:t>
      </w:r>
      <w:r>
        <w:rPr/>
        <w:t>传真：</w:t>
      </w:r>
      <w:r>
        <w:rPr>
          <w:rFonts w:ascii="Calibri" w:eastAsia="Calibri"/>
        </w:rPr>
        <w:t>0769-22119423</w:t>
      </w:r>
    </w:p>
    <w:p>
      <w:pPr>
        <w:pStyle w:val="BodyText"/>
        <w:spacing w:line="417" w:lineRule="auto"/>
        <w:ind w:left="580" w:right="6572"/>
        <w:rPr>
          <w:rFonts w:ascii="Calibri" w:eastAsia="Calibri"/>
        </w:rPr>
      </w:pPr>
      <w:r>
        <w:rPr>
          <w:spacing w:val="-3"/>
        </w:rPr>
        <w:t>联系人：李荣、孙旭  </w:t>
      </w:r>
      <w:r>
        <w:rPr>
          <w:spacing w:val="-4"/>
        </w:rPr>
        <w:t>网址：</w:t>
      </w:r>
      <w:hyperlink r:id="rId99">
        <w:r>
          <w:rPr>
            <w:rFonts w:ascii="Calibri" w:eastAsia="Calibri"/>
            <w:spacing w:val="-4"/>
          </w:rPr>
          <w:t>www.dgzq.com.cn </w:t>
        </w:r>
      </w:hyperlink>
      <w:r>
        <w:rPr>
          <w:spacing w:val="-2"/>
        </w:rPr>
        <w:t>客户服务电话：</w:t>
      </w:r>
      <w:r>
        <w:rPr>
          <w:rFonts w:ascii="Calibri" w:eastAsia="Calibri"/>
        </w:rPr>
        <w:t>95328</w:t>
      </w:r>
    </w:p>
    <w:p>
      <w:pPr>
        <w:pStyle w:val="ListParagraph"/>
        <w:numPr>
          <w:ilvl w:val="0"/>
          <w:numId w:val="8"/>
        </w:numPr>
        <w:tabs>
          <w:tab w:pos="1218" w:val="left" w:leader="none"/>
        </w:tabs>
        <w:spacing w:line="240" w:lineRule="auto" w:before="0" w:after="0"/>
        <w:ind w:left="1217" w:right="0" w:hanging="638"/>
        <w:jc w:val="left"/>
        <w:rPr>
          <w:sz w:val="21"/>
        </w:rPr>
      </w:pPr>
      <w:r>
        <w:rPr>
          <w:spacing w:val="-3"/>
          <w:sz w:val="21"/>
        </w:rPr>
        <w:t>国都证券股份有限公司</w:t>
      </w:r>
    </w:p>
    <w:p>
      <w:pPr>
        <w:pStyle w:val="BodyText"/>
        <w:spacing w:before="6"/>
        <w:rPr>
          <w:sz w:val="15"/>
        </w:rPr>
      </w:pPr>
    </w:p>
    <w:p>
      <w:pPr>
        <w:pStyle w:val="BodyText"/>
        <w:ind w:left="580"/>
      </w:pPr>
      <w:r>
        <w:rPr/>
        <w:t>住所：北京市东城区东直门南大街</w:t>
      </w:r>
      <w:r>
        <w:rPr>
          <w:rFonts w:ascii="Calibri" w:eastAsia="Calibri"/>
        </w:rPr>
        <w:t>3</w:t>
      </w:r>
      <w:r>
        <w:rPr/>
        <w:t>号国华投资大厦</w:t>
      </w:r>
      <w:r>
        <w:rPr>
          <w:rFonts w:ascii="Calibri" w:eastAsia="Calibri"/>
        </w:rPr>
        <w:t>9</w:t>
      </w:r>
      <w:r>
        <w:rPr/>
        <w:t>层、</w:t>
      </w:r>
      <w:r>
        <w:rPr>
          <w:rFonts w:ascii="Calibri" w:eastAsia="Calibri"/>
        </w:rPr>
        <w:t>10</w:t>
      </w:r>
      <w:r>
        <w:rPr/>
        <w:t>层</w:t>
      </w:r>
    </w:p>
    <w:p>
      <w:pPr>
        <w:pStyle w:val="BodyText"/>
        <w:spacing w:before="6"/>
        <w:rPr>
          <w:sz w:val="15"/>
        </w:rPr>
      </w:pPr>
    </w:p>
    <w:p>
      <w:pPr>
        <w:pStyle w:val="BodyText"/>
        <w:spacing w:line="417" w:lineRule="auto"/>
        <w:ind w:left="580" w:right="2662"/>
      </w:pPr>
      <w:r>
        <w:rPr>
          <w:spacing w:val="-3"/>
        </w:rPr>
        <w:t>办公地址：北京市东城区东直门南大街</w:t>
      </w:r>
      <w:r>
        <w:rPr>
          <w:rFonts w:ascii="Calibri" w:eastAsia="Calibri"/>
        </w:rPr>
        <w:t>3</w:t>
      </w:r>
      <w:r>
        <w:rPr>
          <w:spacing w:val="-3"/>
        </w:rPr>
        <w:t>号国华投资大厦</w:t>
      </w:r>
      <w:r>
        <w:rPr>
          <w:rFonts w:ascii="Calibri" w:eastAsia="Calibri"/>
        </w:rPr>
        <w:t>9</w:t>
      </w:r>
      <w:r>
        <w:rPr>
          <w:spacing w:val="-2"/>
        </w:rPr>
        <w:t>层、</w:t>
      </w:r>
      <w:r>
        <w:rPr>
          <w:rFonts w:ascii="Calibri" w:eastAsia="Calibri"/>
        </w:rPr>
        <w:t>10</w:t>
      </w:r>
      <w:r>
        <w:rPr/>
        <w:t>层</w:t>
      </w:r>
      <w:r>
        <w:rPr>
          <w:spacing w:val="-3"/>
        </w:rPr>
        <w:t>法定代表人：翁振杰</w:t>
      </w:r>
    </w:p>
    <w:p>
      <w:pPr>
        <w:pStyle w:val="BodyText"/>
        <w:spacing w:line="269" w:lineRule="exact"/>
        <w:ind w:left="580"/>
        <w:rPr>
          <w:rFonts w:ascii="Calibri" w:eastAsia="Calibri"/>
        </w:rPr>
      </w:pPr>
      <w:r>
        <w:rPr>
          <w:spacing w:val="-2"/>
        </w:rPr>
        <w:t>电话：</w:t>
      </w:r>
      <w:r>
        <w:rPr>
          <w:rFonts w:ascii="Calibri" w:eastAsia="Calibri"/>
          <w:spacing w:val="-1"/>
        </w:rPr>
        <w:t>010-84183389</w:t>
      </w:r>
    </w:p>
    <w:p>
      <w:pPr>
        <w:pStyle w:val="BodyText"/>
        <w:spacing w:before="4"/>
        <w:rPr>
          <w:rFonts w:ascii="Calibri"/>
          <w:sz w:val="16"/>
        </w:rPr>
      </w:pPr>
    </w:p>
    <w:p>
      <w:pPr>
        <w:pStyle w:val="BodyText"/>
        <w:ind w:left="580"/>
        <w:rPr>
          <w:rFonts w:ascii="Calibri" w:eastAsia="Calibri"/>
        </w:rPr>
      </w:pPr>
      <w:r>
        <w:rPr/>
        <w:t>传真：</w:t>
      </w:r>
      <w:r>
        <w:rPr>
          <w:rFonts w:ascii="Calibri" w:eastAsia="Calibri"/>
        </w:rPr>
        <w:t>010-84183311-3389</w:t>
      </w:r>
    </w:p>
    <w:p>
      <w:pPr>
        <w:pStyle w:val="BodyText"/>
        <w:spacing w:before="4"/>
        <w:rPr>
          <w:rFonts w:ascii="Calibri"/>
          <w:sz w:val="16"/>
        </w:rPr>
      </w:pPr>
    </w:p>
    <w:p>
      <w:pPr>
        <w:pStyle w:val="BodyText"/>
        <w:ind w:left="580"/>
      </w:pPr>
      <w:r>
        <w:rPr/>
        <w:t>联系人：黄静</w:t>
      </w:r>
    </w:p>
    <w:p>
      <w:pPr>
        <w:spacing w:after="0"/>
        <w:sectPr>
          <w:pgSz w:w="11910" w:h="16840"/>
          <w:pgMar w:header="877" w:footer="995" w:top="1420" w:bottom="1180" w:left="1640" w:right="920"/>
        </w:sectPr>
      </w:pPr>
    </w:p>
    <w:p>
      <w:pPr>
        <w:pStyle w:val="BodyText"/>
        <w:spacing w:before="110"/>
        <w:ind w:left="580"/>
        <w:rPr>
          <w:rFonts w:ascii="Calibri" w:eastAsia="Calibri"/>
        </w:rPr>
      </w:pPr>
      <w:r>
        <w:rPr/>
        <w:t>网址：</w:t>
      </w:r>
      <w:hyperlink r:id="rId100">
        <w:r>
          <w:rPr>
            <w:rFonts w:ascii="Calibri" w:eastAsia="Calibri"/>
          </w:rPr>
          <w:t>www.guodu.com</w:t>
        </w:r>
      </w:hyperlink>
    </w:p>
    <w:p>
      <w:pPr>
        <w:pStyle w:val="BodyText"/>
        <w:spacing w:before="3"/>
        <w:rPr>
          <w:rFonts w:ascii="Calibri"/>
          <w:sz w:val="16"/>
        </w:rPr>
      </w:pPr>
    </w:p>
    <w:p>
      <w:pPr>
        <w:pStyle w:val="BodyText"/>
        <w:ind w:left="580"/>
        <w:rPr>
          <w:rFonts w:ascii="Calibri" w:eastAsia="Calibri"/>
        </w:rPr>
      </w:pPr>
      <w:r>
        <w:rPr/>
        <w:t>客户服务电话：</w:t>
      </w:r>
      <w:r>
        <w:rPr>
          <w:rFonts w:ascii="Calibri" w:eastAsia="Calibri"/>
        </w:rPr>
        <w:t>400-818-8118</w:t>
      </w:r>
    </w:p>
    <w:p>
      <w:pPr>
        <w:pStyle w:val="BodyText"/>
        <w:spacing w:before="4"/>
        <w:rPr>
          <w:rFonts w:ascii="Calibri"/>
          <w:sz w:val="16"/>
        </w:rPr>
      </w:pPr>
    </w:p>
    <w:p>
      <w:pPr>
        <w:pStyle w:val="ListParagraph"/>
        <w:numPr>
          <w:ilvl w:val="0"/>
          <w:numId w:val="8"/>
        </w:numPr>
        <w:tabs>
          <w:tab w:pos="1218" w:val="left" w:leader="none"/>
        </w:tabs>
        <w:spacing w:line="240" w:lineRule="auto" w:before="0" w:after="0"/>
        <w:ind w:left="1217" w:right="0" w:hanging="638"/>
        <w:jc w:val="left"/>
        <w:rPr>
          <w:sz w:val="21"/>
        </w:rPr>
      </w:pPr>
      <w:r>
        <w:rPr>
          <w:spacing w:val="-3"/>
          <w:sz w:val="21"/>
        </w:rPr>
        <w:t>东海证券股份有限公司</w:t>
      </w:r>
    </w:p>
    <w:p>
      <w:pPr>
        <w:pStyle w:val="BodyText"/>
        <w:spacing w:before="7"/>
        <w:rPr>
          <w:sz w:val="15"/>
        </w:rPr>
      </w:pPr>
    </w:p>
    <w:p>
      <w:pPr>
        <w:pStyle w:val="BodyText"/>
        <w:ind w:left="580"/>
      </w:pPr>
      <w:r>
        <w:rPr/>
        <w:t>住所：江苏省常州延陵西路</w:t>
      </w:r>
      <w:r>
        <w:rPr>
          <w:rFonts w:ascii="Calibri" w:eastAsia="Calibri"/>
        </w:rPr>
        <w:t>23</w:t>
      </w:r>
      <w:r>
        <w:rPr/>
        <w:t>号投资广场</w:t>
      </w:r>
      <w:r>
        <w:rPr>
          <w:rFonts w:ascii="Calibri" w:eastAsia="Calibri"/>
        </w:rPr>
        <w:t>18</w:t>
      </w:r>
      <w:r>
        <w:rPr/>
        <w:t>层</w:t>
      </w:r>
    </w:p>
    <w:p>
      <w:pPr>
        <w:pStyle w:val="BodyText"/>
        <w:spacing w:before="6"/>
        <w:rPr>
          <w:sz w:val="15"/>
        </w:rPr>
      </w:pPr>
    </w:p>
    <w:p>
      <w:pPr>
        <w:pStyle w:val="BodyText"/>
        <w:spacing w:line="417" w:lineRule="auto"/>
        <w:ind w:left="580" w:right="3713"/>
      </w:pPr>
      <w:r>
        <w:rPr/>
        <w:t>办公地址：上海市浦东新区东方路</w:t>
      </w:r>
      <w:r>
        <w:rPr>
          <w:rFonts w:ascii="Calibri" w:eastAsia="Calibri"/>
        </w:rPr>
        <w:t>1928</w:t>
      </w:r>
      <w:r>
        <w:rPr/>
        <w:t>号东海证券大厦法定代表人：钱俊文</w:t>
      </w:r>
    </w:p>
    <w:p>
      <w:pPr>
        <w:pStyle w:val="BodyText"/>
        <w:spacing w:line="417" w:lineRule="auto"/>
        <w:ind w:left="580" w:right="6898"/>
        <w:rPr>
          <w:rFonts w:ascii="Calibri" w:eastAsia="Calibri"/>
        </w:rPr>
      </w:pPr>
      <w:r>
        <w:rPr/>
        <w:t>电话：</w:t>
      </w:r>
      <w:r>
        <w:rPr>
          <w:rFonts w:ascii="Calibri" w:eastAsia="Calibri"/>
        </w:rPr>
        <w:t>021-20333333 </w:t>
      </w:r>
      <w:r>
        <w:rPr/>
        <w:t>传真：</w:t>
      </w:r>
      <w:r>
        <w:rPr>
          <w:rFonts w:ascii="Calibri" w:eastAsia="Calibri"/>
        </w:rPr>
        <w:t>021-50498825</w:t>
      </w:r>
    </w:p>
    <w:p>
      <w:pPr>
        <w:pStyle w:val="BodyText"/>
        <w:ind w:left="580"/>
      </w:pPr>
      <w:r>
        <w:rPr/>
        <w:t>联系人：王一彦</w:t>
      </w:r>
    </w:p>
    <w:p>
      <w:pPr>
        <w:pStyle w:val="BodyText"/>
        <w:spacing w:before="7"/>
        <w:rPr>
          <w:sz w:val="15"/>
        </w:rPr>
      </w:pPr>
    </w:p>
    <w:p>
      <w:pPr>
        <w:pStyle w:val="BodyText"/>
        <w:ind w:left="580"/>
        <w:rPr>
          <w:rFonts w:ascii="Calibri" w:eastAsia="Calibri"/>
        </w:rPr>
      </w:pPr>
      <w:r>
        <w:rPr/>
        <w:t>网址：</w:t>
      </w:r>
      <w:hyperlink r:id="rId101">
        <w:r>
          <w:rPr>
            <w:rFonts w:ascii="Calibri" w:eastAsia="Calibri"/>
          </w:rPr>
          <w:t>www.longone.com.cn</w:t>
        </w:r>
      </w:hyperlink>
    </w:p>
    <w:p>
      <w:pPr>
        <w:pStyle w:val="BodyText"/>
        <w:spacing w:before="4"/>
        <w:rPr>
          <w:rFonts w:ascii="Calibri"/>
          <w:sz w:val="16"/>
        </w:rPr>
      </w:pPr>
    </w:p>
    <w:p>
      <w:pPr>
        <w:pStyle w:val="BodyText"/>
        <w:ind w:left="580"/>
        <w:rPr>
          <w:rFonts w:ascii="Calibri" w:eastAsia="Calibri"/>
        </w:rPr>
      </w:pPr>
      <w:r>
        <w:rPr/>
        <w:t>客户服务电话：</w:t>
      </w:r>
      <w:r>
        <w:rPr>
          <w:rFonts w:ascii="Calibri" w:eastAsia="Calibri"/>
        </w:rPr>
        <w:t>95531</w:t>
      </w:r>
      <w:r>
        <w:rPr/>
        <w:t>、</w:t>
      </w:r>
      <w:r>
        <w:rPr>
          <w:rFonts w:ascii="Calibri" w:eastAsia="Calibri"/>
        </w:rPr>
        <w:t>400-888-8588</w:t>
      </w:r>
    </w:p>
    <w:p>
      <w:pPr>
        <w:pStyle w:val="BodyText"/>
        <w:spacing w:before="3"/>
        <w:rPr>
          <w:rFonts w:ascii="Calibri"/>
          <w:sz w:val="16"/>
        </w:rPr>
      </w:pPr>
    </w:p>
    <w:p>
      <w:pPr>
        <w:pStyle w:val="ListParagraph"/>
        <w:numPr>
          <w:ilvl w:val="0"/>
          <w:numId w:val="8"/>
        </w:numPr>
        <w:tabs>
          <w:tab w:pos="1218" w:val="left" w:leader="none"/>
        </w:tabs>
        <w:spacing w:line="240" w:lineRule="auto" w:before="0" w:after="0"/>
        <w:ind w:left="1217" w:right="0" w:hanging="638"/>
        <w:jc w:val="left"/>
        <w:rPr>
          <w:sz w:val="21"/>
        </w:rPr>
      </w:pPr>
      <w:r>
        <w:rPr>
          <w:spacing w:val="-3"/>
          <w:sz w:val="21"/>
        </w:rPr>
        <w:t>中银国际证券股份有限公司</w:t>
      </w:r>
    </w:p>
    <w:p>
      <w:pPr>
        <w:pStyle w:val="BodyText"/>
        <w:spacing w:before="7"/>
        <w:rPr>
          <w:sz w:val="15"/>
        </w:rPr>
      </w:pPr>
    </w:p>
    <w:p>
      <w:pPr>
        <w:pStyle w:val="BodyText"/>
        <w:ind w:left="580"/>
      </w:pPr>
      <w:r>
        <w:rPr/>
        <w:t>住所：上海浦东新区银城中路</w:t>
      </w:r>
      <w:r>
        <w:rPr>
          <w:rFonts w:ascii="Calibri" w:eastAsia="Calibri"/>
        </w:rPr>
        <w:t>200</w:t>
      </w:r>
      <w:r>
        <w:rPr/>
        <w:t>号中银大厦</w:t>
      </w:r>
      <w:r>
        <w:rPr>
          <w:rFonts w:ascii="Calibri" w:eastAsia="Calibri"/>
        </w:rPr>
        <w:t>39</w:t>
      </w:r>
      <w:r>
        <w:rPr/>
        <w:t>层</w:t>
      </w:r>
    </w:p>
    <w:p>
      <w:pPr>
        <w:pStyle w:val="BodyText"/>
        <w:spacing w:before="7"/>
        <w:rPr>
          <w:sz w:val="15"/>
        </w:rPr>
      </w:pPr>
    </w:p>
    <w:p>
      <w:pPr>
        <w:pStyle w:val="BodyText"/>
        <w:spacing w:line="417" w:lineRule="auto"/>
        <w:ind w:left="580" w:right="3819"/>
      </w:pPr>
      <w:r>
        <w:rPr/>
        <w:t>办公地址：上海浦东新区银城中路</w:t>
      </w:r>
      <w:r>
        <w:rPr>
          <w:rFonts w:ascii="Calibri" w:eastAsia="Calibri"/>
        </w:rPr>
        <w:t>200</w:t>
      </w:r>
      <w:r>
        <w:rPr/>
        <w:t>号中银大厦</w:t>
      </w:r>
      <w:r>
        <w:rPr>
          <w:rFonts w:ascii="Calibri" w:eastAsia="Calibri"/>
        </w:rPr>
        <w:t>39</w:t>
      </w:r>
      <w:r>
        <w:rPr/>
        <w:t>层法定代表人：宁敏</w:t>
      </w:r>
    </w:p>
    <w:p>
      <w:pPr>
        <w:pStyle w:val="BodyText"/>
        <w:spacing w:line="417" w:lineRule="auto"/>
        <w:ind w:left="580" w:right="6898"/>
        <w:rPr>
          <w:rFonts w:ascii="Calibri" w:eastAsia="Calibri"/>
        </w:rPr>
      </w:pPr>
      <w:r>
        <w:rPr/>
        <w:t>电话：</w:t>
      </w:r>
      <w:r>
        <w:rPr>
          <w:rFonts w:ascii="Calibri" w:eastAsia="Calibri"/>
        </w:rPr>
        <w:t>021-20328000 </w:t>
      </w:r>
      <w:r>
        <w:rPr/>
        <w:t>传真：</w:t>
      </w:r>
      <w:r>
        <w:rPr>
          <w:rFonts w:ascii="Calibri" w:eastAsia="Calibri"/>
        </w:rPr>
        <w:t>021-50372474</w:t>
      </w:r>
    </w:p>
    <w:p>
      <w:pPr>
        <w:pStyle w:val="BodyText"/>
        <w:spacing w:line="269" w:lineRule="exact"/>
        <w:ind w:left="580"/>
      </w:pPr>
      <w:r>
        <w:rPr/>
        <w:t>联系人：王炜哲</w:t>
      </w:r>
    </w:p>
    <w:p>
      <w:pPr>
        <w:pStyle w:val="BodyText"/>
        <w:spacing w:before="6"/>
        <w:rPr>
          <w:sz w:val="15"/>
        </w:rPr>
      </w:pPr>
    </w:p>
    <w:p>
      <w:pPr>
        <w:pStyle w:val="BodyText"/>
        <w:spacing w:line="417" w:lineRule="auto" w:before="1"/>
        <w:ind w:left="580" w:right="6098"/>
        <w:rPr>
          <w:rFonts w:ascii="Calibri" w:eastAsia="Calibri"/>
        </w:rPr>
      </w:pPr>
      <w:r>
        <w:rPr/>
        <w:t>网址：</w:t>
      </w:r>
      <w:hyperlink r:id="rId102">
        <w:r>
          <w:rPr>
            <w:rFonts w:ascii="Calibri" w:eastAsia="Calibri"/>
          </w:rPr>
          <w:t>www.bocichina.com.cn </w:t>
        </w:r>
      </w:hyperlink>
      <w:r>
        <w:rPr/>
        <w:t>客户服务电话：</w:t>
      </w:r>
      <w:r>
        <w:rPr>
          <w:rFonts w:ascii="Calibri" w:eastAsia="Calibri"/>
        </w:rPr>
        <w:t>400-620-8888</w:t>
      </w:r>
    </w:p>
    <w:p>
      <w:pPr>
        <w:pStyle w:val="ListParagraph"/>
        <w:numPr>
          <w:ilvl w:val="0"/>
          <w:numId w:val="8"/>
        </w:numPr>
        <w:tabs>
          <w:tab w:pos="1218" w:val="left" w:leader="none"/>
        </w:tabs>
        <w:spacing w:line="269" w:lineRule="exact" w:before="0" w:after="0"/>
        <w:ind w:left="1217" w:right="0" w:hanging="638"/>
        <w:jc w:val="left"/>
        <w:rPr>
          <w:sz w:val="21"/>
        </w:rPr>
      </w:pPr>
      <w:r>
        <w:rPr>
          <w:spacing w:val="-3"/>
          <w:sz w:val="21"/>
        </w:rPr>
        <w:t>恒泰证券股份有限公司</w:t>
      </w:r>
    </w:p>
    <w:p>
      <w:pPr>
        <w:pStyle w:val="BodyText"/>
        <w:spacing w:before="7"/>
        <w:rPr>
          <w:sz w:val="15"/>
        </w:rPr>
      </w:pPr>
    </w:p>
    <w:p>
      <w:pPr>
        <w:pStyle w:val="BodyText"/>
        <w:ind w:left="580"/>
      </w:pPr>
      <w:r>
        <w:rPr/>
        <w:t>住所：内蒙古呼和浩特市新城区新华东街</w:t>
      </w:r>
      <w:r>
        <w:rPr>
          <w:rFonts w:ascii="Calibri" w:eastAsia="Calibri"/>
        </w:rPr>
        <w:t>111</w:t>
      </w:r>
      <w:r>
        <w:rPr/>
        <w:t>号</w:t>
      </w:r>
    </w:p>
    <w:p>
      <w:pPr>
        <w:pStyle w:val="BodyText"/>
        <w:spacing w:before="7"/>
        <w:rPr>
          <w:sz w:val="15"/>
        </w:rPr>
      </w:pPr>
    </w:p>
    <w:p>
      <w:pPr>
        <w:pStyle w:val="BodyText"/>
        <w:spacing w:line="417" w:lineRule="auto"/>
        <w:ind w:left="580" w:right="4030"/>
      </w:pPr>
      <w:r>
        <w:rPr/>
        <w:t>办公地址：内蒙古呼和浩特市新城区新华东街</w:t>
      </w:r>
      <w:r>
        <w:rPr>
          <w:rFonts w:ascii="Calibri" w:eastAsia="Calibri"/>
        </w:rPr>
        <w:t>111</w:t>
      </w:r>
      <w:r>
        <w:rPr/>
        <w:t>号法定代表人：庞介民</w:t>
      </w:r>
    </w:p>
    <w:p>
      <w:pPr>
        <w:pStyle w:val="BodyText"/>
        <w:spacing w:line="417" w:lineRule="auto"/>
        <w:ind w:left="580" w:right="6898"/>
        <w:rPr>
          <w:rFonts w:ascii="Calibri" w:eastAsia="Calibri"/>
        </w:rPr>
      </w:pPr>
      <w:r>
        <w:rPr/>
        <w:t>电话：</w:t>
      </w:r>
      <w:r>
        <w:rPr>
          <w:rFonts w:ascii="Calibri" w:eastAsia="Calibri"/>
        </w:rPr>
        <w:t>021-68405273 </w:t>
      </w:r>
      <w:r>
        <w:rPr/>
        <w:t>传真：</w:t>
      </w:r>
      <w:r>
        <w:rPr>
          <w:rFonts w:ascii="Calibri" w:eastAsia="Calibri"/>
        </w:rPr>
        <w:t>021-68405181</w:t>
      </w:r>
    </w:p>
    <w:p>
      <w:pPr>
        <w:pStyle w:val="BodyText"/>
        <w:spacing w:line="269" w:lineRule="exact"/>
        <w:ind w:left="580"/>
      </w:pPr>
      <w:r>
        <w:rPr/>
        <w:t>联系人：张同亮</w:t>
      </w:r>
    </w:p>
    <w:p>
      <w:pPr>
        <w:pStyle w:val="BodyText"/>
        <w:spacing w:before="6"/>
        <w:rPr>
          <w:sz w:val="15"/>
        </w:rPr>
      </w:pPr>
    </w:p>
    <w:p>
      <w:pPr>
        <w:pStyle w:val="BodyText"/>
        <w:spacing w:line="417" w:lineRule="auto"/>
        <w:ind w:left="580" w:right="6549"/>
        <w:rPr>
          <w:rFonts w:ascii="Calibri" w:eastAsia="Calibri"/>
        </w:rPr>
      </w:pPr>
      <w:r>
        <w:rPr/>
        <w:t>网址：</w:t>
      </w:r>
      <w:hyperlink r:id="rId103">
        <w:r>
          <w:rPr>
            <w:rFonts w:ascii="Calibri" w:eastAsia="Calibri"/>
          </w:rPr>
          <w:t>www.cnht.com.cn </w:t>
        </w:r>
      </w:hyperlink>
      <w:r>
        <w:rPr/>
        <w:t>客户服务电话：</w:t>
      </w:r>
      <w:r>
        <w:rPr>
          <w:rFonts w:ascii="Calibri" w:eastAsia="Calibri"/>
        </w:rPr>
        <w:t>956088</w:t>
      </w:r>
    </w:p>
    <w:p>
      <w:pPr>
        <w:pStyle w:val="ListParagraph"/>
        <w:numPr>
          <w:ilvl w:val="0"/>
          <w:numId w:val="8"/>
        </w:numPr>
        <w:tabs>
          <w:tab w:pos="1218" w:val="left" w:leader="none"/>
        </w:tabs>
        <w:spacing w:line="240" w:lineRule="auto" w:before="0" w:after="0"/>
        <w:ind w:left="1217" w:right="0" w:hanging="638"/>
        <w:jc w:val="left"/>
        <w:rPr>
          <w:sz w:val="21"/>
        </w:rPr>
      </w:pPr>
      <w:r>
        <w:rPr>
          <w:spacing w:val="-3"/>
          <w:sz w:val="21"/>
        </w:rPr>
        <w:t>国盛证券有限责任公司</w:t>
      </w:r>
    </w:p>
    <w:p>
      <w:pPr>
        <w:spacing w:after="0" w:line="240" w:lineRule="auto"/>
        <w:jc w:val="left"/>
        <w:rPr>
          <w:sz w:val="21"/>
        </w:rPr>
        <w:sectPr>
          <w:pgSz w:w="11910" w:h="16840"/>
          <w:pgMar w:header="877" w:footer="995" w:top="1420" w:bottom="1180" w:left="1640" w:right="920"/>
        </w:sectPr>
      </w:pPr>
    </w:p>
    <w:p>
      <w:pPr>
        <w:pStyle w:val="BodyText"/>
        <w:spacing w:before="110"/>
        <w:ind w:left="580"/>
      </w:pPr>
      <w:r>
        <w:rPr/>
        <w:t>住所：南昌市北京西路</w:t>
      </w:r>
      <w:r>
        <w:rPr>
          <w:rFonts w:ascii="Calibri" w:eastAsia="Calibri"/>
        </w:rPr>
        <w:t>88</w:t>
      </w:r>
      <w:r>
        <w:rPr/>
        <w:t>号江信国际金融大厦</w:t>
      </w:r>
    </w:p>
    <w:p>
      <w:pPr>
        <w:pStyle w:val="BodyText"/>
        <w:spacing w:before="6"/>
        <w:rPr>
          <w:sz w:val="15"/>
        </w:rPr>
      </w:pPr>
    </w:p>
    <w:p>
      <w:pPr>
        <w:pStyle w:val="BodyText"/>
        <w:spacing w:line="417" w:lineRule="auto"/>
        <w:ind w:left="580" w:right="2453"/>
      </w:pPr>
      <w:r>
        <w:rPr/>
        <w:t>办公地址：江西省南昌市红谷滩新区凤凰中大道</w:t>
      </w:r>
      <w:r>
        <w:rPr>
          <w:rFonts w:ascii="Calibri" w:eastAsia="Calibri"/>
        </w:rPr>
        <w:t>1115</w:t>
      </w:r>
      <w:r>
        <w:rPr/>
        <w:t>号北京银行大楼法定代表人：徐丽峰</w:t>
      </w:r>
    </w:p>
    <w:p>
      <w:pPr>
        <w:pStyle w:val="BodyText"/>
        <w:spacing w:line="417" w:lineRule="auto"/>
        <w:ind w:left="580" w:right="5410"/>
        <w:rPr>
          <w:rFonts w:ascii="Calibri" w:eastAsia="Calibri"/>
        </w:rPr>
      </w:pPr>
      <w:r>
        <w:rPr/>
        <w:t>电话：</w:t>
      </w:r>
      <w:r>
        <w:rPr>
          <w:rFonts w:ascii="Calibri" w:eastAsia="Calibri"/>
        </w:rPr>
        <w:t>0791-86283372</w:t>
      </w:r>
      <w:r>
        <w:rPr/>
        <w:t>、</w:t>
      </w:r>
      <w:r>
        <w:rPr>
          <w:rFonts w:ascii="Calibri" w:eastAsia="Calibri"/>
        </w:rPr>
        <w:t>15170012175 </w:t>
      </w:r>
      <w:r>
        <w:rPr/>
        <w:t>传真：</w:t>
      </w:r>
      <w:r>
        <w:rPr>
          <w:rFonts w:ascii="Calibri" w:eastAsia="Calibri"/>
        </w:rPr>
        <w:t>0791-86281305</w:t>
      </w:r>
    </w:p>
    <w:p>
      <w:pPr>
        <w:pStyle w:val="BodyText"/>
        <w:spacing w:line="269" w:lineRule="exact"/>
        <w:ind w:left="580"/>
      </w:pPr>
      <w:r>
        <w:rPr/>
        <w:t>联系人：占文驰</w:t>
      </w:r>
    </w:p>
    <w:p>
      <w:pPr>
        <w:pStyle w:val="BodyText"/>
        <w:spacing w:before="7"/>
        <w:rPr>
          <w:sz w:val="15"/>
        </w:rPr>
      </w:pPr>
    </w:p>
    <w:p>
      <w:pPr>
        <w:pStyle w:val="BodyText"/>
        <w:spacing w:line="417" w:lineRule="auto"/>
        <w:ind w:left="580" w:right="6602"/>
        <w:rPr>
          <w:rFonts w:ascii="Calibri" w:eastAsia="Calibri"/>
        </w:rPr>
      </w:pPr>
      <w:r>
        <w:rPr/>
        <w:t>网 址 ：</w:t>
      </w:r>
      <w:hyperlink r:id="rId104">
        <w:r>
          <w:rPr>
            <w:rFonts w:ascii="Calibri" w:eastAsia="Calibri"/>
          </w:rPr>
          <w:t>www.gszq.com</w:t>
        </w:r>
      </w:hyperlink>
      <w:r>
        <w:rPr>
          <w:rFonts w:ascii="Calibri" w:eastAsia="Calibri"/>
        </w:rPr>
        <w:t> </w:t>
      </w:r>
      <w:r>
        <w:rPr/>
        <w:t>客户服务电话：</w:t>
      </w:r>
      <w:r>
        <w:rPr>
          <w:rFonts w:ascii="Calibri" w:eastAsia="Calibri"/>
        </w:rPr>
        <w:t>956080</w:t>
      </w:r>
    </w:p>
    <w:p>
      <w:pPr>
        <w:pStyle w:val="ListParagraph"/>
        <w:numPr>
          <w:ilvl w:val="0"/>
          <w:numId w:val="8"/>
        </w:numPr>
        <w:tabs>
          <w:tab w:pos="1218" w:val="left" w:leader="none"/>
        </w:tabs>
        <w:spacing w:line="240" w:lineRule="auto" w:before="0" w:after="0"/>
        <w:ind w:left="1217" w:right="0" w:hanging="638"/>
        <w:jc w:val="left"/>
        <w:rPr>
          <w:sz w:val="21"/>
        </w:rPr>
      </w:pPr>
      <w:r>
        <w:rPr>
          <w:spacing w:val="-3"/>
          <w:sz w:val="21"/>
        </w:rPr>
        <w:t>华西证券股份有限公司</w:t>
      </w:r>
    </w:p>
    <w:p>
      <w:pPr>
        <w:pStyle w:val="BodyText"/>
        <w:spacing w:before="7"/>
        <w:rPr>
          <w:sz w:val="15"/>
        </w:rPr>
      </w:pPr>
    </w:p>
    <w:p>
      <w:pPr>
        <w:pStyle w:val="BodyText"/>
        <w:ind w:left="580"/>
      </w:pPr>
      <w:r>
        <w:rPr/>
        <w:t>住所：四川省成都市高新区天府二街</w:t>
      </w:r>
      <w:r>
        <w:rPr>
          <w:rFonts w:ascii="Calibri" w:eastAsia="Calibri"/>
        </w:rPr>
        <w:t>198</w:t>
      </w:r>
      <w:r>
        <w:rPr/>
        <w:t>号</w:t>
      </w:r>
    </w:p>
    <w:p>
      <w:pPr>
        <w:pStyle w:val="BodyText"/>
        <w:spacing w:before="6"/>
        <w:rPr>
          <w:sz w:val="15"/>
        </w:rPr>
      </w:pPr>
    </w:p>
    <w:p>
      <w:pPr>
        <w:pStyle w:val="BodyText"/>
        <w:spacing w:line="417" w:lineRule="auto" w:before="1"/>
        <w:ind w:left="580" w:right="4450"/>
      </w:pPr>
      <w:r>
        <w:rPr/>
        <w:t>办公地址：四川省成都市高新区天府二街</w:t>
      </w:r>
      <w:r>
        <w:rPr>
          <w:rFonts w:ascii="Calibri" w:eastAsia="Calibri"/>
        </w:rPr>
        <w:t>198</w:t>
      </w:r>
      <w:r>
        <w:rPr/>
        <w:t>号法定代表人：杨炯洋</w:t>
      </w:r>
    </w:p>
    <w:p>
      <w:pPr>
        <w:pStyle w:val="BodyText"/>
        <w:spacing w:line="417" w:lineRule="auto"/>
        <w:ind w:left="580" w:right="6898"/>
        <w:rPr>
          <w:rFonts w:ascii="Calibri" w:eastAsia="Calibri"/>
        </w:rPr>
      </w:pPr>
      <w:r>
        <w:rPr/>
        <w:t>电话：</w:t>
      </w:r>
      <w:r>
        <w:rPr>
          <w:rFonts w:ascii="Calibri" w:eastAsia="Calibri"/>
        </w:rPr>
        <w:t>010-58124967 </w:t>
      </w:r>
      <w:r>
        <w:rPr/>
        <w:t>传真：</w:t>
      </w:r>
      <w:r>
        <w:rPr>
          <w:rFonts w:ascii="Calibri" w:eastAsia="Calibri"/>
        </w:rPr>
        <w:t>028-86150040</w:t>
      </w:r>
    </w:p>
    <w:p>
      <w:pPr>
        <w:pStyle w:val="BodyText"/>
        <w:ind w:left="580"/>
      </w:pPr>
      <w:r>
        <w:rPr/>
        <w:t>联系人：谢国梅</w:t>
      </w:r>
    </w:p>
    <w:p>
      <w:pPr>
        <w:pStyle w:val="BodyText"/>
        <w:spacing w:before="6"/>
        <w:rPr>
          <w:sz w:val="15"/>
        </w:rPr>
      </w:pPr>
    </w:p>
    <w:p>
      <w:pPr>
        <w:pStyle w:val="BodyText"/>
        <w:spacing w:line="417" w:lineRule="auto"/>
        <w:ind w:left="580" w:right="6407"/>
        <w:rPr>
          <w:rFonts w:ascii="Calibri" w:eastAsia="Calibri"/>
        </w:rPr>
      </w:pPr>
      <w:r>
        <w:rPr/>
        <w:t>网址：</w:t>
      </w:r>
      <w:hyperlink r:id="rId105">
        <w:r>
          <w:rPr>
            <w:rFonts w:ascii="Calibri" w:eastAsia="Calibri"/>
          </w:rPr>
          <w:t>www.hx168.com.cn </w:t>
        </w:r>
      </w:hyperlink>
      <w:r>
        <w:rPr/>
        <w:t>客户服务电话：</w:t>
      </w:r>
      <w:r>
        <w:rPr>
          <w:rFonts w:ascii="Calibri" w:eastAsia="Calibri"/>
        </w:rPr>
        <w:t>95584</w:t>
      </w:r>
    </w:p>
    <w:p>
      <w:pPr>
        <w:pStyle w:val="ListParagraph"/>
        <w:numPr>
          <w:ilvl w:val="0"/>
          <w:numId w:val="8"/>
        </w:numPr>
        <w:tabs>
          <w:tab w:pos="1218" w:val="left" w:leader="none"/>
        </w:tabs>
        <w:spacing w:line="269" w:lineRule="exact" w:before="0" w:after="0"/>
        <w:ind w:left="1217" w:right="0" w:hanging="638"/>
        <w:jc w:val="left"/>
        <w:rPr>
          <w:sz w:val="21"/>
        </w:rPr>
      </w:pPr>
      <w:r>
        <w:rPr>
          <w:spacing w:val="-3"/>
          <w:sz w:val="21"/>
        </w:rPr>
        <w:t>申万宏源西部证券有限公司</w:t>
      </w:r>
    </w:p>
    <w:p>
      <w:pPr>
        <w:pStyle w:val="BodyText"/>
        <w:spacing w:before="7"/>
        <w:rPr>
          <w:sz w:val="15"/>
        </w:rPr>
      </w:pPr>
    </w:p>
    <w:p>
      <w:pPr>
        <w:pStyle w:val="BodyText"/>
        <w:ind w:left="580"/>
      </w:pPr>
      <w:r>
        <w:rPr/>
        <w:t>住所：新疆乌鲁木齐市高新区（新市区）北京南路</w:t>
      </w:r>
      <w:r>
        <w:rPr>
          <w:rFonts w:ascii="Calibri" w:eastAsia="Calibri"/>
        </w:rPr>
        <w:t>358</w:t>
      </w:r>
      <w:r>
        <w:rPr/>
        <w:t>号大成国际大厦</w:t>
      </w:r>
      <w:r>
        <w:rPr>
          <w:rFonts w:ascii="Calibri" w:eastAsia="Calibri"/>
        </w:rPr>
        <w:t>20</w:t>
      </w:r>
      <w:r>
        <w:rPr/>
        <w:t>楼</w:t>
      </w:r>
      <w:r>
        <w:rPr>
          <w:rFonts w:ascii="Calibri" w:eastAsia="Calibri"/>
        </w:rPr>
        <w:t>2005</w:t>
      </w:r>
      <w:r>
        <w:rPr/>
        <w:t>室</w:t>
      </w:r>
    </w:p>
    <w:p>
      <w:pPr>
        <w:pStyle w:val="BodyText"/>
        <w:spacing w:before="6"/>
        <w:rPr>
          <w:sz w:val="15"/>
        </w:rPr>
      </w:pPr>
    </w:p>
    <w:p>
      <w:pPr>
        <w:pStyle w:val="BodyText"/>
        <w:spacing w:before="1"/>
        <w:ind w:left="580"/>
      </w:pPr>
      <w:r>
        <w:rPr/>
        <w:t>办公地址：新疆乌鲁木齐市高新区（新市区）北京南路</w:t>
      </w:r>
      <w:r>
        <w:rPr>
          <w:rFonts w:ascii="Calibri" w:eastAsia="Calibri"/>
        </w:rPr>
        <w:t>358</w:t>
      </w:r>
      <w:r>
        <w:rPr/>
        <w:t>号大成国际大厦</w:t>
      </w:r>
      <w:r>
        <w:rPr>
          <w:rFonts w:ascii="Calibri" w:eastAsia="Calibri"/>
        </w:rPr>
        <w:t>20</w:t>
      </w:r>
      <w:r>
        <w:rPr/>
        <w:t>楼</w:t>
      </w:r>
      <w:r>
        <w:rPr>
          <w:rFonts w:ascii="Calibri" w:eastAsia="Calibri"/>
        </w:rPr>
        <w:t>2005</w:t>
      </w:r>
      <w:r>
        <w:rPr/>
        <w:t>室</w:t>
      </w:r>
    </w:p>
    <w:p>
      <w:pPr>
        <w:pStyle w:val="BodyText"/>
        <w:spacing w:before="6"/>
        <w:rPr>
          <w:sz w:val="15"/>
        </w:rPr>
      </w:pPr>
    </w:p>
    <w:p>
      <w:pPr>
        <w:pStyle w:val="BodyText"/>
        <w:ind w:left="160"/>
      </w:pPr>
      <w:r>
        <w:rPr/>
        <w:t>（</w:t>
      </w:r>
      <w:r>
        <w:rPr>
          <w:rFonts w:ascii="Calibri" w:eastAsia="Calibri"/>
        </w:rPr>
        <w:t>830002</w:t>
      </w:r>
      <w:r>
        <w:rPr/>
        <w:t>）</w:t>
      </w:r>
    </w:p>
    <w:p>
      <w:pPr>
        <w:pStyle w:val="BodyText"/>
        <w:spacing w:before="8"/>
        <w:rPr>
          <w:sz w:val="15"/>
        </w:rPr>
      </w:pPr>
    </w:p>
    <w:p>
      <w:pPr>
        <w:pStyle w:val="BodyText"/>
        <w:spacing w:line="417" w:lineRule="auto"/>
        <w:ind w:left="580" w:right="6870"/>
        <w:jc w:val="both"/>
        <w:rPr>
          <w:rFonts w:ascii="Calibri" w:eastAsia="Calibri"/>
        </w:rPr>
      </w:pPr>
      <w:r>
        <w:rPr/>
        <w:t>法定代表人：韩志谦电话：</w:t>
      </w:r>
      <w:r>
        <w:rPr>
          <w:rFonts w:ascii="Calibri" w:eastAsia="Calibri"/>
        </w:rPr>
        <w:t>0991-2307105 </w:t>
      </w:r>
      <w:r>
        <w:rPr/>
        <w:t>传真：</w:t>
      </w:r>
      <w:r>
        <w:rPr>
          <w:rFonts w:ascii="Calibri" w:eastAsia="Calibri"/>
        </w:rPr>
        <w:t>0991-2301927</w:t>
      </w:r>
    </w:p>
    <w:p>
      <w:pPr>
        <w:pStyle w:val="BodyText"/>
        <w:spacing w:line="269" w:lineRule="exact"/>
        <w:ind w:left="580"/>
      </w:pPr>
      <w:r>
        <w:rPr/>
        <w:t>联系人：王怀春</w:t>
      </w:r>
    </w:p>
    <w:p>
      <w:pPr>
        <w:pStyle w:val="BodyText"/>
        <w:spacing w:before="6"/>
        <w:rPr>
          <w:sz w:val="15"/>
        </w:rPr>
      </w:pPr>
    </w:p>
    <w:p>
      <w:pPr>
        <w:pStyle w:val="BodyText"/>
        <w:ind w:left="580"/>
        <w:rPr>
          <w:rFonts w:ascii="Calibri" w:eastAsia="Calibri"/>
        </w:rPr>
      </w:pPr>
      <w:r>
        <w:rPr/>
        <w:t>网址：</w:t>
      </w:r>
      <w:hyperlink r:id="rId106">
        <w:r>
          <w:rPr>
            <w:rFonts w:ascii="Calibri" w:eastAsia="Calibri"/>
          </w:rPr>
          <w:t>www.hysec.com</w:t>
        </w:r>
      </w:hyperlink>
    </w:p>
    <w:p>
      <w:pPr>
        <w:pStyle w:val="BodyText"/>
        <w:spacing w:before="4"/>
        <w:rPr>
          <w:rFonts w:ascii="Calibri"/>
          <w:sz w:val="16"/>
        </w:rPr>
      </w:pPr>
    </w:p>
    <w:p>
      <w:pPr>
        <w:pStyle w:val="BodyText"/>
        <w:ind w:left="580"/>
        <w:rPr>
          <w:rFonts w:ascii="Calibri" w:eastAsia="Calibri"/>
        </w:rPr>
      </w:pPr>
      <w:r>
        <w:rPr/>
        <w:t>客户服务电话：</w:t>
      </w:r>
      <w:r>
        <w:rPr>
          <w:rFonts w:ascii="Calibri" w:eastAsia="Calibri"/>
        </w:rPr>
        <w:t>400-800-0562</w:t>
      </w:r>
    </w:p>
    <w:p>
      <w:pPr>
        <w:pStyle w:val="BodyText"/>
        <w:spacing w:before="4"/>
        <w:rPr>
          <w:rFonts w:ascii="Calibri"/>
          <w:sz w:val="16"/>
        </w:rPr>
      </w:pPr>
    </w:p>
    <w:p>
      <w:pPr>
        <w:pStyle w:val="ListParagraph"/>
        <w:numPr>
          <w:ilvl w:val="0"/>
          <w:numId w:val="8"/>
        </w:numPr>
        <w:tabs>
          <w:tab w:pos="1218" w:val="left" w:leader="none"/>
        </w:tabs>
        <w:spacing w:line="240" w:lineRule="auto" w:before="0" w:after="0"/>
        <w:ind w:left="1217" w:right="0" w:hanging="638"/>
        <w:jc w:val="left"/>
        <w:rPr>
          <w:sz w:val="21"/>
        </w:rPr>
      </w:pPr>
      <w:r>
        <w:rPr>
          <w:spacing w:val="-3"/>
          <w:sz w:val="21"/>
        </w:rPr>
        <w:t>中泰证券股份有限公司</w:t>
      </w:r>
    </w:p>
    <w:p>
      <w:pPr>
        <w:pStyle w:val="BodyText"/>
        <w:spacing w:before="7"/>
        <w:rPr>
          <w:sz w:val="15"/>
        </w:rPr>
      </w:pPr>
    </w:p>
    <w:p>
      <w:pPr>
        <w:pStyle w:val="BodyText"/>
        <w:ind w:left="580"/>
      </w:pPr>
      <w:r>
        <w:rPr/>
        <w:t>住所：山东省济南市市中区经七路</w:t>
      </w:r>
      <w:r>
        <w:rPr>
          <w:rFonts w:ascii="Calibri" w:eastAsia="Calibri"/>
        </w:rPr>
        <w:t>86</w:t>
      </w:r>
      <w:r>
        <w:rPr/>
        <w:t>号</w:t>
      </w:r>
    </w:p>
    <w:p>
      <w:pPr>
        <w:pStyle w:val="BodyText"/>
        <w:spacing w:before="6"/>
        <w:rPr>
          <w:sz w:val="15"/>
        </w:rPr>
      </w:pPr>
    </w:p>
    <w:p>
      <w:pPr>
        <w:pStyle w:val="BodyText"/>
        <w:spacing w:before="1"/>
        <w:ind w:left="580"/>
      </w:pPr>
      <w:r>
        <w:rPr/>
        <w:t>办公地址：山东省济南市市中区经七路</w:t>
      </w:r>
      <w:r>
        <w:rPr>
          <w:rFonts w:ascii="Calibri" w:eastAsia="Calibri"/>
        </w:rPr>
        <w:t>86</w:t>
      </w:r>
      <w:r>
        <w:rPr/>
        <w:t>号</w:t>
      </w:r>
    </w:p>
    <w:p>
      <w:pPr>
        <w:spacing w:after="0"/>
        <w:sectPr>
          <w:pgSz w:w="11910" w:h="16840"/>
          <w:pgMar w:header="877" w:footer="995" w:top="1420" w:bottom="1180" w:left="1640" w:right="920"/>
        </w:sectPr>
      </w:pPr>
    </w:p>
    <w:p>
      <w:pPr>
        <w:pStyle w:val="BodyText"/>
        <w:spacing w:line="417" w:lineRule="auto" w:before="110"/>
        <w:ind w:left="580" w:right="6837"/>
        <w:rPr>
          <w:rFonts w:ascii="Calibri" w:eastAsia="Calibri"/>
        </w:rPr>
      </w:pPr>
      <w:r>
        <w:rPr/>
        <w:t>法定代表人：李玮电话：</w:t>
      </w:r>
      <w:r>
        <w:rPr>
          <w:rFonts w:ascii="Calibri" w:eastAsia="Calibri"/>
        </w:rPr>
        <w:t>021-20315290 </w:t>
      </w:r>
      <w:r>
        <w:rPr/>
        <w:t>传真：</w:t>
      </w:r>
      <w:r>
        <w:rPr>
          <w:rFonts w:ascii="Calibri" w:eastAsia="Calibri"/>
        </w:rPr>
        <w:t>021-20315125</w:t>
      </w:r>
    </w:p>
    <w:p>
      <w:pPr>
        <w:pStyle w:val="BodyText"/>
        <w:spacing w:line="269" w:lineRule="exact"/>
        <w:ind w:left="580"/>
      </w:pPr>
      <w:r>
        <w:rPr/>
        <w:t>联系人：许曼华</w:t>
      </w:r>
    </w:p>
    <w:p>
      <w:pPr>
        <w:pStyle w:val="BodyText"/>
        <w:spacing w:before="6"/>
        <w:rPr>
          <w:sz w:val="15"/>
        </w:rPr>
      </w:pPr>
    </w:p>
    <w:p>
      <w:pPr>
        <w:pStyle w:val="BodyText"/>
        <w:spacing w:line="417" w:lineRule="auto"/>
        <w:ind w:left="580" w:right="6692"/>
        <w:rPr>
          <w:rFonts w:ascii="Calibri" w:eastAsia="Calibri"/>
        </w:rPr>
      </w:pPr>
      <w:r>
        <w:rPr/>
        <w:t>网址：</w:t>
      </w:r>
      <w:hyperlink r:id="rId107">
        <w:r>
          <w:rPr>
            <w:rFonts w:ascii="Calibri" w:eastAsia="Calibri"/>
          </w:rPr>
          <w:t>www.zts.com.cn </w:t>
        </w:r>
      </w:hyperlink>
      <w:r>
        <w:rPr/>
        <w:t>客户服务电话：</w:t>
      </w:r>
      <w:r>
        <w:rPr>
          <w:rFonts w:ascii="Calibri" w:eastAsia="Calibri"/>
        </w:rPr>
        <w:t>95538</w:t>
      </w:r>
    </w:p>
    <w:p>
      <w:pPr>
        <w:pStyle w:val="ListParagraph"/>
        <w:numPr>
          <w:ilvl w:val="0"/>
          <w:numId w:val="8"/>
        </w:numPr>
        <w:tabs>
          <w:tab w:pos="1218" w:val="left" w:leader="none"/>
        </w:tabs>
        <w:spacing w:line="269" w:lineRule="exact" w:before="0" w:after="0"/>
        <w:ind w:left="1217" w:right="0" w:hanging="638"/>
        <w:jc w:val="left"/>
        <w:rPr>
          <w:sz w:val="21"/>
        </w:rPr>
      </w:pPr>
      <w:r>
        <w:rPr>
          <w:spacing w:val="-3"/>
          <w:sz w:val="21"/>
        </w:rPr>
        <w:t>世纪证券有限责任公司</w:t>
      </w:r>
    </w:p>
    <w:p>
      <w:pPr>
        <w:pStyle w:val="BodyText"/>
        <w:spacing w:before="8"/>
        <w:rPr>
          <w:sz w:val="15"/>
        </w:rPr>
      </w:pPr>
    </w:p>
    <w:p>
      <w:pPr>
        <w:pStyle w:val="BodyText"/>
        <w:ind w:left="580"/>
      </w:pPr>
      <w:r>
        <w:rPr/>
        <w:t>住所：深圳市前海深港合作区南山街道桂湾五路</w:t>
      </w:r>
      <w:r>
        <w:rPr>
          <w:rFonts w:ascii="Calibri" w:eastAsia="Calibri"/>
        </w:rPr>
        <w:t>128</w:t>
      </w:r>
      <w:r>
        <w:rPr/>
        <w:t>号前海深港基金小镇对冲基金中心</w:t>
      </w:r>
    </w:p>
    <w:p>
      <w:pPr>
        <w:pStyle w:val="BodyText"/>
        <w:spacing w:before="4"/>
        <w:rPr>
          <w:sz w:val="11"/>
        </w:rPr>
      </w:pPr>
    </w:p>
    <w:p>
      <w:pPr>
        <w:pStyle w:val="BodyText"/>
        <w:spacing w:before="59"/>
        <w:ind w:left="160"/>
        <w:rPr>
          <w:rFonts w:ascii="Calibri"/>
        </w:rPr>
      </w:pPr>
      <w:r>
        <w:rPr>
          <w:rFonts w:ascii="Calibri"/>
        </w:rPr>
        <w:t>406</w:t>
      </w:r>
    </w:p>
    <w:p>
      <w:pPr>
        <w:pStyle w:val="BodyText"/>
        <w:rPr>
          <w:rFonts w:ascii="Calibri"/>
          <w:sz w:val="11"/>
        </w:rPr>
      </w:pPr>
    </w:p>
    <w:p>
      <w:pPr>
        <w:pStyle w:val="BodyText"/>
        <w:spacing w:line="417" w:lineRule="auto" w:before="72"/>
        <w:ind w:left="580" w:right="3648"/>
      </w:pPr>
      <w:r>
        <w:rPr/>
        <w:t>办公地址：深圳市福田区深南大道招商银行大厦</w:t>
      </w:r>
      <w:r>
        <w:rPr>
          <w:rFonts w:ascii="Calibri" w:eastAsia="Calibri"/>
        </w:rPr>
        <w:t>40-42</w:t>
      </w:r>
      <w:r>
        <w:rPr/>
        <w:t>层法定代表人：李强</w:t>
      </w:r>
    </w:p>
    <w:p>
      <w:pPr>
        <w:pStyle w:val="BodyText"/>
        <w:spacing w:line="417" w:lineRule="auto"/>
        <w:ind w:left="580" w:right="6098"/>
        <w:rPr>
          <w:rFonts w:ascii="Calibri" w:eastAsia="Calibri"/>
        </w:rPr>
      </w:pPr>
      <w:r>
        <w:rPr/>
        <w:t>客户服务电话：</w:t>
      </w:r>
      <w:r>
        <w:rPr>
          <w:rFonts w:ascii="Calibri" w:eastAsia="Calibri"/>
        </w:rPr>
        <w:t>400-832-3000 </w:t>
      </w:r>
      <w:r>
        <w:rPr/>
        <w:t>传真：</w:t>
      </w:r>
      <w:r>
        <w:rPr>
          <w:rFonts w:ascii="Calibri" w:eastAsia="Calibri"/>
        </w:rPr>
        <w:t>0755-83199511</w:t>
      </w:r>
    </w:p>
    <w:p>
      <w:pPr>
        <w:pStyle w:val="BodyText"/>
        <w:spacing w:line="269" w:lineRule="exact"/>
        <w:ind w:left="580"/>
      </w:pPr>
      <w:r>
        <w:rPr/>
        <w:t>联系人：王雯</w:t>
      </w:r>
    </w:p>
    <w:p>
      <w:pPr>
        <w:pStyle w:val="BodyText"/>
        <w:spacing w:before="7"/>
        <w:rPr>
          <w:sz w:val="15"/>
        </w:rPr>
      </w:pPr>
    </w:p>
    <w:p>
      <w:pPr>
        <w:pStyle w:val="BodyText"/>
        <w:ind w:left="580"/>
        <w:rPr>
          <w:rFonts w:ascii="Calibri" w:eastAsia="Calibri"/>
        </w:rPr>
      </w:pPr>
      <w:r>
        <w:rPr/>
        <w:t>网址：</w:t>
      </w:r>
      <w:hyperlink r:id="rId108">
        <w:r>
          <w:rPr>
            <w:rFonts w:ascii="Calibri" w:eastAsia="Calibri"/>
          </w:rPr>
          <w:t>www.csco.com.cn</w:t>
        </w:r>
      </w:hyperlink>
    </w:p>
    <w:p>
      <w:pPr>
        <w:pStyle w:val="BodyText"/>
        <w:spacing w:before="3"/>
        <w:rPr>
          <w:rFonts w:ascii="Calibri"/>
          <w:sz w:val="16"/>
        </w:rPr>
      </w:pPr>
    </w:p>
    <w:p>
      <w:pPr>
        <w:pStyle w:val="ListParagraph"/>
        <w:numPr>
          <w:ilvl w:val="0"/>
          <w:numId w:val="8"/>
        </w:numPr>
        <w:tabs>
          <w:tab w:pos="1218" w:val="left" w:leader="none"/>
        </w:tabs>
        <w:spacing w:line="240" w:lineRule="auto" w:before="1" w:after="0"/>
        <w:ind w:left="1217" w:right="0" w:hanging="638"/>
        <w:jc w:val="left"/>
        <w:rPr>
          <w:sz w:val="21"/>
        </w:rPr>
      </w:pPr>
      <w:r>
        <w:rPr>
          <w:spacing w:val="-3"/>
          <w:sz w:val="21"/>
        </w:rPr>
        <w:t>第一创业证券股份有限公司</w:t>
      </w:r>
    </w:p>
    <w:p>
      <w:pPr>
        <w:pStyle w:val="BodyText"/>
        <w:spacing w:before="6"/>
        <w:rPr>
          <w:sz w:val="15"/>
        </w:rPr>
      </w:pPr>
    </w:p>
    <w:p>
      <w:pPr>
        <w:pStyle w:val="BodyText"/>
        <w:ind w:left="580"/>
      </w:pPr>
      <w:r>
        <w:rPr/>
        <w:t>住所：深圳市福田区福华一路</w:t>
      </w:r>
      <w:r>
        <w:rPr>
          <w:rFonts w:ascii="Calibri" w:eastAsia="Calibri"/>
        </w:rPr>
        <w:t>115</w:t>
      </w:r>
      <w:r>
        <w:rPr/>
        <w:t>号投行大厦</w:t>
      </w:r>
      <w:r>
        <w:rPr>
          <w:rFonts w:ascii="Calibri" w:eastAsia="Calibri"/>
        </w:rPr>
        <w:t>20</w:t>
      </w:r>
      <w:r>
        <w:rPr/>
        <w:t>楼</w:t>
      </w:r>
    </w:p>
    <w:p>
      <w:pPr>
        <w:pStyle w:val="BodyText"/>
        <w:spacing w:before="7"/>
        <w:rPr>
          <w:sz w:val="15"/>
        </w:rPr>
      </w:pPr>
    </w:p>
    <w:p>
      <w:pPr>
        <w:pStyle w:val="BodyText"/>
        <w:spacing w:line="417" w:lineRule="auto"/>
        <w:ind w:left="580" w:right="3819"/>
      </w:pPr>
      <w:r>
        <w:rPr/>
        <w:t>办公地址：深圳市福田区福华一路</w:t>
      </w:r>
      <w:r>
        <w:rPr>
          <w:rFonts w:ascii="Calibri" w:eastAsia="Calibri"/>
        </w:rPr>
        <w:t>115</w:t>
      </w:r>
      <w:r>
        <w:rPr/>
        <w:t>号投行大厦</w:t>
      </w:r>
      <w:r>
        <w:rPr>
          <w:rFonts w:ascii="Calibri" w:eastAsia="Calibri"/>
        </w:rPr>
        <w:t>18</w:t>
      </w:r>
      <w:r>
        <w:rPr/>
        <w:t>楼法定代表人：刘学民</w:t>
      </w:r>
    </w:p>
    <w:p>
      <w:pPr>
        <w:pStyle w:val="BodyText"/>
        <w:spacing w:line="417" w:lineRule="auto"/>
        <w:ind w:left="580" w:right="6790"/>
        <w:rPr>
          <w:rFonts w:ascii="Calibri" w:eastAsia="Calibri"/>
        </w:rPr>
      </w:pPr>
      <w:r>
        <w:rPr/>
        <w:t>电话：</w:t>
      </w:r>
      <w:r>
        <w:rPr>
          <w:rFonts w:ascii="Calibri" w:eastAsia="Calibri"/>
        </w:rPr>
        <w:t>0755-23838750 </w:t>
      </w:r>
      <w:r>
        <w:rPr/>
        <w:t>传真：</w:t>
      </w:r>
      <w:r>
        <w:rPr>
          <w:rFonts w:ascii="Calibri" w:eastAsia="Calibri"/>
        </w:rPr>
        <w:t>0755-25838701</w:t>
      </w:r>
    </w:p>
    <w:p>
      <w:pPr>
        <w:pStyle w:val="BodyText"/>
        <w:ind w:left="580"/>
      </w:pPr>
      <w:r>
        <w:rPr/>
        <w:t>联系人：单晶</w:t>
      </w:r>
    </w:p>
    <w:p>
      <w:pPr>
        <w:pStyle w:val="BodyText"/>
        <w:spacing w:before="7"/>
        <w:rPr>
          <w:sz w:val="15"/>
        </w:rPr>
      </w:pPr>
    </w:p>
    <w:p>
      <w:pPr>
        <w:pStyle w:val="BodyText"/>
        <w:spacing w:line="417" w:lineRule="auto"/>
        <w:ind w:left="580" w:right="6030"/>
        <w:rPr>
          <w:rFonts w:ascii="Calibri" w:eastAsia="Calibri"/>
        </w:rPr>
      </w:pPr>
      <w:r>
        <w:rPr/>
        <w:t>网址：</w:t>
      </w:r>
      <w:hyperlink r:id="rId109">
        <w:r>
          <w:rPr>
            <w:rFonts w:ascii="Calibri" w:eastAsia="Calibri"/>
          </w:rPr>
          <w:t>www.firstcapital.com.cn </w:t>
        </w:r>
      </w:hyperlink>
      <w:r>
        <w:rPr/>
        <w:t>客户服务电话：</w:t>
      </w:r>
      <w:r>
        <w:rPr>
          <w:rFonts w:ascii="Calibri" w:eastAsia="Calibri"/>
        </w:rPr>
        <w:t>95358</w:t>
      </w:r>
    </w:p>
    <w:p>
      <w:pPr>
        <w:pStyle w:val="ListParagraph"/>
        <w:numPr>
          <w:ilvl w:val="0"/>
          <w:numId w:val="8"/>
        </w:numPr>
        <w:tabs>
          <w:tab w:pos="1218" w:val="left" w:leader="none"/>
        </w:tabs>
        <w:spacing w:line="269" w:lineRule="exact" w:before="0" w:after="0"/>
        <w:ind w:left="1217" w:right="0" w:hanging="638"/>
        <w:jc w:val="left"/>
        <w:rPr>
          <w:sz w:val="21"/>
        </w:rPr>
      </w:pPr>
      <w:r>
        <w:rPr>
          <w:spacing w:val="-3"/>
          <w:sz w:val="21"/>
        </w:rPr>
        <w:t>金元证券股份有限公司</w:t>
      </w:r>
    </w:p>
    <w:p>
      <w:pPr>
        <w:pStyle w:val="BodyText"/>
        <w:spacing w:before="6"/>
        <w:rPr>
          <w:sz w:val="15"/>
        </w:rPr>
      </w:pPr>
    </w:p>
    <w:p>
      <w:pPr>
        <w:pStyle w:val="BodyText"/>
        <w:spacing w:before="1"/>
        <w:ind w:left="580"/>
      </w:pPr>
      <w:r>
        <w:rPr/>
        <w:t>住所：海口市南宝路</w:t>
      </w:r>
      <w:r>
        <w:rPr>
          <w:rFonts w:ascii="Calibri" w:eastAsia="Calibri"/>
        </w:rPr>
        <w:t>36</w:t>
      </w:r>
      <w:r>
        <w:rPr/>
        <w:t>号证券大厦</w:t>
      </w:r>
      <w:r>
        <w:rPr>
          <w:rFonts w:ascii="Calibri" w:eastAsia="Calibri"/>
        </w:rPr>
        <w:t>4</w:t>
      </w:r>
      <w:r>
        <w:rPr/>
        <w:t>楼</w:t>
      </w:r>
    </w:p>
    <w:p>
      <w:pPr>
        <w:pStyle w:val="BodyText"/>
        <w:spacing w:before="6"/>
        <w:rPr>
          <w:sz w:val="15"/>
        </w:rPr>
      </w:pPr>
    </w:p>
    <w:p>
      <w:pPr>
        <w:pStyle w:val="BodyText"/>
        <w:spacing w:line="417" w:lineRule="auto"/>
        <w:ind w:left="580" w:right="3922"/>
      </w:pPr>
      <w:r>
        <w:rPr/>
        <w:t>办公地址：深圳市深南大道</w:t>
      </w:r>
      <w:r>
        <w:rPr>
          <w:rFonts w:ascii="Calibri" w:eastAsia="Calibri"/>
        </w:rPr>
        <w:t>4001</w:t>
      </w:r>
      <w:r>
        <w:rPr/>
        <w:t>号时代金融中心</w:t>
      </w:r>
      <w:r>
        <w:rPr>
          <w:rFonts w:ascii="Calibri" w:eastAsia="Calibri"/>
        </w:rPr>
        <w:t>17</w:t>
      </w:r>
      <w:r>
        <w:rPr/>
        <w:t>层法定代表人：陆涛</w:t>
      </w:r>
    </w:p>
    <w:p>
      <w:pPr>
        <w:pStyle w:val="BodyText"/>
        <w:spacing w:line="417" w:lineRule="auto"/>
        <w:ind w:left="580" w:right="6790"/>
        <w:rPr>
          <w:rFonts w:ascii="Calibri" w:eastAsia="Calibri"/>
        </w:rPr>
      </w:pPr>
      <w:r>
        <w:rPr/>
        <w:t>电话：</w:t>
      </w:r>
      <w:r>
        <w:rPr>
          <w:rFonts w:ascii="Calibri" w:eastAsia="Calibri"/>
        </w:rPr>
        <w:t>0755-83025022 </w:t>
      </w:r>
      <w:r>
        <w:rPr/>
        <w:t>传真：</w:t>
      </w:r>
      <w:r>
        <w:rPr>
          <w:rFonts w:ascii="Calibri" w:eastAsia="Calibri"/>
        </w:rPr>
        <w:t>0755-83025625</w:t>
      </w:r>
    </w:p>
    <w:p>
      <w:pPr>
        <w:spacing w:after="0" w:line="417" w:lineRule="auto"/>
        <w:rPr>
          <w:rFonts w:ascii="Calibri" w:eastAsia="Calibri"/>
        </w:rPr>
        <w:sectPr>
          <w:pgSz w:w="11910" w:h="16840"/>
          <w:pgMar w:header="877" w:footer="995" w:top="1420" w:bottom="1180" w:left="1640" w:right="920"/>
        </w:sectPr>
      </w:pPr>
    </w:p>
    <w:p>
      <w:pPr>
        <w:pStyle w:val="BodyText"/>
        <w:spacing w:line="417" w:lineRule="auto" w:before="110"/>
        <w:ind w:left="580" w:right="7054"/>
        <w:rPr>
          <w:rFonts w:ascii="Calibri" w:eastAsia="Calibri"/>
        </w:rPr>
      </w:pPr>
      <w:r>
        <w:rPr>
          <w:spacing w:val="-2"/>
        </w:rPr>
        <w:t>联系人：马贤清 </w:t>
      </w:r>
      <w:r>
        <w:rPr>
          <w:spacing w:val="-4"/>
        </w:rPr>
        <w:t>网址：</w:t>
      </w:r>
      <w:hyperlink r:id="rId110">
        <w:r>
          <w:rPr>
            <w:rFonts w:ascii="Calibri" w:eastAsia="Calibri"/>
            <w:spacing w:val="-5"/>
          </w:rPr>
          <w:t>www.jyzq.cn</w:t>
        </w:r>
      </w:hyperlink>
    </w:p>
    <w:p>
      <w:pPr>
        <w:pStyle w:val="BodyText"/>
        <w:spacing w:line="269" w:lineRule="exact"/>
        <w:ind w:left="580"/>
        <w:rPr>
          <w:rFonts w:ascii="Calibri" w:eastAsia="Calibri"/>
        </w:rPr>
      </w:pPr>
      <w:r>
        <w:rPr/>
        <w:t>客户服务电话：</w:t>
      </w:r>
      <w:r>
        <w:rPr>
          <w:rFonts w:ascii="Calibri" w:eastAsia="Calibri"/>
        </w:rPr>
        <w:t>95372</w:t>
      </w:r>
    </w:p>
    <w:p>
      <w:pPr>
        <w:pStyle w:val="BodyText"/>
        <w:spacing w:before="3"/>
        <w:rPr>
          <w:rFonts w:ascii="Calibri"/>
          <w:sz w:val="16"/>
        </w:rPr>
      </w:pPr>
    </w:p>
    <w:p>
      <w:pPr>
        <w:pStyle w:val="ListParagraph"/>
        <w:numPr>
          <w:ilvl w:val="0"/>
          <w:numId w:val="8"/>
        </w:numPr>
        <w:tabs>
          <w:tab w:pos="1323" w:val="left" w:leader="none"/>
        </w:tabs>
        <w:spacing w:line="240" w:lineRule="auto" w:before="0" w:after="0"/>
        <w:ind w:left="1323" w:right="0" w:hanging="743"/>
        <w:jc w:val="left"/>
        <w:rPr>
          <w:sz w:val="21"/>
        </w:rPr>
      </w:pPr>
      <w:r>
        <w:rPr>
          <w:spacing w:val="-3"/>
          <w:sz w:val="21"/>
        </w:rPr>
        <w:t>华林证券股份有限公司</w:t>
      </w:r>
    </w:p>
    <w:p>
      <w:pPr>
        <w:pStyle w:val="BodyText"/>
        <w:spacing w:before="7"/>
        <w:rPr>
          <w:sz w:val="15"/>
        </w:rPr>
      </w:pPr>
    </w:p>
    <w:p>
      <w:pPr>
        <w:pStyle w:val="BodyText"/>
        <w:spacing w:line="417" w:lineRule="auto"/>
        <w:ind w:left="580" w:right="2381"/>
      </w:pPr>
      <w:r>
        <w:rPr/>
        <w:t>住所：西藏自治区拉萨市柳梧新区察古大道</w:t>
      </w:r>
      <w:r>
        <w:rPr>
          <w:rFonts w:ascii="Calibri" w:eastAsia="Calibri"/>
        </w:rPr>
        <w:t>1-1</w:t>
      </w:r>
      <w:r>
        <w:rPr/>
        <w:t>号君泰国际</w:t>
      </w:r>
      <w:r>
        <w:rPr>
          <w:rFonts w:ascii="Calibri" w:eastAsia="Calibri"/>
        </w:rPr>
        <w:t>B</w:t>
      </w:r>
      <w:r>
        <w:rPr/>
        <w:t>栋一层</w:t>
      </w:r>
      <w:r>
        <w:rPr>
          <w:rFonts w:ascii="Calibri" w:eastAsia="Calibri"/>
        </w:rPr>
        <w:t>3</w:t>
      </w:r>
      <w:r>
        <w:rPr/>
        <w:t>号办公地址：深圳市福田区民田路</w:t>
      </w:r>
      <w:r>
        <w:rPr>
          <w:rFonts w:ascii="Calibri" w:eastAsia="Calibri"/>
        </w:rPr>
        <w:t>178</w:t>
      </w:r>
      <w:r>
        <w:rPr/>
        <w:t>号华融大厦</w:t>
      </w:r>
      <w:r>
        <w:rPr>
          <w:rFonts w:ascii="Calibri" w:eastAsia="Calibri"/>
        </w:rPr>
        <w:t>6</w:t>
      </w:r>
      <w:r>
        <w:rPr/>
        <w:t>楼</w:t>
      </w:r>
    </w:p>
    <w:p>
      <w:pPr>
        <w:pStyle w:val="BodyText"/>
        <w:spacing w:line="417" w:lineRule="auto"/>
        <w:ind w:left="580" w:right="6790"/>
        <w:rPr>
          <w:rFonts w:ascii="Calibri" w:eastAsia="Calibri"/>
        </w:rPr>
      </w:pPr>
      <w:r>
        <w:rPr>
          <w:spacing w:val="-3"/>
        </w:rPr>
        <w:t>法定代表人：林立 </w:t>
      </w:r>
      <w:r>
        <w:rPr>
          <w:spacing w:val="-1"/>
        </w:rPr>
        <w:t>电话：</w:t>
      </w:r>
      <w:r>
        <w:rPr>
          <w:rFonts w:ascii="Calibri" w:eastAsia="Calibri"/>
          <w:spacing w:val="-1"/>
        </w:rPr>
        <w:t>0755-83255199 </w:t>
      </w:r>
      <w:r>
        <w:rPr>
          <w:spacing w:val="-1"/>
        </w:rPr>
        <w:t>传真：</w:t>
      </w:r>
      <w:r>
        <w:rPr>
          <w:rFonts w:ascii="Calibri" w:eastAsia="Calibri"/>
          <w:spacing w:val="-1"/>
        </w:rPr>
        <w:t>0755-82707700</w:t>
      </w:r>
    </w:p>
    <w:p>
      <w:pPr>
        <w:pStyle w:val="BodyText"/>
        <w:ind w:left="580"/>
      </w:pPr>
      <w:r>
        <w:rPr/>
        <w:t>联系人：胡倩</w:t>
      </w:r>
    </w:p>
    <w:p>
      <w:pPr>
        <w:pStyle w:val="BodyText"/>
        <w:spacing w:before="6"/>
        <w:rPr>
          <w:sz w:val="15"/>
        </w:rPr>
      </w:pPr>
    </w:p>
    <w:p>
      <w:pPr>
        <w:pStyle w:val="BodyText"/>
        <w:spacing w:before="1"/>
        <w:ind w:left="580"/>
        <w:rPr>
          <w:rFonts w:ascii="Calibri" w:eastAsia="Calibri"/>
        </w:rPr>
      </w:pPr>
      <w:r>
        <w:rPr/>
        <w:t>网址：</w:t>
      </w:r>
      <w:hyperlink r:id="rId111">
        <w:r>
          <w:rPr>
            <w:rFonts w:ascii="Calibri" w:eastAsia="Calibri"/>
          </w:rPr>
          <w:t>www.chinalin.com</w:t>
        </w:r>
      </w:hyperlink>
    </w:p>
    <w:p>
      <w:pPr>
        <w:pStyle w:val="BodyText"/>
        <w:spacing w:before="3"/>
        <w:rPr>
          <w:rFonts w:ascii="Calibri"/>
          <w:sz w:val="16"/>
        </w:rPr>
      </w:pPr>
    </w:p>
    <w:p>
      <w:pPr>
        <w:pStyle w:val="BodyText"/>
        <w:ind w:left="580"/>
        <w:rPr>
          <w:rFonts w:ascii="Calibri" w:eastAsia="Calibri"/>
        </w:rPr>
      </w:pPr>
      <w:r>
        <w:rPr/>
        <w:t>客户服务电话：</w:t>
      </w:r>
      <w:r>
        <w:rPr>
          <w:rFonts w:ascii="Calibri" w:eastAsia="Calibri"/>
        </w:rPr>
        <w:t>400-188-3888</w:t>
      </w:r>
    </w:p>
    <w:p>
      <w:pPr>
        <w:pStyle w:val="BodyText"/>
        <w:spacing w:before="4"/>
        <w:rPr>
          <w:rFonts w:ascii="Calibri"/>
          <w:sz w:val="16"/>
        </w:rPr>
      </w:pPr>
    </w:p>
    <w:p>
      <w:pPr>
        <w:pStyle w:val="ListParagraph"/>
        <w:numPr>
          <w:ilvl w:val="0"/>
          <w:numId w:val="8"/>
        </w:numPr>
        <w:tabs>
          <w:tab w:pos="1323" w:val="left" w:leader="none"/>
        </w:tabs>
        <w:spacing w:line="240" w:lineRule="auto" w:before="0" w:after="0"/>
        <w:ind w:left="1323" w:right="0" w:hanging="743"/>
        <w:jc w:val="left"/>
        <w:rPr>
          <w:sz w:val="21"/>
        </w:rPr>
      </w:pPr>
      <w:r>
        <w:rPr>
          <w:spacing w:val="-3"/>
          <w:sz w:val="21"/>
        </w:rPr>
        <w:t>西部证券股份有限公司</w:t>
      </w:r>
    </w:p>
    <w:p>
      <w:pPr>
        <w:pStyle w:val="BodyText"/>
        <w:spacing w:before="6"/>
        <w:rPr>
          <w:sz w:val="15"/>
        </w:rPr>
      </w:pPr>
    </w:p>
    <w:p>
      <w:pPr>
        <w:pStyle w:val="BodyText"/>
        <w:spacing w:before="1"/>
        <w:ind w:left="580"/>
      </w:pPr>
      <w:r>
        <w:rPr/>
        <w:t>住所：陕西省西安市新城区东新街</w:t>
      </w:r>
      <w:r>
        <w:rPr>
          <w:rFonts w:ascii="Calibri" w:eastAsia="Calibri"/>
        </w:rPr>
        <w:t>319</w:t>
      </w:r>
      <w:r>
        <w:rPr/>
        <w:t>号</w:t>
      </w:r>
      <w:r>
        <w:rPr>
          <w:rFonts w:ascii="Calibri" w:eastAsia="Calibri"/>
        </w:rPr>
        <w:t>8</w:t>
      </w:r>
      <w:r>
        <w:rPr/>
        <w:t>幢</w:t>
      </w:r>
      <w:r>
        <w:rPr>
          <w:rFonts w:ascii="Calibri" w:eastAsia="Calibri"/>
        </w:rPr>
        <w:t>10000</w:t>
      </w:r>
      <w:r>
        <w:rPr/>
        <w:t>室</w:t>
      </w:r>
    </w:p>
    <w:p>
      <w:pPr>
        <w:pStyle w:val="BodyText"/>
        <w:spacing w:before="7"/>
        <w:rPr>
          <w:sz w:val="15"/>
        </w:rPr>
      </w:pPr>
    </w:p>
    <w:p>
      <w:pPr>
        <w:pStyle w:val="BodyText"/>
        <w:spacing w:line="417" w:lineRule="auto"/>
        <w:ind w:left="580" w:right="3600"/>
      </w:pPr>
      <w:r>
        <w:rPr/>
        <w:t>办公地址：陕西省西安市新城区东新街</w:t>
      </w:r>
      <w:r>
        <w:rPr>
          <w:rFonts w:ascii="Calibri" w:eastAsia="Calibri"/>
        </w:rPr>
        <w:t>319</w:t>
      </w:r>
      <w:r>
        <w:rPr/>
        <w:t>号</w:t>
      </w:r>
      <w:r>
        <w:rPr>
          <w:rFonts w:ascii="Calibri" w:eastAsia="Calibri"/>
        </w:rPr>
        <w:t>8</w:t>
      </w:r>
      <w:r>
        <w:rPr/>
        <w:t>幢</w:t>
      </w:r>
      <w:r>
        <w:rPr>
          <w:rFonts w:ascii="Calibri" w:eastAsia="Calibri"/>
        </w:rPr>
        <w:t>10000</w:t>
      </w:r>
      <w:r>
        <w:rPr/>
        <w:t>室法定代表人：徐朝晖</w:t>
      </w:r>
    </w:p>
    <w:p>
      <w:pPr>
        <w:pStyle w:val="BodyText"/>
        <w:spacing w:line="417" w:lineRule="auto"/>
        <w:ind w:left="580" w:right="6898"/>
        <w:rPr>
          <w:rFonts w:ascii="Calibri" w:eastAsia="Calibri"/>
        </w:rPr>
      </w:pPr>
      <w:r>
        <w:rPr/>
        <w:t>电话：</w:t>
      </w:r>
      <w:r>
        <w:rPr>
          <w:rFonts w:ascii="Calibri" w:eastAsia="Calibri"/>
        </w:rPr>
        <w:t>029-87211526 </w:t>
      </w:r>
      <w:r>
        <w:rPr/>
        <w:t>传真：</w:t>
      </w:r>
      <w:r>
        <w:rPr>
          <w:rFonts w:ascii="Calibri" w:eastAsia="Calibri"/>
        </w:rPr>
        <w:t>029-87424426</w:t>
      </w:r>
    </w:p>
    <w:p>
      <w:pPr>
        <w:pStyle w:val="BodyText"/>
        <w:spacing w:line="269" w:lineRule="exact"/>
        <w:ind w:left="580"/>
      </w:pPr>
      <w:r>
        <w:rPr/>
        <w:t>联系人：梁承华</w:t>
      </w:r>
    </w:p>
    <w:p>
      <w:pPr>
        <w:pStyle w:val="BodyText"/>
        <w:spacing w:before="6"/>
        <w:rPr>
          <w:sz w:val="15"/>
        </w:rPr>
      </w:pPr>
    </w:p>
    <w:p>
      <w:pPr>
        <w:pStyle w:val="BodyText"/>
        <w:spacing w:line="417" w:lineRule="auto"/>
        <w:ind w:left="580" w:right="6391"/>
        <w:rPr>
          <w:rFonts w:ascii="Calibri" w:eastAsia="Calibri"/>
        </w:rPr>
      </w:pPr>
      <w:r>
        <w:rPr/>
        <w:t>网址：</w:t>
      </w:r>
      <w:hyperlink r:id="rId112">
        <w:r>
          <w:rPr>
            <w:rFonts w:ascii="Calibri" w:eastAsia="Calibri"/>
          </w:rPr>
          <w:t>www.westsecu.com </w:t>
        </w:r>
      </w:hyperlink>
      <w:r>
        <w:rPr/>
        <w:t>客户服务电话：</w:t>
      </w:r>
      <w:r>
        <w:rPr>
          <w:rFonts w:ascii="Calibri" w:eastAsia="Calibri"/>
        </w:rPr>
        <w:t>95582</w:t>
      </w:r>
    </w:p>
    <w:p>
      <w:pPr>
        <w:pStyle w:val="ListParagraph"/>
        <w:numPr>
          <w:ilvl w:val="0"/>
          <w:numId w:val="8"/>
        </w:numPr>
        <w:tabs>
          <w:tab w:pos="1323" w:val="left" w:leader="none"/>
        </w:tabs>
        <w:spacing w:line="240" w:lineRule="auto" w:before="0" w:after="0"/>
        <w:ind w:left="1323" w:right="0" w:hanging="743"/>
        <w:jc w:val="left"/>
        <w:rPr>
          <w:sz w:val="21"/>
        </w:rPr>
      </w:pPr>
      <w:r>
        <w:rPr>
          <w:spacing w:val="-3"/>
          <w:sz w:val="21"/>
        </w:rPr>
        <w:t>华福证券有限责任公司</w:t>
      </w:r>
    </w:p>
    <w:p>
      <w:pPr>
        <w:pStyle w:val="BodyText"/>
        <w:spacing w:before="7"/>
        <w:rPr>
          <w:sz w:val="15"/>
        </w:rPr>
      </w:pPr>
    </w:p>
    <w:p>
      <w:pPr>
        <w:pStyle w:val="BodyText"/>
        <w:ind w:left="580"/>
      </w:pPr>
      <w:r>
        <w:rPr/>
        <w:t>住所：福州市五四路</w:t>
      </w:r>
      <w:r>
        <w:rPr>
          <w:rFonts w:ascii="Calibri" w:eastAsia="Calibri"/>
        </w:rPr>
        <w:t>157</w:t>
      </w:r>
      <w:r>
        <w:rPr/>
        <w:t>号新天地大厦</w:t>
      </w:r>
      <w:r>
        <w:rPr>
          <w:rFonts w:ascii="Calibri" w:eastAsia="Calibri"/>
        </w:rPr>
        <w:t>7</w:t>
      </w:r>
      <w:r>
        <w:rPr/>
        <w:t>、</w:t>
      </w:r>
      <w:r>
        <w:rPr>
          <w:rFonts w:ascii="Calibri" w:eastAsia="Calibri"/>
        </w:rPr>
        <w:t>8</w:t>
      </w:r>
      <w:r>
        <w:rPr/>
        <w:t>层</w:t>
      </w:r>
    </w:p>
    <w:p>
      <w:pPr>
        <w:pStyle w:val="BodyText"/>
        <w:spacing w:before="7"/>
        <w:rPr>
          <w:sz w:val="15"/>
        </w:rPr>
      </w:pPr>
    </w:p>
    <w:p>
      <w:pPr>
        <w:pStyle w:val="BodyText"/>
        <w:spacing w:line="417" w:lineRule="auto"/>
        <w:ind w:left="580" w:right="4131"/>
      </w:pPr>
      <w:r>
        <w:rPr/>
        <w:t>办公地址：福州市五四路</w:t>
      </w:r>
      <w:r>
        <w:rPr>
          <w:rFonts w:ascii="Calibri" w:eastAsia="Calibri"/>
        </w:rPr>
        <w:t>157</w:t>
      </w:r>
      <w:r>
        <w:rPr/>
        <w:t>号新天地大厦</w:t>
      </w:r>
      <w:r>
        <w:rPr>
          <w:rFonts w:ascii="Calibri" w:eastAsia="Calibri"/>
        </w:rPr>
        <w:t>7</w:t>
      </w:r>
      <w:r>
        <w:rPr/>
        <w:t>至</w:t>
      </w:r>
      <w:r>
        <w:rPr>
          <w:rFonts w:ascii="Calibri" w:eastAsia="Calibri"/>
        </w:rPr>
        <w:t>10</w:t>
      </w:r>
      <w:r>
        <w:rPr/>
        <w:t>层法定代表人：黄金琳</w:t>
      </w:r>
    </w:p>
    <w:p>
      <w:pPr>
        <w:pStyle w:val="BodyText"/>
        <w:spacing w:line="417" w:lineRule="auto"/>
        <w:ind w:left="580" w:right="6790"/>
        <w:rPr>
          <w:rFonts w:ascii="Calibri" w:eastAsia="Calibri"/>
        </w:rPr>
      </w:pPr>
      <w:r>
        <w:rPr/>
        <w:t>电话：</w:t>
      </w:r>
      <w:r>
        <w:rPr>
          <w:rFonts w:ascii="Calibri" w:eastAsia="Calibri"/>
        </w:rPr>
        <w:t>0591-87383623 </w:t>
      </w:r>
      <w:r>
        <w:rPr/>
        <w:t>传真：</w:t>
      </w:r>
      <w:r>
        <w:rPr>
          <w:rFonts w:ascii="Calibri" w:eastAsia="Calibri"/>
        </w:rPr>
        <w:t>0591-87383610</w:t>
      </w:r>
    </w:p>
    <w:p>
      <w:pPr>
        <w:pStyle w:val="BodyText"/>
        <w:spacing w:line="269" w:lineRule="exact"/>
        <w:ind w:left="580"/>
      </w:pPr>
      <w:r>
        <w:rPr/>
        <w:t>联系人：张腾</w:t>
      </w:r>
    </w:p>
    <w:p>
      <w:pPr>
        <w:pStyle w:val="BodyText"/>
        <w:spacing w:before="7"/>
        <w:rPr>
          <w:sz w:val="15"/>
        </w:rPr>
      </w:pPr>
    </w:p>
    <w:p>
      <w:pPr>
        <w:pStyle w:val="BodyText"/>
        <w:spacing w:line="417" w:lineRule="auto"/>
        <w:ind w:left="580" w:right="6563"/>
        <w:rPr>
          <w:rFonts w:ascii="Calibri" w:eastAsia="Calibri"/>
        </w:rPr>
      </w:pPr>
      <w:r>
        <w:rPr/>
        <w:t>网址：</w:t>
      </w:r>
      <w:hyperlink r:id="rId113">
        <w:r>
          <w:rPr>
            <w:rFonts w:ascii="Calibri" w:eastAsia="Calibri"/>
          </w:rPr>
          <w:t>www.hfzq.com.cn </w:t>
        </w:r>
      </w:hyperlink>
      <w:r>
        <w:rPr/>
        <w:t>客户服务电话：</w:t>
      </w:r>
      <w:r>
        <w:rPr>
          <w:rFonts w:ascii="Calibri" w:eastAsia="Calibri"/>
        </w:rPr>
        <w:t>95547</w:t>
      </w:r>
    </w:p>
    <w:p>
      <w:pPr>
        <w:spacing w:after="0" w:line="417" w:lineRule="auto"/>
        <w:rPr>
          <w:rFonts w:ascii="Calibri" w:eastAsia="Calibri"/>
        </w:rPr>
        <w:sectPr>
          <w:pgSz w:w="11910" w:h="16840"/>
          <w:pgMar w:header="877" w:footer="995" w:top="1420" w:bottom="1180" w:left="1640" w:right="920"/>
        </w:sectPr>
      </w:pPr>
    </w:p>
    <w:p>
      <w:pPr>
        <w:pStyle w:val="ListParagraph"/>
        <w:numPr>
          <w:ilvl w:val="0"/>
          <w:numId w:val="8"/>
        </w:numPr>
        <w:tabs>
          <w:tab w:pos="1323" w:val="left" w:leader="none"/>
        </w:tabs>
        <w:spacing w:line="417" w:lineRule="auto" w:before="110" w:after="0"/>
        <w:ind w:left="580" w:right="5710" w:firstLine="0"/>
        <w:jc w:val="left"/>
        <w:rPr>
          <w:sz w:val="21"/>
        </w:rPr>
      </w:pPr>
      <w:r>
        <w:rPr>
          <w:spacing w:val="-3"/>
          <w:sz w:val="21"/>
        </w:rPr>
        <w:t>华龙证券股份有限公司 住所：甘肃省兰州市静宁路</w:t>
      </w:r>
      <w:r>
        <w:rPr>
          <w:rFonts w:ascii="Calibri" w:eastAsia="Calibri"/>
          <w:sz w:val="21"/>
        </w:rPr>
        <w:t>308</w:t>
      </w:r>
      <w:r>
        <w:rPr>
          <w:spacing w:val="-12"/>
          <w:sz w:val="21"/>
        </w:rPr>
        <w:t>号</w:t>
      </w:r>
    </w:p>
    <w:p>
      <w:pPr>
        <w:pStyle w:val="BodyText"/>
        <w:spacing w:line="417" w:lineRule="auto"/>
        <w:ind w:left="580" w:right="5290"/>
      </w:pPr>
      <w:r>
        <w:rPr>
          <w:spacing w:val="-3"/>
        </w:rPr>
        <w:t>办公地址：甘肃省兰州市静宁路</w:t>
      </w:r>
      <w:r>
        <w:rPr>
          <w:rFonts w:ascii="Calibri" w:eastAsia="Calibri"/>
        </w:rPr>
        <w:t>308</w:t>
      </w:r>
      <w:r>
        <w:rPr>
          <w:spacing w:val="-11"/>
        </w:rPr>
        <w:t>号</w:t>
      </w:r>
      <w:r>
        <w:rPr>
          <w:spacing w:val="-3"/>
        </w:rPr>
        <w:t>法定代表人：李晓安</w:t>
      </w:r>
    </w:p>
    <w:p>
      <w:pPr>
        <w:pStyle w:val="BodyText"/>
        <w:spacing w:line="269" w:lineRule="exact"/>
        <w:ind w:left="580"/>
        <w:rPr>
          <w:rFonts w:ascii="Calibri" w:eastAsia="Calibri"/>
        </w:rPr>
      </w:pPr>
      <w:r>
        <w:rPr>
          <w:spacing w:val="-2"/>
        </w:rPr>
        <w:t>电话：</w:t>
      </w:r>
      <w:r>
        <w:rPr>
          <w:rFonts w:ascii="Calibri" w:eastAsia="Calibri"/>
          <w:spacing w:val="-1"/>
        </w:rPr>
        <w:t>0931-4890100</w:t>
      </w:r>
    </w:p>
    <w:p>
      <w:pPr>
        <w:pStyle w:val="BodyText"/>
        <w:spacing w:before="3"/>
        <w:rPr>
          <w:rFonts w:ascii="Calibri"/>
          <w:sz w:val="16"/>
        </w:rPr>
      </w:pPr>
    </w:p>
    <w:p>
      <w:pPr>
        <w:pStyle w:val="BodyText"/>
        <w:ind w:left="580"/>
      </w:pPr>
      <w:r>
        <w:rPr/>
        <w:t>联系人：李昕田</w:t>
      </w:r>
    </w:p>
    <w:p>
      <w:pPr>
        <w:pStyle w:val="BodyText"/>
        <w:spacing w:before="7"/>
        <w:rPr>
          <w:sz w:val="15"/>
        </w:rPr>
      </w:pPr>
    </w:p>
    <w:p>
      <w:pPr>
        <w:pStyle w:val="BodyText"/>
        <w:ind w:left="580"/>
        <w:rPr>
          <w:rFonts w:ascii="Calibri" w:eastAsia="Calibri"/>
        </w:rPr>
      </w:pPr>
      <w:r>
        <w:rPr/>
        <w:t>网址：</w:t>
      </w:r>
      <w:hyperlink r:id="rId114">
        <w:r>
          <w:rPr>
            <w:rFonts w:ascii="Calibri" w:eastAsia="Calibri"/>
          </w:rPr>
          <w:t>www.hlzqgs.com</w:t>
        </w:r>
      </w:hyperlink>
    </w:p>
    <w:p>
      <w:pPr>
        <w:pStyle w:val="BodyText"/>
        <w:spacing w:before="4"/>
        <w:rPr>
          <w:rFonts w:ascii="Calibri"/>
          <w:sz w:val="16"/>
        </w:rPr>
      </w:pPr>
    </w:p>
    <w:p>
      <w:pPr>
        <w:pStyle w:val="BodyText"/>
        <w:ind w:left="580"/>
      </w:pPr>
      <w:r>
        <w:rPr/>
        <w:t>客户服务电话：</w:t>
      </w:r>
      <w:r>
        <w:rPr>
          <w:rFonts w:ascii="Calibri" w:eastAsia="Calibri"/>
        </w:rPr>
        <w:t>95368</w:t>
      </w:r>
      <w:r>
        <w:rPr/>
        <w:t>、</w:t>
      </w:r>
      <w:r>
        <w:rPr>
          <w:rFonts w:ascii="Calibri" w:eastAsia="Calibri"/>
        </w:rPr>
        <w:t>400-468-8888</w:t>
      </w:r>
      <w:r>
        <w:rPr/>
        <w:t>（全国）</w:t>
      </w:r>
    </w:p>
    <w:p>
      <w:pPr>
        <w:pStyle w:val="BodyText"/>
        <w:spacing w:before="7"/>
        <w:rPr>
          <w:sz w:val="15"/>
        </w:rPr>
      </w:pPr>
    </w:p>
    <w:p>
      <w:pPr>
        <w:pStyle w:val="ListParagraph"/>
        <w:numPr>
          <w:ilvl w:val="0"/>
          <w:numId w:val="8"/>
        </w:numPr>
        <w:tabs>
          <w:tab w:pos="1323" w:val="left" w:leader="none"/>
        </w:tabs>
        <w:spacing w:line="240" w:lineRule="auto" w:before="0" w:after="0"/>
        <w:ind w:left="1323" w:right="0" w:hanging="743"/>
        <w:jc w:val="left"/>
        <w:rPr>
          <w:sz w:val="21"/>
        </w:rPr>
      </w:pPr>
      <w:r>
        <w:rPr>
          <w:spacing w:val="-3"/>
          <w:sz w:val="21"/>
        </w:rPr>
        <w:t>中国国际金融股份有限公司</w:t>
      </w:r>
    </w:p>
    <w:p>
      <w:pPr>
        <w:pStyle w:val="BodyText"/>
        <w:spacing w:before="6"/>
        <w:rPr>
          <w:sz w:val="15"/>
        </w:rPr>
      </w:pPr>
    </w:p>
    <w:p>
      <w:pPr>
        <w:pStyle w:val="BodyText"/>
        <w:ind w:left="580"/>
      </w:pPr>
      <w:r>
        <w:rPr/>
        <w:t>住所：北京市建国门外大街</w:t>
      </w:r>
      <w:r>
        <w:rPr>
          <w:rFonts w:ascii="Calibri" w:eastAsia="Calibri"/>
        </w:rPr>
        <w:t>1</w:t>
      </w:r>
      <w:r>
        <w:rPr/>
        <w:t>号国贸大厦</w:t>
      </w:r>
      <w:r>
        <w:rPr>
          <w:rFonts w:ascii="Calibri" w:eastAsia="Calibri"/>
        </w:rPr>
        <w:t>2</w:t>
      </w:r>
      <w:r>
        <w:rPr/>
        <w:t>座</w:t>
      </w:r>
      <w:r>
        <w:rPr>
          <w:rFonts w:ascii="Calibri" w:eastAsia="Calibri"/>
        </w:rPr>
        <w:t>27</w:t>
      </w:r>
      <w:r>
        <w:rPr/>
        <w:t>层及</w:t>
      </w:r>
      <w:r>
        <w:rPr>
          <w:rFonts w:ascii="Calibri" w:eastAsia="Calibri"/>
        </w:rPr>
        <w:t>28</w:t>
      </w:r>
      <w:r>
        <w:rPr/>
        <w:t>层</w:t>
      </w:r>
    </w:p>
    <w:p>
      <w:pPr>
        <w:pStyle w:val="BodyText"/>
        <w:spacing w:before="7"/>
        <w:rPr>
          <w:sz w:val="15"/>
        </w:rPr>
      </w:pPr>
    </w:p>
    <w:p>
      <w:pPr>
        <w:pStyle w:val="BodyText"/>
        <w:spacing w:line="417" w:lineRule="auto"/>
        <w:ind w:left="580" w:right="3291"/>
      </w:pPr>
      <w:r>
        <w:rPr/>
        <w:t>办公地址：北京市建国门外大街</w:t>
      </w:r>
      <w:r>
        <w:rPr>
          <w:rFonts w:ascii="Calibri" w:eastAsia="Calibri"/>
        </w:rPr>
        <w:t>1</w:t>
      </w:r>
      <w:r>
        <w:rPr/>
        <w:t>号国贸大厦</w:t>
      </w:r>
      <w:r>
        <w:rPr>
          <w:rFonts w:ascii="Calibri" w:eastAsia="Calibri"/>
        </w:rPr>
        <w:t>2</w:t>
      </w:r>
      <w:r>
        <w:rPr/>
        <w:t>座</w:t>
      </w:r>
      <w:r>
        <w:rPr>
          <w:rFonts w:ascii="Calibri" w:eastAsia="Calibri"/>
        </w:rPr>
        <w:t>27</w:t>
      </w:r>
      <w:r>
        <w:rPr/>
        <w:t>层及</w:t>
      </w:r>
      <w:r>
        <w:rPr>
          <w:rFonts w:ascii="Calibri" w:eastAsia="Calibri"/>
        </w:rPr>
        <w:t>28</w:t>
      </w:r>
      <w:r>
        <w:rPr/>
        <w:t>层法定代表人：金立群</w:t>
      </w:r>
    </w:p>
    <w:p>
      <w:pPr>
        <w:pStyle w:val="BodyText"/>
        <w:spacing w:line="417" w:lineRule="auto"/>
        <w:ind w:left="580" w:right="6898"/>
        <w:rPr>
          <w:rFonts w:ascii="Calibri" w:eastAsia="Calibri"/>
        </w:rPr>
      </w:pPr>
      <w:r>
        <w:rPr/>
        <w:t>电话：</w:t>
      </w:r>
      <w:r>
        <w:rPr>
          <w:rFonts w:ascii="Calibri" w:eastAsia="Calibri"/>
        </w:rPr>
        <w:t>010-65051166 </w:t>
      </w:r>
      <w:r>
        <w:rPr/>
        <w:t>传真：</w:t>
      </w:r>
      <w:r>
        <w:rPr>
          <w:rFonts w:ascii="Calibri" w:eastAsia="Calibri"/>
        </w:rPr>
        <w:t>010-65058065</w:t>
      </w:r>
    </w:p>
    <w:p>
      <w:pPr>
        <w:pStyle w:val="BodyText"/>
        <w:spacing w:line="417" w:lineRule="auto"/>
        <w:ind w:left="580" w:right="6450"/>
        <w:rPr>
          <w:rFonts w:ascii="Calibri" w:eastAsia="Calibri"/>
        </w:rPr>
      </w:pPr>
      <w:r>
        <w:rPr/>
        <w:t>联系人：罗春蓉、武明明网址：</w:t>
      </w:r>
      <w:hyperlink r:id="rId115">
        <w:r>
          <w:rPr>
            <w:rFonts w:ascii="Calibri" w:eastAsia="Calibri"/>
          </w:rPr>
          <w:t>www.cicc.com.cn</w:t>
        </w:r>
      </w:hyperlink>
    </w:p>
    <w:p>
      <w:pPr>
        <w:pStyle w:val="BodyText"/>
        <w:spacing w:line="269" w:lineRule="exact"/>
        <w:ind w:left="580"/>
        <w:rPr>
          <w:rFonts w:ascii="Calibri" w:eastAsia="Calibri"/>
        </w:rPr>
      </w:pPr>
      <w:r>
        <w:rPr/>
        <w:t>客户服务电话：</w:t>
      </w:r>
      <w:r>
        <w:rPr>
          <w:rFonts w:ascii="Calibri" w:eastAsia="Calibri"/>
        </w:rPr>
        <w:t>010-65051166</w:t>
      </w:r>
    </w:p>
    <w:p>
      <w:pPr>
        <w:pStyle w:val="BodyText"/>
        <w:spacing w:before="3"/>
        <w:rPr>
          <w:rFonts w:ascii="Calibri"/>
          <w:sz w:val="16"/>
        </w:rPr>
      </w:pPr>
    </w:p>
    <w:p>
      <w:pPr>
        <w:pStyle w:val="ListParagraph"/>
        <w:numPr>
          <w:ilvl w:val="0"/>
          <w:numId w:val="8"/>
        </w:numPr>
        <w:tabs>
          <w:tab w:pos="1323" w:val="left" w:leader="none"/>
        </w:tabs>
        <w:spacing w:line="240" w:lineRule="auto" w:before="1" w:after="0"/>
        <w:ind w:left="1323" w:right="0" w:hanging="743"/>
        <w:jc w:val="left"/>
        <w:rPr>
          <w:sz w:val="21"/>
        </w:rPr>
      </w:pPr>
      <w:r>
        <w:rPr>
          <w:spacing w:val="-3"/>
          <w:sz w:val="21"/>
        </w:rPr>
        <w:t>财通证券股份有限公司</w:t>
      </w:r>
    </w:p>
    <w:p>
      <w:pPr>
        <w:pStyle w:val="BodyText"/>
        <w:spacing w:before="6"/>
        <w:rPr>
          <w:sz w:val="15"/>
        </w:rPr>
      </w:pPr>
    </w:p>
    <w:p>
      <w:pPr>
        <w:pStyle w:val="BodyText"/>
        <w:ind w:left="580"/>
      </w:pPr>
      <w:r>
        <w:rPr/>
        <w:t>住所：杭州市杭大路</w:t>
      </w:r>
      <w:r>
        <w:rPr>
          <w:rFonts w:ascii="Calibri" w:eastAsia="Calibri"/>
        </w:rPr>
        <w:t>15</w:t>
      </w:r>
      <w:r>
        <w:rPr/>
        <w:t>号嘉华国际商务中心</w:t>
      </w:r>
    </w:p>
    <w:p>
      <w:pPr>
        <w:pStyle w:val="BodyText"/>
        <w:spacing w:before="7"/>
        <w:rPr>
          <w:sz w:val="15"/>
        </w:rPr>
      </w:pPr>
    </w:p>
    <w:p>
      <w:pPr>
        <w:pStyle w:val="BodyText"/>
        <w:spacing w:line="417" w:lineRule="auto"/>
        <w:ind w:left="580" w:right="4347"/>
      </w:pPr>
      <w:r>
        <w:rPr/>
        <w:t>办公地址：杭州市杭大路</w:t>
      </w:r>
      <w:r>
        <w:rPr>
          <w:rFonts w:ascii="Calibri" w:eastAsia="Calibri"/>
        </w:rPr>
        <w:t>15</w:t>
      </w:r>
      <w:r>
        <w:rPr/>
        <w:t>号嘉华国际商务中心法定代表人：沈继宁</w:t>
      </w:r>
    </w:p>
    <w:p>
      <w:pPr>
        <w:pStyle w:val="BodyText"/>
        <w:spacing w:line="417" w:lineRule="auto"/>
        <w:ind w:left="580" w:right="6790"/>
        <w:rPr>
          <w:rFonts w:ascii="Calibri" w:eastAsia="Calibri"/>
        </w:rPr>
      </w:pPr>
      <w:r>
        <w:rPr/>
        <w:t>电话：</w:t>
      </w:r>
      <w:r>
        <w:rPr>
          <w:rFonts w:ascii="Calibri" w:eastAsia="Calibri"/>
        </w:rPr>
        <w:t>0571-87925129 </w:t>
      </w:r>
      <w:r>
        <w:rPr/>
        <w:t>传真：</w:t>
      </w:r>
      <w:r>
        <w:rPr>
          <w:rFonts w:ascii="Calibri" w:eastAsia="Calibri"/>
        </w:rPr>
        <w:t>0571-87818329</w:t>
      </w:r>
    </w:p>
    <w:p>
      <w:pPr>
        <w:pStyle w:val="BodyText"/>
        <w:spacing w:line="269" w:lineRule="exact"/>
        <w:ind w:left="580"/>
      </w:pPr>
      <w:r>
        <w:rPr/>
        <w:t>联系人：夏吉慧</w:t>
      </w:r>
    </w:p>
    <w:p>
      <w:pPr>
        <w:pStyle w:val="BodyText"/>
        <w:spacing w:before="7"/>
        <w:rPr>
          <w:sz w:val="15"/>
        </w:rPr>
      </w:pPr>
    </w:p>
    <w:p>
      <w:pPr>
        <w:pStyle w:val="BodyText"/>
        <w:spacing w:line="417" w:lineRule="auto"/>
        <w:ind w:left="580" w:right="6761"/>
        <w:rPr>
          <w:rFonts w:ascii="Calibri" w:eastAsia="Calibri"/>
        </w:rPr>
      </w:pPr>
      <w:r>
        <w:rPr/>
        <w:t>网址：</w:t>
      </w:r>
      <w:hyperlink r:id="rId116">
        <w:r>
          <w:rPr>
            <w:rFonts w:ascii="Calibri" w:eastAsia="Calibri"/>
          </w:rPr>
          <w:t>www.ctsec.com </w:t>
        </w:r>
      </w:hyperlink>
      <w:r>
        <w:rPr/>
        <w:t>客户服务电话：</w:t>
      </w:r>
      <w:r>
        <w:rPr>
          <w:rFonts w:ascii="Calibri" w:eastAsia="Calibri"/>
        </w:rPr>
        <w:t>95336</w:t>
      </w:r>
    </w:p>
    <w:p>
      <w:pPr>
        <w:pStyle w:val="ListParagraph"/>
        <w:numPr>
          <w:ilvl w:val="0"/>
          <w:numId w:val="8"/>
        </w:numPr>
        <w:tabs>
          <w:tab w:pos="1323" w:val="left" w:leader="none"/>
        </w:tabs>
        <w:spacing w:line="269" w:lineRule="exact" w:before="0" w:after="0"/>
        <w:ind w:left="1323" w:right="0" w:hanging="743"/>
        <w:jc w:val="left"/>
        <w:rPr>
          <w:sz w:val="21"/>
        </w:rPr>
      </w:pPr>
      <w:r>
        <w:rPr>
          <w:spacing w:val="-3"/>
          <w:sz w:val="21"/>
        </w:rPr>
        <w:t>中国中金财富证券有限公司</w:t>
      </w:r>
    </w:p>
    <w:p>
      <w:pPr>
        <w:pStyle w:val="BodyText"/>
        <w:spacing w:before="7"/>
        <w:rPr>
          <w:sz w:val="15"/>
        </w:rPr>
      </w:pPr>
    </w:p>
    <w:p>
      <w:pPr>
        <w:pStyle w:val="BodyText"/>
        <w:spacing w:line="417" w:lineRule="auto"/>
        <w:ind w:left="160" w:right="873" w:firstLine="419"/>
      </w:pPr>
      <w:r>
        <w:rPr/>
        <w:t>住所：深圳市福田区益田路与福中路交界处荣超商务中心</w:t>
      </w:r>
      <w:r>
        <w:rPr>
          <w:rFonts w:ascii="Calibri" w:eastAsia="Calibri"/>
        </w:rPr>
        <w:t>A</w:t>
      </w:r>
      <w:r>
        <w:rPr/>
        <w:t>栋第</w:t>
      </w:r>
      <w:r>
        <w:rPr>
          <w:rFonts w:ascii="Calibri" w:eastAsia="Calibri"/>
        </w:rPr>
        <w:t>18</w:t>
      </w:r>
      <w:r>
        <w:rPr/>
        <w:t>层</w:t>
      </w:r>
      <w:r>
        <w:rPr>
          <w:rFonts w:ascii="Calibri" w:eastAsia="Calibri"/>
        </w:rPr>
        <w:t>-21</w:t>
      </w:r>
      <w:r>
        <w:rPr/>
        <w:t>层及第</w:t>
      </w:r>
      <w:r>
        <w:rPr>
          <w:rFonts w:ascii="Calibri" w:eastAsia="Calibri"/>
        </w:rPr>
        <w:t>04</w:t>
      </w:r>
      <w:r>
        <w:rPr/>
        <w:t>层</w:t>
      </w:r>
      <w:r>
        <w:rPr>
          <w:rFonts w:ascii="Calibri" w:eastAsia="Calibri"/>
        </w:rPr>
        <w:t>01.02.03.05.11.12.13.15.16.18.19.20.21.22.23</w:t>
      </w:r>
      <w:r>
        <w:rPr/>
        <w:t>单元</w:t>
      </w:r>
    </w:p>
    <w:p>
      <w:pPr>
        <w:pStyle w:val="BodyText"/>
        <w:ind w:left="580"/>
      </w:pPr>
      <w:r>
        <w:rPr/>
        <w:t>办公地址：深圳市福田区益田路</w:t>
      </w:r>
      <w:r>
        <w:rPr>
          <w:rFonts w:ascii="Calibri" w:eastAsia="Calibri"/>
        </w:rPr>
        <w:t>6003</w:t>
      </w:r>
      <w:r>
        <w:rPr/>
        <w:t>号荣超商务中心</w:t>
      </w:r>
      <w:r>
        <w:rPr>
          <w:rFonts w:ascii="Calibri" w:eastAsia="Calibri"/>
        </w:rPr>
        <w:t>A</w:t>
      </w:r>
      <w:r>
        <w:rPr/>
        <w:t>栋第</w:t>
      </w:r>
      <w:r>
        <w:rPr>
          <w:rFonts w:ascii="Calibri" w:eastAsia="Calibri"/>
        </w:rPr>
        <w:t>04</w:t>
      </w:r>
      <w:r>
        <w:rPr/>
        <w:t>、</w:t>
      </w:r>
      <w:r>
        <w:rPr>
          <w:rFonts w:ascii="Calibri" w:eastAsia="Calibri"/>
        </w:rPr>
        <w:t>18</w:t>
      </w:r>
      <w:r>
        <w:rPr/>
        <w:t>层至</w:t>
      </w:r>
      <w:r>
        <w:rPr>
          <w:rFonts w:ascii="Calibri" w:eastAsia="Calibri"/>
        </w:rPr>
        <w:t>21</w:t>
      </w:r>
      <w:r>
        <w:rPr/>
        <w:t>层</w:t>
      </w:r>
    </w:p>
    <w:p>
      <w:pPr>
        <w:spacing w:after="0"/>
        <w:sectPr>
          <w:pgSz w:w="11910" w:h="16840"/>
          <w:pgMar w:header="877" w:footer="995" w:top="1420" w:bottom="1180" w:left="1640" w:right="920"/>
        </w:sectPr>
      </w:pPr>
    </w:p>
    <w:p>
      <w:pPr>
        <w:pStyle w:val="BodyText"/>
        <w:spacing w:line="417" w:lineRule="auto" w:before="110"/>
        <w:ind w:left="580" w:right="6790"/>
        <w:rPr>
          <w:rFonts w:ascii="Calibri" w:eastAsia="Calibri"/>
        </w:rPr>
      </w:pPr>
      <w:r>
        <w:rPr>
          <w:spacing w:val="-3"/>
        </w:rPr>
        <w:t>法定代表人：高涛 </w:t>
      </w:r>
      <w:r>
        <w:rPr>
          <w:spacing w:val="-1"/>
        </w:rPr>
        <w:t>电话：</w:t>
      </w:r>
      <w:r>
        <w:rPr>
          <w:rFonts w:ascii="Calibri" w:eastAsia="Calibri"/>
          <w:spacing w:val="-1"/>
        </w:rPr>
        <w:t>0755-88320851 </w:t>
      </w:r>
      <w:r>
        <w:rPr>
          <w:spacing w:val="-1"/>
        </w:rPr>
        <w:t>传真：</w:t>
      </w:r>
      <w:r>
        <w:rPr>
          <w:rFonts w:ascii="Calibri" w:eastAsia="Calibri"/>
          <w:spacing w:val="-1"/>
        </w:rPr>
        <w:t>0755-82026942</w:t>
      </w:r>
    </w:p>
    <w:p>
      <w:pPr>
        <w:pStyle w:val="BodyText"/>
        <w:spacing w:line="269" w:lineRule="exact"/>
        <w:ind w:left="580"/>
      </w:pPr>
      <w:r>
        <w:rPr/>
        <w:t>联系人：胡芷境</w:t>
      </w:r>
    </w:p>
    <w:p>
      <w:pPr>
        <w:pStyle w:val="BodyText"/>
        <w:spacing w:before="6"/>
        <w:rPr>
          <w:sz w:val="15"/>
        </w:rPr>
      </w:pPr>
    </w:p>
    <w:p>
      <w:pPr>
        <w:pStyle w:val="BodyText"/>
        <w:ind w:left="580"/>
        <w:rPr>
          <w:rFonts w:ascii="Calibri" w:eastAsia="Calibri"/>
        </w:rPr>
      </w:pPr>
      <w:r>
        <w:rPr/>
        <w:t>网址：</w:t>
      </w:r>
      <w:hyperlink r:id="rId117">
        <w:r>
          <w:rPr>
            <w:rFonts w:ascii="Calibri" w:eastAsia="Calibri"/>
          </w:rPr>
          <w:t>www.china-invs.cn</w:t>
        </w:r>
      </w:hyperlink>
    </w:p>
    <w:p>
      <w:pPr>
        <w:pStyle w:val="BodyText"/>
        <w:spacing w:before="4"/>
        <w:rPr>
          <w:rFonts w:ascii="Calibri"/>
          <w:sz w:val="16"/>
        </w:rPr>
      </w:pPr>
    </w:p>
    <w:p>
      <w:pPr>
        <w:pStyle w:val="BodyText"/>
        <w:ind w:left="580"/>
        <w:rPr>
          <w:rFonts w:ascii="Calibri" w:eastAsia="Calibri"/>
        </w:rPr>
      </w:pPr>
      <w:r>
        <w:rPr/>
        <w:t>客户服务电话：</w:t>
      </w:r>
      <w:r>
        <w:rPr>
          <w:rFonts w:ascii="Calibri" w:eastAsia="Calibri"/>
        </w:rPr>
        <w:t>400-600-8008</w:t>
      </w:r>
      <w:r>
        <w:rPr/>
        <w:t>、</w:t>
      </w:r>
      <w:r>
        <w:rPr>
          <w:rFonts w:ascii="Calibri" w:eastAsia="Calibri"/>
        </w:rPr>
        <w:t>95532</w:t>
      </w:r>
    </w:p>
    <w:p>
      <w:pPr>
        <w:pStyle w:val="BodyText"/>
        <w:spacing w:before="4"/>
        <w:rPr>
          <w:rFonts w:ascii="Calibri"/>
          <w:sz w:val="16"/>
        </w:rPr>
      </w:pPr>
    </w:p>
    <w:p>
      <w:pPr>
        <w:pStyle w:val="ListParagraph"/>
        <w:numPr>
          <w:ilvl w:val="0"/>
          <w:numId w:val="8"/>
        </w:numPr>
        <w:tabs>
          <w:tab w:pos="1323" w:val="left" w:leader="none"/>
        </w:tabs>
        <w:spacing w:line="240" w:lineRule="auto" w:before="0" w:after="0"/>
        <w:ind w:left="1323" w:right="0" w:hanging="743"/>
        <w:jc w:val="left"/>
        <w:rPr>
          <w:sz w:val="21"/>
        </w:rPr>
      </w:pPr>
      <w:r>
        <w:rPr>
          <w:spacing w:val="-3"/>
          <w:sz w:val="21"/>
        </w:rPr>
        <w:t>中山证券有限责任公司</w:t>
      </w:r>
    </w:p>
    <w:p>
      <w:pPr>
        <w:pStyle w:val="BodyText"/>
        <w:spacing w:before="7"/>
        <w:rPr>
          <w:sz w:val="15"/>
        </w:rPr>
      </w:pPr>
    </w:p>
    <w:p>
      <w:pPr>
        <w:pStyle w:val="BodyText"/>
        <w:ind w:left="580"/>
      </w:pPr>
      <w:r>
        <w:rPr/>
        <w:t>住所：深圳市南山区创业路</w:t>
      </w:r>
      <w:r>
        <w:rPr>
          <w:rFonts w:ascii="Calibri" w:eastAsia="Calibri"/>
        </w:rPr>
        <w:t>1777</w:t>
      </w:r>
      <w:r>
        <w:rPr/>
        <w:t>号海信南方大厦</w:t>
      </w:r>
      <w:r>
        <w:rPr>
          <w:rFonts w:ascii="Calibri" w:eastAsia="Calibri"/>
        </w:rPr>
        <w:t>21</w:t>
      </w:r>
      <w:r>
        <w:rPr/>
        <w:t>、</w:t>
      </w:r>
      <w:r>
        <w:rPr>
          <w:rFonts w:ascii="Calibri" w:eastAsia="Calibri"/>
        </w:rPr>
        <w:t>22</w:t>
      </w:r>
      <w:r>
        <w:rPr/>
        <w:t>层</w:t>
      </w:r>
    </w:p>
    <w:p>
      <w:pPr>
        <w:pStyle w:val="BodyText"/>
        <w:spacing w:before="7"/>
        <w:rPr>
          <w:sz w:val="15"/>
        </w:rPr>
      </w:pPr>
    </w:p>
    <w:p>
      <w:pPr>
        <w:pStyle w:val="BodyText"/>
        <w:spacing w:line="417" w:lineRule="auto"/>
        <w:ind w:left="580" w:right="3077"/>
      </w:pPr>
      <w:r>
        <w:rPr/>
        <w:t>办公地址：深圳市南山区创业路</w:t>
      </w:r>
      <w:r>
        <w:rPr>
          <w:rFonts w:ascii="Calibri" w:eastAsia="Calibri"/>
        </w:rPr>
        <w:t>1777</w:t>
      </w:r>
      <w:r>
        <w:rPr/>
        <w:t>号海信南方大厦</w:t>
      </w:r>
      <w:r>
        <w:rPr>
          <w:rFonts w:ascii="Calibri" w:eastAsia="Calibri"/>
        </w:rPr>
        <w:t>21</w:t>
      </w:r>
      <w:r>
        <w:rPr/>
        <w:t>、</w:t>
      </w:r>
      <w:r>
        <w:rPr>
          <w:rFonts w:ascii="Calibri" w:eastAsia="Calibri"/>
        </w:rPr>
        <w:t>22</w:t>
      </w:r>
      <w:r>
        <w:rPr/>
        <w:t>层法定代表人：林炳城</w:t>
      </w:r>
    </w:p>
    <w:p>
      <w:pPr>
        <w:pStyle w:val="BodyText"/>
        <w:spacing w:line="417" w:lineRule="auto"/>
        <w:ind w:left="580" w:right="6790"/>
        <w:rPr>
          <w:rFonts w:ascii="Calibri" w:eastAsia="Calibri"/>
        </w:rPr>
      </w:pPr>
      <w:r>
        <w:rPr/>
        <w:t>电话：</w:t>
      </w:r>
      <w:r>
        <w:rPr>
          <w:rFonts w:ascii="Calibri" w:eastAsia="Calibri"/>
        </w:rPr>
        <w:t>0755-82943755 </w:t>
      </w:r>
      <w:r>
        <w:rPr/>
        <w:t>传真：</w:t>
      </w:r>
      <w:r>
        <w:rPr>
          <w:rFonts w:ascii="Calibri" w:eastAsia="Calibri"/>
        </w:rPr>
        <w:t>0755-82960582</w:t>
      </w:r>
    </w:p>
    <w:p>
      <w:pPr>
        <w:pStyle w:val="BodyText"/>
        <w:spacing w:line="269" w:lineRule="exact"/>
        <w:ind w:left="580"/>
      </w:pPr>
      <w:r>
        <w:rPr/>
        <w:t>联系人：罗艺琳</w:t>
      </w:r>
    </w:p>
    <w:p>
      <w:pPr>
        <w:pStyle w:val="BodyText"/>
        <w:spacing w:before="6"/>
        <w:rPr>
          <w:sz w:val="15"/>
        </w:rPr>
      </w:pPr>
    </w:p>
    <w:p>
      <w:pPr>
        <w:pStyle w:val="BodyText"/>
        <w:spacing w:line="417" w:lineRule="auto"/>
        <w:ind w:left="580" w:right="6761"/>
        <w:rPr>
          <w:rFonts w:ascii="Calibri" w:eastAsia="Calibri"/>
        </w:rPr>
      </w:pPr>
      <w:r>
        <w:rPr/>
        <w:t>网址：</w:t>
      </w:r>
      <w:hyperlink r:id="rId118">
        <w:r>
          <w:rPr>
            <w:rFonts w:ascii="Calibri" w:eastAsia="Calibri"/>
          </w:rPr>
          <w:t>www.zszq.com </w:t>
        </w:r>
      </w:hyperlink>
      <w:r>
        <w:rPr/>
        <w:t>客户服务电话：</w:t>
      </w:r>
      <w:r>
        <w:rPr>
          <w:rFonts w:ascii="Calibri" w:eastAsia="Calibri"/>
        </w:rPr>
        <w:t>95329</w:t>
      </w:r>
    </w:p>
    <w:p>
      <w:pPr>
        <w:pStyle w:val="ListParagraph"/>
        <w:numPr>
          <w:ilvl w:val="0"/>
          <w:numId w:val="8"/>
        </w:numPr>
        <w:tabs>
          <w:tab w:pos="1323" w:val="left" w:leader="none"/>
        </w:tabs>
        <w:spacing w:line="417" w:lineRule="auto" w:before="0" w:after="0"/>
        <w:ind w:left="580" w:right="5501" w:firstLine="0"/>
        <w:jc w:val="left"/>
        <w:rPr>
          <w:sz w:val="21"/>
        </w:rPr>
      </w:pPr>
      <w:r>
        <w:rPr>
          <w:spacing w:val="-4"/>
          <w:sz w:val="21"/>
        </w:rPr>
        <w:t>东方财富证券股份有限公司</w:t>
      </w:r>
      <w:r>
        <w:rPr>
          <w:spacing w:val="-3"/>
          <w:sz w:val="21"/>
        </w:rPr>
        <w:t>住所：拉萨市北京中路</w:t>
      </w:r>
      <w:r>
        <w:rPr>
          <w:rFonts w:ascii="Calibri" w:eastAsia="Calibri"/>
          <w:sz w:val="21"/>
        </w:rPr>
        <w:t>101</w:t>
      </w:r>
      <w:r>
        <w:rPr>
          <w:sz w:val="21"/>
        </w:rPr>
        <w:t>号</w:t>
      </w:r>
    </w:p>
    <w:p>
      <w:pPr>
        <w:pStyle w:val="BodyText"/>
        <w:spacing w:line="417" w:lineRule="auto"/>
        <w:ind w:left="580" w:right="4448"/>
      </w:pPr>
      <w:r>
        <w:rPr/>
        <w:t>办公地址：上海市永和路</w:t>
      </w:r>
      <w:r>
        <w:rPr>
          <w:rFonts w:ascii="Calibri" w:eastAsia="Calibri"/>
        </w:rPr>
        <w:t>118</w:t>
      </w:r>
      <w:r>
        <w:rPr/>
        <w:t>弄东方企业园</w:t>
      </w:r>
      <w:r>
        <w:rPr>
          <w:rFonts w:ascii="Calibri" w:eastAsia="Calibri"/>
        </w:rPr>
        <w:t>24</w:t>
      </w:r>
      <w:r>
        <w:rPr/>
        <w:t>号法定代表人：贾绍君</w:t>
      </w:r>
    </w:p>
    <w:p>
      <w:pPr>
        <w:pStyle w:val="BodyText"/>
        <w:spacing w:line="417" w:lineRule="auto"/>
        <w:ind w:left="580" w:right="6898"/>
        <w:rPr>
          <w:rFonts w:ascii="Calibri" w:eastAsia="Calibri"/>
        </w:rPr>
      </w:pPr>
      <w:r>
        <w:rPr/>
        <w:t>电话：</w:t>
      </w:r>
      <w:r>
        <w:rPr>
          <w:rFonts w:ascii="Calibri" w:eastAsia="Calibri"/>
        </w:rPr>
        <w:t>021-36533016 </w:t>
      </w:r>
      <w:r>
        <w:rPr/>
        <w:t>传真：</w:t>
      </w:r>
      <w:r>
        <w:rPr>
          <w:rFonts w:ascii="Calibri" w:eastAsia="Calibri"/>
        </w:rPr>
        <w:t>021-36533017</w:t>
      </w:r>
    </w:p>
    <w:p>
      <w:pPr>
        <w:pStyle w:val="BodyText"/>
        <w:ind w:left="580"/>
      </w:pPr>
      <w:r>
        <w:rPr/>
        <w:t>联系人：王伟光</w:t>
      </w:r>
    </w:p>
    <w:p>
      <w:pPr>
        <w:pStyle w:val="BodyText"/>
        <w:spacing w:before="6"/>
        <w:rPr>
          <w:sz w:val="15"/>
        </w:rPr>
      </w:pPr>
    </w:p>
    <w:p>
      <w:pPr>
        <w:pStyle w:val="BodyText"/>
        <w:spacing w:before="1"/>
        <w:ind w:left="580"/>
        <w:rPr>
          <w:rFonts w:ascii="Calibri" w:eastAsia="Calibri"/>
        </w:rPr>
      </w:pPr>
      <w:r>
        <w:rPr/>
        <w:t>网址： </w:t>
      </w:r>
      <w:hyperlink r:id="rId119">
        <w:r>
          <w:rPr>
            <w:rFonts w:ascii="Calibri" w:eastAsia="Calibri"/>
          </w:rPr>
          <w:t>http://www.18.cn</w:t>
        </w:r>
      </w:hyperlink>
    </w:p>
    <w:p>
      <w:pPr>
        <w:pStyle w:val="BodyText"/>
        <w:spacing w:before="3"/>
        <w:rPr>
          <w:rFonts w:ascii="Calibri"/>
          <w:sz w:val="16"/>
        </w:rPr>
      </w:pPr>
    </w:p>
    <w:p>
      <w:pPr>
        <w:pStyle w:val="BodyText"/>
        <w:ind w:left="580"/>
        <w:rPr>
          <w:rFonts w:ascii="Calibri" w:eastAsia="Calibri"/>
        </w:rPr>
      </w:pPr>
      <w:r>
        <w:rPr/>
        <w:t>客户服务电话：</w:t>
      </w:r>
      <w:r>
        <w:rPr>
          <w:rFonts w:ascii="Calibri" w:eastAsia="Calibri"/>
        </w:rPr>
        <w:t>95357</w:t>
      </w:r>
    </w:p>
    <w:p>
      <w:pPr>
        <w:pStyle w:val="BodyText"/>
        <w:spacing w:before="4"/>
        <w:rPr>
          <w:rFonts w:ascii="Calibri"/>
          <w:sz w:val="16"/>
        </w:rPr>
      </w:pPr>
    </w:p>
    <w:p>
      <w:pPr>
        <w:pStyle w:val="ListParagraph"/>
        <w:numPr>
          <w:ilvl w:val="0"/>
          <w:numId w:val="8"/>
        </w:numPr>
        <w:tabs>
          <w:tab w:pos="1323" w:val="left" w:leader="none"/>
        </w:tabs>
        <w:spacing w:line="240" w:lineRule="auto" w:before="0" w:after="0"/>
        <w:ind w:left="1323" w:right="0" w:hanging="743"/>
        <w:jc w:val="left"/>
        <w:rPr>
          <w:sz w:val="21"/>
        </w:rPr>
      </w:pPr>
      <w:r>
        <w:rPr>
          <w:spacing w:val="-3"/>
          <w:sz w:val="21"/>
        </w:rPr>
        <w:t>国融证券股份有限公司</w:t>
      </w:r>
    </w:p>
    <w:p>
      <w:pPr>
        <w:pStyle w:val="BodyText"/>
        <w:spacing w:before="6"/>
        <w:rPr>
          <w:sz w:val="15"/>
        </w:rPr>
      </w:pPr>
    </w:p>
    <w:p>
      <w:pPr>
        <w:pStyle w:val="BodyText"/>
        <w:spacing w:before="1"/>
        <w:ind w:left="580"/>
      </w:pPr>
      <w:r>
        <w:rPr/>
        <w:t>住所：内蒙古自治区呼和浩特市武川县腾飞大道</w:t>
      </w:r>
      <w:r>
        <w:rPr>
          <w:rFonts w:ascii="Calibri" w:eastAsia="Calibri"/>
        </w:rPr>
        <w:t>1</w:t>
      </w:r>
      <w:r>
        <w:rPr/>
        <w:t>号</w:t>
      </w:r>
      <w:r>
        <w:rPr>
          <w:rFonts w:ascii="Calibri" w:eastAsia="Calibri"/>
        </w:rPr>
        <w:t>4</w:t>
      </w:r>
      <w:r>
        <w:rPr/>
        <w:t>楼</w:t>
      </w:r>
    </w:p>
    <w:p>
      <w:pPr>
        <w:pStyle w:val="BodyText"/>
        <w:spacing w:before="6"/>
        <w:rPr>
          <w:sz w:val="15"/>
        </w:rPr>
      </w:pPr>
    </w:p>
    <w:p>
      <w:pPr>
        <w:pStyle w:val="BodyText"/>
        <w:spacing w:line="417" w:lineRule="auto"/>
        <w:ind w:left="580" w:right="2979"/>
      </w:pPr>
      <w:r>
        <w:rPr/>
        <w:t>办公地址：北京市西城区闹市口大街</w:t>
      </w:r>
      <w:r>
        <w:rPr>
          <w:rFonts w:ascii="Calibri" w:eastAsia="Calibri"/>
        </w:rPr>
        <w:t>1</w:t>
      </w:r>
      <w:r>
        <w:rPr/>
        <w:t>号长安兴融中心西楼</w:t>
      </w:r>
      <w:r>
        <w:rPr>
          <w:rFonts w:ascii="Calibri" w:eastAsia="Calibri"/>
        </w:rPr>
        <w:t>11</w:t>
      </w:r>
      <w:r>
        <w:rPr/>
        <w:t>层法定代表人：张智河</w:t>
      </w:r>
    </w:p>
    <w:p>
      <w:pPr>
        <w:pStyle w:val="BodyText"/>
        <w:spacing w:line="417" w:lineRule="auto"/>
        <w:ind w:left="580" w:right="6898"/>
        <w:rPr>
          <w:rFonts w:ascii="Calibri" w:eastAsia="Calibri"/>
        </w:rPr>
      </w:pPr>
      <w:r>
        <w:rPr/>
        <w:t>电话：</w:t>
      </w:r>
      <w:r>
        <w:rPr>
          <w:rFonts w:ascii="Calibri" w:eastAsia="Calibri"/>
        </w:rPr>
        <w:t>010-83991719 </w:t>
      </w:r>
      <w:r>
        <w:rPr/>
        <w:t>传真：</w:t>
      </w:r>
      <w:r>
        <w:rPr>
          <w:rFonts w:ascii="Calibri" w:eastAsia="Calibri"/>
        </w:rPr>
        <w:t>010-66412537</w:t>
      </w:r>
    </w:p>
    <w:p>
      <w:pPr>
        <w:spacing w:after="0" w:line="417" w:lineRule="auto"/>
        <w:rPr>
          <w:rFonts w:ascii="Calibri" w:eastAsia="Calibri"/>
        </w:rPr>
        <w:sectPr>
          <w:pgSz w:w="11910" w:h="16840"/>
          <w:pgMar w:header="877" w:footer="995" w:top="1420" w:bottom="1180" w:left="1640" w:right="920"/>
        </w:sectPr>
      </w:pPr>
    </w:p>
    <w:p>
      <w:pPr>
        <w:pStyle w:val="BodyText"/>
        <w:spacing w:before="110"/>
        <w:ind w:left="580"/>
      </w:pPr>
      <w:r>
        <w:rPr/>
        <w:t>联系人：叶密林</w:t>
      </w:r>
    </w:p>
    <w:p>
      <w:pPr>
        <w:pStyle w:val="BodyText"/>
        <w:spacing w:before="6"/>
        <w:rPr>
          <w:sz w:val="15"/>
        </w:rPr>
      </w:pPr>
    </w:p>
    <w:p>
      <w:pPr>
        <w:pStyle w:val="BodyText"/>
        <w:spacing w:line="417" w:lineRule="auto"/>
        <w:ind w:left="580" w:right="6157"/>
        <w:rPr>
          <w:rFonts w:ascii="Calibri" w:eastAsia="Calibri"/>
        </w:rPr>
      </w:pPr>
      <w:r>
        <w:rPr/>
        <w:t>网址：</w:t>
      </w:r>
      <w:r>
        <w:rPr>
          <w:rFonts w:ascii="Calibri" w:eastAsia="Calibri"/>
        </w:rPr>
        <w:t>https:</w:t>
      </w:r>
      <w:hyperlink r:id="rId120">
        <w:r>
          <w:rPr>
            <w:rFonts w:ascii="Calibri" w:eastAsia="Calibri"/>
          </w:rPr>
          <w:t>//www</w:t>
        </w:r>
      </w:hyperlink>
      <w:r>
        <w:rPr>
          <w:rFonts w:ascii="Calibri" w:eastAsia="Calibri"/>
        </w:rPr>
        <w:t>.g</w:t>
      </w:r>
      <w:hyperlink r:id="rId120">
        <w:r>
          <w:rPr>
            <w:rFonts w:ascii="Calibri" w:eastAsia="Calibri"/>
          </w:rPr>
          <w:t>rzq.com </w:t>
        </w:r>
      </w:hyperlink>
      <w:r>
        <w:rPr/>
        <w:t>客户服务电话：</w:t>
      </w:r>
      <w:r>
        <w:rPr>
          <w:rFonts w:ascii="Calibri" w:eastAsia="Calibri"/>
        </w:rPr>
        <w:t>95385</w:t>
      </w:r>
    </w:p>
    <w:p>
      <w:pPr>
        <w:pStyle w:val="ListParagraph"/>
        <w:numPr>
          <w:ilvl w:val="0"/>
          <w:numId w:val="8"/>
        </w:numPr>
        <w:tabs>
          <w:tab w:pos="1323" w:val="left" w:leader="none"/>
        </w:tabs>
        <w:spacing w:line="269" w:lineRule="exact" w:before="0" w:after="0"/>
        <w:ind w:left="1323" w:right="0" w:hanging="743"/>
        <w:jc w:val="left"/>
        <w:rPr>
          <w:sz w:val="21"/>
        </w:rPr>
      </w:pPr>
      <w:r>
        <w:rPr>
          <w:spacing w:val="-3"/>
          <w:sz w:val="21"/>
        </w:rPr>
        <w:t>粤开证券股份有限公司</w:t>
      </w:r>
    </w:p>
    <w:p>
      <w:pPr>
        <w:pStyle w:val="BodyText"/>
        <w:spacing w:before="7"/>
        <w:rPr>
          <w:sz w:val="15"/>
        </w:rPr>
      </w:pPr>
    </w:p>
    <w:p>
      <w:pPr>
        <w:pStyle w:val="BodyText"/>
        <w:spacing w:line="417" w:lineRule="auto"/>
        <w:ind w:left="580" w:right="2237"/>
      </w:pPr>
      <w:r>
        <w:rPr/>
        <w:t>住所：广州经济技术开发区科学大道</w:t>
      </w:r>
      <w:r>
        <w:rPr>
          <w:rFonts w:ascii="Calibri" w:eastAsia="Calibri"/>
        </w:rPr>
        <w:t>60</w:t>
      </w:r>
      <w:r>
        <w:rPr/>
        <w:t>号开发区金控中心</w:t>
      </w:r>
      <w:r>
        <w:rPr>
          <w:rFonts w:ascii="Calibri" w:eastAsia="Calibri"/>
        </w:rPr>
        <w:t>21</w:t>
      </w:r>
      <w:r>
        <w:rPr/>
        <w:t>、</w:t>
      </w:r>
      <w:r>
        <w:rPr>
          <w:rFonts w:ascii="Calibri" w:eastAsia="Calibri"/>
        </w:rPr>
        <w:t>22</w:t>
      </w:r>
      <w:r>
        <w:rPr/>
        <w:t>、</w:t>
      </w:r>
      <w:r>
        <w:rPr>
          <w:rFonts w:ascii="Calibri" w:eastAsia="Calibri"/>
        </w:rPr>
        <w:t>23</w:t>
      </w:r>
      <w:r>
        <w:rPr/>
        <w:t>层办公地址：深圳市福田区深南中路</w:t>
      </w:r>
      <w:r>
        <w:rPr>
          <w:rFonts w:ascii="Calibri" w:eastAsia="Calibri"/>
        </w:rPr>
        <w:t>2002</w:t>
      </w:r>
      <w:r>
        <w:rPr/>
        <w:t>号中广核大厦北楼</w:t>
      </w:r>
      <w:r>
        <w:rPr>
          <w:rFonts w:ascii="Calibri" w:eastAsia="Calibri"/>
        </w:rPr>
        <w:t>10</w:t>
      </w:r>
      <w:r>
        <w:rPr/>
        <w:t>层</w:t>
      </w:r>
    </w:p>
    <w:p>
      <w:pPr>
        <w:pStyle w:val="BodyText"/>
        <w:spacing w:line="417" w:lineRule="auto"/>
        <w:ind w:left="580" w:right="6790"/>
        <w:rPr>
          <w:rFonts w:ascii="Calibri" w:eastAsia="Calibri"/>
        </w:rPr>
      </w:pPr>
      <w:r>
        <w:rPr/>
        <w:t>法定代表人：严亦斌电话：</w:t>
      </w:r>
      <w:r>
        <w:rPr>
          <w:rFonts w:ascii="Calibri" w:eastAsia="Calibri"/>
        </w:rPr>
        <w:t>0755-83331195</w:t>
      </w:r>
    </w:p>
    <w:p>
      <w:pPr>
        <w:pStyle w:val="BodyText"/>
        <w:ind w:left="580"/>
      </w:pPr>
      <w:r>
        <w:rPr/>
        <w:t>联系人：彭莲</w:t>
      </w:r>
    </w:p>
    <w:p>
      <w:pPr>
        <w:pStyle w:val="BodyText"/>
        <w:spacing w:before="7"/>
        <w:rPr>
          <w:sz w:val="15"/>
        </w:rPr>
      </w:pPr>
    </w:p>
    <w:p>
      <w:pPr>
        <w:pStyle w:val="BodyText"/>
        <w:spacing w:line="417" w:lineRule="auto"/>
        <w:ind w:left="580" w:right="6224"/>
        <w:rPr>
          <w:rFonts w:ascii="Calibri" w:eastAsia="Calibri"/>
        </w:rPr>
      </w:pPr>
      <w:r>
        <w:rPr/>
        <w:t>网址：</w:t>
      </w:r>
      <w:hyperlink r:id="rId121">
        <w:r>
          <w:rPr>
            <w:rFonts w:ascii="Calibri" w:eastAsia="Calibri"/>
          </w:rPr>
          <w:t>http://www.ykzq.com </w:t>
        </w:r>
      </w:hyperlink>
      <w:r>
        <w:rPr/>
        <w:t>客户服务电话：</w:t>
      </w:r>
      <w:r>
        <w:rPr>
          <w:rFonts w:ascii="Calibri" w:eastAsia="Calibri"/>
        </w:rPr>
        <w:t>95564</w:t>
      </w:r>
    </w:p>
    <w:p>
      <w:pPr>
        <w:pStyle w:val="ListParagraph"/>
        <w:numPr>
          <w:ilvl w:val="0"/>
          <w:numId w:val="8"/>
        </w:numPr>
        <w:tabs>
          <w:tab w:pos="1323" w:val="left" w:leader="none"/>
        </w:tabs>
        <w:spacing w:line="269" w:lineRule="exact" w:before="0" w:after="0"/>
        <w:ind w:left="1323" w:right="0" w:hanging="743"/>
        <w:jc w:val="left"/>
        <w:rPr>
          <w:sz w:val="21"/>
        </w:rPr>
      </w:pPr>
      <w:r>
        <w:rPr>
          <w:spacing w:val="-3"/>
          <w:sz w:val="21"/>
        </w:rPr>
        <w:t>江海证券有限公司</w:t>
      </w:r>
    </w:p>
    <w:p>
      <w:pPr>
        <w:pStyle w:val="BodyText"/>
        <w:spacing w:before="6"/>
        <w:rPr>
          <w:sz w:val="15"/>
        </w:rPr>
      </w:pPr>
    </w:p>
    <w:p>
      <w:pPr>
        <w:pStyle w:val="BodyText"/>
        <w:spacing w:before="1"/>
        <w:ind w:left="580"/>
      </w:pPr>
      <w:r>
        <w:rPr/>
        <w:t>住所：哈尔滨市香坊区赣水路</w:t>
      </w:r>
      <w:r>
        <w:rPr>
          <w:rFonts w:ascii="Calibri" w:eastAsia="Calibri"/>
        </w:rPr>
        <w:t>56</w:t>
      </w:r>
      <w:r>
        <w:rPr/>
        <w:t>号</w:t>
      </w:r>
    </w:p>
    <w:p>
      <w:pPr>
        <w:pStyle w:val="BodyText"/>
        <w:spacing w:before="6"/>
        <w:rPr>
          <w:sz w:val="15"/>
        </w:rPr>
      </w:pPr>
    </w:p>
    <w:p>
      <w:pPr>
        <w:pStyle w:val="BodyText"/>
        <w:spacing w:line="417" w:lineRule="auto"/>
        <w:ind w:left="580" w:right="4870"/>
      </w:pPr>
      <w:r>
        <w:rPr/>
        <w:t>办公地址：哈尔滨市松北区创新三路</w:t>
      </w:r>
      <w:r>
        <w:rPr>
          <w:rFonts w:ascii="Calibri" w:eastAsia="Calibri"/>
        </w:rPr>
        <w:t>833</w:t>
      </w:r>
      <w:r>
        <w:rPr/>
        <w:t>号法定代表人：赵洪波</w:t>
      </w:r>
    </w:p>
    <w:p>
      <w:pPr>
        <w:pStyle w:val="BodyText"/>
        <w:spacing w:line="417" w:lineRule="auto"/>
        <w:ind w:left="580" w:right="6790"/>
        <w:rPr>
          <w:rFonts w:ascii="Calibri" w:eastAsia="Calibri"/>
        </w:rPr>
      </w:pPr>
      <w:r>
        <w:rPr/>
        <w:t>电话：</w:t>
      </w:r>
      <w:r>
        <w:rPr>
          <w:rFonts w:ascii="Calibri" w:eastAsia="Calibri"/>
        </w:rPr>
        <w:t>0451-87765732 </w:t>
      </w:r>
      <w:r>
        <w:rPr/>
        <w:t>传真：</w:t>
      </w:r>
      <w:r>
        <w:rPr>
          <w:rFonts w:ascii="Calibri" w:eastAsia="Calibri"/>
        </w:rPr>
        <w:t>0451-82337279</w:t>
      </w:r>
    </w:p>
    <w:p>
      <w:pPr>
        <w:pStyle w:val="BodyText"/>
        <w:spacing w:line="269" w:lineRule="exact"/>
        <w:ind w:left="580"/>
      </w:pPr>
      <w:r>
        <w:rPr/>
        <w:t>联系人：姜志伟</w:t>
      </w:r>
    </w:p>
    <w:p>
      <w:pPr>
        <w:pStyle w:val="BodyText"/>
        <w:spacing w:before="7"/>
        <w:rPr>
          <w:sz w:val="15"/>
        </w:rPr>
      </w:pPr>
    </w:p>
    <w:p>
      <w:pPr>
        <w:pStyle w:val="BodyText"/>
        <w:spacing w:line="417" w:lineRule="auto"/>
        <w:ind w:left="580" w:right="6575"/>
        <w:rPr>
          <w:rFonts w:ascii="Calibri" w:eastAsia="Calibri"/>
        </w:rPr>
      </w:pPr>
      <w:r>
        <w:rPr/>
        <w:t>网址：</w:t>
      </w:r>
      <w:hyperlink r:id="rId122">
        <w:r>
          <w:rPr>
            <w:rFonts w:ascii="Calibri" w:eastAsia="Calibri"/>
          </w:rPr>
          <w:t>www.jhzq.com.cn </w:t>
        </w:r>
      </w:hyperlink>
      <w:r>
        <w:rPr/>
        <w:t>客户服务电话：</w:t>
      </w:r>
      <w:r>
        <w:rPr>
          <w:rFonts w:ascii="Calibri" w:eastAsia="Calibri"/>
        </w:rPr>
        <w:t>956007</w:t>
      </w:r>
    </w:p>
    <w:p>
      <w:pPr>
        <w:pStyle w:val="ListParagraph"/>
        <w:numPr>
          <w:ilvl w:val="0"/>
          <w:numId w:val="8"/>
        </w:numPr>
        <w:tabs>
          <w:tab w:pos="1323" w:val="left" w:leader="none"/>
        </w:tabs>
        <w:spacing w:line="269" w:lineRule="exact" w:before="0" w:after="0"/>
        <w:ind w:left="1323" w:right="0" w:hanging="743"/>
        <w:jc w:val="left"/>
        <w:rPr>
          <w:sz w:val="21"/>
        </w:rPr>
      </w:pPr>
      <w:r>
        <w:rPr>
          <w:spacing w:val="-3"/>
          <w:sz w:val="21"/>
        </w:rPr>
        <w:t>国金证券股份有限公司</w:t>
      </w:r>
    </w:p>
    <w:p>
      <w:pPr>
        <w:pStyle w:val="BodyText"/>
        <w:spacing w:before="7"/>
        <w:rPr>
          <w:sz w:val="15"/>
        </w:rPr>
      </w:pPr>
    </w:p>
    <w:p>
      <w:pPr>
        <w:pStyle w:val="BodyText"/>
        <w:spacing w:before="1"/>
        <w:ind w:left="580"/>
      </w:pPr>
      <w:r>
        <w:rPr/>
        <w:t>住所：成都市青羊区东城根上街</w:t>
      </w:r>
      <w:r>
        <w:rPr>
          <w:rFonts w:ascii="Calibri" w:eastAsia="Calibri"/>
        </w:rPr>
        <w:t>95</w:t>
      </w:r>
      <w:r>
        <w:rPr/>
        <w:t>号</w:t>
      </w:r>
    </w:p>
    <w:p>
      <w:pPr>
        <w:pStyle w:val="BodyText"/>
        <w:spacing w:before="6"/>
        <w:rPr>
          <w:sz w:val="15"/>
        </w:rPr>
      </w:pPr>
    </w:p>
    <w:p>
      <w:pPr>
        <w:pStyle w:val="BodyText"/>
        <w:spacing w:line="417" w:lineRule="auto"/>
        <w:ind w:left="580" w:right="4976"/>
      </w:pPr>
      <w:r>
        <w:rPr/>
        <w:t>办公地址：成都市青羊区东城根上街</w:t>
      </w:r>
      <w:r>
        <w:rPr>
          <w:rFonts w:ascii="Calibri" w:eastAsia="Calibri"/>
        </w:rPr>
        <w:t>95</w:t>
      </w:r>
      <w:r>
        <w:rPr/>
        <w:t>号法定代表人：冉云</w:t>
      </w:r>
    </w:p>
    <w:p>
      <w:pPr>
        <w:pStyle w:val="BodyText"/>
        <w:spacing w:line="417" w:lineRule="auto"/>
        <w:ind w:left="580" w:right="5450"/>
        <w:rPr>
          <w:rFonts w:ascii="Calibri" w:eastAsia="Calibri"/>
        </w:rPr>
      </w:pPr>
      <w:r>
        <w:rPr/>
        <w:t>电话：</w:t>
      </w:r>
      <w:r>
        <w:rPr>
          <w:rFonts w:ascii="Calibri" w:eastAsia="Calibri"/>
        </w:rPr>
        <w:t>028-86690057</w:t>
      </w:r>
      <w:r>
        <w:rPr/>
        <w:t>、</w:t>
      </w:r>
      <w:r>
        <w:rPr>
          <w:rFonts w:ascii="Calibri" w:eastAsia="Calibri"/>
        </w:rPr>
        <w:t>028-86690058 </w:t>
      </w:r>
      <w:r>
        <w:rPr/>
        <w:t>传真：</w:t>
      </w:r>
      <w:r>
        <w:rPr>
          <w:rFonts w:ascii="Calibri" w:eastAsia="Calibri"/>
        </w:rPr>
        <w:t>028-86690126</w:t>
      </w:r>
    </w:p>
    <w:p>
      <w:pPr>
        <w:pStyle w:val="BodyText"/>
        <w:spacing w:line="417" w:lineRule="auto"/>
        <w:ind w:left="580" w:right="6630"/>
        <w:jc w:val="both"/>
        <w:rPr>
          <w:rFonts w:ascii="Calibri" w:eastAsia="Calibri"/>
        </w:rPr>
      </w:pPr>
      <w:r>
        <w:rPr>
          <w:spacing w:val="-3"/>
        </w:rPr>
        <w:t>联系人：刘婧漪、贾鹏</w:t>
      </w:r>
      <w:r>
        <w:rPr>
          <w:spacing w:val="-4"/>
        </w:rPr>
        <w:t>网址：</w:t>
      </w:r>
      <w:hyperlink r:id="rId123">
        <w:r>
          <w:rPr>
            <w:rFonts w:ascii="Calibri" w:eastAsia="Calibri"/>
            <w:spacing w:val="-4"/>
          </w:rPr>
          <w:t>www.gjzq.com.cn </w:t>
        </w:r>
      </w:hyperlink>
      <w:r>
        <w:rPr>
          <w:spacing w:val="-2"/>
        </w:rPr>
        <w:t>客户服务电话：</w:t>
      </w:r>
      <w:r>
        <w:rPr>
          <w:rFonts w:ascii="Calibri" w:eastAsia="Calibri"/>
        </w:rPr>
        <w:t>95310</w:t>
      </w:r>
    </w:p>
    <w:p>
      <w:pPr>
        <w:pStyle w:val="ListParagraph"/>
        <w:numPr>
          <w:ilvl w:val="0"/>
          <w:numId w:val="8"/>
        </w:numPr>
        <w:tabs>
          <w:tab w:pos="1323" w:val="left" w:leader="none"/>
        </w:tabs>
        <w:spacing w:line="240" w:lineRule="auto" w:before="0" w:after="0"/>
        <w:ind w:left="1323" w:right="0" w:hanging="743"/>
        <w:jc w:val="left"/>
        <w:rPr>
          <w:sz w:val="21"/>
        </w:rPr>
      </w:pPr>
      <w:r>
        <w:rPr>
          <w:spacing w:val="-3"/>
          <w:sz w:val="21"/>
        </w:rPr>
        <w:t>华宝证券有限责任公司</w:t>
      </w:r>
    </w:p>
    <w:p>
      <w:pPr>
        <w:spacing w:after="0" w:line="240" w:lineRule="auto"/>
        <w:jc w:val="left"/>
        <w:rPr>
          <w:sz w:val="21"/>
        </w:rPr>
        <w:sectPr>
          <w:pgSz w:w="11910" w:h="16840"/>
          <w:pgMar w:header="877" w:footer="995" w:top="1420" w:bottom="1180" w:left="1640" w:right="920"/>
        </w:sectPr>
      </w:pPr>
    </w:p>
    <w:p>
      <w:pPr>
        <w:pStyle w:val="BodyText"/>
        <w:spacing w:before="110"/>
        <w:ind w:left="580"/>
      </w:pPr>
      <w:r>
        <w:rPr/>
        <w:t>住所：上海市陆家嘴环路</w:t>
      </w:r>
      <w:r>
        <w:rPr>
          <w:rFonts w:ascii="Calibri" w:eastAsia="Calibri"/>
        </w:rPr>
        <w:t>166</w:t>
      </w:r>
      <w:r>
        <w:rPr/>
        <w:t>号</w:t>
      </w:r>
      <w:r>
        <w:rPr>
          <w:rFonts w:ascii="Calibri" w:eastAsia="Calibri"/>
        </w:rPr>
        <w:t>27</w:t>
      </w:r>
      <w:r>
        <w:rPr/>
        <w:t>楼</w:t>
      </w:r>
    </w:p>
    <w:p>
      <w:pPr>
        <w:pStyle w:val="BodyText"/>
        <w:spacing w:before="6"/>
        <w:rPr>
          <w:sz w:val="15"/>
        </w:rPr>
      </w:pPr>
    </w:p>
    <w:p>
      <w:pPr>
        <w:pStyle w:val="BodyText"/>
        <w:spacing w:line="417" w:lineRule="auto"/>
        <w:ind w:left="580" w:right="5077"/>
      </w:pPr>
      <w:r>
        <w:rPr/>
        <w:t>办公地址：上海市陆家嘴环路</w:t>
      </w:r>
      <w:r>
        <w:rPr>
          <w:rFonts w:ascii="Calibri" w:eastAsia="Calibri"/>
        </w:rPr>
        <w:t>166</w:t>
      </w:r>
      <w:r>
        <w:rPr/>
        <w:t>号</w:t>
      </w:r>
      <w:r>
        <w:rPr>
          <w:rFonts w:ascii="Calibri" w:eastAsia="Calibri"/>
        </w:rPr>
        <w:t>27</w:t>
      </w:r>
      <w:r>
        <w:rPr/>
        <w:t>楼法定代表人：陈林</w:t>
      </w:r>
    </w:p>
    <w:p>
      <w:pPr>
        <w:pStyle w:val="BodyText"/>
        <w:spacing w:line="417" w:lineRule="auto"/>
        <w:ind w:left="580" w:right="6898"/>
        <w:rPr>
          <w:rFonts w:ascii="Calibri" w:eastAsia="Calibri"/>
        </w:rPr>
      </w:pPr>
      <w:r>
        <w:rPr/>
        <w:t>电话：</w:t>
      </w:r>
      <w:r>
        <w:rPr>
          <w:rFonts w:ascii="Calibri" w:eastAsia="Calibri"/>
        </w:rPr>
        <w:t>021-50122128 </w:t>
      </w:r>
      <w:r>
        <w:rPr/>
        <w:t>传真：</w:t>
      </w:r>
      <w:r>
        <w:rPr>
          <w:rFonts w:ascii="Calibri" w:eastAsia="Calibri"/>
        </w:rPr>
        <w:t>021-50122398</w:t>
      </w:r>
    </w:p>
    <w:p>
      <w:pPr>
        <w:pStyle w:val="BodyText"/>
        <w:spacing w:line="269" w:lineRule="exact"/>
        <w:ind w:left="580"/>
      </w:pPr>
      <w:r>
        <w:rPr/>
        <w:t>联系人：徐方亮</w:t>
      </w:r>
    </w:p>
    <w:p>
      <w:pPr>
        <w:pStyle w:val="BodyText"/>
        <w:spacing w:before="7"/>
        <w:rPr>
          <w:sz w:val="15"/>
        </w:rPr>
      </w:pPr>
    </w:p>
    <w:p>
      <w:pPr>
        <w:pStyle w:val="BodyText"/>
        <w:ind w:left="580"/>
        <w:rPr>
          <w:rFonts w:ascii="Calibri" w:eastAsia="Calibri"/>
        </w:rPr>
      </w:pPr>
      <w:r>
        <w:rPr/>
        <w:t>网址：</w:t>
      </w:r>
      <w:hyperlink r:id="rId124">
        <w:r>
          <w:rPr>
            <w:rFonts w:ascii="Calibri" w:eastAsia="Calibri"/>
          </w:rPr>
          <w:t>www.cnhbstock.com</w:t>
        </w:r>
      </w:hyperlink>
    </w:p>
    <w:p>
      <w:pPr>
        <w:pStyle w:val="BodyText"/>
        <w:spacing w:before="4"/>
        <w:rPr>
          <w:rFonts w:ascii="Calibri"/>
          <w:sz w:val="16"/>
        </w:rPr>
      </w:pPr>
    </w:p>
    <w:p>
      <w:pPr>
        <w:pStyle w:val="BodyText"/>
        <w:ind w:left="580"/>
        <w:rPr>
          <w:rFonts w:ascii="Calibri" w:eastAsia="Calibri"/>
        </w:rPr>
      </w:pPr>
      <w:r>
        <w:rPr/>
        <w:t>客户服务电话：</w:t>
      </w:r>
      <w:r>
        <w:rPr>
          <w:rFonts w:ascii="Calibri" w:eastAsia="Calibri"/>
        </w:rPr>
        <w:t>400-820-9898</w:t>
      </w:r>
    </w:p>
    <w:p>
      <w:pPr>
        <w:pStyle w:val="BodyText"/>
        <w:spacing w:before="4"/>
        <w:rPr>
          <w:rFonts w:ascii="Calibri"/>
          <w:sz w:val="16"/>
        </w:rPr>
      </w:pPr>
    </w:p>
    <w:p>
      <w:pPr>
        <w:pStyle w:val="ListParagraph"/>
        <w:numPr>
          <w:ilvl w:val="0"/>
          <w:numId w:val="8"/>
        </w:numPr>
        <w:tabs>
          <w:tab w:pos="1323" w:val="left" w:leader="none"/>
        </w:tabs>
        <w:spacing w:line="240" w:lineRule="auto" w:before="0" w:after="0"/>
        <w:ind w:left="1323" w:right="0" w:hanging="743"/>
        <w:jc w:val="left"/>
        <w:rPr>
          <w:sz w:val="21"/>
        </w:rPr>
      </w:pPr>
      <w:r>
        <w:rPr>
          <w:spacing w:val="-3"/>
          <w:sz w:val="21"/>
        </w:rPr>
        <w:t>长城国瑞证券有限公司</w:t>
      </w:r>
    </w:p>
    <w:p>
      <w:pPr>
        <w:pStyle w:val="BodyText"/>
        <w:spacing w:before="6"/>
        <w:rPr>
          <w:sz w:val="15"/>
        </w:rPr>
      </w:pPr>
    </w:p>
    <w:p>
      <w:pPr>
        <w:pStyle w:val="BodyText"/>
        <w:ind w:left="580"/>
      </w:pPr>
      <w:r>
        <w:rPr/>
        <w:t>住所：福建省厦门市莲前西路</w:t>
      </w:r>
      <w:r>
        <w:rPr>
          <w:rFonts w:ascii="Calibri" w:eastAsia="Calibri"/>
        </w:rPr>
        <w:t>2</w:t>
      </w:r>
      <w:r>
        <w:rPr/>
        <w:t>号莲富大厦十七层</w:t>
      </w:r>
    </w:p>
    <w:p>
      <w:pPr>
        <w:pStyle w:val="BodyText"/>
        <w:spacing w:before="7"/>
        <w:rPr>
          <w:sz w:val="15"/>
        </w:rPr>
      </w:pPr>
    </w:p>
    <w:p>
      <w:pPr>
        <w:pStyle w:val="BodyText"/>
        <w:spacing w:line="417" w:lineRule="auto"/>
        <w:ind w:left="580" w:right="3437"/>
      </w:pPr>
      <w:r>
        <w:rPr/>
        <w:t>办公地址：福建省厦门市深田路</w:t>
      </w:r>
      <w:r>
        <w:rPr>
          <w:rFonts w:ascii="Calibri" w:eastAsia="Calibri"/>
        </w:rPr>
        <w:t>46</w:t>
      </w:r>
      <w:r>
        <w:rPr/>
        <w:t>号深田国际大厦</w:t>
      </w:r>
      <w:r>
        <w:rPr>
          <w:rFonts w:ascii="Calibri" w:eastAsia="Calibri"/>
        </w:rPr>
        <w:t>19-20</w:t>
      </w:r>
      <w:r>
        <w:rPr/>
        <w:t>楼法定代表人：王勇</w:t>
      </w:r>
    </w:p>
    <w:p>
      <w:pPr>
        <w:pStyle w:val="BodyText"/>
        <w:spacing w:line="417" w:lineRule="auto"/>
        <w:ind w:left="580" w:right="6898"/>
        <w:rPr>
          <w:rFonts w:ascii="Calibri" w:eastAsia="Calibri"/>
        </w:rPr>
      </w:pPr>
      <w:r>
        <w:rPr/>
        <w:t>电话：</w:t>
      </w:r>
      <w:r>
        <w:rPr>
          <w:rFonts w:ascii="Calibri" w:eastAsia="Calibri"/>
        </w:rPr>
        <w:t>0592-2079259 </w:t>
      </w:r>
      <w:r>
        <w:rPr/>
        <w:t>传真：</w:t>
      </w:r>
      <w:r>
        <w:rPr>
          <w:rFonts w:ascii="Calibri" w:eastAsia="Calibri"/>
        </w:rPr>
        <w:t>0592-2079602</w:t>
      </w:r>
    </w:p>
    <w:p>
      <w:pPr>
        <w:pStyle w:val="BodyText"/>
        <w:ind w:left="580"/>
      </w:pPr>
      <w:r>
        <w:rPr/>
        <w:t>联系人：邱震</w:t>
      </w:r>
    </w:p>
    <w:p>
      <w:pPr>
        <w:pStyle w:val="BodyText"/>
        <w:spacing w:before="6"/>
        <w:rPr>
          <w:sz w:val="15"/>
        </w:rPr>
      </w:pPr>
    </w:p>
    <w:p>
      <w:pPr>
        <w:pStyle w:val="BodyText"/>
        <w:spacing w:before="1"/>
        <w:ind w:left="580"/>
        <w:rPr>
          <w:rFonts w:ascii="Calibri" w:eastAsia="Calibri"/>
        </w:rPr>
      </w:pPr>
      <w:r>
        <w:rPr/>
        <w:t>网址：</w:t>
      </w:r>
      <w:hyperlink r:id="rId125">
        <w:r>
          <w:rPr>
            <w:rFonts w:ascii="Calibri" w:eastAsia="Calibri"/>
          </w:rPr>
          <w:t>www.gwgsc.com</w:t>
        </w:r>
      </w:hyperlink>
    </w:p>
    <w:p>
      <w:pPr>
        <w:pStyle w:val="BodyText"/>
        <w:spacing w:before="3"/>
        <w:rPr>
          <w:rFonts w:ascii="Calibri"/>
          <w:sz w:val="16"/>
        </w:rPr>
      </w:pPr>
    </w:p>
    <w:p>
      <w:pPr>
        <w:pStyle w:val="BodyText"/>
        <w:ind w:left="580"/>
        <w:rPr>
          <w:rFonts w:ascii="Calibri" w:eastAsia="Calibri"/>
        </w:rPr>
      </w:pPr>
      <w:r>
        <w:rPr/>
        <w:t>客户服务电话：</w:t>
      </w:r>
      <w:r>
        <w:rPr>
          <w:rFonts w:ascii="Calibri" w:eastAsia="Calibri"/>
        </w:rPr>
        <w:t>400-0099-886</w:t>
      </w:r>
    </w:p>
    <w:p>
      <w:pPr>
        <w:pStyle w:val="BodyText"/>
        <w:spacing w:before="4"/>
        <w:rPr>
          <w:rFonts w:ascii="Calibri"/>
          <w:sz w:val="16"/>
        </w:rPr>
      </w:pPr>
    </w:p>
    <w:p>
      <w:pPr>
        <w:pStyle w:val="ListParagraph"/>
        <w:numPr>
          <w:ilvl w:val="0"/>
          <w:numId w:val="8"/>
        </w:numPr>
        <w:tabs>
          <w:tab w:pos="1323" w:val="left" w:leader="none"/>
        </w:tabs>
        <w:spacing w:line="240" w:lineRule="auto" w:before="0" w:after="0"/>
        <w:ind w:left="1323" w:right="0" w:hanging="743"/>
        <w:jc w:val="left"/>
        <w:rPr>
          <w:sz w:val="21"/>
        </w:rPr>
      </w:pPr>
      <w:r>
        <w:rPr>
          <w:spacing w:val="-3"/>
          <w:sz w:val="21"/>
        </w:rPr>
        <w:t>爱建证券有限责任公司</w:t>
      </w:r>
    </w:p>
    <w:p>
      <w:pPr>
        <w:pStyle w:val="BodyText"/>
        <w:spacing w:before="6"/>
        <w:rPr>
          <w:sz w:val="15"/>
        </w:rPr>
      </w:pPr>
    </w:p>
    <w:p>
      <w:pPr>
        <w:pStyle w:val="BodyText"/>
        <w:spacing w:before="1"/>
        <w:ind w:left="580"/>
      </w:pPr>
      <w:r>
        <w:rPr/>
        <w:t>住所：中国（上海）自由贸易试验区世纪大道</w:t>
      </w:r>
      <w:r>
        <w:rPr>
          <w:rFonts w:ascii="Calibri" w:eastAsia="Calibri"/>
        </w:rPr>
        <w:t>1600</w:t>
      </w:r>
      <w:r>
        <w:rPr/>
        <w:t>号</w:t>
      </w:r>
      <w:r>
        <w:rPr>
          <w:rFonts w:ascii="Calibri" w:eastAsia="Calibri"/>
        </w:rPr>
        <w:t>1</w:t>
      </w:r>
      <w:r>
        <w:rPr/>
        <w:t>幢</w:t>
      </w:r>
      <w:r>
        <w:rPr>
          <w:rFonts w:ascii="Calibri" w:eastAsia="Calibri"/>
        </w:rPr>
        <w:t>32</w:t>
      </w:r>
      <w:r>
        <w:rPr/>
        <w:t>楼</w:t>
      </w:r>
    </w:p>
    <w:p>
      <w:pPr>
        <w:pStyle w:val="BodyText"/>
        <w:spacing w:before="6"/>
        <w:rPr>
          <w:sz w:val="15"/>
        </w:rPr>
      </w:pPr>
    </w:p>
    <w:p>
      <w:pPr>
        <w:pStyle w:val="BodyText"/>
        <w:spacing w:line="417" w:lineRule="auto"/>
        <w:ind w:left="580" w:right="2763"/>
      </w:pPr>
      <w:r>
        <w:rPr/>
        <w:t>办公地址：中国（上海）自由贸易试验区世纪大道</w:t>
      </w:r>
      <w:r>
        <w:rPr>
          <w:rFonts w:ascii="Calibri" w:eastAsia="Calibri"/>
        </w:rPr>
        <w:t>1600</w:t>
      </w:r>
      <w:r>
        <w:rPr/>
        <w:t>号</w:t>
      </w:r>
      <w:r>
        <w:rPr>
          <w:rFonts w:ascii="Calibri" w:eastAsia="Calibri"/>
        </w:rPr>
        <w:t>1</w:t>
      </w:r>
      <w:r>
        <w:rPr/>
        <w:t>幢</w:t>
      </w:r>
      <w:r>
        <w:rPr>
          <w:rFonts w:ascii="Calibri" w:eastAsia="Calibri"/>
        </w:rPr>
        <w:t>32</w:t>
      </w:r>
      <w:r>
        <w:rPr/>
        <w:t>楼法定代表人：祝健</w:t>
      </w:r>
    </w:p>
    <w:p>
      <w:pPr>
        <w:pStyle w:val="BodyText"/>
        <w:spacing w:line="417" w:lineRule="auto" w:before="1"/>
        <w:ind w:left="580" w:right="6898"/>
        <w:rPr>
          <w:rFonts w:ascii="Calibri" w:eastAsia="Calibri"/>
        </w:rPr>
      </w:pPr>
      <w:r>
        <w:rPr/>
        <w:t>电话：</w:t>
      </w:r>
      <w:r>
        <w:rPr>
          <w:rFonts w:ascii="Calibri" w:eastAsia="Calibri"/>
        </w:rPr>
        <w:t>021-32229888 </w:t>
      </w:r>
      <w:r>
        <w:rPr/>
        <w:t>传真：</w:t>
      </w:r>
      <w:r>
        <w:rPr>
          <w:rFonts w:ascii="Calibri" w:eastAsia="Calibri"/>
        </w:rPr>
        <w:t>021-68728703</w:t>
      </w:r>
    </w:p>
    <w:p>
      <w:pPr>
        <w:pStyle w:val="BodyText"/>
        <w:spacing w:line="269" w:lineRule="exact"/>
        <w:ind w:left="580"/>
      </w:pPr>
      <w:r>
        <w:rPr/>
        <w:t>联系人：庄丽珍</w:t>
      </w:r>
    </w:p>
    <w:p>
      <w:pPr>
        <w:pStyle w:val="BodyText"/>
        <w:spacing w:before="6"/>
        <w:rPr>
          <w:sz w:val="15"/>
        </w:rPr>
      </w:pPr>
    </w:p>
    <w:p>
      <w:pPr>
        <w:pStyle w:val="BodyText"/>
        <w:ind w:left="580"/>
        <w:rPr>
          <w:rFonts w:ascii="Calibri" w:eastAsia="Calibri"/>
        </w:rPr>
      </w:pPr>
      <w:r>
        <w:rPr/>
        <w:t>网址：</w:t>
      </w:r>
      <w:hyperlink r:id="rId126">
        <w:r>
          <w:rPr>
            <w:rFonts w:ascii="Calibri" w:eastAsia="Calibri"/>
          </w:rPr>
          <w:t>www.ajzq.com</w:t>
        </w:r>
      </w:hyperlink>
    </w:p>
    <w:p>
      <w:pPr>
        <w:pStyle w:val="BodyText"/>
        <w:spacing w:before="4"/>
        <w:rPr>
          <w:rFonts w:ascii="Calibri"/>
          <w:sz w:val="16"/>
        </w:rPr>
      </w:pPr>
    </w:p>
    <w:p>
      <w:pPr>
        <w:pStyle w:val="BodyText"/>
        <w:ind w:left="580"/>
        <w:rPr>
          <w:rFonts w:ascii="Calibri" w:eastAsia="Calibri"/>
        </w:rPr>
      </w:pPr>
      <w:r>
        <w:rPr/>
        <w:t>客户服务电话：</w:t>
      </w:r>
      <w:r>
        <w:rPr>
          <w:rFonts w:ascii="Calibri" w:eastAsia="Calibri"/>
        </w:rPr>
        <w:t>400-196-2502</w:t>
      </w:r>
    </w:p>
    <w:p>
      <w:pPr>
        <w:pStyle w:val="BodyText"/>
        <w:spacing w:before="4"/>
        <w:rPr>
          <w:rFonts w:ascii="Calibri"/>
          <w:sz w:val="16"/>
        </w:rPr>
      </w:pPr>
    </w:p>
    <w:p>
      <w:pPr>
        <w:pStyle w:val="ListParagraph"/>
        <w:numPr>
          <w:ilvl w:val="0"/>
          <w:numId w:val="8"/>
        </w:numPr>
        <w:tabs>
          <w:tab w:pos="1323" w:val="left" w:leader="none"/>
        </w:tabs>
        <w:spacing w:line="240" w:lineRule="auto" w:before="0" w:after="0"/>
        <w:ind w:left="1323" w:right="0" w:hanging="743"/>
        <w:jc w:val="left"/>
        <w:rPr>
          <w:sz w:val="21"/>
        </w:rPr>
      </w:pPr>
      <w:r>
        <w:rPr>
          <w:spacing w:val="-3"/>
          <w:sz w:val="21"/>
        </w:rPr>
        <w:t>英大证券有限责任公司</w:t>
      </w:r>
    </w:p>
    <w:p>
      <w:pPr>
        <w:pStyle w:val="BodyText"/>
        <w:spacing w:before="6"/>
        <w:rPr>
          <w:sz w:val="15"/>
        </w:rPr>
      </w:pPr>
    </w:p>
    <w:p>
      <w:pPr>
        <w:pStyle w:val="BodyText"/>
        <w:ind w:left="580"/>
      </w:pPr>
      <w:r>
        <w:rPr/>
        <w:t>住所：深圳市福田区深南中路华能大厦三十、三十一层</w:t>
      </w:r>
    </w:p>
    <w:p>
      <w:pPr>
        <w:pStyle w:val="BodyText"/>
        <w:spacing w:before="7"/>
        <w:rPr>
          <w:sz w:val="15"/>
        </w:rPr>
      </w:pPr>
    </w:p>
    <w:p>
      <w:pPr>
        <w:pStyle w:val="BodyText"/>
        <w:spacing w:line="417" w:lineRule="auto" w:before="1"/>
        <w:ind w:left="580" w:right="3298"/>
      </w:pPr>
      <w:r>
        <w:rPr/>
        <w:t>办公地址：深圳市福田区深南中路华能大厦三十、三十一层法定代表人：郝京春</w:t>
      </w:r>
    </w:p>
    <w:p>
      <w:pPr>
        <w:spacing w:after="0" w:line="417" w:lineRule="auto"/>
        <w:sectPr>
          <w:pgSz w:w="11910" w:h="16840"/>
          <w:pgMar w:header="877" w:footer="995" w:top="1420" w:bottom="1180" w:left="1640" w:right="920"/>
        </w:sectPr>
      </w:pPr>
    </w:p>
    <w:p>
      <w:pPr>
        <w:pStyle w:val="BodyText"/>
        <w:spacing w:line="417" w:lineRule="auto" w:before="110"/>
        <w:ind w:left="580" w:right="6790"/>
        <w:rPr>
          <w:rFonts w:ascii="Calibri" w:eastAsia="Calibri"/>
        </w:rPr>
      </w:pPr>
      <w:r>
        <w:rPr/>
        <w:t>电话：</w:t>
      </w:r>
      <w:r>
        <w:rPr>
          <w:rFonts w:ascii="Calibri" w:eastAsia="Calibri"/>
        </w:rPr>
        <w:t>0755-83007014 </w:t>
      </w:r>
      <w:r>
        <w:rPr/>
        <w:t>传真：</w:t>
      </w:r>
      <w:r>
        <w:rPr>
          <w:rFonts w:ascii="Calibri" w:eastAsia="Calibri"/>
        </w:rPr>
        <w:t>0755-83007168</w:t>
      </w:r>
    </w:p>
    <w:p>
      <w:pPr>
        <w:pStyle w:val="BodyText"/>
        <w:spacing w:line="269" w:lineRule="exact"/>
        <w:ind w:left="580"/>
      </w:pPr>
      <w:r>
        <w:rPr/>
        <w:t>联系人：刘思源</w:t>
      </w:r>
    </w:p>
    <w:p>
      <w:pPr>
        <w:pStyle w:val="BodyText"/>
        <w:spacing w:before="6"/>
        <w:rPr>
          <w:sz w:val="15"/>
        </w:rPr>
      </w:pPr>
    </w:p>
    <w:p>
      <w:pPr>
        <w:pStyle w:val="BodyText"/>
        <w:spacing w:line="417" w:lineRule="auto"/>
        <w:ind w:left="580" w:right="5979"/>
        <w:rPr>
          <w:rFonts w:ascii="Calibri" w:eastAsia="Calibri"/>
        </w:rPr>
      </w:pPr>
      <w:r>
        <w:rPr/>
        <w:t>网址：</w:t>
      </w:r>
      <w:hyperlink r:id="rId127">
        <w:r>
          <w:rPr>
            <w:rFonts w:ascii="Calibri" w:eastAsia="Calibri"/>
          </w:rPr>
          <w:t>http://www.ydsc.com.cn </w:t>
        </w:r>
      </w:hyperlink>
      <w:r>
        <w:rPr/>
        <w:t>客户服务电话：</w:t>
      </w:r>
      <w:r>
        <w:rPr>
          <w:rFonts w:ascii="Calibri" w:eastAsia="Calibri"/>
        </w:rPr>
        <w:t>4000-188-688</w:t>
      </w:r>
    </w:p>
    <w:p>
      <w:pPr>
        <w:pStyle w:val="ListParagraph"/>
        <w:numPr>
          <w:ilvl w:val="0"/>
          <w:numId w:val="8"/>
        </w:numPr>
        <w:tabs>
          <w:tab w:pos="1323" w:val="left" w:leader="none"/>
        </w:tabs>
        <w:spacing w:line="417" w:lineRule="auto" w:before="0" w:after="0"/>
        <w:ind w:left="580" w:right="5713" w:firstLine="0"/>
        <w:jc w:val="left"/>
        <w:rPr>
          <w:sz w:val="21"/>
        </w:rPr>
      </w:pPr>
      <w:r>
        <w:rPr>
          <w:spacing w:val="-3"/>
          <w:sz w:val="21"/>
        </w:rPr>
        <w:t>华融证券股份有限公司 住所：北京市西城区金融大街</w:t>
      </w:r>
      <w:r>
        <w:rPr>
          <w:rFonts w:ascii="Calibri" w:eastAsia="Calibri"/>
          <w:sz w:val="21"/>
        </w:rPr>
        <w:t>8</w:t>
      </w:r>
      <w:r>
        <w:rPr>
          <w:spacing w:val="-13"/>
          <w:sz w:val="21"/>
        </w:rPr>
        <w:t>号</w:t>
      </w:r>
    </w:p>
    <w:p>
      <w:pPr>
        <w:pStyle w:val="BodyText"/>
        <w:spacing w:line="417" w:lineRule="auto"/>
        <w:ind w:left="580" w:right="3084"/>
      </w:pPr>
      <w:r>
        <w:rPr/>
        <w:t>办公地址：北京市朝阳区朝阳门北大街</w:t>
      </w:r>
      <w:r>
        <w:rPr>
          <w:rFonts w:ascii="Calibri" w:eastAsia="Calibri"/>
        </w:rPr>
        <w:t>18</w:t>
      </w:r>
      <w:r>
        <w:rPr/>
        <w:t>号中国人保寿险大厦法定代表人：祝献忠</w:t>
      </w:r>
    </w:p>
    <w:p>
      <w:pPr>
        <w:pStyle w:val="BodyText"/>
        <w:spacing w:line="417" w:lineRule="auto"/>
        <w:ind w:left="580" w:right="6898"/>
        <w:rPr>
          <w:rFonts w:ascii="Calibri" w:eastAsia="Calibri"/>
        </w:rPr>
      </w:pPr>
      <w:r>
        <w:rPr/>
        <w:t>电话：</w:t>
      </w:r>
      <w:r>
        <w:rPr>
          <w:rFonts w:ascii="Calibri" w:eastAsia="Calibri"/>
        </w:rPr>
        <w:t>010-85556048 </w:t>
      </w:r>
      <w:r>
        <w:rPr/>
        <w:t>传真：</w:t>
      </w:r>
      <w:r>
        <w:rPr>
          <w:rFonts w:ascii="Calibri" w:eastAsia="Calibri"/>
        </w:rPr>
        <w:t>010-85556088</w:t>
      </w:r>
    </w:p>
    <w:p>
      <w:pPr>
        <w:pStyle w:val="BodyText"/>
        <w:spacing w:line="269" w:lineRule="exact"/>
        <w:ind w:left="580"/>
      </w:pPr>
      <w:r>
        <w:rPr/>
        <w:t>联系人：孙燕波</w:t>
      </w:r>
    </w:p>
    <w:p>
      <w:pPr>
        <w:pStyle w:val="BodyText"/>
        <w:spacing w:before="7"/>
        <w:rPr>
          <w:sz w:val="15"/>
        </w:rPr>
      </w:pPr>
    </w:p>
    <w:p>
      <w:pPr>
        <w:pStyle w:val="BodyText"/>
        <w:spacing w:line="417" w:lineRule="auto"/>
        <w:ind w:left="580" w:right="6469"/>
        <w:rPr>
          <w:rFonts w:ascii="Calibri" w:eastAsia="Calibri"/>
        </w:rPr>
      </w:pPr>
      <w:r>
        <w:rPr/>
        <w:t>网址：</w:t>
      </w:r>
      <w:hyperlink r:id="rId128">
        <w:r>
          <w:rPr>
            <w:rFonts w:ascii="Calibri" w:eastAsia="Calibri"/>
          </w:rPr>
          <w:t>www.hrsec.com.cn </w:t>
        </w:r>
      </w:hyperlink>
      <w:r>
        <w:rPr/>
        <w:t>客户服务电话：</w:t>
      </w:r>
      <w:r>
        <w:rPr>
          <w:rFonts w:ascii="Calibri" w:eastAsia="Calibri"/>
        </w:rPr>
        <w:t>95390</w:t>
      </w:r>
    </w:p>
    <w:p>
      <w:pPr>
        <w:pStyle w:val="ListParagraph"/>
        <w:numPr>
          <w:ilvl w:val="0"/>
          <w:numId w:val="8"/>
        </w:numPr>
        <w:tabs>
          <w:tab w:pos="1323" w:val="left" w:leader="none"/>
        </w:tabs>
        <w:spacing w:line="240" w:lineRule="auto" w:before="0" w:after="0"/>
        <w:ind w:left="1323" w:right="0" w:hanging="743"/>
        <w:jc w:val="left"/>
        <w:rPr>
          <w:sz w:val="21"/>
        </w:rPr>
      </w:pPr>
      <w:r>
        <w:rPr>
          <w:spacing w:val="-3"/>
          <w:sz w:val="21"/>
        </w:rPr>
        <w:t>天风证券股份有限公司</w:t>
      </w:r>
    </w:p>
    <w:p>
      <w:pPr>
        <w:pStyle w:val="BodyText"/>
        <w:spacing w:before="6"/>
        <w:rPr>
          <w:sz w:val="15"/>
        </w:rPr>
      </w:pPr>
    </w:p>
    <w:p>
      <w:pPr>
        <w:pStyle w:val="BodyText"/>
        <w:spacing w:before="1"/>
        <w:ind w:left="580"/>
      </w:pPr>
      <w:r>
        <w:rPr/>
        <w:t>住所：湖北省武汉市东湖新技术开发区关东园路</w:t>
      </w:r>
      <w:r>
        <w:rPr>
          <w:rFonts w:ascii="Calibri" w:eastAsia="Calibri"/>
        </w:rPr>
        <w:t>2</w:t>
      </w:r>
      <w:r>
        <w:rPr/>
        <w:t>号高科大厦四楼</w:t>
      </w:r>
    </w:p>
    <w:p>
      <w:pPr>
        <w:pStyle w:val="BodyText"/>
        <w:spacing w:before="6"/>
        <w:rPr>
          <w:sz w:val="15"/>
        </w:rPr>
      </w:pPr>
    </w:p>
    <w:p>
      <w:pPr>
        <w:pStyle w:val="BodyText"/>
        <w:spacing w:line="417" w:lineRule="auto"/>
        <w:ind w:left="580" w:right="2352"/>
      </w:pPr>
      <w:r>
        <w:rPr/>
        <w:t>办公地址：湖北省武汉市东湖新技术开发区关东园路</w:t>
      </w:r>
      <w:r>
        <w:rPr>
          <w:rFonts w:ascii="Calibri" w:eastAsia="Calibri"/>
        </w:rPr>
        <w:t>2</w:t>
      </w:r>
      <w:r>
        <w:rPr/>
        <w:t>号高科大厦四楼法定代表人：余磊</w:t>
      </w:r>
    </w:p>
    <w:p>
      <w:pPr>
        <w:pStyle w:val="BodyText"/>
        <w:spacing w:line="417" w:lineRule="auto"/>
        <w:ind w:left="580" w:right="6898"/>
        <w:rPr>
          <w:rFonts w:ascii="Calibri" w:eastAsia="Calibri"/>
        </w:rPr>
      </w:pPr>
      <w:r>
        <w:rPr/>
        <w:t>电话：</w:t>
      </w:r>
      <w:r>
        <w:rPr>
          <w:rFonts w:ascii="Calibri" w:eastAsia="Calibri"/>
        </w:rPr>
        <w:t>027-87618882 </w:t>
      </w:r>
      <w:r>
        <w:rPr/>
        <w:t>传真：</w:t>
      </w:r>
      <w:r>
        <w:rPr>
          <w:rFonts w:ascii="Calibri" w:eastAsia="Calibri"/>
        </w:rPr>
        <w:t>027-87618863</w:t>
      </w:r>
    </w:p>
    <w:p>
      <w:pPr>
        <w:pStyle w:val="BodyText"/>
        <w:spacing w:line="269" w:lineRule="exact"/>
        <w:ind w:left="580"/>
      </w:pPr>
      <w:r>
        <w:rPr/>
        <w:t>联系人：翟璟</w:t>
      </w:r>
    </w:p>
    <w:p>
      <w:pPr>
        <w:pStyle w:val="BodyText"/>
        <w:spacing w:before="7"/>
        <w:rPr>
          <w:sz w:val="15"/>
        </w:rPr>
      </w:pPr>
    </w:p>
    <w:p>
      <w:pPr>
        <w:pStyle w:val="BodyText"/>
        <w:ind w:left="580"/>
        <w:rPr>
          <w:rFonts w:ascii="Calibri" w:eastAsia="Calibri"/>
        </w:rPr>
      </w:pPr>
      <w:r>
        <w:rPr/>
        <w:t>网址：</w:t>
      </w:r>
      <w:hyperlink r:id="rId129">
        <w:r>
          <w:rPr>
            <w:rFonts w:ascii="Calibri" w:eastAsia="Calibri"/>
          </w:rPr>
          <w:t>www.tfzq.com</w:t>
        </w:r>
      </w:hyperlink>
    </w:p>
    <w:p>
      <w:pPr>
        <w:pStyle w:val="BodyText"/>
        <w:spacing w:before="4"/>
        <w:rPr>
          <w:rFonts w:ascii="Calibri"/>
          <w:sz w:val="16"/>
        </w:rPr>
      </w:pPr>
    </w:p>
    <w:p>
      <w:pPr>
        <w:pStyle w:val="BodyText"/>
        <w:ind w:left="580"/>
        <w:rPr>
          <w:rFonts w:ascii="Calibri" w:eastAsia="Calibri"/>
        </w:rPr>
      </w:pPr>
      <w:r>
        <w:rPr/>
        <w:t>客户服务电话：</w:t>
      </w:r>
      <w:r>
        <w:rPr>
          <w:rFonts w:ascii="Calibri" w:eastAsia="Calibri"/>
        </w:rPr>
        <w:t>400-800-5000</w:t>
      </w:r>
    </w:p>
    <w:p>
      <w:pPr>
        <w:pStyle w:val="BodyText"/>
        <w:spacing w:before="3"/>
        <w:rPr>
          <w:rFonts w:ascii="Calibri"/>
          <w:sz w:val="16"/>
        </w:rPr>
      </w:pPr>
    </w:p>
    <w:p>
      <w:pPr>
        <w:pStyle w:val="ListParagraph"/>
        <w:numPr>
          <w:ilvl w:val="0"/>
          <w:numId w:val="8"/>
        </w:numPr>
        <w:tabs>
          <w:tab w:pos="1323" w:val="left" w:leader="none"/>
        </w:tabs>
        <w:spacing w:line="240" w:lineRule="auto" w:before="1" w:after="0"/>
        <w:ind w:left="1323" w:right="0" w:hanging="743"/>
        <w:jc w:val="left"/>
        <w:rPr>
          <w:sz w:val="21"/>
        </w:rPr>
      </w:pPr>
      <w:r>
        <w:rPr>
          <w:spacing w:val="-3"/>
          <w:sz w:val="21"/>
        </w:rPr>
        <w:t>万和证券股份有限公司</w:t>
      </w:r>
    </w:p>
    <w:p>
      <w:pPr>
        <w:pStyle w:val="BodyText"/>
        <w:spacing w:before="6"/>
        <w:rPr>
          <w:sz w:val="15"/>
        </w:rPr>
      </w:pPr>
    </w:p>
    <w:p>
      <w:pPr>
        <w:pStyle w:val="BodyText"/>
        <w:ind w:left="580"/>
      </w:pPr>
      <w:r>
        <w:rPr/>
        <w:t>住所：海口市南沙路</w:t>
      </w:r>
      <w:r>
        <w:rPr>
          <w:rFonts w:ascii="Calibri" w:eastAsia="Calibri"/>
        </w:rPr>
        <w:t>49</w:t>
      </w:r>
      <w:r>
        <w:rPr/>
        <w:t>号通信广场二楼</w:t>
      </w:r>
    </w:p>
    <w:p>
      <w:pPr>
        <w:pStyle w:val="BodyText"/>
        <w:spacing w:before="7"/>
        <w:rPr>
          <w:sz w:val="15"/>
        </w:rPr>
      </w:pPr>
    </w:p>
    <w:p>
      <w:pPr>
        <w:pStyle w:val="BodyText"/>
        <w:spacing w:line="417" w:lineRule="auto"/>
        <w:ind w:left="580" w:right="2870"/>
      </w:pPr>
      <w:r>
        <w:rPr/>
        <w:t>办公地址：深圳市福田区深南大道</w:t>
      </w:r>
      <w:r>
        <w:rPr>
          <w:rFonts w:ascii="Calibri" w:eastAsia="Calibri"/>
        </w:rPr>
        <w:t>7028</w:t>
      </w:r>
      <w:r>
        <w:rPr/>
        <w:t>号时代科技大厦</w:t>
      </w:r>
      <w:r>
        <w:rPr>
          <w:rFonts w:ascii="Calibri" w:eastAsia="Calibri"/>
        </w:rPr>
        <w:t>20</w:t>
      </w:r>
      <w:r>
        <w:rPr/>
        <w:t>层西厅法定代表人：冯周让</w:t>
      </w:r>
    </w:p>
    <w:p>
      <w:pPr>
        <w:pStyle w:val="BodyText"/>
        <w:spacing w:line="417" w:lineRule="auto"/>
        <w:ind w:left="580" w:right="6790"/>
        <w:rPr>
          <w:rFonts w:ascii="Calibri" w:eastAsia="Calibri"/>
        </w:rPr>
      </w:pPr>
      <w:r>
        <w:rPr/>
        <w:t>电话：</w:t>
      </w:r>
      <w:r>
        <w:rPr>
          <w:rFonts w:ascii="Calibri" w:eastAsia="Calibri"/>
        </w:rPr>
        <w:t>0755-82830333 </w:t>
      </w:r>
      <w:r>
        <w:rPr/>
        <w:t>传真：</w:t>
      </w:r>
      <w:r>
        <w:rPr>
          <w:rFonts w:ascii="Calibri" w:eastAsia="Calibri"/>
        </w:rPr>
        <w:t>0755-25842783</w:t>
      </w:r>
    </w:p>
    <w:p>
      <w:pPr>
        <w:pStyle w:val="BodyText"/>
        <w:ind w:left="580"/>
      </w:pPr>
      <w:r>
        <w:rPr/>
        <w:t>联系人：王少峰</w:t>
      </w:r>
    </w:p>
    <w:p>
      <w:pPr>
        <w:spacing w:after="0"/>
        <w:sectPr>
          <w:pgSz w:w="11910" w:h="16840"/>
          <w:pgMar w:header="877" w:footer="995" w:top="1420" w:bottom="1180" w:left="1640" w:right="920"/>
        </w:sectPr>
      </w:pPr>
    </w:p>
    <w:p>
      <w:pPr>
        <w:pStyle w:val="BodyText"/>
        <w:spacing w:line="417" w:lineRule="auto" w:before="110"/>
        <w:ind w:left="580" w:right="5504"/>
        <w:rPr>
          <w:rFonts w:ascii="Calibri" w:eastAsia="Calibri"/>
        </w:rPr>
      </w:pPr>
      <w:r>
        <w:rPr/>
        <w:t>网址：</w:t>
      </w:r>
      <w:hyperlink r:id="rId130">
        <w:r>
          <w:rPr>
            <w:rFonts w:ascii="Calibri" w:eastAsia="Calibri"/>
          </w:rPr>
          <w:t>http://www.wanhesec.com.cn </w:t>
        </w:r>
      </w:hyperlink>
      <w:r>
        <w:rPr/>
        <w:t>客户服务电话：</w:t>
      </w:r>
      <w:r>
        <w:rPr>
          <w:rFonts w:ascii="Calibri" w:eastAsia="Calibri"/>
        </w:rPr>
        <w:t>4008-882-882</w:t>
      </w:r>
    </w:p>
    <w:p>
      <w:pPr>
        <w:pStyle w:val="ListParagraph"/>
        <w:numPr>
          <w:ilvl w:val="0"/>
          <w:numId w:val="8"/>
        </w:numPr>
        <w:tabs>
          <w:tab w:pos="1323" w:val="left" w:leader="none"/>
        </w:tabs>
        <w:spacing w:line="269" w:lineRule="exact" w:before="0" w:after="0"/>
        <w:ind w:left="1323" w:right="0" w:hanging="743"/>
        <w:jc w:val="left"/>
        <w:rPr>
          <w:sz w:val="21"/>
        </w:rPr>
      </w:pPr>
      <w:r>
        <w:rPr>
          <w:spacing w:val="-3"/>
          <w:sz w:val="21"/>
        </w:rPr>
        <w:t>宏信证券有限责任公司</w:t>
      </w:r>
    </w:p>
    <w:p>
      <w:pPr>
        <w:pStyle w:val="BodyText"/>
        <w:spacing w:before="6"/>
        <w:rPr>
          <w:sz w:val="15"/>
        </w:rPr>
      </w:pPr>
    </w:p>
    <w:p>
      <w:pPr>
        <w:pStyle w:val="BodyText"/>
        <w:ind w:left="580"/>
      </w:pPr>
      <w:r>
        <w:rPr/>
        <w:t>住所：四川省成都市锦江区人民南路二段</w:t>
      </w:r>
      <w:r>
        <w:rPr>
          <w:rFonts w:ascii="Calibri" w:eastAsia="Calibri"/>
        </w:rPr>
        <w:t>18</w:t>
      </w:r>
      <w:r>
        <w:rPr/>
        <w:t>号川信大厦</w:t>
      </w:r>
      <w:r>
        <w:rPr>
          <w:rFonts w:ascii="Calibri" w:eastAsia="Calibri"/>
        </w:rPr>
        <w:t>10</w:t>
      </w:r>
      <w:r>
        <w:rPr/>
        <w:t>楼</w:t>
      </w:r>
    </w:p>
    <w:p>
      <w:pPr>
        <w:pStyle w:val="BodyText"/>
        <w:spacing w:before="7"/>
        <w:rPr>
          <w:sz w:val="15"/>
        </w:rPr>
      </w:pPr>
    </w:p>
    <w:p>
      <w:pPr>
        <w:pStyle w:val="BodyText"/>
        <w:spacing w:line="417" w:lineRule="auto"/>
        <w:ind w:left="580" w:right="2873"/>
      </w:pPr>
      <w:r>
        <w:rPr/>
        <w:t>办公地址：四川省成都市锦江区人民南路二段</w:t>
      </w:r>
      <w:r>
        <w:rPr>
          <w:rFonts w:ascii="Calibri" w:eastAsia="Calibri"/>
        </w:rPr>
        <w:t>18</w:t>
      </w:r>
      <w:r>
        <w:rPr/>
        <w:t>号川信大厦</w:t>
      </w:r>
      <w:r>
        <w:rPr>
          <w:rFonts w:ascii="Calibri" w:eastAsia="Calibri"/>
        </w:rPr>
        <w:t>10</w:t>
      </w:r>
      <w:r>
        <w:rPr/>
        <w:t>楼法定代表人：吴玉明</w:t>
      </w:r>
    </w:p>
    <w:p>
      <w:pPr>
        <w:pStyle w:val="BodyText"/>
        <w:spacing w:line="417" w:lineRule="auto"/>
        <w:ind w:left="580" w:right="6898"/>
        <w:rPr>
          <w:rFonts w:ascii="Calibri" w:eastAsia="Calibri"/>
        </w:rPr>
      </w:pPr>
      <w:r>
        <w:rPr>
          <w:spacing w:val="-1"/>
        </w:rPr>
        <w:t>电话：</w:t>
      </w:r>
      <w:r>
        <w:rPr>
          <w:rFonts w:ascii="Calibri" w:eastAsia="Calibri"/>
          <w:spacing w:val="-3"/>
        </w:rPr>
        <w:t>028-86199278 </w:t>
      </w:r>
      <w:r>
        <w:rPr>
          <w:spacing w:val="-1"/>
        </w:rPr>
        <w:t>传真：</w:t>
      </w:r>
      <w:r>
        <w:rPr>
          <w:rFonts w:ascii="Calibri" w:eastAsia="Calibri"/>
          <w:spacing w:val="-3"/>
        </w:rPr>
        <w:t>028-86199382</w:t>
      </w:r>
    </w:p>
    <w:p>
      <w:pPr>
        <w:pStyle w:val="BodyText"/>
        <w:spacing w:line="417" w:lineRule="auto"/>
        <w:ind w:left="580" w:right="6998"/>
        <w:rPr>
          <w:rFonts w:ascii="Calibri" w:eastAsia="Calibri"/>
        </w:rPr>
      </w:pPr>
      <w:r>
        <w:rPr>
          <w:spacing w:val="-2"/>
        </w:rPr>
        <w:t>联系人：郝俊杰 </w:t>
      </w:r>
      <w:r>
        <w:rPr>
          <w:spacing w:val="-3"/>
        </w:rPr>
        <w:t>网址：</w:t>
      </w:r>
      <w:hyperlink r:id="rId131">
        <w:r>
          <w:rPr>
            <w:rFonts w:ascii="Calibri" w:eastAsia="Calibri"/>
            <w:spacing w:val="-4"/>
          </w:rPr>
          <w:t>www.hxzq.cn</w:t>
        </w:r>
      </w:hyperlink>
    </w:p>
    <w:p>
      <w:pPr>
        <w:pStyle w:val="BodyText"/>
        <w:spacing w:line="269" w:lineRule="exact"/>
        <w:ind w:left="580"/>
        <w:rPr>
          <w:rFonts w:ascii="Calibri" w:eastAsia="Calibri"/>
        </w:rPr>
      </w:pPr>
      <w:r>
        <w:rPr/>
        <w:t>客户服务电话：</w:t>
      </w:r>
      <w:r>
        <w:rPr>
          <w:rFonts w:ascii="Calibri" w:eastAsia="Calibri"/>
        </w:rPr>
        <w:t>400-836-6366</w:t>
      </w:r>
    </w:p>
    <w:p>
      <w:pPr>
        <w:pStyle w:val="BodyText"/>
        <w:spacing w:before="4"/>
        <w:rPr>
          <w:rFonts w:ascii="Calibri"/>
          <w:sz w:val="16"/>
        </w:rPr>
      </w:pPr>
    </w:p>
    <w:p>
      <w:pPr>
        <w:pStyle w:val="ListParagraph"/>
        <w:numPr>
          <w:ilvl w:val="0"/>
          <w:numId w:val="8"/>
        </w:numPr>
        <w:tabs>
          <w:tab w:pos="1323" w:val="left" w:leader="none"/>
        </w:tabs>
        <w:spacing w:line="240" w:lineRule="auto" w:before="0" w:after="0"/>
        <w:ind w:left="1323" w:right="0" w:hanging="743"/>
        <w:jc w:val="left"/>
        <w:rPr>
          <w:sz w:val="21"/>
        </w:rPr>
      </w:pPr>
      <w:r>
        <w:rPr>
          <w:spacing w:val="-3"/>
          <w:sz w:val="21"/>
        </w:rPr>
        <w:t>开源证券股份有限公司</w:t>
      </w:r>
    </w:p>
    <w:p>
      <w:pPr>
        <w:pStyle w:val="BodyText"/>
        <w:spacing w:before="6"/>
        <w:rPr>
          <w:sz w:val="15"/>
        </w:rPr>
      </w:pPr>
    </w:p>
    <w:p>
      <w:pPr>
        <w:pStyle w:val="BodyText"/>
        <w:spacing w:before="1"/>
        <w:ind w:left="580"/>
      </w:pPr>
      <w:r>
        <w:rPr/>
        <w:t>住所：陕西省西安市高新区锦业路</w:t>
      </w:r>
      <w:r>
        <w:rPr>
          <w:rFonts w:ascii="Calibri" w:eastAsia="Calibri"/>
        </w:rPr>
        <w:t>1</w:t>
      </w:r>
      <w:r>
        <w:rPr/>
        <w:t>号都市之门</w:t>
      </w:r>
      <w:r>
        <w:rPr>
          <w:rFonts w:ascii="Calibri" w:eastAsia="Calibri"/>
        </w:rPr>
        <w:t>B</w:t>
      </w:r>
      <w:r>
        <w:rPr/>
        <w:t>座</w:t>
      </w:r>
      <w:r>
        <w:rPr>
          <w:rFonts w:ascii="Calibri" w:eastAsia="Calibri"/>
        </w:rPr>
        <w:t>5</w:t>
      </w:r>
      <w:r>
        <w:rPr/>
        <w:t>层</w:t>
      </w:r>
    </w:p>
    <w:p>
      <w:pPr>
        <w:pStyle w:val="BodyText"/>
        <w:spacing w:before="6"/>
        <w:rPr>
          <w:sz w:val="15"/>
        </w:rPr>
      </w:pPr>
    </w:p>
    <w:p>
      <w:pPr>
        <w:pStyle w:val="BodyText"/>
        <w:spacing w:line="417" w:lineRule="auto"/>
        <w:ind w:left="580" w:right="3391"/>
      </w:pPr>
      <w:r>
        <w:rPr/>
        <w:t>办公地址：陕西省西安市高新区锦业路</w:t>
      </w:r>
      <w:r>
        <w:rPr>
          <w:rFonts w:ascii="Calibri" w:eastAsia="Calibri"/>
        </w:rPr>
        <w:t>1</w:t>
      </w:r>
      <w:r>
        <w:rPr/>
        <w:t>号都市之门</w:t>
      </w:r>
      <w:r>
        <w:rPr>
          <w:rFonts w:ascii="Calibri" w:eastAsia="Calibri"/>
        </w:rPr>
        <w:t>B</w:t>
      </w:r>
      <w:r>
        <w:rPr/>
        <w:t>座</w:t>
      </w:r>
      <w:r>
        <w:rPr>
          <w:rFonts w:ascii="Calibri" w:eastAsia="Calibri"/>
        </w:rPr>
        <w:t>5</w:t>
      </w:r>
      <w:r>
        <w:rPr/>
        <w:t>层法定代表人：李刚</w:t>
      </w:r>
    </w:p>
    <w:p>
      <w:pPr>
        <w:pStyle w:val="BodyText"/>
        <w:spacing w:line="417" w:lineRule="auto"/>
        <w:ind w:left="580" w:right="6898"/>
        <w:rPr>
          <w:rFonts w:ascii="Calibri" w:eastAsia="Calibri"/>
        </w:rPr>
      </w:pPr>
      <w:r>
        <w:rPr/>
        <w:t>电话：</w:t>
      </w:r>
      <w:r>
        <w:rPr>
          <w:rFonts w:ascii="Calibri" w:eastAsia="Calibri"/>
        </w:rPr>
        <w:t>029-88447611 </w:t>
      </w:r>
      <w:r>
        <w:rPr/>
        <w:t>传真：</w:t>
      </w:r>
      <w:r>
        <w:rPr>
          <w:rFonts w:ascii="Calibri" w:eastAsia="Calibri"/>
        </w:rPr>
        <w:t>029-88447611</w:t>
      </w:r>
    </w:p>
    <w:p>
      <w:pPr>
        <w:pStyle w:val="BodyText"/>
        <w:spacing w:line="269" w:lineRule="exact"/>
        <w:ind w:left="580"/>
      </w:pPr>
      <w:r>
        <w:rPr/>
        <w:t>联系人：曹欣</w:t>
      </w:r>
    </w:p>
    <w:p>
      <w:pPr>
        <w:pStyle w:val="BodyText"/>
        <w:spacing w:before="7"/>
        <w:rPr>
          <w:sz w:val="15"/>
        </w:rPr>
      </w:pPr>
    </w:p>
    <w:p>
      <w:pPr>
        <w:pStyle w:val="BodyText"/>
        <w:ind w:left="580"/>
        <w:rPr>
          <w:rFonts w:ascii="Calibri" w:eastAsia="Calibri"/>
        </w:rPr>
      </w:pPr>
      <w:r>
        <w:rPr/>
        <w:t>网址：</w:t>
      </w:r>
      <w:hyperlink r:id="rId132">
        <w:r>
          <w:rPr>
            <w:rFonts w:ascii="Calibri" w:eastAsia="Calibri"/>
          </w:rPr>
          <w:t>www.kysec.cn</w:t>
        </w:r>
      </w:hyperlink>
    </w:p>
    <w:p>
      <w:pPr>
        <w:pStyle w:val="BodyText"/>
        <w:spacing w:before="3"/>
        <w:rPr>
          <w:rFonts w:ascii="Calibri"/>
          <w:sz w:val="16"/>
        </w:rPr>
      </w:pPr>
    </w:p>
    <w:p>
      <w:pPr>
        <w:pStyle w:val="BodyText"/>
        <w:spacing w:before="1"/>
        <w:ind w:left="580"/>
        <w:rPr>
          <w:rFonts w:ascii="Calibri" w:eastAsia="Calibri"/>
        </w:rPr>
      </w:pPr>
      <w:r>
        <w:rPr/>
        <w:t>客户服务电话：</w:t>
      </w:r>
      <w:r>
        <w:rPr>
          <w:rFonts w:ascii="Calibri" w:eastAsia="Calibri"/>
        </w:rPr>
        <w:t>95325</w:t>
      </w:r>
      <w:r>
        <w:rPr/>
        <w:t>、</w:t>
      </w:r>
      <w:r>
        <w:rPr>
          <w:rFonts w:ascii="Calibri" w:eastAsia="Calibri"/>
        </w:rPr>
        <w:t>400-860-8866</w:t>
      </w:r>
    </w:p>
    <w:p>
      <w:pPr>
        <w:pStyle w:val="BodyText"/>
        <w:spacing w:before="3"/>
        <w:rPr>
          <w:rFonts w:ascii="Calibri"/>
          <w:sz w:val="16"/>
        </w:rPr>
      </w:pPr>
    </w:p>
    <w:p>
      <w:pPr>
        <w:pStyle w:val="ListParagraph"/>
        <w:numPr>
          <w:ilvl w:val="0"/>
          <w:numId w:val="8"/>
        </w:numPr>
        <w:tabs>
          <w:tab w:pos="1323" w:val="left" w:leader="none"/>
        </w:tabs>
        <w:spacing w:line="240" w:lineRule="auto" w:before="0" w:after="0"/>
        <w:ind w:left="1323" w:right="0" w:hanging="743"/>
        <w:jc w:val="left"/>
        <w:rPr>
          <w:sz w:val="21"/>
        </w:rPr>
      </w:pPr>
      <w:r>
        <w:rPr>
          <w:spacing w:val="-3"/>
          <w:sz w:val="21"/>
        </w:rPr>
        <w:t>川财证券有限责任公司</w:t>
      </w:r>
    </w:p>
    <w:p>
      <w:pPr>
        <w:pStyle w:val="BodyText"/>
        <w:spacing w:before="7"/>
        <w:rPr>
          <w:sz w:val="15"/>
        </w:rPr>
      </w:pPr>
    </w:p>
    <w:p>
      <w:pPr>
        <w:pStyle w:val="BodyText"/>
        <w:spacing w:line="417" w:lineRule="auto" w:before="1"/>
        <w:ind w:left="580" w:right="1180"/>
      </w:pPr>
      <w:r>
        <w:rPr/>
        <w:t>住所：中国（四川）自由贸易试验区成都市高新区交子大道</w:t>
      </w:r>
      <w:r>
        <w:rPr>
          <w:rFonts w:ascii="Calibri" w:eastAsia="Calibri"/>
        </w:rPr>
        <w:t>177</w:t>
      </w:r>
      <w:r>
        <w:rPr/>
        <w:t>号中海国际</w:t>
      </w:r>
      <w:r>
        <w:rPr>
          <w:rFonts w:ascii="Calibri" w:eastAsia="Calibri"/>
        </w:rPr>
        <w:t>B</w:t>
      </w:r>
      <w:r>
        <w:rPr/>
        <w:t>座</w:t>
      </w:r>
      <w:r>
        <w:rPr>
          <w:rFonts w:ascii="Calibri" w:eastAsia="Calibri"/>
        </w:rPr>
        <w:t>17</w:t>
      </w:r>
      <w:r>
        <w:rPr/>
        <w:t>楼办公地址：成都市高新区交子大道</w:t>
      </w:r>
      <w:r>
        <w:rPr>
          <w:rFonts w:ascii="Calibri" w:eastAsia="Calibri"/>
        </w:rPr>
        <w:t>177</w:t>
      </w:r>
      <w:r>
        <w:rPr/>
        <w:t>号中海国际</w:t>
      </w:r>
      <w:r>
        <w:rPr>
          <w:rFonts w:ascii="Calibri" w:eastAsia="Calibri"/>
        </w:rPr>
        <w:t>B</w:t>
      </w:r>
      <w:r>
        <w:rPr/>
        <w:t>座</w:t>
      </w:r>
      <w:r>
        <w:rPr>
          <w:rFonts w:ascii="Calibri" w:eastAsia="Calibri"/>
        </w:rPr>
        <w:t>17</w:t>
      </w:r>
      <w:r>
        <w:rPr/>
        <w:t>楼</w:t>
      </w:r>
    </w:p>
    <w:p>
      <w:pPr>
        <w:pStyle w:val="BodyText"/>
        <w:spacing w:line="417" w:lineRule="auto"/>
        <w:ind w:left="580" w:right="6870"/>
        <w:jc w:val="both"/>
        <w:rPr>
          <w:rFonts w:ascii="Calibri" w:eastAsia="Calibri"/>
        </w:rPr>
      </w:pPr>
      <w:r>
        <w:rPr/>
        <w:t>法定代表人：孟建军电话：</w:t>
      </w:r>
      <w:r>
        <w:rPr>
          <w:rFonts w:ascii="Calibri" w:eastAsia="Calibri"/>
        </w:rPr>
        <w:t>028-86583053 </w:t>
      </w:r>
      <w:r>
        <w:rPr/>
        <w:t>传真：</w:t>
      </w:r>
      <w:r>
        <w:rPr>
          <w:rFonts w:ascii="Calibri" w:eastAsia="Calibri"/>
        </w:rPr>
        <w:t>028-86583002</w:t>
      </w:r>
    </w:p>
    <w:p>
      <w:pPr>
        <w:pStyle w:val="BodyText"/>
        <w:spacing w:line="269" w:lineRule="exact"/>
        <w:ind w:left="580"/>
      </w:pPr>
      <w:r>
        <w:rPr/>
        <w:t>联系人：匡婷</w:t>
      </w:r>
    </w:p>
    <w:p>
      <w:pPr>
        <w:pStyle w:val="BodyText"/>
        <w:spacing w:before="6"/>
        <w:rPr>
          <w:sz w:val="15"/>
        </w:rPr>
      </w:pPr>
    </w:p>
    <w:p>
      <w:pPr>
        <w:pStyle w:val="BodyText"/>
        <w:spacing w:line="417" w:lineRule="auto"/>
        <w:ind w:left="580" w:right="6057"/>
        <w:rPr>
          <w:rFonts w:ascii="Calibri" w:eastAsia="Calibri"/>
        </w:rPr>
      </w:pPr>
      <w:r>
        <w:rPr>
          <w:spacing w:val="-1"/>
        </w:rPr>
        <w:t>网址：</w:t>
      </w:r>
      <w:hyperlink r:id="rId133">
        <w:r>
          <w:rPr>
            <w:rFonts w:ascii="Calibri" w:eastAsia="Calibri"/>
            <w:spacing w:val="-3"/>
          </w:rPr>
          <w:t>http://www.cczp.com</w:t>
        </w:r>
      </w:hyperlink>
      <w:r>
        <w:rPr>
          <w:rFonts w:ascii="Calibri" w:eastAsia="Calibri"/>
          <w:spacing w:val="-3"/>
        </w:rPr>
        <w:t>  </w:t>
      </w:r>
      <w:r>
        <w:rPr>
          <w:spacing w:val="-3"/>
        </w:rPr>
        <w:t>客户服务电话：</w:t>
      </w:r>
      <w:r>
        <w:rPr>
          <w:rFonts w:ascii="Calibri" w:eastAsia="Calibri"/>
          <w:spacing w:val="-1"/>
        </w:rPr>
        <w:t>028-86585518</w:t>
      </w:r>
    </w:p>
    <w:p>
      <w:pPr>
        <w:pStyle w:val="ListParagraph"/>
        <w:numPr>
          <w:ilvl w:val="0"/>
          <w:numId w:val="8"/>
        </w:numPr>
        <w:tabs>
          <w:tab w:pos="1323" w:val="left" w:leader="none"/>
        </w:tabs>
        <w:spacing w:line="240" w:lineRule="auto" w:before="0" w:after="0"/>
        <w:ind w:left="1323" w:right="0" w:hanging="743"/>
        <w:jc w:val="left"/>
        <w:rPr>
          <w:sz w:val="21"/>
        </w:rPr>
      </w:pPr>
      <w:r>
        <w:rPr>
          <w:spacing w:val="-3"/>
          <w:sz w:val="21"/>
        </w:rPr>
        <w:t>联储证券有限责任公司</w:t>
      </w:r>
    </w:p>
    <w:p>
      <w:pPr>
        <w:spacing w:after="0" w:line="240" w:lineRule="auto"/>
        <w:jc w:val="left"/>
        <w:rPr>
          <w:sz w:val="21"/>
        </w:rPr>
        <w:sectPr>
          <w:pgSz w:w="11910" w:h="16840"/>
          <w:pgMar w:header="877" w:footer="995" w:top="1420" w:bottom="1180" w:left="1640" w:right="920"/>
        </w:sectPr>
      </w:pPr>
    </w:p>
    <w:p>
      <w:pPr>
        <w:pStyle w:val="BodyText"/>
        <w:spacing w:line="417" w:lineRule="auto" w:before="110"/>
        <w:ind w:left="580" w:right="2352"/>
      </w:pPr>
      <w:r>
        <w:rPr>
          <w:spacing w:val="-3"/>
        </w:rPr>
        <w:t>住所：深圳市福田区福田街道岗厦社区深南大道南侧金地中心大厦</w:t>
      </w:r>
      <w:r>
        <w:rPr>
          <w:rFonts w:ascii="Calibri" w:eastAsia="Calibri"/>
        </w:rPr>
        <w:t>9</w:t>
      </w:r>
      <w:r>
        <w:rPr/>
        <w:t>楼</w:t>
      </w:r>
      <w:r>
        <w:rPr>
          <w:spacing w:val="-3"/>
        </w:rPr>
        <w:t>办公地址：北京市朝阳区安定路</w:t>
      </w:r>
      <w:r>
        <w:rPr>
          <w:rFonts w:ascii="Calibri" w:eastAsia="Calibri"/>
        </w:rPr>
        <w:t>5</w:t>
      </w:r>
      <w:r>
        <w:rPr>
          <w:spacing w:val="-2"/>
        </w:rPr>
        <w:t>号院</w:t>
      </w:r>
      <w:r>
        <w:rPr>
          <w:rFonts w:ascii="Calibri" w:eastAsia="Calibri"/>
        </w:rPr>
        <w:t>3</w:t>
      </w:r>
      <w:r>
        <w:rPr>
          <w:spacing w:val="-3"/>
        </w:rPr>
        <w:t>号楼中建财富国际中心</w:t>
      </w:r>
      <w:r>
        <w:rPr>
          <w:rFonts w:ascii="Calibri" w:eastAsia="Calibri"/>
        </w:rPr>
        <w:t>27</w:t>
      </w:r>
      <w:r>
        <w:rPr/>
        <w:t>层  </w:t>
      </w:r>
      <w:r>
        <w:rPr>
          <w:spacing w:val="-3"/>
        </w:rPr>
        <w:t>法定代表人：吕春卫</w:t>
      </w:r>
    </w:p>
    <w:p>
      <w:pPr>
        <w:pStyle w:val="BodyText"/>
        <w:spacing w:line="417" w:lineRule="auto"/>
        <w:ind w:left="580" w:right="6898"/>
        <w:rPr>
          <w:rFonts w:ascii="Calibri" w:eastAsia="Calibri"/>
        </w:rPr>
      </w:pPr>
      <w:r>
        <w:rPr/>
        <w:t>电话：</w:t>
      </w:r>
      <w:r>
        <w:rPr>
          <w:rFonts w:ascii="Calibri" w:eastAsia="Calibri"/>
        </w:rPr>
        <w:t>010-86499427 </w:t>
      </w:r>
      <w:r>
        <w:rPr/>
        <w:t>传真：</w:t>
      </w:r>
      <w:r>
        <w:rPr>
          <w:rFonts w:ascii="Calibri" w:eastAsia="Calibri"/>
        </w:rPr>
        <w:t>010-86499401</w:t>
      </w:r>
    </w:p>
    <w:p>
      <w:pPr>
        <w:pStyle w:val="BodyText"/>
        <w:spacing w:line="269" w:lineRule="exact"/>
        <w:ind w:left="580"/>
      </w:pPr>
      <w:r>
        <w:rPr/>
        <w:t>联系人：丁倩云</w:t>
      </w:r>
    </w:p>
    <w:p>
      <w:pPr>
        <w:pStyle w:val="BodyText"/>
        <w:spacing w:before="6"/>
        <w:rPr>
          <w:sz w:val="15"/>
        </w:rPr>
      </w:pPr>
    </w:p>
    <w:p>
      <w:pPr>
        <w:pStyle w:val="BodyText"/>
        <w:ind w:left="580"/>
        <w:rPr>
          <w:rFonts w:ascii="Calibri" w:eastAsia="Calibri"/>
        </w:rPr>
      </w:pPr>
      <w:r>
        <w:rPr/>
        <w:t>网址：</w:t>
      </w:r>
      <w:hyperlink r:id="rId134">
        <w:r>
          <w:rPr>
            <w:rFonts w:ascii="Calibri" w:eastAsia="Calibri"/>
          </w:rPr>
          <w:t>www.lczq.com</w:t>
        </w:r>
      </w:hyperlink>
    </w:p>
    <w:p>
      <w:pPr>
        <w:pStyle w:val="BodyText"/>
        <w:spacing w:before="4"/>
        <w:rPr>
          <w:rFonts w:ascii="Calibri"/>
          <w:sz w:val="16"/>
        </w:rPr>
      </w:pPr>
    </w:p>
    <w:p>
      <w:pPr>
        <w:pStyle w:val="BodyText"/>
        <w:ind w:left="580"/>
        <w:rPr>
          <w:rFonts w:ascii="Calibri" w:eastAsia="Calibri"/>
        </w:rPr>
      </w:pPr>
      <w:r>
        <w:rPr/>
        <w:t>客户服务电话：</w:t>
      </w:r>
      <w:r>
        <w:rPr>
          <w:rFonts w:ascii="Calibri" w:eastAsia="Calibri"/>
        </w:rPr>
        <w:t>400-620-6868</w:t>
      </w:r>
    </w:p>
    <w:p>
      <w:pPr>
        <w:pStyle w:val="BodyText"/>
        <w:spacing w:before="4"/>
        <w:rPr>
          <w:rFonts w:ascii="Calibri"/>
          <w:sz w:val="16"/>
        </w:rPr>
      </w:pPr>
    </w:p>
    <w:p>
      <w:pPr>
        <w:pStyle w:val="ListParagraph"/>
        <w:numPr>
          <w:ilvl w:val="0"/>
          <w:numId w:val="8"/>
        </w:numPr>
        <w:tabs>
          <w:tab w:pos="1323" w:val="left" w:leader="none"/>
        </w:tabs>
        <w:spacing w:line="240" w:lineRule="auto" w:before="0" w:after="0"/>
        <w:ind w:left="1323" w:right="0" w:hanging="743"/>
        <w:jc w:val="left"/>
        <w:rPr>
          <w:sz w:val="21"/>
        </w:rPr>
      </w:pPr>
      <w:r>
        <w:rPr>
          <w:spacing w:val="-3"/>
          <w:sz w:val="21"/>
        </w:rPr>
        <w:t>华瑞保险销售有限公司</w:t>
      </w:r>
    </w:p>
    <w:p>
      <w:pPr>
        <w:pStyle w:val="BodyText"/>
        <w:spacing w:before="6"/>
        <w:rPr>
          <w:sz w:val="15"/>
        </w:rPr>
      </w:pPr>
    </w:p>
    <w:p>
      <w:pPr>
        <w:pStyle w:val="BodyText"/>
        <w:spacing w:line="417" w:lineRule="auto" w:before="1"/>
        <w:ind w:left="580" w:right="1913"/>
        <w:rPr>
          <w:rFonts w:ascii="Calibri" w:eastAsia="Calibri"/>
        </w:rPr>
      </w:pPr>
      <w:r>
        <w:rPr/>
        <w:t>住所：上海市嘉定区南翔镇众仁路</w:t>
      </w:r>
      <w:r>
        <w:rPr>
          <w:rFonts w:ascii="Calibri" w:eastAsia="Calibri"/>
        </w:rPr>
        <w:t>399</w:t>
      </w:r>
      <w:r>
        <w:rPr/>
        <w:t>号运通星财富广场</w:t>
      </w:r>
      <w:r>
        <w:rPr>
          <w:rFonts w:ascii="Calibri" w:eastAsia="Calibri"/>
        </w:rPr>
        <w:t>1</w:t>
      </w:r>
      <w:r>
        <w:rPr/>
        <w:t>号楼</w:t>
      </w:r>
      <w:r>
        <w:rPr>
          <w:rFonts w:ascii="Calibri" w:eastAsia="Calibri"/>
        </w:rPr>
        <w:t>B</w:t>
      </w:r>
      <w:r>
        <w:rPr/>
        <w:t>座</w:t>
      </w:r>
      <w:r>
        <w:rPr>
          <w:rFonts w:ascii="Calibri" w:eastAsia="Calibri"/>
        </w:rPr>
        <w:t>13</w:t>
      </w:r>
      <w:r>
        <w:rPr/>
        <w:t>、</w:t>
      </w:r>
      <w:r>
        <w:rPr>
          <w:rFonts w:ascii="Calibri" w:eastAsia="Calibri"/>
        </w:rPr>
        <w:t>14</w:t>
      </w:r>
      <w:r>
        <w:rPr/>
        <w:t>层办公地址：上海市浦东新区向城路</w:t>
      </w:r>
      <w:r>
        <w:rPr>
          <w:rFonts w:ascii="Calibri" w:eastAsia="Calibri"/>
        </w:rPr>
        <w:t>288</w:t>
      </w:r>
      <w:r>
        <w:rPr/>
        <w:t>号国华人寿金融大厦</w:t>
      </w:r>
      <w:r>
        <w:rPr>
          <w:rFonts w:ascii="Calibri" w:eastAsia="Calibri"/>
        </w:rPr>
        <w:t>8</w:t>
      </w:r>
      <w:r>
        <w:rPr/>
        <w:t>层</w:t>
      </w:r>
      <w:r>
        <w:rPr>
          <w:rFonts w:ascii="Calibri" w:eastAsia="Calibri"/>
        </w:rPr>
        <w:t>806</w:t>
      </w:r>
    </w:p>
    <w:p>
      <w:pPr>
        <w:pStyle w:val="BodyText"/>
        <w:spacing w:line="417" w:lineRule="auto"/>
        <w:ind w:left="580" w:right="6837"/>
        <w:rPr>
          <w:rFonts w:ascii="Calibri" w:eastAsia="Calibri"/>
        </w:rPr>
      </w:pPr>
      <w:r>
        <w:rPr/>
        <w:t>法定代表人：路昊电话：</w:t>
      </w:r>
      <w:r>
        <w:rPr>
          <w:rFonts w:ascii="Calibri" w:eastAsia="Calibri"/>
        </w:rPr>
        <w:t>021-68595698 </w:t>
      </w:r>
      <w:r>
        <w:rPr/>
        <w:t>传真：</w:t>
      </w:r>
      <w:r>
        <w:rPr>
          <w:rFonts w:ascii="Calibri" w:eastAsia="Calibri"/>
        </w:rPr>
        <w:t>021-68595766</w:t>
      </w:r>
    </w:p>
    <w:p>
      <w:pPr>
        <w:pStyle w:val="BodyText"/>
        <w:ind w:left="580"/>
      </w:pPr>
      <w:r>
        <w:rPr/>
        <w:t>联系人：茆勇强</w:t>
      </w:r>
    </w:p>
    <w:p>
      <w:pPr>
        <w:pStyle w:val="BodyText"/>
        <w:spacing w:before="6"/>
        <w:rPr>
          <w:sz w:val="15"/>
        </w:rPr>
      </w:pPr>
    </w:p>
    <w:p>
      <w:pPr>
        <w:pStyle w:val="BodyText"/>
        <w:spacing w:line="417" w:lineRule="auto"/>
        <w:ind w:left="580" w:right="6209"/>
        <w:rPr>
          <w:rFonts w:ascii="Calibri" w:eastAsia="Calibri"/>
        </w:rPr>
      </w:pPr>
      <w:r>
        <w:rPr/>
        <w:t>网址：</w:t>
      </w:r>
      <w:hyperlink r:id="rId135">
        <w:r>
          <w:rPr>
            <w:rFonts w:ascii="Calibri" w:eastAsia="Calibri"/>
          </w:rPr>
          <w:t>www.huaruisales.com </w:t>
        </w:r>
      </w:hyperlink>
      <w:r>
        <w:rPr/>
        <w:t>客户服务电话：</w:t>
      </w:r>
      <w:r>
        <w:rPr>
          <w:rFonts w:ascii="Calibri" w:eastAsia="Calibri"/>
        </w:rPr>
        <w:t>952303</w:t>
      </w:r>
    </w:p>
    <w:p>
      <w:pPr>
        <w:pStyle w:val="ListParagraph"/>
        <w:numPr>
          <w:ilvl w:val="0"/>
          <w:numId w:val="8"/>
        </w:numPr>
        <w:tabs>
          <w:tab w:pos="1323" w:val="left" w:leader="none"/>
        </w:tabs>
        <w:spacing w:line="269" w:lineRule="exact" w:before="0" w:after="0"/>
        <w:ind w:left="1323" w:right="0" w:hanging="743"/>
        <w:jc w:val="left"/>
        <w:rPr>
          <w:sz w:val="21"/>
        </w:rPr>
      </w:pPr>
      <w:r>
        <w:rPr>
          <w:spacing w:val="-3"/>
          <w:sz w:val="21"/>
        </w:rPr>
        <w:t>阳光人寿保险股份有限公司</w:t>
      </w:r>
    </w:p>
    <w:p>
      <w:pPr>
        <w:pStyle w:val="BodyText"/>
        <w:spacing w:before="6"/>
        <w:rPr>
          <w:sz w:val="15"/>
        </w:rPr>
      </w:pPr>
    </w:p>
    <w:p>
      <w:pPr>
        <w:pStyle w:val="BodyText"/>
        <w:spacing w:before="1"/>
        <w:ind w:left="580"/>
      </w:pPr>
      <w:r>
        <w:rPr/>
        <w:t>住所：海南省三亚市迎宾路</w:t>
      </w:r>
      <w:r>
        <w:rPr>
          <w:rFonts w:ascii="Calibri" w:eastAsia="Calibri"/>
        </w:rPr>
        <w:t>360-1</w:t>
      </w:r>
      <w:r>
        <w:rPr/>
        <w:t>号三亚阳光金融广场</w:t>
      </w:r>
      <w:r>
        <w:rPr>
          <w:rFonts w:ascii="Calibri" w:eastAsia="Calibri"/>
        </w:rPr>
        <w:t>16</w:t>
      </w:r>
      <w:r>
        <w:rPr/>
        <w:t>层</w:t>
      </w:r>
    </w:p>
    <w:p>
      <w:pPr>
        <w:pStyle w:val="BodyText"/>
        <w:spacing w:before="6"/>
        <w:rPr>
          <w:sz w:val="15"/>
        </w:rPr>
      </w:pPr>
    </w:p>
    <w:p>
      <w:pPr>
        <w:pStyle w:val="BodyText"/>
        <w:spacing w:line="417" w:lineRule="auto"/>
        <w:ind w:left="580" w:right="2347"/>
      </w:pPr>
      <w:r>
        <w:rPr/>
        <w:t>办公地址：北京市朝阳区朝阳门外大街乙</w:t>
      </w:r>
      <w:r>
        <w:rPr>
          <w:rFonts w:ascii="Calibri" w:eastAsia="Calibri"/>
        </w:rPr>
        <w:t>12</w:t>
      </w:r>
      <w:r>
        <w:rPr/>
        <w:t>号院</w:t>
      </w:r>
      <w:r>
        <w:rPr>
          <w:rFonts w:ascii="Calibri" w:eastAsia="Calibri"/>
        </w:rPr>
        <w:t>1</w:t>
      </w:r>
      <w:r>
        <w:rPr/>
        <w:t>号昆泰国际大厦</w:t>
      </w:r>
      <w:r>
        <w:rPr>
          <w:rFonts w:ascii="Calibri" w:eastAsia="Calibri"/>
        </w:rPr>
        <w:t>12</w:t>
      </w:r>
      <w:r>
        <w:rPr/>
        <w:t>层法定代表人：李科</w:t>
      </w:r>
    </w:p>
    <w:p>
      <w:pPr>
        <w:pStyle w:val="BodyText"/>
        <w:spacing w:line="417" w:lineRule="auto" w:before="1"/>
        <w:ind w:left="580" w:right="6898"/>
        <w:rPr>
          <w:rFonts w:ascii="Calibri" w:eastAsia="Calibri"/>
        </w:rPr>
      </w:pPr>
      <w:r>
        <w:rPr/>
        <w:t>电话：</w:t>
      </w:r>
      <w:r>
        <w:rPr>
          <w:rFonts w:ascii="Calibri" w:eastAsia="Calibri"/>
        </w:rPr>
        <w:t>010-85632771 </w:t>
      </w:r>
      <w:r>
        <w:rPr/>
        <w:t>传真：</w:t>
      </w:r>
      <w:r>
        <w:rPr>
          <w:rFonts w:ascii="Calibri" w:eastAsia="Calibri"/>
        </w:rPr>
        <w:t>010-85632773</w:t>
      </w:r>
    </w:p>
    <w:p>
      <w:pPr>
        <w:pStyle w:val="BodyText"/>
        <w:spacing w:line="269" w:lineRule="exact"/>
        <w:ind w:left="580"/>
      </w:pPr>
      <w:r>
        <w:rPr/>
        <w:t>联系人：王超</w:t>
      </w:r>
    </w:p>
    <w:p>
      <w:pPr>
        <w:pStyle w:val="BodyText"/>
        <w:spacing w:before="6"/>
        <w:rPr>
          <w:sz w:val="15"/>
        </w:rPr>
      </w:pPr>
    </w:p>
    <w:p>
      <w:pPr>
        <w:pStyle w:val="BodyText"/>
        <w:spacing w:line="417" w:lineRule="auto"/>
        <w:ind w:left="580" w:right="6030"/>
        <w:rPr>
          <w:rFonts w:ascii="Calibri" w:eastAsia="Calibri"/>
        </w:rPr>
      </w:pPr>
      <w:r>
        <w:rPr/>
        <w:t>网址：</w:t>
      </w:r>
      <w:hyperlink r:id="rId136">
        <w:r>
          <w:rPr>
            <w:rFonts w:ascii="Calibri" w:eastAsia="Calibri"/>
          </w:rPr>
          <w:t>http://fund.sinosig.com/ </w:t>
        </w:r>
      </w:hyperlink>
      <w:r>
        <w:rPr/>
        <w:t>客户服务电话：</w:t>
      </w:r>
      <w:r>
        <w:rPr>
          <w:rFonts w:ascii="Calibri" w:eastAsia="Calibri"/>
        </w:rPr>
        <w:t>95510</w:t>
      </w:r>
    </w:p>
    <w:p>
      <w:pPr>
        <w:pStyle w:val="BodyText"/>
        <w:spacing w:line="417" w:lineRule="auto"/>
        <w:ind w:left="160" w:right="873" w:firstLine="419"/>
      </w:pPr>
      <w:r>
        <w:rPr>
          <w:rFonts w:ascii="Calibri" w:eastAsia="Calibri"/>
        </w:rPr>
        <w:t>3</w:t>
      </w:r>
      <w:r>
        <w:rPr/>
        <w:t>、基金管理人可根据情况变化增加或者减少基金销售机构。基金销售机构可以根据情况增加或者减少其销售城市、网点。</w:t>
      </w:r>
    </w:p>
    <w:p>
      <w:pPr>
        <w:pStyle w:val="BodyText"/>
        <w:ind w:left="580"/>
      </w:pPr>
      <w:r>
        <w:rPr/>
        <w:t>（二）登记机构</w:t>
      </w:r>
    </w:p>
    <w:p>
      <w:pPr>
        <w:pStyle w:val="BodyText"/>
        <w:spacing w:before="7"/>
        <w:rPr>
          <w:sz w:val="15"/>
        </w:rPr>
      </w:pPr>
    </w:p>
    <w:p>
      <w:pPr>
        <w:pStyle w:val="BodyText"/>
        <w:ind w:left="580"/>
      </w:pPr>
      <w:r>
        <w:rPr/>
        <w:t>名称：华夏基金管理有限公司</w:t>
      </w:r>
    </w:p>
    <w:p>
      <w:pPr>
        <w:spacing w:after="0"/>
        <w:sectPr>
          <w:pgSz w:w="11910" w:h="16840"/>
          <w:pgMar w:header="877" w:footer="995" w:top="1420" w:bottom="1180" w:left="1640" w:right="920"/>
        </w:sectPr>
      </w:pPr>
    </w:p>
    <w:p>
      <w:pPr>
        <w:pStyle w:val="BodyText"/>
        <w:spacing w:before="110"/>
        <w:ind w:left="580"/>
      </w:pPr>
      <w:r>
        <w:rPr/>
        <w:t>住所：北京市顺义区安庆大街甲</w:t>
      </w:r>
      <w:r>
        <w:rPr>
          <w:rFonts w:ascii="Calibri" w:eastAsia="Calibri"/>
        </w:rPr>
        <w:t>3</w:t>
      </w:r>
      <w:r>
        <w:rPr/>
        <w:t>号院</w:t>
      </w:r>
    </w:p>
    <w:p>
      <w:pPr>
        <w:pStyle w:val="BodyText"/>
        <w:spacing w:before="6"/>
        <w:rPr>
          <w:sz w:val="15"/>
        </w:rPr>
      </w:pPr>
    </w:p>
    <w:p>
      <w:pPr>
        <w:pStyle w:val="BodyText"/>
        <w:spacing w:line="417" w:lineRule="auto"/>
        <w:ind w:left="580" w:right="3706"/>
      </w:pPr>
      <w:r>
        <w:rPr>
          <w:spacing w:val="-3"/>
        </w:rPr>
        <w:t>办公地址：北京市西城区金融大街</w:t>
      </w:r>
      <w:r>
        <w:rPr>
          <w:rFonts w:ascii="Calibri" w:eastAsia="Calibri"/>
        </w:rPr>
        <w:t>33</w:t>
      </w:r>
      <w:r>
        <w:rPr>
          <w:spacing w:val="-3"/>
        </w:rPr>
        <w:t>号通泰大厦</w:t>
      </w:r>
      <w:r>
        <w:rPr>
          <w:rFonts w:ascii="Calibri" w:eastAsia="Calibri"/>
          <w:spacing w:val="-3"/>
        </w:rPr>
        <w:t>B</w:t>
      </w:r>
      <w:r>
        <w:rPr>
          <w:spacing w:val="-3"/>
        </w:rPr>
        <w:t>座</w:t>
      </w:r>
      <w:r>
        <w:rPr>
          <w:rFonts w:ascii="Calibri" w:eastAsia="Calibri"/>
        </w:rPr>
        <w:t>8</w:t>
      </w:r>
      <w:r>
        <w:rPr/>
        <w:t>层</w:t>
      </w:r>
      <w:r>
        <w:rPr>
          <w:spacing w:val="-3"/>
        </w:rPr>
        <w:t>法定代表人：杨明辉</w:t>
      </w:r>
    </w:p>
    <w:p>
      <w:pPr>
        <w:pStyle w:val="BodyText"/>
        <w:spacing w:line="417" w:lineRule="auto"/>
        <w:ind w:left="580" w:right="6098"/>
        <w:rPr>
          <w:rFonts w:ascii="Calibri" w:eastAsia="Calibri"/>
        </w:rPr>
      </w:pPr>
      <w:r>
        <w:rPr>
          <w:spacing w:val="-3"/>
        </w:rPr>
        <w:t>客户服务电话：</w:t>
      </w:r>
      <w:r>
        <w:rPr>
          <w:rFonts w:ascii="Calibri" w:eastAsia="Calibri"/>
          <w:spacing w:val="-1"/>
        </w:rPr>
        <w:t>400-818-6666 </w:t>
      </w:r>
      <w:r>
        <w:rPr/>
        <w:t>传真：</w:t>
      </w:r>
      <w:r>
        <w:rPr>
          <w:rFonts w:ascii="Calibri" w:eastAsia="Calibri"/>
        </w:rPr>
        <w:t>010-63136700</w:t>
      </w:r>
    </w:p>
    <w:p>
      <w:pPr>
        <w:pStyle w:val="BodyText"/>
        <w:spacing w:line="269" w:lineRule="exact"/>
        <w:ind w:left="580"/>
      </w:pPr>
      <w:r>
        <w:rPr/>
        <w:t>联系人：朱威</w:t>
      </w:r>
    </w:p>
    <w:p>
      <w:pPr>
        <w:pStyle w:val="BodyText"/>
        <w:spacing w:before="7"/>
        <w:rPr>
          <w:sz w:val="15"/>
        </w:rPr>
      </w:pPr>
    </w:p>
    <w:p>
      <w:pPr>
        <w:pStyle w:val="BodyText"/>
        <w:ind w:left="580"/>
      </w:pPr>
      <w:r>
        <w:rPr/>
        <w:t>（三）律师事务所</w:t>
      </w:r>
    </w:p>
    <w:p>
      <w:pPr>
        <w:pStyle w:val="BodyText"/>
        <w:spacing w:before="7"/>
        <w:rPr>
          <w:sz w:val="15"/>
        </w:rPr>
      </w:pPr>
    </w:p>
    <w:p>
      <w:pPr>
        <w:pStyle w:val="BodyText"/>
        <w:ind w:left="580"/>
      </w:pPr>
      <w:r>
        <w:rPr/>
        <w:t>名称：北京市天元律师事务所</w:t>
      </w:r>
    </w:p>
    <w:p>
      <w:pPr>
        <w:pStyle w:val="BodyText"/>
        <w:spacing w:before="7"/>
        <w:rPr>
          <w:sz w:val="15"/>
        </w:rPr>
      </w:pPr>
    </w:p>
    <w:p>
      <w:pPr>
        <w:pStyle w:val="BodyText"/>
        <w:ind w:left="580"/>
      </w:pPr>
      <w:r>
        <w:rPr/>
        <w:t>住所：北京市西城区丰盛胡同 </w:t>
      </w:r>
      <w:r>
        <w:rPr>
          <w:rFonts w:ascii="Calibri" w:eastAsia="Calibri"/>
        </w:rPr>
        <w:t>28 </w:t>
      </w:r>
      <w:r>
        <w:rPr/>
        <w:t>号太平洋保险大厦 </w:t>
      </w:r>
      <w:r>
        <w:rPr>
          <w:rFonts w:ascii="Calibri" w:eastAsia="Calibri"/>
        </w:rPr>
        <w:t>10 </w:t>
      </w:r>
      <w:r>
        <w:rPr/>
        <w:t>层</w:t>
      </w:r>
    </w:p>
    <w:p>
      <w:pPr>
        <w:pStyle w:val="BodyText"/>
        <w:spacing w:before="7"/>
        <w:rPr>
          <w:sz w:val="15"/>
        </w:rPr>
      </w:pPr>
    </w:p>
    <w:p>
      <w:pPr>
        <w:pStyle w:val="BodyText"/>
        <w:spacing w:line="417" w:lineRule="auto"/>
        <w:ind w:left="580" w:right="3082"/>
      </w:pPr>
      <w:r>
        <w:rPr>
          <w:spacing w:val="-6"/>
        </w:rPr>
        <w:t>办公地址：北京市西城区丰盛胡同 </w:t>
      </w:r>
      <w:r>
        <w:rPr>
          <w:rFonts w:ascii="Calibri" w:eastAsia="Calibri"/>
        </w:rPr>
        <w:t>28</w:t>
      </w:r>
      <w:r>
        <w:rPr>
          <w:rFonts w:ascii="Calibri" w:eastAsia="Calibri"/>
          <w:spacing w:val="12"/>
        </w:rPr>
        <w:t> </w:t>
      </w:r>
      <w:r>
        <w:rPr>
          <w:spacing w:val="-9"/>
        </w:rPr>
        <w:t>号太平洋保险大厦 </w:t>
      </w:r>
      <w:r>
        <w:rPr>
          <w:rFonts w:ascii="Calibri" w:eastAsia="Calibri"/>
        </w:rPr>
        <w:t>10</w:t>
      </w:r>
      <w:r>
        <w:rPr>
          <w:rFonts w:ascii="Calibri" w:eastAsia="Calibri"/>
          <w:spacing w:val="13"/>
        </w:rPr>
        <w:t> </w:t>
      </w:r>
      <w:r>
        <w:rPr/>
        <w:t>层</w:t>
      </w:r>
      <w:r>
        <w:rPr>
          <w:spacing w:val="-3"/>
        </w:rPr>
        <w:t>法定代表人：朱小辉</w:t>
      </w:r>
    </w:p>
    <w:p>
      <w:pPr>
        <w:pStyle w:val="BodyText"/>
        <w:spacing w:line="417" w:lineRule="auto"/>
        <w:ind w:left="580" w:right="6478"/>
        <w:rPr>
          <w:rFonts w:ascii="Calibri" w:eastAsia="Calibri"/>
        </w:rPr>
      </w:pPr>
      <w:r>
        <w:rPr>
          <w:spacing w:val="-2"/>
        </w:rPr>
        <w:t>联系电话：</w:t>
      </w:r>
      <w:r>
        <w:rPr>
          <w:rFonts w:ascii="Calibri" w:eastAsia="Calibri"/>
          <w:spacing w:val="-1"/>
        </w:rPr>
        <w:t>010-57763888 </w:t>
      </w:r>
      <w:r>
        <w:rPr/>
        <w:t>传真：</w:t>
      </w:r>
      <w:r>
        <w:rPr>
          <w:rFonts w:ascii="Calibri" w:eastAsia="Calibri"/>
        </w:rPr>
        <w:t>010-57763777</w:t>
      </w:r>
    </w:p>
    <w:p>
      <w:pPr>
        <w:pStyle w:val="BodyText"/>
        <w:spacing w:line="269" w:lineRule="exact"/>
        <w:ind w:left="580"/>
      </w:pPr>
      <w:r>
        <w:rPr/>
        <w:t>联系人：李晗</w:t>
      </w:r>
    </w:p>
    <w:p>
      <w:pPr>
        <w:pStyle w:val="BodyText"/>
        <w:spacing w:before="6"/>
        <w:rPr>
          <w:sz w:val="15"/>
        </w:rPr>
      </w:pPr>
    </w:p>
    <w:p>
      <w:pPr>
        <w:pStyle w:val="BodyText"/>
        <w:spacing w:before="1"/>
        <w:ind w:left="580"/>
      </w:pPr>
      <w:r>
        <w:rPr/>
        <w:t>经办律师：吴冠雄、李晗</w:t>
      </w:r>
    </w:p>
    <w:p>
      <w:pPr>
        <w:pStyle w:val="BodyText"/>
        <w:spacing w:before="6"/>
        <w:rPr>
          <w:sz w:val="15"/>
        </w:rPr>
      </w:pPr>
    </w:p>
    <w:p>
      <w:pPr>
        <w:pStyle w:val="BodyText"/>
        <w:ind w:left="580"/>
      </w:pPr>
      <w:r>
        <w:rPr/>
        <w:t>（四）会计师事务所</w:t>
      </w:r>
    </w:p>
    <w:p>
      <w:pPr>
        <w:pStyle w:val="BodyText"/>
        <w:spacing w:before="7"/>
        <w:rPr>
          <w:sz w:val="15"/>
        </w:rPr>
      </w:pPr>
    </w:p>
    <w:p>
      <w:pPr>
        <w:pStyle w:val="BodyText"/>
        <w:ind w:left="580"/>
      </w:pPr>
      <w:r>
        <w:rPr/>
        <w:t>名称：普华永道中天会计师事务所（特殊普通合伙）</w:t>
      </w:r>
    </w:p>
    <w:p>
      <w:pPr>
        <w:pStyle w:val="BodyText"/>
        <w:spacing w:before="7"/>
        <w:rPr>
          <w:sz w:val="15"/>
        </w:rPr>
      </w:pPr>
    </w:p>
    <w:p>
      <w:pPr>
        <w:pStyle w:val="BodyText"/>
        <w:ind w:left="580"/>
      </w:pPr>
      <w:r>
        <w:rPr/>
        <w:t>住所：上海市浦东新区陆家嘴环路</w:t>
      </w:r>
      <w:r>
        <w:rPr>
          <w:rFonts w:ascii="Calibri" w:eastAsia="Calibri"/>
        </w:rPr>
        <w:t>1318</w:t>
      </w:r>
      <w:r>
        <w:rPr/>
        <w:t>号星展银行大厦</w:t>
      </w:r>
      <w:r>
        <w:rPr>
          <w:rFonts w:ascii="Calibri" w:eastAsia="Calibri"/>
        </w:rPr>
        <w:t>6</w:t>
      </w:r>
      <w:r>
        <w:rPr/>
        <w:t>楼</w:t>
      </w:r>
    </w:p>
    <w:p>
      <w:pPr>
        <w:pStyle w:val="BodyText"/>
        <w:spacing w:before="6"/>
        <w:rPr>
          <w:sz w:val="15"/>
        </w:rPr>
      </w:pPr>
    </w:p>
    <w:p>
      <w:pPr>
        <w:pStyle w:val="BodyText"/>
        <w:spacing w:line="417" w:lineRule="auto" w:before="1"/>
        <w:ind w:left="580" w:right="1927"/>
      </w:pPr>
      <w:r>
        <w:rPr/>
        <w:t>办公地址：上海市黄浦区湖滨路</w:t>
      </w:r>
      <w:r>
        <w:rPr>
          <w:rFonts w:ascii="Calibri" w:eastAsia="Calibri"/>
        </w:rPr>
        <w:t>202</w:t>
      </w:r>
      <w:r>
        <w:rPr/>
        <w:t>号领展企业广场二座普华永道中心</w:t>
      </w:r>
      <w:r>
        <w:rPr>
          <w:rFonts w:ascii="Calibri" w:eastAsia="Calibri"/>
        </w:rPr>
        <w:t>11</w:t>
      </w:r>
      <w:r>
        <w:rPr/>
        <w:t>楼执行事务合伙人：李丹</w:t>
      </w:r>
    </w:p>
    <w:p>
      <w:pPr>
        <w:pStyle w:val="BodyText"/>
        <w:spacing w:line="417" w:lineRule="auto"/>
        <w:ind w:left="580" w:right="6478"/>
        <w:rPr>
          <w:rFonts w:ascii="Calibri" w:eastAsia="Calibri"/>
        </w:rPr>
      </w:pPr>
      <w:r>
        <w:rPr/>
        <w:t>联系电话：</w:t>
      </w:r>
      <w:r>
        <w:rPr>
          <w:rFonts w:ascii="Calibri" w:eastAsia="Calibri"/>
        </w:rPr>
        <w:t>021-23238888 </w:t>
      </w:r>
      <w:r>
        <w:rPr/>
        <w:t>传真：</w:t>
      </w:r>
      <w:r>
        <w:rPr>
          <w:rFonts w:ascii="Calibri" w:eastAsia="Calibri"/>
        </w:rPr>
        <w:t>021-23238800</w:t>
      </w:r>
    </w:p>
    <w:p>
      <w:pPr>
        <w:pStyle w:val="BodyText"/>
        <w:ind w:left="580"/>
      </w:pPr>
      <w:r>
        <w:rPr/>
        <w:t>联系人：单峰、程红粤</w:t>
      </w:r>
    </w:p>
    <w:p>
      <w:pPr>
        <w:pStyle w:val="BodyText"/>
        <w:spacing w:before="6"/>
        <w:rPr>
          <w:sz w:val="15"/>
        </w:rPr>
      </w:pPr>
    </w:p>
    <w:p>
      <w:pPr>
        <w:pStyle w:val="BodyText"/>
        <w:ind w:left="580"/>
      </w:pPr>
      <w:r>
        <w:rPr/>
        <w:t>经办注册会计师：单峰、程红粤</w:t>
      </w:r>
    </w:p>
    <w:p>
      <w:pPr>
        <w:spacing w:after="0"/>
        <w:sectPr>
          <w:pgSz w:w="11910" w:h="16840"/>
          <w:pgMar w:header="877" w:footer="995" w:top="1420" w:bottom="1180" w:left="1640" w:right="920"/>
        </w:sectPr>
      </w:pPr>
    </w:p>
    <w:p>
      <w:pPr>
        <w:pStyle w:val="BodyText"/>
        <w:spacing w:before="7"/>
        <w:rPr>
          <w:sz w:val="29"/>
        </w:rPr>
      </w:pPr>
    </w:p>
    <w:p>
      <w:pPr>
        <w:pStyle w:val="Heading1"/>
      </w:pPr>
      <w:bookmarkStart w:name="_bookmark5" w:id="6"/>
      <w:bookmarkEnd w:id="6"/>
      <w:r>
        <w:rPr>
          <w:b w:val="0"/>
        </w:rPr>
      </w:r>
      <w:r>
        <w:rPr/>
        <w:t>六、基金的募集</w:t>
      </w:r>
    </w:p>
    <w:p>
      <w:pPr>
        <w:pStyle w:val="BodyText"/>
        <w:rPr>
          <w:b/>
          <w:sz w:val="20"/>
        </w:rPr>
      </w:pPr>
    </w:p>
    <w:p>
      <w:pPr>
        <w:pStyle w:val="BodyText"/>
        <w:spacing w:before="2"/>
        <w:rPr>
          <w:b/>
        </w:rPr>
      </w:pPr>
    </w:p>
    <w:p>
      <w:pPr>
        <w:pStyle w:val="BodyText"/>
        <w:spacing w:line="417" w:lineRule="auto"/>
        <w:ind w:left="160" w:right="874" w:firstLine="419"/>
        <w:jc w:val="both"/>
      </w:pPr>
      <w:r>
        <w:rPr/>
        <w:t>（一</w:t>
      </w:r>
      <w:r>
        <w:rPr>
          <w:spacing w:val="-3"/>
        </w:rPr>
        <w:t>）</w:t>
      </w:r>
      <w:r>
        <w:rPr>
          <w:spacing w:val="-27"/>
        </w:rPr>
        <w:t>本基金由基金管理人依照《基金法》、《运作办法》、《销售办法》、基金合同及其</w:t>
      </w:r>
      <w:r>
        <w:rPr>
          <w:spacing w:val="-11"/>
        </w:rPr>
        <w:t>他有关规定募集。本基金募集申请已经中国证监会 </w:t>
      </w:r>
      <w:r>
        <w:rPr>
          <w:rFonts w:ascii="Calibri" w:eastAsia="Calibri"/>
        </w:rPr>
        <w:t>2018 </w:t>
      </w:r>
      <w:r>
        <w:rPr>
          <w:spacing w:val="-19"/>
        </w:rPr>
        <w:t>年 </w:t>
      </w:r>
      <w:r>
        <w:rPr>
          <w:rFonts w:ascii="Calibri" w:eastAsia="Calibri"/>
        </w:rPr>
        <w:t>12 </w:t>
      </w:r>
      <w:r>
        <w:rPr>
          <w:spacing w:val="-20"/>
        </w:rPr>
        <w:t>月 </w:t>
      </w:r>
      <w:r>
        <w:rPr>
          <w:rFonts w:ascii="Calibri" w:eastAsia="Calibri"/>
        </w:rPr>
        <w:t>29 </w:t>
      </w:r>
      <w:r>
        <w:rPr>
          <w:spacing w:val="-3"/>
        </w:rPr>
        <w:t>日证监许可</w:t>
      </w:r>
      <w:r>
        <w:rPr>
          <w:rFonts w:ascii="Calibri" w:eastAsia="Calibri"/>
        </w:rPr>
        <w:t>[2018]2230 </w:t>
      </w:r>
      <w:r>
        <w:rPr>
          <w:spacing w:val="-1"/>
        </w:rPr>
        <w:t>号文注册。</w:t>
      </w:r>
    </w:p>
    <w:p>
      <w:pPr>
        <w:pStyle w:val="BodyText"/>
        <w:spacing w:line="269" w:lineRule="exact"/>
        <w:ind w:left="580"/>
      </w:pPr>
      <w:r>
        <w:rPr/>
        <w:t>（二）本基金为契约型开放式基金，基金存续期间为不定期。</w:t>
      </w:r>
    </w:p>
    <w:p>
      <w:pPr>
        <w:pStyle w:val="BodyText"/>
        <w:spacing w:before="7"/>
        <w:rPr>
          <w:sz w:val="15"/>
        </w:rPr>
      </w:pPr>
    </w:p>
    <w:p>
      <w:pPr>
        <w:pStyle w:val="BodyText"/>
        <w:ind w:left="580"/>
      </w:pPr>
      <w:r>
        <w:rPr/>
        <w:t>本基金自 </w:t>
      </w:r>
      <w:r>
        <w:rPr>
          <w:rFonts w:ascii="Calibri" w:eastAsia="Calibri"/>
        </w:rPr>
        <w:t>2019 </w:t>
      </w:r>
      <w:r>
        <w:rPr/>
        <w:t>年 </w:t>
      </w:r>
      <w:r>
        <w:rPr>
          <w:rFonts w:ascii="Calibri" w:eastAsia="Calibri"/>
        </w:rPr>
        <w:t>5 </w:t>
      </w:r>
      <w:r>
        <w:rPr/>
        <w:t>月 </w:t>
      </w:r>
      <w:r>
        <w:rPr>
          <w:rFonts w:ascii="Calibri" w:eastAsia="Calibri"/>
        </w:rPr>
        <w:t>6 </w:t>
      </w:r>
      <w:r>
        <w:rPr/>
        <w:t>日至 </w:t>
      </w:r>
      <w:r>
        <w:rPr>
          <w:rFonts w:ascii="Calibri" w:eastAsia="Calibri"/>
        </w:rPr>
        <w:t>2019 </w:t>
      </w:r>
      <w:r>
        <w:rPr/>
        <w:t>年 </w:t>
      </w:r>
      <w:r>
        <w:rPr>
          <w:rFonts w:ascii="Calibri" w:eastAsia="Calibri"/>
        </w:rPr>
        <w:t>5 </w:t>
      </w:r>
      <w:r>
        <w:rPr/>
        <w:t>月 </w:t>
      </w:r>
      <w:r>
        <w:rPr>
          <w:rFonts w:ascii="Calibri" w:eastAsia="Calibri"/>
        </w:rPr>
        <w:t>31 </w:t>
      </w:r>
      <w:r>
        <w:rPr/>
        <w:t>日期间进行发售。募集期间，本基金共募</w:t>
      </w:r>
    </w:p>
    <w:p>
      <w:pPr>
        <w:pStyle w:val="BodyText"/>
        <w:spacing w:before="7"/>
        <w:rPr>
          <w:sz w:val="15"/>
        </w:rPr>
      </w:pPr>
    </w:p>
    <w:p>
      <w:pPr>
        <w:pStyle w:val="BodyText"/>
        <w:ind w:left="160"/>
        <w:jc w:val="both"/>
      </w:pPr>
      <w:r>
        <w:rPr/>
        <w:t>集 </w:t>
      </w:r>
      <w:r>
        <w:rPr>
          <w:rFonts w:ascii="Calibri" w:eastAsia="Calibri"/>
        </w:rPr>
        <w:t>291,366,233.30 </w:t>
      </w:r>
      <w:r>
        <w:rPr/>
        <w:t>份基金份额，有效认购户数为 </w:t>
      </w:r>
      <w:r>
        <w:rPr>
          <w:rFonts w:ascii="Calibri" w:eastAsia="Calibri"/>
        </w:rPr>
        <w:t>17,638 </w:t>
      </w:r>
      <w:r>
        <w:rPr/>
        <w:t>户。</w:t>
      </w:r>
    </w:p>
    <w:p>
      <w:pPr>
        <w:pStyle w:val="BodyText"/>
        <w:spacing w:before="7"/>
        <w:rPr>
          <w:sz w:val="15"/>
        </w:rPr>
      </w:pPr>
    </w:p>
    <w:p>
      <w:pPr>
        <w:pStyle w:val="BodyText"/>
        <w:ind w:left="580"/>
      </w:pPr>
      <w:r>
        <w:rPr/>
        <w:t>（三）本基金与目标 </w:t>
      </w:r>
      <w:r>
        <w:rPr>
          <w:rFonts w:ascii="Calibri" w:eastAsia="Calibri"/>
        </w:rPr>
        <w:t>ETF </w:t>
      </w:r>
      <w:r>
        <w:rPr/>
        <w:t>的联系与区别</w:t>
      </w:r>
    </w:p>
    <w:p>
      <w:pPr>
        <w:pStyle w:val="BodyText"/>
        <w:spacing w:before="7"/>
        <w:rPr>
          <w:sz w:val="15"/>
        </w:rPr>
      </w:pPr>
    </w:p>
    <w:p>
      <w:pPr>
        <w:pStyle w:val="BodyText"/>
        <w:ind w:left="580"/>
      </w:pPr>
      <w:r>
        <w:rPr/>
        <w:t>本基金为目标 </w:t>
      </w:r>
      <w:r>
        <w:rPr>
          <w:rFonts w:ascii="Calibri" w:eastAsia="Calibri"/>
        </w:rPr>
        <w:t>ETF </w:t>
      </w:r>
      <w:r>
        <w:rPr/>
        <w:t>的联接基金。本基金主要投资于目标 </w:t>
      </w:r>
      <w:r>
        <w:rPr>
          <w:rFonts w:ascii="Calibri" w:eastAsia="Calibri"/>
        </w:rPr>
        <w:t>ETF </w:t>
      </w:r>
      <w:r>
        <w:rPr/>
        <w:t>以求达到投资目标，目标</w:t>
      </w:r>
    </w:p>
    <w:p>
      <w:pPr>
        <w:pStyle w:val="BodyText"/>
        <w:spacing w:before="7"/>
        <w:rPr>
          <w:sz w:val="15"/>
        </w:rPr>
      </w:pPr>
    </w:p>
    <w:p>
      <w:pPr>
        <w:pStyle w:val="BodyText"/>
        <w:ind w:left="160"/>
        <w:jc w:val="both"/>
      </w:pPr>
      <w:r>
        <w:rPr>
          <w:rFonts w:ascii="Calibri" w:eastAsia="Calibri"/>
        </w:rPr>
        <w:t>ETF </w:t>
      </w:r>
      <w:r>
        <w:rPr/>
        <w:t>的标的指数和本基金的标的指数一致，投资目标相似。</w:t>
      </w:r>
    </w:p>
    <w:p>
      <w:pPr>
        <w:pStyle w:val="BodyText"/>
        <w:spacing w:before="6"/>
        <w:rPr>
          <w:sz w:val="15"/>
        </w:rPr>
      </w:pPr>
    </w:p>
    <w:p>
      <w:pPr>
        <w:pStyle w:val="BodyText"/>
        <w:spacing w:line="417" w:lineRule="auto"/>
        <w:ind w:left="160" w:right="873" w:firstLine="419"/>
        <w:jc w:val="both"/>
      </w:pPr>
      <w:r>
        <w:rPr/>
        <w:t>在投资方法上，本基金为目标 </w:t>
      </w:r>
      <w:r>
        <w:rPr>
          <w:rFonts w:ascii="Calibri" w:eastAsia="Calibri"/>
        </w:rPr>
        <w:t>ETF </w:t>
      </w:r>
      <w:r>
        <w:rPr/>
        <w:t>的联接基金，主要通过投资于目标 </w:t>
      </w:r>
      <w:r>
        <w:rPr>
          <w:rFonts w:ascii="Calibri" w:eastAsia="Calibri"/>
        </w:rPr>
        <w:t>ETF </w:t>
      </w:r>
      <w:r>
        <w:rPr/>
        <w:t>来跟踪标的指数；本基金的目标 </w:t>
      </w:r>
      <w:r>
        <w:rPr>
          <w:rFonts w:ascii="Calibri" w:eastAsia="Calibri"/>
        </w:rPr>
        <w:t>ETF </w:t>
      </w:r>
      <w:r>
        <w:rPr/>
        <w:t>主要采用复制法来跟踪标的指数。</w:t>
      </w:r>
    </w:p>
    <w:p>
      <w:pPr>
        <w:pStyle w:val="BodyText"/>
        <w:spacing w:line="417" w:lineRule="auto"/>
        <w:ind w:left="160" w:right="871" w:firstLine="419"/>
        <w:jc w:val="both"/>
      </w:pPr>
      <w:r>
        <w:rPr>
          <w:spacing w:val="-9"/>
        </w:rPr>
        <w:t>在交易方式上，本基金投资者目前只能通过场外销售机构以现金的方式申购、赎回；本</w:t>
      </w:r>
      <w:r>
        <w:rPr>
          <w:spacing w:val="-7"/>
        </w:rPr>
        <w:t>基金的目标 </w:t>
      </w:r>
      <w:r>
        <w:rPr>
          <w:rFonts w:ascii="Calibri" w:eastAsia="Calibri"/>
        </w:rPr>
        <w:t>ETF </w:t>
      </w:r>
      <w:r>
        <w:rPr>
          <w:spacing w:val="-4"/>
        </w:rPr>
        <w:t>属于交易型开放式指数证券投资基金，目标 </w:t>
      </w:r>
      <w:r>
        <w:rPr>
          <w:rFonts w:ascii="Calibri" w:eastAsia="Calibri"/>
        </w:rPr>
        <w:t>ETF </w:t>
      </w:r>
      <w:r>
        <w:rPr>
          <w:spacing w:val="-3"/>
        </w:rPr>
        <w:t>的投资者可以在二级市场</w:t>
      </w:r>
      <w:r>
        <w:rPr>
          <w:spacing w:val="-7"/>
        </w:rPr>
        <w:t>上买卖 </w:t>
      </w:r>
      <w:r>
        <w:rPr>
          <w:rFonts w:ascii="Calibri" w:eastAsia="Calibri"/>
          <w:spacing w:val="-5"/>
        </w:rPr>
        <w:t>ETF</w:t>
      </w:r>
      <w:r>
        <w:rPr>
          <w:spacing w:val="-4"/>
        </w:rPr>
        <w:t>，也可以在场内根据申购赎回清单按照申购、赎回对价通过申购赎回代理机构申</w:t>
      </w:r>
      <w:r>
        <w:rPr>
          <w:spacing w:val="-13"/>
        </w:rPr>
        <w:t>购、赎回 </w:t>
      </w:r>
      <w:r>
        <w:rPr>
          <w:rFonts w:ascii="Calibri" w:eastAsia="Calibri"/>
        </w:rPr>
        <w:t>ETF</w:t>
      </w:r>
      <w:r>
        <w:rPr>
          <w:spacing w:val="-5"/>
        </w:rPr>
        <w:t>，还可以按照合同的约定在场外销售机构以现金申购、赎回 </w:t>
      </w:r>
      <w:r>
        <w:rPr>
          <w:rFonts w:ascii="Calibri" w:eastAsia="Calibri"/>
        </w:rPr>
        <w:t>ETF</w:t>
      </w:r>
      <w:r>
        <w:rPr/>
        <w:t>。</w:t>
      </w:r>
    </w:p>
    <w:p>
      <w:pPr>
        <w:pStyle w:val="BodyText"/>
        <w:spacing w:line="269" w:lineRule="exact"/>
        <w:ind w:left="580"/>
        <w:jc w:val="both"/>
      </w:pPr>
      <w:r>
        <w:rPr/>
        <w:t>本基金与目标 </w:t>
      </w:r>
      <w:r>
        <w:rPr>
          <w:rFonts w:ascii="Calibri" w:eastAsia="Calibri"/>
        </w:rPr>
        <w:t>ETF </w:t>
      </w:r>
      <w:r>
        <w:rPr/>
        <w:t>业绩表现可能出现差异，可能引发差异的因素主要包括：</w:t>
      </w:r>
    </w:p>
    <w:p>
      <w:pPr>
        <w:pStyle w:val="BodyText"/>
        <w:spacing w:before="7"/>
        <w:rPr>
          <w:sz w:val="15"/>
        </w:rPr>
      </w:pPr>
    </w:p>
    <w:p>
      <w:pPr>
        <w:pStyle w:val="BodyText"/>
        <w:spacing w:line="417" w:lineRule="auto"/>
        <w:ind w:left="160" w:right="873" w:firstLine="419"/>
        <w:jc w:val="both"/>
      </w:pPr>
      <w:r>
        <w:rPr>
          <w:rFonts w:ascii="Calibri" w:eastAsia="Calibri"/>
        </w:rPr>
        <w:t>1</w:t>
      </w:r>
      <w:r>
        <w:rPr>
          <w:spacing w:val="-3"/>
        </w:rPr>
        <w:t>、法律法规对投资比例的要求。本基金作为普通的开放式基金，需将不低于基金资产</w:t>
      </w:r>
      <w:r>
        <w:rPr>
          <w:spacing w:val="-14"/>
        </w:rPr>
        <w:t>净值 </w:t>
      </w:r>
      <w:r>
        <w:rPr>
          <w:rFonts w:ascii="Calibri" w:eastAsia="Calibri"/>
        </w:rPr>
        <w:t>5%</w:t>
      </w:r>
      <w:r>
        <w:rPr>
          <w:spacing w:val="-5"/>
        </w:rPr>
        <w:t>的资产投资于现金或者到期日在一年以内的政府债券；目标 </w:t>
      </w:r>
      <w:r>
        <w:rPr>
          <w:rFonts w:ascii="Calibri" w:eastAsia="Calibri"/>
        </w:rPr>
        <w:t>ETF </w:t>
      </w:r>
      <w:r>
        <w:rPr>
          <w:spacing w:val="-3"/>
        </w:rPr>
        <w:t>不受上述投资比例的限制。</w:t>
      </w:r>
    </w:p>
    <w:p>
      <w:pPr>
        <w:pStyle w:val="BodyText"/>
        <w:spacing w:line="417" w:lineRule="auto"/>
        <w:ind w:left="160" w:right="871" w:firstLine="419"/>
        <w:jc w:val="both"/>
      </w:pPr>
      <w:r>
        <w:rPr>
          <w:rFonts w:ascii="Calibri" w:eastAsia="Calibri"/>
        </w:rPr>
        <w:t>2</w:t>
      </w:r>
      <w:r>
        <w:rPr>
          <w:spacing w:val="-3"/>
        </w:rPr>
        <w:t>、申购赎回的影响。本基金申赎采取现金方式，大额申赎可能会对基金净值产生一定</w:t>
      </w:r>
      <w:r>
        <w:rPr>
          <w:spacing w:val="-13"/>
        </w:rPr>
        <w:t>影响；目标 </w:t>
      </w:r>
      <w:r>
        <w:rPr>
          <w:rFonts w:ascii="Calibri" w:eastAsia="Calibri"/>
        </w:rPr>
        <w:t>ETF </w:t>
      </w:r>
      <w:r>
        <w:rPr>
          <w:spacing w:val="-6"/>
        </w:rPr>
        <w:t>场内申购赎回根据申购赎回清单按照申购、赎回对价办理，申购赎回对基金</w:t>
      </w:r>
      <w:r>
        <w:rPr>
          <w:spacing w:val="-12"/>
        </w:rPr>
        <w:t>净值的影响较小；目标 </w:t>
      </w:r>
      <w:r>
        <w:rPr>
          <w:rFonts w:ascii="Calibri" w:eastAsia="Calibri"/>
        </w:rPr>
        <w:t>ETF </w:t>
      </w:r>
      <w:r>
        <w:rPr>
          <w:spacing w:val="-5"/>
        </w:rPr>
        <w:t>场外申购赎回基金管理人将在提交申购申请的当日收盘前，使用</w:t>
      </w:r>
      <w:r>
        <w:rPr>
          <w:spacing w:val="-11"/>
        </w:rPr>
        <w:t>申购款买入组合证券，或于提交赎回申请的当日卖出组合证券，并收取一定申赎费用作为场</w:t>
      </w:r>
      <w:r>
        <w:rPr>
          <w:spacing w:val="-6"/>
        </w:rPr>
        <w:t>外现金申赎对基金资产可能造成的冲击的补偿，因此申赎对基金净值影响较小。</w:t>
      </w:r>
    </w:p>
    <w:p>
      <w:pPr>
        <w:pStyle w:val="BodyText"/>
        <w:spacing w:line="268" w:lineRule="exact"/>
        <w:ind w:left="580"/>
      </w:pPr>
      <w:r>
        <w:rPr/>
        <w:t>（四）基金的份额类别</w:t>
      </w:r>
    </w:p>
    <w:p>
      <w:pPr>
        <w:pStyle w:val="BodyText"/>
        <w:spacing w:before="7"/>
        <w:rPr>
          <w:sz w:val="15"/>
        </w:rPr>
      </w:pPr>
    </w:p>
    <w:p>
      <w:pPr>
        <w:pStyle w:val="BodyText"/>
        <w:spacing w:line="417" w:lineRule="auto"/>
        <w:ind w:left="160" w:right="871" w:firstLine="419"/>
      </w:pPr>
      <w:r>
        <w:rPr>
          <w:spacing w:val="-20"/>
        </w:rPr>
        <w:t>本基金根据认购费、申购费、销售服务费收取方式的不同，将基金份额分为不同的类别。</w:t>
      </w:r>
      <w:r>
        <w:rPr>
          <w:spacing w:val="-10"/>
        </w:rPr>
        <w:t>在投资者认购</w:t>
      </w:r>
      <w:r>
        <w:rPr>
          <w:rFonts w:ascii="Calibri" w:eastAsia="Calibri"/>
          <w:spacing w:val="-3"/>
        </w:rPr>
        <w:t>/</w:t>
      </w:r>
      <w:r>
        <w:rPr>
          <w:spacing w:val="-3"/>
        </w:rPr>
        <w:t>申购时收取前端认购</w:t>
      </w:r>
      <w:r>
        <w:rPr>
          <w:rFonts w:ascii="Calibri" w:eastAsia="Calibri"/>
          <w:spacing w:val="-3"/>
        </w:rPr>
        <w:t>/</w:t>
      </w:r>
      <w:r>
        <w:rPr>
          <w:spacing w:val="-7"/>
        </w:rPr>
        <w:t>申购费的，称为</w:t>
      </w:r>
      <w:r>
        <w:rPr>
          <w:rFonts w:ascii="Calibri" w:eastAsia="Calibri"/>
        </w:rPr>
        <w:t>A</w:t>
      </w:r>
      <w:r>
        <w:rPr>
          <w:spacing w:val="-6"/>
        </w:rPr>
        <w:t>类基金份额；不收取前后端认购</w:t>
      </w:r>
      <w:r>
        <w:rPr>
          <w:rFonts w:ascii="Calibri" w:eastAsia="Calibri"/>
        </w:rPr>
        <w:t>/</w:t>
      </w:r>
      <w:r>
        <w:rPr>
          <w:spacing w:val="-3"/>
        </w:rPr>
        <w:t>申购</w:t>
      </w:r>
    </w:p>
    <w:p>
      <w:pPr>
        <w:spacing w:after="0" w:line="417" w:lineRule="auto"/>
        <w:sectPr>
          <w:pgSz w:w="11910" w:h="16840"/>
          <w:pgMar w:header="877" w:footer="995" w:top="1420" w:bottom="1180" w:left="1640" w:right="920"/>
        </w:sectPr>
      </w:pPr>
    </w:p>
    <w:p>
      <w:pPr>
        <w:pStyle w:val="BodyText"/>
        <w:spacing w:line="417" w:lineRule="auto" w:before="110"/>
        <w:ind w:left="160" w:right="834"/>
      </w:pPr>
      <w:r>
        <w:rPr/>
        <w:t>费，而从本类别基金资产中计提销售服务费的，称为</w:t>
      </w:r>
      <w:r>
        <w:rPr>
          <w:rFonts w:ascii="Calibri" w:eastAsia="Calibri"/>
        </w:rPr>
        <w:t>C</w:t>
      </w:r>
      <w:r>
        <w:rPr/>
        <w:t>类基金份额。</w:t>
      </w:r>
      <w:r>
        <w:rPr>
          <w:rFonts w:ascii="Calibri" w:eastAsia="Calibri"/>
        </w:rPr>
        <w:t>A</w:t>
      </w:r>
      <w:r>
        <w:rPr/>
        <w:t>类、</w:t>
      </w:r>
      <w:r>
        <w:rPr>
          <w:rFonts w:ascii="Calibri" w:eastAsia="Calibri"/>
        </w:rPr>
        <w:t>C</w:t>
      </w:r>
      <w:r>
        <w:rPr/>
        <w:t>类基金份额分别设置代码，分别计算和公告基金份额净值和基金份额累计净值。</w:t>
      </w:r>
    </w:p>
    <w:p>
      <w:pPr>
        <w:pStyle w:val="BodyText"/>
        <w:spacing w:line="417" w:lineRule="auto"/>
        <w:ind w:left="160" w:right="871" w:firstLine="419"/>
        <w:jc w:val="both"/>
      </w:pPr>
      <w:r>
        <w:rPr>
          <w:spacing w:val="-12"/>
        </w:rPr>
        <w:t>根据基金销售情况，基金管理人可在不违反法律法规且对现有基金份额持有人利益无实</w:t>
      </w:r>
      <w:r>
        <w:rPr>
          <w:spacing w:val="-11"/>
        </w:rPr>
        <w:t>质不利影响的前提下，经与基金托管人协商，调整现有基金份额类别的认购费、申购费、赎回费、销售服务费的费率水平、销售方式或者停止现有基金份额类别的销售等，不需召开基</w:t>
      </w:r>
      <w:r>
        <w:rPr>
          <w:spacing w:val="-6"/>
        </w:rPr>
        <w:t>金份额持有人大会，调整前基金管理人需及时公告并报中国证监会备案。</w:t>
      </w:r>
    </w:p>
    <w:p>
      <w:pPr>
        <w:pStyle w:val="BodyText"/>
        <w:spacing w:line="417" w:lineRule="auto"/>
        <w:ind w:left="160" w:right="871" w:firstLine="419"/>
        <w:jc w:val="both"/>
      </w:pPr>
      <w:r>
        <w:rPr>
          <w:spacing w:val="-6"/>
        </w:rPr>
        <w:t>在不违反法律法规且对现有基金份额持有人利益无实质不利影响的前提下，基金管理人</w:t>
      </w:r>
      <w:r>
        <w:rPr>
          <w:spacing w:val="-10"/>
        </w:rPr>
        <w:t>可根据基金发展需要，为本基金增设新的份额类别。新的份额类别可设置不同的申购费、赎</w:t>
      </w:r>
      <w:r>
        <w:rPr>
          <w:spacing w:val="-12"/>
        </w:rPr>
        <w:t>回费、销售服务费，而无需召开基金份额持有人大会。有关基金份额类别的具体规则等相关</w:t>
      </w:r>
      <w:r>
        <w:rPr>
          <w:spacing w:val="-6"/>
        </w:rPr>
        <w:t>事项届时将另行公告。</w:t>
      </w:r>
    </w:p>
    <w:p>
      <w:pPr>
        <w:spacing w:after="0" w:line="417" w:lineRule="auto"/>
        <w:jc w:val="both"/>
        <w:sectPr>
          <w:pgSz w:w="11910" w:h="16840"/>
          <w:pgMar w:header="877" w:footer="995" w:top="1420" w:bottom="1180" w:left="1640" w:right="920"/>
        </w:sectPr>
      </w:pPr>
    </w:p>
    <w:p>
      <w:pPr>
        <w:pStyle w:val="BodyText"/>
        <w:spacing w:before="7"/>
        <w:rPr>
          <w:sz w:val="29"/>
        </w:rPr>
      </w:pPr>
    </w:p>
    <w:p>
      <w:pPr>
        <w:pStyle w:val="Heading1"/>
      </w:pPr>
      <w:bookmarkStart w:name="_bookmark6" w:id="7"/>
      <w:bookmarkEnd w:id="7"/>
      <w:r>
        <w:rPr>
          <w:b w:val="0"/>
        </w:rPr>
      </w:r>
      <w:r>
        <w:rPr/>
        <w:t>七、基金合同的生效</w:t>
      </w:r>
    </w:p>
    <w:p>
      <w:pPr>
        <w:pStyle w:val="BodyText"/>
        <w:rPr>
          <w:b/>
          <w:sz w:val="20"/>
        </w:rPr>
      </w:pPr>
    </w:p>
    <w:p>
      <w:pPr>
        <w:pStyle w:val="BodyText"/>
        <w:spacing w:before="2"/>
        <w:rPr>
          <w:b/>
        </w:rPr>
      </w:pPr>
    </w:p>
    <w:p>
      <w:pPr>
        <w:pStyle w:val="BodyText"/>
        <w:spacing w:line="417" w:lineRule="auto"/>
        <w:ind w:left="160" w:right="871" w:firstLine="419"/>
        <w:jc w:val="both"/>
      </w:pPr>
      <w:r>
        <w:rPr>
          <w:spacing w:val="-20"/>
        </w:rPr>
        <w:t>根据有关规定，本基金满足基金合同生效条件，基金合同于 </w:t>
      </w:r>
      <w:r>
        <w:rPr>
          <w:rFonts w:ascii="Calibri" w:eastAsia="Calibri"/>
        </w:rPr>
        <w:t>2019 </w:t>
      </w:r>
      <w:r>
        <w:rPr>
          <w:spacing w:val="-25"/>
        </w:rPr>
        <w:t>年 </w:t>
      </w:r>
      <w:r>
        <w:rPr>
          <w:rFonts w:ascii="Calibri" w:eastAsia="Calibri"/>
        </w:rPr>
        <w:t>6 </w:t>
      </w:r>
      <w:r>
        <w:rPr>
          <w:spacing w:val="-24"/>
        </w:rPr>
        <w:t>月 </w:t>
      </w:r>
      <w:r>
        <w:rPr>
          <w:rFonts w:ascii="Calibri" w:eastAsia="Calibri"/>
        </w:rPr>
        <w:t>5 </w:t>
      </w:r>
      <w:r>
        <w:rPr>
          <w:spacing w:val="-3"/>
        </w:rPr>
        <w:t>日正式生效。自基金合同生效日起，本基金管理人正式开始管理本基金。</w:t>
      </w:r>
    </w:p>
    <w:p>
      <w:pPr>
        <w:pStyle w:val="BodyText"/>
        <w:spacing w:line="417" w:lineRule="auto"/>
        <w:ind w:left="160" w:right="871" w:firstLine="419"/>
        <w:jc w:val="both"/>
      </w:pPr>
      <w:r>
        <w:rPr>
          <w:spacing w:val="-8"/>
        </w:rPr>
        <w:t>基金合同生效之日起三年后的对应日，若基金资产规模低于 </w:t>
      </w:r>
      <w:r>
        <w:rPr>
          <w:rFonts w:ascii="Calibri" w:eastAsia="Calibri"/>
        </w:rPr>
        <w:t>2 </w:t>
      </w:r>
      <w:r>
        <w:rPr>
          <w:spacing w:val="-9"/>
        </w:rPr>
        <w:t>亿元，则基金合同自动终</w:t>
      </w:r>
      <w:r>
        <w:rPr>
          <w:spacing w:val="-11"/>
        </w:rPr>
        <w:t>止，同时不得通过召开基金份额持有人大会延续基金合同期限。年度对应日指某一个特定日期在后续年度中的对应日期，如该年无此对应日期，则取该年当月最后一日。如年度对应日</w:t>
      </w:r>
      <w:r>
        <w:rPr>
          <w:spacing w:val="-12"/>
        </w:rPr>
        <w:t>为非工作日，则顺延至下一工作日。若届时的法律法规或证监会规定发生变化，上述终止规</w:t>
      </w:r>
      <w:r>
        <w:rPr>
          <w:spacing w:val="-6"/>
        </w:rPr>
        <w:t>定被取消、更改或补充时，则本基金可以参照届时有效的法律法规或证监会规定执行。</w:t>
      </w:r>
    </w:p>
    <w:p>
      <w:pPr>
        <w:pStyle w:val="BodyText"/>
        <w:spacing w:line="269" w:lineRule="exact"/>
        <w:ind w:left="580"/>
        <w:jc w:val="both"/>
      </w:pPr>
      <w:r>
        <w:rPr>
          <w:spacing w:val="-11"/>
        </w:rPr>
        <w:t>《基金合同》生效三年后若仍继续存续，则连续 </w:t>
      </w:r>
      <w:r>
        <w:rPr>
          <w:rFonts w:ascii="Calibri" w:eastAsia="Calibri"/>
        </w:rPr>
        <w:t>20</w:t>
      </w:r>
      <w:r>
        <w:rPr>
          <w:rFonts w:ascii="Calibri" w:eastAsia="Calibri"/>
          <w:spacing w:val="15"/>
        </w:rPr>
        <w:t>  </w:t>
      </w:r>
      <w:r>
        <w:rPr>
          <w:spacing w:val="-3"/>
        </w:rPr>
        <w:t>个工作日出现基金份额持有人数量</w:t>
      </w:r>
    </w:p>
    <w:p>
      <w:pPr>
        <w:pStyle w:val="BodyText"/>
        <w:spacing w:before="7"/>
        <w:rPr>
          <w:sz w:val="15"/>
        </w:rPr>
      </w:pPr>
    </w:p>
    <w:p>
      <w:pPr>
        <w:pStyle w:val="BodyText"/>
        <w:ind w:left="160"/>
        <w:jc w:val="both"/>
      </w:pPr>
      <w:r>
        <w:rPr>
          <w:spacing w:val="-16"/>
        </w:rPr>
        <w:t>不满 </w:t>
      </w:r>
      <w:r>
        <w:rPr>
          <w:rFonts w:ascii="Calibri" w:eastAsia="Calibri"/>
        </w:rPr>
        <w:t>200</w:t>
      </w:r>
      <w:r>
        <w:rPr>
          <w:rFonts w:ascii="Calibri" w:eastAsia="Calibri"/>
          <w:spacing w:val="14"/>
        </w:rPr>
        <w:t> </w:t>
      </w:r>
      <w:r>
        <w:rPr>
          <w:spacing w:val="-7"/>
        </w:rPr>
        <w:t>人或者基金资产净值低于 </w:t>
      </w:r>
      <w:r>
        <w:rPr>
          <w:rFonts w:ascii="Calibri" w:eastAsia="Calibri"/>
        </w:rPr>
        <w:t>5000</w:t>
      </w:r>
      <w:r>
        <w:rPr>
          <w:rFonts w:ascii="Calibri" w:eastAsia="Calibri"/>
          <w:spacing w:val="17"/>
        </w:rPr>
        <w:t> </w:t>
      </w:r>
      <w:r>
        <w:rPr>
          <w:spacing w:val="-3"/>
        </w:rPr>
        <w:t>万元情形的时，基金管理人应当在定期报告中予以</w:t>
      </w:r>
    </w:p>
    <w:p>
      <w:pPr>
        <w:pStyle w:val="BodyText"/>
        <w:spacing w:before="6"/>
        <w:rPr>
          <w:sz w:val="15"/>
        </w:rPr>
      </w:pPr>
    </w:p>
    <w:p>
      <w:pPr>
        <w:pStyle w:val="BodyText"/>
        <w:spacing w:line="417" w:lineRule="auto" w:before="1"/>
        <w:ind w:left="160" w:right="871"/>
        <w:jc w:val="both"/>
      </w:pPr>
      <w:r>
        <w:rPr>
          <w:spacing w:val="-8"/>
        </w:rPr>
        <w:t>披露；连续 </w:t>
      </w:r>
      <w:r>
        <w:rPr>
          <w:rFonts w:ascii="Calibri" w:eastAsia="Calibri"/>
        </w:rPr>
        <w:t>60 </w:t>
      </w:r>
      <w:r>
        <w:rPr>
          <w:spacing w:val="-3"/>
        </w:rPr>
        <w:t>个工作日出现前述情形的时，基金管理人应当向中国证监会报告并提出解决</w:t>
      </w:r>
      <w:r>
        <w:rPr>
          <w:spacing w:val="-11"/>
        </w:rPr>
        <w:t>方案，如转换运作方式、与其他基金合并或者终止基金合同等，并召开基金份额持有人大会</w:t>
      </w:r>
      <w:r>
        <w:rPr>
          <w:spacing w:val="-6"/>
        </w:rPr>
        <w:t>进行表决。</w:t>
      </w:r>
    </w:p>
    <w:p>
      <w:pPr>
        <w:pStyle w:val="BodyText"/>
        <w:ind w:left="580"/>
      </w:pPr>
      <w:r>
        <w:rPr/>
        <w:t>法律法规或监管部门另有规定时，从其规定。</w:t>
      </w:r>
    </w:p>
    <w:p>
      <w:pPr>
        <w:spacing w:after="0"/>
        <w:sectPr>
          <w:pgSz w:w="11910" w:h="16840"/>
          <w:pgMar w:header="877" w:footer="995" w:top="1420" w:bottom="1180" w:left="1640" w:right="920"/>
        </w:sectPr>
      </w:pPr>
    </w:p>
    <w:p>
      <w:pPr>
        <w:pStyle w:val="BodyText"/>
        <w:spacing w:before="7"/>
        <w:rPr>
          <w:sz w:val="29"/>
        </w:rPr>
      </w:pPr>
    </w:p>
    <w:p>
      <w:pPr>
        <w:pStyle w:val="Heading1"/>
        <w:ind w:left="2733" w:right="0"/>
        <w:jc w:val="left"/>
      </w:pPr>
      <w:bookmarkStart w:name="_bookmark7" w:id="8"/>
      <w:bookmarkEnd w:id="8"/>
      <w:r>
        <w:rPr>
          <w:b w:val="0"/>
        </w:rPr>
      </w:r>
      <w:r>
        <w:rPr/>
        <w:t>八、基金份额的申购、赎回与转换</w:t>
      </w:r>
    </w:p>
    <w:p>
      <w:pPr>
        <w:pStyle w:val="BodyText"/>
        <w:rPr>
          <w:b/>
          <w:sz w:val="20"/>
        </w:rPr>
      </w:pPr>
    </w:p>
    <w:p>
      <w:pPr>
        <w:pStyle w:val="BodyText"/>
        <w:spacing w:before="8"/>
        <w:rPr>
          <w:b/>
          <w:sz w:val="15"/>
        </w:rPr>
      </w:pPr>
    </w:p>
    <w:p>
      <w:pPr>
        <w:pStyle w:val="BodyText"/>
        <w:spacing w:before="71"/>
        <w:ind w:left="580"/>
      </w:pPr>
      <w:r>
        <w:rPr/>
        <w:t>（一）申购和赎回场所</w:t>
      </w:r>
    </w:p>
    <w:p>
      <w:pPr>
        <w:pStyle w:val="BodyText"/>
        <w:spacing w:before="7"/>
        <w:rPr>
          <w:sz w:val="15"/>
        </w:rPr>
      </w:pPr>
    </w:p>
    <w:p>
      <w:pPr>
        <w:pStyle w:val="BodyText"/>
        <w:spacing w:line="417" w:lineRule="auto"/>
        <w:ind w:left="160" w:right="871" w:firstLine="419"/>
        <w:jc w:val="both"/>
      </w:pPr>
      <w:r>
        <w:rPr>
          <w:spacing w:val="-8"/>
        </w:rPr>
        <w:t>本基金的申购与赎回将通过销售机构进行。具体的销售网点将由基金管理人在招募说明</w:t>
      </w:r>
      <w:r>
        <w:rPr>
          <w:spacing w:val="-12"/>
        </w:rPr>
        <w:t>书或其他相关公告中列明。基金投资者应当在销售机构办理基金销售业务的营业场所或按销</w:t>
      </w:r>
      <w:r>
        <w:rPr>
          <w:spacing w:val="-6"/>
        </w:rPr>
        <w:t>售机构提供的其他方式办理基金份额的申购与赎回。</w:t>
      </w:r>
    </w:p>
    <w:p>
      <w:pPr>
        <w:pStyle w:val="BodyText"/>
        <w:spacing w:line="269" w:lineRule="exact"/>
        <w:ind w:left="580"/>
      </w:pPr>
      <w:r>
        <w:rPr>
          <w:rFonts w:ascii="Calibri" w:eastAsia="Calibri"/>
        </w:rPr>
        <w:t>1</w:t>
      </w:r>
      <w:r>
        <w:rPr/>
        <w:t>、直销机构</w:t>
      </w:r>
    </w:p>
    <w:p>
      <w:pPr>
        <w:pStyle w:val="BodyText"/>
        <w:spacing w:before="7"/>
        <w:rPr>
          <w:sz w:val="15"/>
        </w:rPr>
      </w:pPr>
    </w:p>
    <w:p>
      <w:pPr>
        <w:pStyle w:val="BodyText"/>
        <w:spacing w:line="417" w:lineRule="auto"/>
        <w:ind w:left="160" w:right="871" w:firstLine="419"/>
      </w:pPr>
      <w:r>
        <w:rPr>
          <w:spacing w:val="-8"/>
        </w:rPr>
        <w:t>本基金直销机构为本公司北京分公司、上海分公司、深圳分公司、南京分公司、杭州分</w:t>
      </w:r>
      <w:r>
        <w:rPr>
          <w:spacing w:val="-5"/>
        </w:rPr>
        <w:t>公司、广州分公司、成都分公司，设在北京、广州的投资理财中心以及电子交易平台。</w:t>
      </w:r>
    </w:p>
    <w:p>
      <w:pPr>
        <w:pStyle w:val="ListParagraph"/>
        <w:numPr>
          <w:ilvl w:val="0"/>
          <w:numId w:val="9"/>
        </w:numPr>
        <w:tabs>
          <w:tab w:pos="1110" w:val="left" w:leader="none"/>
        </w:tabs>
        <w:spacing w:line="269" w:lineRule="exact" w:before="0" w:after="0"/>
        <w:ind w:left="1109" w:right="0" w:hanging="530"/>
        <w:jc w:val="left"/>
        <w:rPr>
          <w:sz w:val="21"/>
        </w:rPr>
      </w:pPr>
      <w:r>
        <w:rPr>
          <w:spacing w:val="-3"/>
          <w:sz w:val="21"/>
        </w:rPr>
        <w:t>北京分公司</w:t>
      </w:r>
    </w:p>
    <w:p>
      <w:pPr>
        <w:pStyle w:val="BodyText"/>
        <w:spacing w:before="7"/>
        <w:rPr>
          <w:sz w:val="15"/>
        </w:rPr>
      </w:pPr>
    </w:p>
    <w:p>
      <w:pPr>
        <w:pStyle w:val="BodyText"/>
        <w:spacing w:line="417" w:lineRule="auto"/>
        <w:ind w:left="580" w:right="2751"/>
        <w:rPr>
          <w:rFonts w:ascii="Calibri" w:eastAsia="Calibri"/>
        </w:rPr>
      </w:pPr>
      <w:r>
        <w:rPr>
          <w:spacing w:val="-7"/>
        </w:rPr>
        <w:t>地址：北京市西城区金融大街 </w:t>
      </w:r>
      <w:r>
        <w:rPr>
          <w:rFonts w:ascii="Calibri" w:eastAsia="Calibri"/>
        </w:rPr>
        <w:t>33</w:t>
      </w:r>
      <w:r>
        <w:rPr>
          <w:rFonts w:ascii="Calibri" w:eastAsia="Calibri"/>
          <w:spacing w:val="10"/>
        </w:rPr>
        <w:t> </w:t>
      </w:r>
      <w:r>
        <w:rPr>
          <w:spacing w:val="7"/>
        </w:rPr>
        <w:t>号通泰大厦</w:t>
      </w:r>
      <w:r>
        <w:rPr>
          <w:rFonts w:ascii="Calibri" w:eastAsia="Calibri"/>
        </w:rPr>
        <w:t>B</w:t>
      </w:r>
      <w:r>
        <w:rPr>
          <w:rFonts w:ascii="Calibri" w:eastAsia="Calibri"/>
          <w:spacing w:val="9"/>
        </w:rPr>
        <w:t> </w:t>
      </w:r>
      <w:r>
        <w:rPr>
          <w:spacing w:val="-26"/>
        </w:rPr>
        <w:t>座 </w:t>
      </w:r>
      <w:r>
        <w:rPr>
          <w:rFonts w:ascii="Calibri" w:eastAsia="Calibri"/>
        </w:rPr>
        <w:t>1</w:t>
      </w:r>
      <w:r>
        <w:rPr>
          <w:rFonts w:ascii="Calibri" w:eastAsia="Calibri"/>
          <w:spacing w:val="7"/>
        </w:rPr>
        <w:t> </w:t>
      </w:r>
      <w:r>
        <w:rPr/>
        <w:t>层（</w:t>
      </w:r>
      <w:r>
        <w:rPr>
          <w:rFonts w:ascii="Calibri" w:eastAsia="Calibri"/>
        </w:rPr>
        <w:t>100033</w:t>
      </w:r>
      <w:r>
        <w:rPr/>
        <w:t>） 电话：</w:t>
      </w:r>
      <w:r>
        <w:rPr>
          <w:rFonts w:ascii="Calibri" w:eastAsia="Calibri"/>
        </w:rPr>
        <w:t>010-88087226</w:t>
      </w:r>
    </w:p>
    <w:p>
      <w:pPr>
        <w:pStyle w:val="BodyText"/>
        <w:spacing w:line="269" w:lineRule="exact"/>
        <w:ind w:left="580"/>
        <w:rPr>
          <w:rFonts w:ascii="Calibri" w:eastAsia="Calibri"/>
        </w:rPr>
      </w:pPr>
      <w:r>
        <w:rPr>
          <w:spacing w:val="-2"/>
        </w:rPr>
        <w:t>传真：</w:t>
      </w:r>
      <w:r>
        <w:rPr>
          <w:rFonts w:ascii="Calibri" w:eastAsia="Calibri"/>
          <w:spacing w:val="-1"/>
        </w:rPr>
        <w:t>010-88066028</w:t>
      </w:r>
    </w:p>
    <w:p>
      <w:pPr>
        <w:pStyle w:val="BodyText"/>
        <w:spacing w:before="4"/>
        <w:rPr>
          <w:rFonts w:ascii="Calibri"/>
          <w:sz w:val="16"/>
        </w:rPr>
      </w:pPr>
    </w:p>
    <w:p>
      <w:pPr>
        <w:pStyle w:val="ListParagraph"/>
        <w:numPr>
          <w:ilvl w:val="0"/>
          <w:numId w:val="9"/>
        </w:numPr>
        <w:tabs>
          <w:tab w:pos="1110" w:val="left" w:leader="none"/>
        </w:tabs>
        <w:spacing w:line="240" w:lineRule="auto" w:before="0" w:after="0"/>
        <w:ind w:left="1109" w:right="0" w:hanging="530"/>
        <w:jc w:val="left"/>
        <w:rPr>
          <w:sz w:val="21"/>
        </w:rPr>
      </w:pPr>
      <w:r>
        <w:rPr>
          <w:spacing w:val="-3"/>
          <w:sz w:val="21"/>
        </w:rPr>
        <w:t>北京东中街投资理财中心</w:t>
      </w:r>
    </w:p>
    <w:p>
      <w:pPr>
        <w:pStyle w:val="BodyText"/>
        <w:spacing w:before="7"/>
        <w:rPr>
          <w:sz w:val="15"/>
        </w:rPr>
      </w:pPr>
    </w:p>
    <w:p>
      <w:pPr>
        <w:pStyle w:val="BodyText"/>
        <w:spacing w:line="417" w:lineRule="auto"/>
        <w:ind w:left="580" w:right="2964"/>
        <w:rPr>
          <w:rFonts w:ascii="Calibri" w:eastAsia="Calibri"/>
        </w:rPr>
      </w:pPr>
      <w:r>
        <w:rPr>
          <w:spacing w:val="-7"/>
        </w:rPr>
        <w:t>地址：北京市东城区东中街 </w:t>
      </w:r>
      <w:r>
        <w:rPr>
          <w:rFonts w:ascii="Calibri" w:eastAsia="Calibri"/>
        </w:rPr>
        <w:t>29</w:t>
      </w:r>
      <w:r>
        <w:rPr>
          <w:rFonts w:ascii="Calibri" w:eastAsia="Calibri"/>
          <w:spacing w:val="8"/>
        </w:rPr>
        <w:t> </w:t>
      </w:r>
      <w:r>
        <w:rPr>
          <w:spacing w:val="-11"/>
        </w:rPr>
        <w:t>号东环广场 </w:t>
      </w:r>
      <w:r>
        <w:rPr>
          <w:rFonts w:ascii="Calibri" w:eastAsia="Calibri"/>
        </w:rPr>
        <w:t>B</w:t>
      </w:r>
      <w:r>
        <w:rPr>
          <w:rFonts w:ascii="Calibri" w:eastAsia="Calibri"/>
          <w:spacing w:val="9"/>
        </w:rPr>
        <w:t> </w:t>
      </w:r>
      <w:r>
        <w:rPr>
          <w:spacing w:val="-3"/>
        </w:rPr>
        <w:t>座一层</w:t>
      </w:r>
      <w:r>
        <w:rPr/>
        <w:t>（</w:t>
      </w:r>
      <w:r>
        <w:rPr>
          <w:rFonts w:ascii="Calibri" w:eastAsia="Calibri"/>
        </w:rPr>
        <w:t>100027</w:t>
      </w:r>
      <w:r>
        <w:rPr/>
        <w:t>） 电话：</w:t>
      </w:r>
      <w:r>
        <w:rPr>
          <w:rFonts w:ascii="Calibri" w:eastAsia="Calibri"/>
        </w:rPr>
        <w:t>010-64185183</w:t>
      </w:r>
    </w:p>
    <w:p>
      <w:pPr>
        <w:pStyle w:val="BodyText"/>
        <w:spacing w:line="269" w:lineRule="exact"/>
        <w:ind w:left="580"/>
        <w:rPr>
          <w:rFonts w:ascii="Calibri" w:eastAsia="Calibri"/>
        </w:rPr>
      </w:pPr>
      <w:r>
        <w:rPr>
          <w:spacing w:val="-2"/>
        </w:rPr>
        <w:t>传真：</w:t>
      </w:r>
      <w:r>
        <w:rPr>
          <w:rFonts w:ascii="Calibri" w:eastAsia="Calibri"/>
          <w:spacing w:val="-1"/>
        </w:rPr>
        <w:t>010-64185180</w:t>
      </w:r>
    </w:p>
    <w:p>
      <w:pPr>
        <w:pStyle w:val="BodyText"/>
        <w:spacing w:before="3"/>
        <w:rPr>
          <w:rFonts w:ascii="Calibri"/>
          <w:sz w:val="16"/>
        </w:rPr>
      </w:pPr>
    </w:p>
    <w:p>
      <w:pPr>
        <w:pStyle w:val="ListParagraph"/>
        <w:numPr>
          <w:ilvl w:val="0"/>
          <w:numId w:val="9"/>
        </w:numPr>
        <w:tabs>
          <w:tab w:pos="1110" w:val="left" w:leader="none"/>
        </w:tabs>
        <w:spacing w:line="240" w:lineRule="auto" w:before="0" w:after="0"/>
        <w:ind w:left="1109" w:right="0" w:hanging="530"/>
        <w:jc w:val="left"/>
        <w:rPr>
          <w:sz w:val="21"/>
        </w:rPr>
      </w:pPr>
      <w:r>
        <w:rPr>
          <w:spacing w:val="-3"/>
          <w:sz w:val="21"/>
        </w:rPr>
        <w:t>北京科学院南路投资理财中心</w:t>
      </w:r>
    </w:p>
    <w:p>
      <w:pPr>
        <w:pStyle w:val="BodyText"/>
        <w:spacing w:before="7"/>
        <w:rPr>
          <w:sz w:val="15"/>
        </w:rPr>
      </w:pPr>
    </w:p>
    <w:p>
      <w:pPr>
        <w:pStyle w:val="BodyText"/>
        <w:spacing w:line="417" w:lineRule="auto"/>
        <w:ind w:left="580" w:right="1082"/>
        <w:rPr>
          <w:rFonts w:ascii="Calibri" w:eastAsia="Calibri"/>
        </w:rPr>
      </w:pPr>
      <w:r>
        <w:rPr>
          <w:spacing w:val="-3"/>
          <w:w w:val="100"/>
        </w:rPr>
        <w:t>地址：北京市海淀区中关村科学院南路</w:t>
      </w:r>
      <w:r>
        <w:rPr>
          <w:spacing w:val="-55"/>
        </w:rPr>
        <w:t> </w:t>
      </w:r>
      <w:r>
        <w:rPr>
          <w:rFonts w:ascii="Calibri" w:eastAsia="Calibri"/>
          <w:w w:val="100"/>
        </w:rPr>
        <w:t>9</w:t>
      </w:r>
      <w:r>
        <w:rPr>
          <w:rFonts w:ascii="Calibri" w:eastAsia="Calibri"/>
          <w:spacing w:val="6"/>
        </w:rPr>
        <w:t> </w:t>
      </w:r>
      <w:r>
        <w:rPr>
          <w:spacing w:val="-3"/>
          <w:w w:val="100"/>
        </w:rPr>
        <w:t>号</w:t>
      </w:r>
      <w:r>
        <w:rPr>
          <w:w w:val="100"/>
        </w:rPr>
        <w:t>（</w:t>
      </w:r>
      <w:r>
        <w:rPr>
          <w:spacing w:val="-3"/>
          <w:w w:val="100"/>
        </w:rPr>
        <w:t>新科祥园小区大门口一层</w:t>
      </w:r>
      <w:r>
        <w:rPr>
          <w:spacing w:val="-106"/>
          <w:w w:val="100"/>
        </w:rPr>
        <w:t>）</w:t>
      </w:r>
      <w:r>
        <w:rPr>
          <w:spacing w:val="-2"/>
          <w:w w:val="100"/>
        </w:rPr>
        <w:t>（</w:t>
      </w:r>
      <w:r>
        <w:rPr>
          <w:rFonts w:ascii="Calibri" w:eastAsia="Calibri"/>
          <w:w w:val="100"/>
        </w:rPr>
        <w:t>1</w:t>
      </w:r>
      <w:r>
        <w:rPr>
          <w:rFonts w:ascii="Calibri" w:eastAsia="Calibri"/>
          <w:spacing w:val="-2"/>
          <w:w w:val="100"/>
        </w:rPr>
        <w:t>0</w:t>
      </w:r>
      <w:r>
        <w:rPr>
          <w:rFonts w:ascii="Calibri" w:eastAsia="Calibri"/>
          <w:w w:val="100"/>
        </w:rPr>
        <w:t>0</w:t>
      </w:r>
      <w:r>
        <w:rPr>
          <w:rFonts w:ascii="Calibri" w:eastAsia="Calibri"/>
          <w:spacing w:val="-2"/>
          <w:w w:val="100"/>
        </w:rPr>
        <w:t>19</w:t>
      </w:r>
      <w:r>
        <w:rPr>
          <w:rFonts w:ascii="Calibri" w:eastAsia="Calibri"/>
          <w:spacing w:val="1"/>
          <w:w w:val="100"/>
        </w:rPr>
        <w:t>0</w:t>
      </w:r>
      <w:r>
        <w:rPr>
          <w:w w:val="100"/>
        </w:rPr>
        <w:t>）</w:t>
      </w:r>
      <w:r>
        <w:rPr/>
        <w:t>电话：</w:t>
      </w:r>
      <w:r>
        <w:rPr>
          <w:rFonts w:ascii="Calibri" w:eastAsia="Calibri"/>
        </w:rPr>
        <w:t>010-82523198</w:t>
      </w:r>
    </w:p>
    <w:p>
      <w:pPr>
        <w:pStyle w:val="BodyText"/>
        <w:spacing w:line="269" w:lineRule="exact"/>
        <w:ind w:left="580"/>
        <w:rPr>
          <w:rFonts w:ascii="Calibri" w:eastAsia="Calibri"/>
        </w:rPr>
      </w:pPr>
      <w:r>
        <w:rPr>
          <w:spacing w:val="-2"/>
        </w:rPr>
        <w:t>传真：</w:t>
      </w:r>
      <w:r>
        <w:rPr>
          <w:rFonts w:ascii="Calibri" w:eastAsia="Calibri"/>
          <w:spacing w:val="-1"/>
        </w:rPr>
        <w:t>010-82523196</w:t>
      </w:r>
    </w:p>
    <w:p>
      <w:pPr>
        <w:pStyle w:val="BodyText"/>
        <w:spacing w:before="4"/>
        <w:rPr>
          <w:rFonts w:ascii="Calibri"/>
          <w:sz w:val="16"/>
        </w:rPr>
      </w:pPr>
    </w:p>
    <w:p>
      <w:pPr>
        <w:pStyle w:val="ListParagraph"/>
        <w:numPr>
          <w:ilvl w:val="0"/>
          <w:numId w:val="9"/>
        </w:numPr>
        <w:tabs>
          <w:tab w:pos="1110" w:val="left" w:leader="none"/>
        </w:tabs>
        <w:spacing w:line="240" w:lineRule="auto" w:before="0" w:after="0"/>
        <w:ind w:left="1109" w:right="0" w:hanging="530"/>
        <w:jc w:val="left"/>
        <w:rPr>
          <w:sz w:val="21"/>
        </w:rPr>
      </w:pPr>
      <w:r>
        <w:rPr>
          <w:spacing w:val="-3"/>
          <w:sz w:val="21"/>
        </w:rPr>
        <w:t>北京东四环投资理财中心</w:t>
      </w:r>
    </w:p>
    <w:p>
      <w:pPr>
        <w:pStyle w:val="BodyText"/>
        <w:spacing w:before="7"/>
        <w:rPr>
          <w:sz w:val="15"/>
        </w:rPr>
      </w:pPr>
    </w:p>
    <w:p>
      <w:pPr>
        <w:pStyle w:val="BodyText"/>
        <w:spacing w:line="417" w:lineRule="auto"/>
        <w:ind w:left="580" w:right="1281"/>
        <w:rPr>
          <w:rFonts w:ascii="Calibri" w:eastAsia="Calibri"/>
        </w:rPr>
      </w:pPr>
      <w:r>
        <w:rPr>
          <w:spacing w:val="-7"/>
        </w:rPr>
        <w:t>地址：北京市朝阳区八里庄西里 </w:t>
      </w:r>
      <w:r>
        <w:rPr>
          <w:rFonts w:ascii="Calibri" w:eastAsia="Calibri"/>
        </w:rPr>
        <w:t>100</w:t>
      </w:r>
      <w:r>
        <w:rPr>
          <w:rFonts w:ascii="Calibri" w:eastAsia="Calibri"/>
          <w:spacing w:val="10"/>
        </w:rPr>
        <w:t> </w:t>
      </w:r>
      <w:r>
        <w:rPr>
          <w:spacing w:val="-15"/>
        </w:rPr>
        <w:t>号住邦 </w:t>
      </w:r>
      <w:r>
        <w:rPr>
          <w:rFonts w:ascii="Calibri" w:eastAsia="Calibri"/>
        </w:rPr>
        <w:t>2000</w:t>
      </w:r>
      <w:r>
        <w:rPr>
          <w:rFonts w:ascii="Calibri" w:eastAsia="Calibri"/>
          <w:spacing w:val="10"/>
        </w:rPr>
        <w:t> </w:t>
      </w:r>
      <w:r>
        <w:rPr>
          <w:spacing w:val="-13"/>
        </w:rPr>
        <w:t>商务中心 </w:t>
      </w:r>
      <w:r>
        <w:rPr>
          <w:rFonts w:ascii="Calibri" w:eastAsia="Calibri"/>
        </w:rPr>
        <w:t>1</w:t>
      </w:r>
      <w:r>
        <w:rPr>
          <w:rFonts w:ascii="Calibri" w:eastAsia="Calibri"/>
          <w:spacing w:val="7"/>
        </w:rPr>
        <w:t> </w:t>
      </w:r>
      <w:r>
        <w:rPr>
          <w:spacing w:val="-3"/>
        </w:rPr>
        <w:t>号楼一层</w:t>
      </w:r>
      <w:r>
        <w:rPr/>
        <w:t>（</w:t>
      </w:r>
      <w:r>
        <w:rPr>
          <w:rFonts w:ascii="Calibri" w:eastAsia="Calibri"/>
        </w:rPr>
        <w:t>100025</w:t>
      </w:r>
      <w:r>
        <w:rPr/>
        <w:t>） 电话：</w:t>
      </w:r>
      <w:r>
        <w:rPr>
          <w:rFonts w:ascii="Calibri" w:eastAsia="Calibri"/>
        </w:rPr>
        <w:t>010-85869755</w:t>
      </w:r>
    </w:p>
    <w:p>
      <w:pPr>
        <w:pStyle w:val="BodyText"/>
        <w:spacing w:line="269" w:lineRule="exact"/>
        <w:ind w:left="580"/>
        <w:rPr>
          <w:rFonts w:ascii="Calibri" w:eastAsia="Calibri"/>
        </w:rPr>
      </w:pPr>
      <w:r>
        <w:rPr>
          <w:spacing w:val="-2"/>
        </w:rPr>
        <w:t>传真：</w:t>
      </w:r>
      <w:r>
        <w:rPr>
          <w:rFonts w:ascii="Calibri" w:eastAsia="Calibri"/>
          <w:spacing w:val="-1"/>
        </w:rPr>
        <w:t>010-85869575</w:t>
      </w:r>
    </w:p>
    <w:p>
      <w:pPr>
        <w:pStyle w:val="BodyText"/>
        <w:spacing w:before="4"/>
        <w:rPr>
          <w:rFonts w:ascii="Calibri"/>
          <w:sz w:val="16"/>
        </w:rPr>
      </w:pPr>
    </w:p>
    <w:p>
      <w:pPr>
        <w:pStyle w:val="ListParagraph"/>
        <w:numPr>
          <w:ilvl w:val="0"/>
          <w:numId w:val="9"/>
        </w:numPr>
        <w:tabs>
          <w:tab w:pos="1110" w:val="left" w:leader="none"/>
        </w:tabs>
        <w:spacing w:line="240" w:lineRule="auto" w:before="0" w:after="0"/>
        <w:ind w:left="1109" w:right="0" w:hanging="530"/>
        <w:jc w:val="left"/>
        <w:rPr>
          <w:sz w:val="21"/>
        </w:rPr>
      </w:pPr>
      <w:r>
        <w:rPr>
          <w:spacing w:val="-3"/>
          <w:sz w:val="21"/>
        </w:rPr>
        <w:t>北京望京投资理财中心</w:t>
      </w:r>
    </w:p>
    <w:p>
      <w:pPr>
        <w:pStyle w:val="BodyText"/>
        <w:spacing w:before="6"/>
        <w:rPr>
          <w:sz w:val="15"/>
        </w:rPr>
      </w:pPr>
    </w:p>
    <w:p>
      <w:pPr>
        <w:pStyle w:val="BodyText"/>
        <w:spacing w:line="417" w:lineRule="auto" w:before="1"/>
        <w:ind w:left="580" w:right="3130"/>
        <w:rPr>
          <w:rFonts w:ascii="Calibri" w:eastAsia="Calibri"/>
        </w:rPr>
      </w:pPr>
      <w:r>
        <w:rPr>
          <w:spacing w:val="-5"/>
        </w:rPr>
        <w:t>地址：北京市朝阳区望京宏泰东街绿地中国锦 </w:t>
      </w:r>
      <w:r>
        <w:rPr>
          <w:rFonts w:ascii="Calibri" w:eastAsia="Calibri"/>
        </w:rPr>
        <w:t>103</w:t>
      </w:r>
      <w:r>
        <w:rPr/>
        <w:t>（</w:t>
      </w:r>
      <w:r>
        <w:rPr>
          <w:rFonts w:ascii="Calibri" w:eastAsia="Calibri"/>
        </w:rPr>
        <w:t>100102</w:t>
      </w:r>
      <w:r>
        <w:rPr/>
        <w:t>） 电话：</w:t>
      </w:r>
      <w:r>
        <w:rPr>
          <w:rFonts w:ascii="Calibri" w:eastAsia="Calibri"/>
        </w:rPr>
        <w:t>010</w:t>
      </w:r>
      <w:r>
        <w:rPr>
          <w:rFonts w:ascii="Calibri" w:eastAsia="Calibri"/>
          <w:spacing w:val="-1"/>
        </w:rPr>
        <w:t>- </w:t>
      </w:r>
      <w:r>
        <w:rPr>
          <w:rFonts w:ascii="Calibri" w:eastAsia="Calibri"/>
        </w:rPr>
        <w:t>64709882</w:t>
      </w:r>
    </w:p>
    <w:p>
      <w:pPr>
        <w:pStyle w:val="BodyText"/>
        <w:ind w:left="580"/>
        <w:rPr>
          <w:rFonts w:ascii="Calibri" w:eastAsia="Calibri"/>
        </w:rPr>
      </w:pPr>
      <w:r>
        <w:rPr/>
        <w:t>传真：</w:t>
      </w:r>
      <w:r>
        <w:rPr>
          <w:rFonts w:ascii="Calibri" w:eastAsia="Calibri"/>
        </w:rPr>
        <w:t>010</w:t>
      </w:r>
      <w:r>
        <w:rPr>
          <w:rFonts w:ascii="Calibri" w:eastAsia="Calibri"/>
          <w:spacing w:val="-4"/>
        </w:rPr>
        <w:t>- </w:t>
      </w:r>
      <w:r>
        <w:rPr>
          <w:rFonts w:ascii="Calibri" w:eastAsia="Calibri"/>
        </w:rPr>
        <w:t>64702330</w:t>
      </w:r>
    </w:p>
    <w:p>
      <w:pPr>
        <w:spacing w:after="0"/>
        <w:rPr>
          <w:rFonts w:ascii="Calibri" w:eastAsia="Calibri"/>
        </w:rPr>
        <w:sectPr>
          <w:pgSz w:w="11910" w:h="16840"/>
          <w:pgMar w:header="877" w:footer="995" w:top="1420" w:bottom="1180" w:left="1640" w:right="920"/>
        </w:sectPr>
      </w:pPr>
    </w:p>
    <w:p>
      <w:pPr>
        <w:pStyle w:val="ListParagraph"/>
        <w:numPr>
          <w:ilvl w:val="0"/>
          <w:numId w:val="9"/>
        </w:numPr>
        <w:tabs>
          <w:tab w:pos="1110" w:val="left" w:leader="none"/>
        </w:tabs>
        <w:spacing w:line="240" w:lineRule="auto" w:before="110" w:after="0"/>
        <w:ind w:left="1109" w:right="0" w:hanging="530"/>
        <w:jc w:val="left"/>
        <w:rPr>
          <w:sz w:val="21"/>
        </w:rPr>
      </w:pPr>
      <w:r>
        <w:rPr>
          <w:spacing w:val="-3"/>
          <w:sz w:val="21"/>
        </w:rPr>
        <w:t>上海分公司</w:t>
      </w:r>
    </w:p>
    <w:p>
      <w:pPr>
        <w:pStyle w:val="BodyText"/>
        <w:spacing w:before="6"/>
        <w:rPr>
          <w:sz w:val="15"/>
        </w:rPr>
      </w:pPr>
    </w:p>
    <w:p>
      <w:pPr>
        <w:pStyle w:val="BodyText"/>
        <w:spacing w:line="417" w:lineRule="auto"/>
        <w:ind w:left="580" w:right="1807"/>
        <w:rPr>
          <w:rFonts w:ascii="Calibri" w:eastAsia="Calibri"/>
        </w:rPr>
      </w:pPr>
      <w:r>
        <w:rPr>
          <w:spacing w:val="-2"/>
        </w:rPr>
        <w:t>地址：中国</w:t>
      </w:r>
      <w:r>
        <w:rPr/>
        <w:t>（</w:t>
      </w:r>
      <w:r>
        <w:rPr>
          <w:spacing w:val="-2"/>
        </w:rPr>
        <w:t>上海</w:t>
      </w:r>
      <w:r>
        <w:rPr>
          <w:spacing w:val="-3"/>
        </w:rPr>
        <w:t>）</w:t>
      </w:r>
      <w:r>
        <w:rPr>
          <w:spacing w:val="-7"/>
        </w:rPr>
        <w:t>自由贸易试验区陆家嘴环路 </w:t>
      </w:r>
      <w:r>
        <w:rPr>
          <w:rFonts w:ascii="Calibri" w:eastAsia="Calibri"/>
        </w:rPr>
        <w:t>1318</w:t>
      </w:r>
      <w:r>
        <w:rPr>
          <w:rFonts w:ascii="Calibri" w:eastAsia="Calibri"/>
          <w:spacing w:val="10"/>
        </w:rPr>
        <w:t> </w:t>
      </w:r>
      <w:r>
        <w:rPr>
          <w:spacing w:val="-25"/>
        </w:rPr>
        <w:t>号 </w:t>
      </w:r>
      <w:r>
        <w:rPr>
          <w:rFonts w:ascii="Calibri" w:eastAsia="Calibri"/>
        </w:rPr>
        <w:t>1902</w:t>
      </w:r>
      <w:r>
        <w:rPr>
          <w:rFonts w:ascii="Calibri" w:eastAsia="Calibri"/>
          <w:spacing w:val="12"/>
        </w:rPr>
        <w:t> </w:t>
      </w:r>
      <w:r>
        <w:rPr>
          <w:spacing w:val="-3"/>
        </w:rPr>
        <w:t>室</w:t>
      </w:r>
      <w:r>
        <w:rPr/>
        <w:t>（</w:t>
      </w:r>
      <w:r>
        <w:rPr>
          <w:rFonts w:ascii="Calibri" w:eastAsia="Calibri"/>
        </w:rPr>
        <w:t>200120</w:t>
      </w:r>
      <w:r>
        <w:rPr/>
        <w:t>） 电话：</w:t>
      </w:r>
      <w:r>
        <w:rPr>
          <w:rFonts w:ascii="Calibri" w:eastAsia="Calibri"/>
        </w:rPr>
        <w:t>021-58771599</w:t>
      </w:r>
    </w:p>
    <w:p>
      <w:pPr>
        <w:pStyle w:val="BodyText"/>
        <w:spacing w:line="269" w:lineRule="exact"/>
        <w:ind w:left="580"/>
        <w:rPr>
          <w:rFonts w:ascii="Calibri" w:eastAsia="Calibri"/>
        </w:rPr>
      </w:pPr>
      <w:r>
        <w:rPr>
          <w:spacing w:val="-2"/>
        </w:rPr>
        <w:t>传真：</w:t>
      </w:r>
      <w:r>
        <w:rPr>
          <w:rFonts w:ascii="Calibri" w:eastAsia="Calibri"/>
          <w:spacing w:val="-1"/>
        </w:rPr>
        <w:t>021-58771998</w:t>
      </w:r>
    </w:p>
    <w:p>
      <w:pPr>
        <w:pStyle w:val="BodyText"/>
        <w:spacing w:before="4"/>
        <w:rPr>
          <w:rFonts w:ascii="Calibri"/>
          <w:sz w:val="16"/>
        </w:rPr>
      </w:pPr>
    </w:p>
    <w:p>
      <w:pPr>
        <w:pStyle w:val="ListParagraph"/>
        <w:numPr>
          <w:ilvl w:val="0"/>
          <w:numId w:val="9"/>
        </w:numPr>
        <w:tabs>
          <w:tab w:pos="1110" w:val="left" w:leader="none"/>
        </w:tabs>
        <w:spacing w:line="240" w:lineRule="auto" w:before="0" w:after="0"/>
        <w:ind w:left="1109" w:right="0" w:hanging="530"/>
        <w:jc w:val="left"/>
        <w:rPr>
          <w:sz w:val="21"/>
        </w:rPr>
      </w:pPr>
      <w:r>
        <w:rPr>
          <w:spacing w:val="-3"/>
          <w:sz w:val="21"/>
        </w:rPr>
        <w:t>深圳分公司</w:t>
      </w:r>
    </w:p>
    <w:p>
      <w:pPr>
        <w:pStyle w:val="BodyText"/>
        <w:spacing w:before="7"/>
        <w:rPr>
          <w:sz w:val="15"/>
        </w:rPr>
      </w:pPr>
    </w:p>
    <w:p>
      <w:pPr>
        <w:pStyle w:val="BodyText"/>
        <w:spacing w:line="417" w:lineRule="auto"/>
        <w:ind w:left="580" w:right="1281"/>
        <w:rPr>
          <w:rFonts w:ascii="Calibri" w:eastAsia="Calibri"/>
        </w:rPr>
      </w:pPr>
      <w:r>
        <w:rPr>
          <w:spacing w:val="-6"/>
        </w:rPr>
        <w:t>地址：深圳市福田区莲花街道益田路 </w:t>
      </w:r>
      <w:r>
        <w:rPr>
          <w:rFonts w:ascii="Calibri" w:eastAsia="Calibri"/>
        </w:rPr>
        <w:t>6001</w:t>
      </w:r>
      <w:r>
        <w:rPr>
          <w:rFonts w:ascii="Calibri" w:eastAsia="Calibri"/>
          <w:spacing w:val="8"/>
        </w:rPr>
        <w:t> </w:t>
      </w:r>
      <w:r>
        <w:rPr>
          <w:spacing w:val="-9"/>
        </w:rPr>
        <w:t>号太平金融大厦 </w:t>
      </w:r>
      <w:r>
        <w:rPr>
          <w:rFonts w:ascii="Calibri" w:eastAsia="Calibri"/>
        </w:rPr>
        <w:t>40</w:t>
      </w:r>
      <w:r>
        <w:rPr>
          <w:rFonts w:ascii="Calibri" w:eastAsia="Calibri"/>
          <w:spacing w:val="7"/>
        </w:rPr>
        <w:t> </w:t>
      </w:r>
      <w:r>
        <w:rPr>
          <w:spacing w:val="-25"/>
        </w:rPr>
        <w:t>层 </w:t>
      </w:r>
      <w:r>
        <w:rPr>
          <w:rFonts w:ascii="Calibri" w:eastAsia="Calibri"/>
        </w:rPr>
        <w:t>02</w:t>
      </w:r>
      <w:r>
        <w:rPr>
          <w:rFonts w:ascii="Calibri" w:eastAsia="Calibri"/>
          <w:spacing w:val="6"/>
        </w:rPr>
        <w:t> </w:t>
      </w:r>
      <w:r>
        <w:rPr/>
        <w:t>室（</w:t>
      </w:r>
      <w:r>
        <w:rPr>
          <w:rFonts w:ascii="Calibri" w:eastAsia="Calibri"/>
        </w:rPr>
        <w:t>518038</w:t>
      </w:r>
      <w:r>
        <w:rPr/>
        <w:t>） 电话：</w:t>
      </w:r>
      <w:r>
        <w:rPr>
          <w:rFonts w:ascii="Calibri" w:eastAsia="Calibri"/>
        </w:rPr>
        <w:t>0755-82033033</w:t>
      </w:r>
    </w:p>
    <w:p>
      <w:pPr>
        <w:pStyle w:val="BodyText"/>
        <w:ind w:left="580"/>
        <w:rPr>
          <w:rFonts w:ascii="Calibri" w:eastAsia="Calibri"/>
        </w:rPr>
      </w:pPr>
      <w:r>
        <w:rPr>
          <w:spacing w:val="-2"/>
        </w:rPr>
        <w:t>传真：</w:t>
      </w:r>
      <w:r>
        <w:rPr>
          <w:rFonts w:ascii="Calibri" w:eastAsia="Calibri"/>
          <w:spacing w:val="-1"/>
        </w:rPr>
        <w:t>0755-82031949</w:t>
      </w:r>
    </w:p>
    <w:p>
      <w:pPr>
        <w:pStyle w:val="BodyText"/>
        <w:spacing w:before="4"/>
        <w:rPr>
          <w:rFonts w:ascii="Calibri"/>
          <w:sz w:val="16"/>
        </w:rPr>
      </w:pPr>
    </w:p>
    <w:p>
      <w:pPr>
        <w:pStyle w:val="ListParagraph"/>
        <w:numPr>
          <w:ilvl w:val="0"/>
          <w:numId w:val="9"/>
        </w:numPr>
        <w:tabs>
          <w:tab w:pos="1110" w:val="left" w:leader="none"/>
        </w:tabs>
        <w:spacing w:line="240" w:lineRule="auto" w:before="0" w:after="0"/>
        <w:ind w:left="1109" w:right="0" w:hanging="530"/>
        <w:jc w:val="left"/>
        <w:rPr>
          <w:sz w:val="21"/>
        </w:rPr>
      </w:pPr>
      <w:r>
        <w:rPr>
          <w:spacing w:val="-3"/>
          <w:sz w:val="21"/>
        </w:rPr>
        <w:t>南京分公司</w:t>
      </w:r>
    </w:p>
    <w:p>
      <w:pPr>
        <w:pStyle w:val="BodyText"/>
        <w:spacing w:before="6"/>
        <w:rPr>
          <w:sz w:val="15"/>
        </w:rPr>
      </w:pPr>
    </w:p>
    <w:p>
      <w:pPr>
        <w:pStyle w:val="BodyText"/>
        <w:spacing w:line="417" w:lineRule="auto"/>
        <w:ind w:left="580" w:right="1913"/>
        <w:rPr>
          <w:rFonts w:ascii="Calibri" w:eastAsia="Calibri"/>
        </w:rPr>
      </w:pPr>
      <w:r>
        <w:rPr>
          <w:spacing w:val="-7"/>
        </w:rPr>
        <w:t>地址：南京市鼓楼区汉中路 </w:t>
      </w:r>
      <w:r>
        <w:rPr>
          <w:rFonts w:ascii="Calibri" w:eastAsia="Calibri"/>
        </w:rPr>
        <w:t>2</w:t>
      </w:r>
      <w:r>
        <w:rPr>
          <w:rFonts w:ascii="Calibri" w:eastAsia="Calibri"/>
          <w:spacing w:val="6"/>
        </w:rPr>
        <w:t> </w:t>
      </w:r>
      <w:r>
        <w:rPr>
          <w:spacing w:val="-8"/>
        </w:rPr>
        <w:t>号金陵饭店亚太商务楼 </w:t>
      </w:r>
      <w:r>
        <w:rPr>
          <w:rFonts w:ascii="Calibri" w:eastAsia="Calibri"/>
        </w:rPr>
        <w:t>30</w:t>
      </w:r>
      <w:r>
        <w:rPr>
          <w:rFonts w:ascii="Calibri" w:eastAsia="Calibri"/>
          <w:spacing w:val="7"/>
        </w:rPr>
        <w:t> </w:t>
      </w:r>
      <w:r>
        <w:rPr>
          <w:spacing w:val="-25"/>
        </w:rPr>
        <w:t>层 </w:t>
      </w:r>
      <w:r>
        <w:rPr>
          <w:rFonts w:ascii="Calibri" w:eastAsia="Calibri"/>
        </w:rPr>
        <w:t>B</w:t>
      </w:r>
      <w:r>
        <w:rPr>
          <w:rFonts w:ascii="Calibri" w:eastAsia="Calibri"/>
          <w:spacing w:val="7"/>
        </w:rPr>
        <w:t> </w:t>
      </w:r>
      <w:r>
        <w:rPr/>
        <w:t>区（</w:t>
      </w:r>
      <w:r>
        <w:rPr>
          <w:rFonts w:ascii="Calibri" w:eastAsia="Calibri"/>
        </w:rPr>
        <w:t>210005</w:t>
      </w:r>
      <w:r>
        <w:rPr/>
        <w:t>） 电话：</w:t>
      </w:r>
      <w:r>
        <w:rPr>
          <w:rFonts w:ascii="Calibri" w:eastAsia="Calibri"/>
        </w:rPr>
        <w:t>025-84733916</w:t>
      </w:r>
    </w:p>
    <w:p>
      <w:pPr>
        <w:pStyle w:val="BodyText"/>
        <w:spacing w:line="269" w:lineRule="exact"/>
        <w:ind w:left="580"/>
        <w:rPr>
          <w:rFonts w:ascii="Calibri" w:eastAsia="Calibri"/>
        </w:rPr>
      </w:pPr>
      <w:r>
        <w:rPr>
          <w:spacing w:val="-2"/>
        </w:rPr>
        <w:t>传真：</w:t>
      </w:r>
      <w:r>
        <w:rPr>
          <w:rFonts w:ascii="Calibri" w:eastAsia="Calibri"/>
          <w:spacing w:val="-1"/>
        </w:rPr>
        <w:t>025-84733928</w:t>
      </w:r>
    </w:p>
    <w:p>
      <w:pPr>
        <w:pStyle w:val="BodyText"/>
        <w:spacing w:before="4"/>
        <w:rPr>
          <w:rFonts w:ascii="Calibri"/>
          <w:sz w:val="16"/>
        </w:rPr>
      </w:pPr>
    </w:p>
    <w:p>
      <w:pPr>
        <w:pStyle w:val="ListParagraph"/>
        <w:numPr>
          <w:ilvl w:val="0"/>
          <w:numId w:val="9"/>
        </w:numPr>
        <w:tabs>
          <w:tab w:pos="1110" w:val="left" w:leader="none"/>
        </w:tabs>
        <w:spacing w:line="240" w:lineRule="auto" w:before="0" w:after="0"/>
        <w:ind w:left="1109" w:right="0" w:hanging="530"/>
        <w:jc w:val="left"/>
        <w:rPr>
          <w:sz w:val="21"/>
        </w:rPr>
      </w:pPr>
      <w:r>
        <w:rPr>
          <w:spacing w:val="-3"/>
          <w:sz w:val="21"/>
        </w:rPr>
        <w:t>杭州分公司</w:t>
      </w:r>
    </w:p>
    <w:p>
      <w:pPr>
        <w:pStyle w:val="BodyText"/>
        <w:spacing w:before="7"/>
        <w:rPr>
          <w:sz w:val="15"/>
        </w:rPr>
      </w:pPr>
    </w:p>
    <w:p>
      <w:pPr>
        <w:pStyle w:val="BodyText"/>
        <w:spacing w:line="417" w:lineRule="auto"/>
        <w:ind w:left="580" w:right="770"/>
        <w:rPr>
          <w:rFonts w:ascii="Calibri" w:eastAsia="Calibri"/>
        </w:rPr>
      </w:pPr>
      <w:r>
        <w:rPr>
          <w:spacing w:val="-6"/>
        </w:rPr>
        <w:t>地址：浙江省杭州市西湖区杭大路 </w:t>
      </w:r>
      <w:r>
        <w:rPr>
          <w:rFonts w:ascii="Calibri" w:eastAsia="Calibri"/>
        </w:rPr>
        <w:t>1</w:t>
      </w:r>
      <w:r>
        <w:rPr>
          <w:rFonts w:ascii="Calibri" w:eastAsia="Calibri"/>
          <w:spacing w:val="13"/>
        </w:rPr>
        <w:t> </w:t>
      </w:r>
      <w:r>
        <w:rPr>
          <w:spacing w:val="-9"/>
        </w:rPr>
        <w:t>号黄龙世纪广场 </w:t>
      </w:r>
      <w:r>
        <w:rPr>
          <w:rFonts w:ascii="Calibri" w:eastAsia="Calibri"/>
        </w:rPr>
        <w:t>B</w:t>
      </w:r>
      <w:r>
        <w:rPr>
          <w:rFonts w:ascii="Calibri" w:eastAsia="Calibri"/>
          <w:spacing w:val="10"/>
        </w:rPr>
        <w:t> </w:t>
      </w:r>
      <w:r>
        <w:rPr>
          <w:spacing w:val="-24"/>
        </w:rPr>
        <w:t>区 </w:t>
      </w:r>
      <w:r>
        <w:rPr>
          <w:rFonts w:ascii="Calibri" w:eastAsia="Calibri"/>
        </w:rPr>
        <w:t>4</w:t>
      </w:r>
      <w:r>
        <w:rPr>
          <w:rFonts w:ascii="Calibri" w:eastAsia="Calibri"/>
          <w:spacing w:val="13"/>
        </w:rPr>
        <w:t> </w:t>
      </w:r>
      <w:r>
        <w:rPr>
          <w:spacing w:val="50"/>
        </w:rPr>
        <w:t>层</w:t>
      </w:r>
      <w:r>
        <w:rPr>
          <w:rFonts w:ascii="Calibri" w:eastAsia="Calibri"/>
        </w:rPr>
        <w:t>G05</w:t>
      </w:r>
      <w:r>
        <w:rPr/>
        <w:t>、</w:t>
      </w:r>
      <w:r>
        <w:rPr>
          <w:rFonts w:ascii="Calibri" w:eastAsia="Calibri"/>
        </w:rPr>
        <w:t>G06</w:t>
      </w:r>
      <w:r>
        <w:rPr>
          <w:rFonts w:ascii="Calibri" w:eastAsia="Calibri"/>
          <w:spacing w:val="17"/>
        </w:rPr>
        <w:t> </w:t>
      </w:r>
      <w:r>
        <w:rPr/>
        <w:t>室（</w:t>
      </w:r>
      <w:r>
        <w:rPr>
          <w:rFonts w:ascii="Calibri" w:eastAsia="Calibri"/>
        </w:rPr>
        <w:t>310007</w:t>
      </w:r>
      <w:r>
        <w:rPr/>
        <w:t>） 电话：</w:t>
      </w:r>
      <w:r>
        <w:rPr>
          <w:rFonts w:ascii="Calibri" w:eastAsia="Calibri"/>
        </w:rPr>
        <w:t>0571-89716606</w:t>
      </w:r>
    </w:p>
    <w:p>
      <w:pPr>
        <w:pStyle w:val="BodyText"/>
        <w:ind w:left="580"/>
        <w:rPr>
          <w:rFonts w:ascii="Calibri" w:eastAsia="Calibri"/>
        </w:rPr>
      </w:pPr>
      <w:r>
        <w:rPr>
          <w:spacing w:val="-2"/>
        </w:rPr>
        <w:t>传真：</w:t>
      </w:r>
      <w:r>
        <w:rPr>
          <w:rFonts w:ascii="Calibri" w:eastAsia="Calibri"/>
          <w:spacing w:val="-1"/>
        </w:rPr>
        <w:t>0571-89716611</w:t>
      </w:r>
    </w:p>
    <w:p>
      <w:pPr>
        <w:pStyle w:val="BodyText"/>
        <w:spacing w:before="3"/>
        <w:rPr>
          <w:rFonts w:ascii="Calibri"/>
          <w:sz w:val="16"/>
        </w:rPr>
      </w:pPr>
    </w:p>
    <w:p>
      <w:pPr>
        <w:pStyle w:val="ListParagraph"/>
        <w:numPr>
          <w:ilvl w:val="0"/>
          <w:numId w:val="9"/>
        </w:numPr>
        <w:tabs>
          <w:tab w:pos="1218" w:val="left" w:leader="none"/>
        </w:tabs>
        <w:spacing w:line="240" w:lineRule="auto" w:before="1" w:after="0"/>
        <w:ind w:left="1217" w:right="0" w:hanging="638"/>
        <w:jc w:val="left"/>
        <w:rPr>
          <w:sz w:val="21"/>
        </w:rPr>
      </w:pPr>
      <w:r>
        <w:rPr>
          <w:spacing w:val="-3"/>
          <w:sz w:val="21"/>
        </w:rPr>
        <w:t>广州分公司</w:t>
      </w:r>
    </w:p>
    <w:p>
      <w:pPr>
        <w:pStyle w:val="BodyText"/>
        <w:spacing w:before="6"/>
        <w:rPr>
          <w:sz w:val="15"/>
        </w:rPr>
      </w:pPr>
    </w:p>
    <w:p>
      <w:pPr>
        <w:pStyle w:val="BodyText"/>
        <w:spacing w:line="417" w:lineRule="auto"/>
        <w:ind w:left="580" w:right="1077"/>
        <w:rPr>
          <w:rFonts w:ascii="Calibri" w:eastAsia="Calibri"/>
        </w:rPr>
      </w:pPr>
      <w:r>
        <w:rPr>
          <w:spacing w:val="-7"/>
        </w:rPr>
        <w:t>地址：广州市天河区珠江西路 </w:t>
      </w:r>
      <w:r>
        <w:rPr>
          <w:rFonts w:ascii="Calibri" w:eastAsia="Calibri"/>
        </w:rPr>
        <w:t>5</w:t>
      </w:r>
      <w:r>
        <w:rPr>
          <w:rFonts w:ascii="Calibri" w:eastAsia="Calibri"/>
          <w:spacing w:val="13"/>
        </w:rPr>
        <w:t> </w:t>
      </w:r>
      <w:r>
        <w:rPr>
          <w:spacing w:val="-6"/>
        </w:rPr>
        <w:t>号广州国际金融中心主塔写字楼 </w:t>
      </w:r>
      <w:r>
        <w:rPr>
          <w:rFonts w:ascii="Calibri" w:eastAsia="Calibri"/>
        </w:rPr>
        <w:t>5305</w:t>
      </w:r>
      <w:r>
        <w:rPr>
          <w:rFonts w:ascii="Calibri" w:eastAsia="Calibri"/>
          <w:spacing w:val="13"/>
        </w:rPr>
        <w:t> </w:t>
      </w:r>
      <w:r>
        <w:rPr>
          <w:spacing w:val="-3"/>
        </w:rPr>
        <w:t>房</w:t>
      </w:r>
      <w:r>
        <w:rPr/>
        <w:t>（</w:t>
      </w:r>
      <w:r>
        <w:rPr>
          <w:rFonts w:ascii="Calibri" w:eastAsia="Calibri"/>
        </w:rPr>
        <w:t>510623</w:t>
      </w:r>
      <w:r>
        <w:rPr/>
        <w:t>） 电话：</w:t>
      </w:r>
      <w:r>
        <w:rPr>
          <w:rFonts w:ascii="Calibri" w:eastAsia="Calibri"/>
        </w:rPr>
        <w:t>020-38461058</w:t>
      </w:r>
    </w:p>
    <w:p>
      <w:pPr>
        <w:pStyle w:val="BodyText"/>
        <w:spacing w:line="269" w:lineRule="exact"/>
        <w:ind w:left="580"/>
        <w:rPr>
          <w:rFonts w:ascii="Calibri" w:eastAsia="Calibri"/>
        </w:rPr>
      </w:pPr>
      <w:r>
        <w:rPr>
          <w:spacing w:val="-2"/>
        </w:rPr>
        <w:t>传真：</w:t>
      </w:r>
      <w:r>
        <w:rPr>
          <w:rFonts w:ascii="Calibri" w:eastAsia="Calibri"/>
          <w:spacing w:val="-1"/>
        </w:rPr>
        <w:t>020-38067182</w:t>
      </w:r>
    </w:p>
    <w:p>
      <w:pPr>
        <w:pStyle w:val="BodyText"/>
        <w:spacing w:before="4"/>
        <w:rPr>
          <w:rFonts w:ascii="Calibri"/>
          <w:sz w:val="16"/>
        </w:rPr>
      </w:pPr>
    </w:p>
    <w:p>
      <w:pPr>
        <w:pStyle w:val="ListParagraph"/>
        <w:numPr>
          <w:ilvl w:val="0"/>
          <w:numId w:val="9"/>
        </w:numPr>
        <w:tabs>
          <w:tab w:pos="1218" w:val="left" w:leader="none"/>
        </w:tabs>
        <w:spacing w:line="240" w:lineRule="auto" w:before="0" w:after="0"/>
        <w:ind w:left="1217" w:right="0" w:hanging="638"/>
        <w:jc w:val="left"/>
        <w:rPr>
          <w:sz w:val="21"/>
        </w:rPr>
      </w:pPr>
      <w:r>
        <w:rPr>
          <w:spacing w:val="-3"/>
          <w:sz w:val="21"/>
        </w:rPr>
        <w:t>广州天河投资理财中心</w:t>
      </w:r>
    </w:p>
    <w:p>
      <w:pPr>
        <w:pStyle w:val="BodyText"/>
        <w:spacing w:before="7"/>
        <w:rPr>
          <w:sz w:val="15"/>
        </w:rPr>
      </w:pPr>
    </w:p>
    <w:p>
      <w:pPr>
        <w:pStyle w:val="BodyText"/>
        <w:spacing w:line="417" w:lineRule="auto"/>
        <w:ind w:left="580" w:right="3809"/>
        <w:rPr>
          <w:rFonts w:ascii="Calibri" w:eastAsia="Calibri"/>
        </w:rPr>
      </w:pPr>
      <w:r>
        <w:rPr>
          <w:spacing w:val="-7"/>
        </w:rPr>
        <w:t>地址：广州市天河区珠江西路 </w:t>
      </w:r>
      <w:r>
        <w:rPr>
          <w:rFonts w:ascii="Calibri" w:eastAsia="Calibri"/>
        </w:rPr>
        <w:t>5</w:t>
      </w:r>
      <w:r>
        <w:rPr>
          <w:rFonts w:ascii="Calibri" w:eastAsia="Calibri"/>
          <w:spacing w:val="10"/>
        </w:rPr>
        <w:t> </w:t>
      </w:r>
      <w:r>
        <w:rPr>
          <w:spacing w:val="-26"/>
        </w:rPr>
        <w:t>号 </w:t>
      </w:r>
      <w:r>
        <w:rPr>
          <w:rFonts w:ascii="Calibri" w:eastAsia="Calibri"/>
        </w:rPr>
        <w:t>5306</w:t>
      </w:r>
      <w:r>
        <w:rPr>
          <w:rFonts w:ascii="Calibri" w:eastAsia="Calibri"/>
          <w:spacing w:val="7"/>
        </w:rPr>
        <w:t> </w:t>
      </w:r>
      <w:r>
        <w:rPr/>
        <w:t>房（</w:t>
      </w:r>
      <w:r>
        <w:rPr>
          <w:rFonts w:ascii="Calibri" w:eastAsia="Calibri"/>
        </w:rPr>
        <w:t>510623</w:t>
      </w:r>
      <w:r>
        <w:rPr/>
        <w:t>） 电话：</w:t>
      </w:r>
      <w:r>
        <w:rPr>
          <w:rFonts w:ascii="Calibri" w:eastAsia="Calibri"/>
        </w:rPr>
        <w:t>020-38460001</w:t>
      </w:r>
    </w:p>
    <w:p>
      <w:pPr>
        <w:pStyle w:val="BodyText"/>
        <w:spacing w:line="269" w:lineRule="exact"/>
        <w:ind w:left="580"/>
        <w:rPr>
          <w:rFonts w:ascii="Calibri" w:eastAsia="Calibri"/>
        </w:rPr>
      </w:pPr>
      <w:r>
        <w:rPr>
          <w:spacing w:val="-2"/>
        </w:rPr>
        <w:t>传真：</w:t>
      </w:r>
      <w:r>
        <w:rPr>
          <w:rFonts w:ascii="Calibri" w:eastAsia="Calibri"/>
          <w:spacing w:val="-1"/>
        </w:rPr>
        <w:t>020-38067182</w:t>
      </w:r>
    </w:p>
    <w:p>
      <w:pPr>
        <w:pStyle w:val="BodyText"/>
        <w:spacing w:before="4"/>
        <w:rPr>
          <w:rFonts w:ascii="Calibri"/>
          <w:sz w:val="16"/>
        </w:rPr>
      </w:pPr>
    </w:p>
    <w:p>
      <w:pPr>
        <w:pStyle w:val="ListParagraph"/>
        <w:numPr>
          <w:ilvl w:val="0"/>
          <w:numId w:val="9"/>
        </w:numPr>
        <w:tabs>
          <w:tab w:pos="1218" w:val="left" w:leader="none"/>
        </w:tabs>
        <w:spacing w:line="240" w:lineRule="auto" w:before="0" w:after="0"/>
        <w:ind w:left="1217" w:right="0" w:hanging="638"/>
        <w:jc w:val="left"/>
        <w:rPr>
          <w:sz w:val="21"/>
        </w:rPr>
      </w:pPr>
      <w:r>
        <w:rPr>
          <w:spacing w:val="-3"/>
          <w:sz w:val="21"/>
        </w:rPr>
        <w:t>成都分公司</w:t>
      </w:r>
    </w:p>
    <w:p>
      <w:pPr>
        <w:pStyle w:val="BodyText"/>
        <w:spacing w:before="6"/>
        <w:rPr>
          <w:sz w:val="15"/>
        </w:rPr>
      </w:pPr>
    </w:p>
    <w:p>
      <w:pPr>
        <w:pStyle w:val="BodyText"/>
        <w:spacing w:before="1"/>
        <w:ind w:left="580"/>
      </w:pPr>
      <w:r>
        <w:rPr/>
        <w:t>地址：成都市高新区交子大道 </w:t>
      </w:r>
      <w:r>
        <w:rPr>
          <w:rFonts w:ascii="Calibri" w:eastAsia="Calibri"/>
        </w:rPr>
        <w:t>177 </w:t>
      </w:r>
      <w:r>
        <w:rPr/>
        <w:t>号中海国际中心 </w:t>
      </w:r>
      <w:r>
        <w:rPr>
          <w:rFonts w:ascii="Calibri" w:eastAsia="Calibri"/>
        </w:rPr>
        <w:t>B </w:t>
      </w:r>
      <w:r>
        <w:rPr/>
        <w:t>座 </w:t>
      </w:r>
      <w:r>
        <w:rPr>
          <w:rFonts w:ascii="Calibri" w:eastAsia="Calibri"/>
        </w:rPr>
        <w:t>1 </w:t>
      </w:r>
      <w:r>
        <w:rPr/>
        <w:t>栋 </w:t>
      </w:r>
      <w:r>
        <w:rPr>
          <w:rFonts w:ascii="Calibri" w:eastAsia="Calibri"/>
        </w:rPr>
        <w:t>1 </w:t>
      </w:r>
      <w:r>
        <w:rPr/>
        <w:t>单元 </w:t>
      </w:r>
      <w:r>
        <w:rPr>
          <w:rFonts w:ascii="Calibri" w:eastAsia="Calibri"/>
        </w:rPr>
        <w:t>14 </w:t>
      </w:r>
      <w:r>
        <w:rPr/>
        <w:t>层 </w:t>
      </w:r>
      <w:r>
        <w:rPr>
          <w:rFonts w:ascii="Calibri" w:eastAsia="Calibri"/>
        </w:rPr>
        <w:t>1406-1407 </w:t>
      </w:r>
      <w:r>
        <w:rPr/>
        <w:t>号</w:t>
      </w:r>
    </w:p>
    <w:p>
      <w:pPr>
        <w:pStyle w:val="BodyText"/>
        <w:spacing w:before="6"/>
        <w:rPr>
          <w:sz w:val="15"/>
        </w:rPr>
      </w:pPr>
    </w:p>
    <w:p>
      <w:pPr>
        <w:pStyle w:val="BodyText"/>
        <w:ind w:left="160"/>
      </w:pPr>
      <w:r>
        <w:rPr/>
        <w:t>（</w:t>
      </w:r>
      <w:r>
        <w:rPr>
          <w:rFonts w:ascii="Calibri" w:eastAsia="Calibri"/>
        </w:rPr>
        <w:t>610000</w:t>
      </w:r>
      <w:r>
        <w:rPr/>
        <w:t>）</w:t>
      </w:r>
    </w:p>
    <w:p>
      <w:pPr>
        <w:pStyle w:val="BodyText"/>
        <w:spacing w:before="7"/>
        <w:rPr>
          <w:sz w:val="15"/>
        </w:rPr>
      </w:pPr>
    </w:p>
    <w:p>
      <w:pPr>
        <w:pStyle w:val="BodyText"/>
        <w:spacing w:line="417" w:lineRule="auto"/>
        <w:ind w:left="580" w:right="6898"/>
        <w:rPr>
          <w:rFonts w:ascii="Calibri" w:eastAsia="Calibri"/>
        </w:rPr>
      </w:pPr>
      <w:r>
        <w:rPr/>
        <w:t>电话：</w:t>
      </w:r>
      <w:r>
        <w:rPr>
          <w:rFonts w:ascii="Calibri" w:eastAsia="Calibri"/>
        </w:rPr>
        <w:t>028-65730073 </w:t>
      </w:r>
      <w:r>
        <w:rPr/>
        <w:t>传真：</w:t>
      </w:r>
      <w:r>
        <w:rPr>
          <w:rFonts w:ascii="Calibri" w:eastAsia="Calibri"/>
        </w:rPr>
        <w:t>028-86725411</w:t>
      </w:r>
    </w:p>
    <w:p>
      <w:pPr>
        <w:pStyle w:val="ListParagraph"/>
        <w:numPr>
          <w:ilvl w:val="0"/>
          <w:numId w:val="9"/>
        </w:numPr>
        <w:tabs>
          <w:tab w:pos="1218" w:val="left" w:leader="none"/>
        </w:tabs>
        <w:spacing w:line="240" w:lineRule="auto" w:before="0" w:after="0"/>
        <w:ind w:left="1217" w:right="0" w:hanging="638"/>
        <w:jc w:val="left"/>
        <w:rPr>
          <w:sz w:val="21"/>
        </w:rPr>
      </w:pPr>
      <w:r>
        <w:rPr>
          <w:spacing w:val="-2"/>
          <w:sz w:val="21"/>
        </w:rPr>
        <w:t>电子交易</w:t>
      </w:r>
    </w:p>
    <w:p>
      <w:pPr>
        <w:spacing w:after="0" w:line="240" w:lineRule="auto"/>
        <w:jc w:val="left"/>
        <w:rPr>
          <w:sz w:val="21"/>
        </w:rPr>
        <w:sectPr>
          <w:pgSz w:w="11910" w:h="16840"/>
          <w:pgMar w:header="877" w:footer="995" w:top="1420" w:bottom="1180" w:left="1640" w:right="920"/>
        </w:sectPr>
      </w:pPr>
    </w:p>
    <w:p>
      <w:pPr>
        <w:pStyle w:val="BodyText"/>
        <w:spacing w:line="417" w:lineRule="auto" w:before="110"/>
        <w:ind w:left="160" w:right="871" w:firstLine="419"/>
        <w:jc w:val="both"/>
      </w:pPr>
      <w:r>
        <w:rPr>
          <w:spacing w:val="-9"/>
        </w:rPr>
        <w:t>本公司电子交易包括网上交易、移动客户端交易等。投资者可以通过本公司网上交易系</w:t>
      </w:r>
      <w:r>
        <w:rPr>
          <w:spacing w:val="-11"/>
        </w:rPr>
        <w:t>统或移动客户端办理基金的申购、赎回等业务，具体业务办理情况及业务规则请登录本公司</w:t>
      </w:r>
      <w:r>
        <w:rPr>
          <w:spacing w:val="-6"/>
        </w:rPr>
        <w:t>网站查询。本公司网址：</w:t>
      </w:r>
      <w:hyperlink r:id="rId13">
        <w:r>
          <w:rPr>
            <w:rFonts w:ascii="Calibri" w:eastAsia="Calibri"/>
          </w:rPr>
          <w:t>www.ChinaAMC.com</w:t>
        </w:r>
      </w:hyperlink>
      <w:r>
        <w:rPr/>
        <w:t>。</w:t>
      </w:r>
    </w:p>
    <w:p>
      <w:pPr>
        <w:pStyle w:val="BodyText"/>
        <w:spacing w:line="269" w:lineRule="exact"/>
        <w:ind w:left="580"/>
      </w:pPr>
      <w:r>
        <w:rPr>
          <w:rFonts w:ascii="Calibri" w:eastAsia="Calibri"/>
        </w:rPr>
        <w:t>2</w:t>
      </w:r>
      <w:r>
        <w:rPr/>
        <w:t>、代销机构</w:t>
      </w:r>
    </w:p>
    <w:p>
      <w:pPr>
        <w:pStyle w:val="BodyText"/>
        <w:spacing w:before="6"/>
        <w:rPr>
          <w:sz w:val="15"/>
        </w:rPr>
      </w:pPr>
    </w:p>
    <w:p>
      <w:pPr>
        <w:pStyle w:val="BodyText"/>
        <w:spacing w:line="417" w:lineRule="auto"/>
        <w:ind w:left="160" w:right="871" w:firstLine="419"/>
      </w:pPr>
      <w:r>
        <w:rPr>
          <w:spacing w:val="-24"/>
          <w:w w:val="100"/>
        </w:rPr>
        <w:t>本基金代销机构的名称、住所等信息请详见本招募说明书“五、相关服务机构”中“</w:t>
      </w:r>
      <w:r>
        <w:rPr>
          <w:spacing w:val="-3"/>
          <w:w w:val="100"/>
        </w:rPr>
        <w:t>（</w:t>
      </w:r>
      <w:r>
        <w:rPr>
          <w:w w:val="100"/>
        </w:rPr>
        <w:t>一）</w:t>
      </w:r>
      <w:r>
        <w:rPr>
          <w:spacing w:val="-3"/>
        </w:rPr>
        <w:t>销售机构”的相关描述。</w:t>
      </w:r>
    </w:p>
    <w:p>
      <w:pPr>
        <w:pStyle w:val="BodyText"/>
        <w:spacing w:line="417" w:lineRule="auto"/>
        <w:ind w:left="160" w:right="871" w:firstLine="419"/>
      </w:pPr>
      <w:r>
        <w:rPr>
          <w:spacing w:val="-7"/>
        </w:rPr>
        <w:t>基金管理人可根据情况变更或增减申购赎回代理机构，并在管理人网站公示。销售机构</w:t>
      </w:r>
      <w:r>
        <w:rPr>
          <w:spacing w:val="-5"/>
        </w:rPr>
        <w:t>可以根据情况增加或者减少其销售城市、网点。</w:t>
      </w:r>
    </w:p>
    <w:p>
      <w:pPr>
        <w:pStyle w:val="BodyText"/>
        <w:ind w:left="580"/>
      </w:pPr>
      <w:r>
        <w:rPr/>
        <w:t>（二）申购和赎回的开放日及时间</w:t>
      </w:r>
    </w:p>
    <w:p>
      <w:pPr>
        <w:pStyle w:val="BodyText"/>
        <w:spacing w:before="7"/>
        <w:rPr>
          <w:sz w:val="15"/>
        </w:rPr>
      </w:pPr>
    </w:p>
    <w:p>
      <w:pPr>
        <w:pStyle w:val="BodyText"/>
        <w:ind w:left="580"/>
      </w:pPr>
      <w:r>
        <w:rPr>
          <w:rFonts w:ascii="Calibri" w:eastAsia="Calibri"/>
        </w:rPr>
        <w:t>1</w:t>
      </w:r>
      <w:r>
        <w:rPr/>
        <w:t>、开放日及开放时间</w:t>
      </w:r>
    </w:p>
    <w:p>
      <w:pPr>
        <w:pStyle w:val="BodyText"/>
        <w:spacing w:before="7"/>
        <w:rPr>
          <w:sz w:val="15"/>
        </w:rPr>
      </w:pPr>
    </w:p>
    <w:p>
      <w:pPr>
        <w:pStyle w:val="BodyText"/>
        <w:spacing w:line="417" w:lineRule="auto"/>
        <w:ind w:left="160" w:right="871" w:firstLine="419"/>
        <w:jc w:val="both"/>
      </w:pPr>
      <w:r>
        <w:rPr>
          <w:spacing w:val="-8"/>
        </w:rPr>
        <w:t>投资人在开放日办理基金份额的申购和赎回，具体办理时间为上海证券交易所、深圳证</w:t>
      </w:r>
      <w:r>
        <w:rPr>
          <w:spacing w:val="-10"/>
        </w:rPr>
        <w:t>券交易所的正常交易日的交易时间，但基金管理人根据法律法规、中国证监会的要求或基金</w:t>
      </w:r>
      <w:r>
        <w:rPr>
          <w:spacing w:val="-5"/>
        </w:rPr>
        <w:t>合同的规定公告暂停申购、赎回时除外。</w:t>
      </w:r>
    </w:p>
    <w:p>
      <w:pPr>
        <w:pStyle w:val="BodyText"/>
        <w:spacing w:line="417" w:lineRule="auto"/>
        <w:ind w:left="160" w:right="765" w:firstLine="419"/>
      </w:pPr>
      <w:r>
        <w:rPr>
          <w:spacing w:val="-17"/>
        </w:rPr>
        <w:t>基金合同生效后，若出现新的证券交易市场、证券交易所交易时间变更或其他特殊情况， </w:t>
      </w:r>
      <w:r>
        <w:rPr>
          <w:spacing w:val="-11"/>
        </w:rPr>
        <w:t>基金管理人将视情况对前述开放日及开放时间进行相应的调整，但应在实施日前依照《信息</w:t>
      </w:r>
      <w:r>
        <w:rPr>
          <w:spacing w:val="-6"/>
        </w:rPr>
        <w:t>披露办法》的有关规定在指定媒介上公告。</w:t>
      </w:r>
    </w:p>
    <w:p>
      <w:pPr>
        <w:pStyle w:val="BodyText"/>
        <w:ind w:left="580"/>
      </w:pPr>
      <w:r>
        <w:rPr>
          <w:rFonts w:ascii="Calibri" w:eastAsia="Calibri"/>
        </w:rPr>
        <w:t>2</w:t>
      </w:r>
      <w:r>
        <w:rPr/>
        <w:t>、申购、赎回开始日及业务办理时间</w:t>
      </w:r>
    </w:p>
    <w:p>
      <w:pPr>
        <w:pStyle w:val="BodyText"/>
        <w:spacing w:before="6"/>
        <w:rPr>
          <w:sz w:val="15"/>
        </w:rPr>
      </w:pPr>
    </w:p>
    <w:p>
      <w:pPr>
        <w:pStyle w:val="BodyText"/>
        <w:spacing w:line="417" w:lineRule="auto"/>
        <w:ind w:left="580" w:right="768"/>
      </w:pPr>
      <w:r>
        <w:rPr>
          <w:spacing w:val="-10"/>
        </w:rPr>
        <w:t>本基金已自 </w:t>
      </w:r>
      <w:r>
        <w:rPr>
          <w:rFonts w:ascii="Calibri" w:eastAsia="Calibri"/>
        </w:rPr>
        <w:t>2019 </w:t>
      </w:r>
      <w:r>
        <w:rPr>
          <w:spacing w:val="-24"/>
        </w:rPr>
        <w:t>年 </w:t>
      </w:r>
      <w:r>
        <w:rPr>
          <w:rFonts w:ascii="Calibri" w:eastAsia="Calibri"/>
        </w:rPr>
        <w:t>7 </w:t>
      </w:r>
      <w:r>
        <w:rPr>
          <w:spacing w:val="-25"/>
        </w:rPr>
        <w:t>月 </w:t>
      </w:r>
      <w:r>
        <w:rPr>
          <w:rFonts w:ascii="Calibri" w:eastAsia="Calibri"/>
        </w:rPr>
        <w:t>19 </w:t>
      </w:r>
      <w:r>
        <w:rPr>
          <w:spacing w:val="-3"/>
        </w:rPr>
        <w:t>日起开始办理日常申购、赎回、转换、定期定额申购业务。</w:t>
      </w:r>
      <w:r>
        <w:rPr>
          <w:spacing w:val="-6"/>
        </w:rPr>
        <w:t>基金管理人不得在基金合同约定之外的日期或者时间办理基金份额的申购、赎回或者转</w:t>
      </w:r>
    </w:p>
    <w:p>
      <w:pPr>
        <w:pStyle w:val="BodyText"/>
        <w:spacing w:line="417" w:lineRule="auto"/>
        <w:ind w:left="160" w:right="871"/>
      </w:pPr>
      <w:r>
        <w:rPr>
          <w:spacing w:val="-10"/>
        </w:rPr>
        <w:t>换业务。投资人在基金合同约定之外的日期和时间提出申购、赎回或转换申请且登记机构确</w:t>
      </w:r>
      <w:r>
        <w:rPr>
          <w:spacing w:val="-5"/>
        </w:rPr>
        <w:t>认接受的，其基金份额申购、赎回价格为下一开放日基金份额申购、赎回的价格。</w:t>
      </w:r>
    </w:p>
    <w:p>
      <w:pPr>
        <w:pStyle w:val="BodyText"/>
        <w:ind w:left="580"/>
      </w:pPr>
      <w:r>
        <w:rPr/>
        <w:t>（三）申购和赎回的原则</w:t>
      </w:r>
    </w:p>
    <w:p>
      <w:pPr>
        <w:pStyle w:val="BodyText"/>
        <w:spacing w:before="6"/>
        <w:rPr>
          <w:sz w:val="15"/>
        </w:rPr>
      </w:pPr>
    </w:p>
    <w:p>
      <w:pPr>
        <w:pStyle w:val="BodyText"/>
        <w:spacing w:line="417" w:lineRule="auto" w:before="1"/>
        <w:ind w:left="160" w:right="874" w:firstLine="419"/>
      </w:pPr>
      <w:r>
        <w:rPr>
          <w:rFonts w:ascii="Calibri" w:hAnsi="Calibri" w:eastAsia="Calibri"/>
        </w:rPr>
        <w:t>1</w:t>
      </w:r>
      <w:r>
        <w:rPr/>
        <w:t>、“未知价”原则，即申购、赎回价格以申请当日收市后计算的基金份额净值为基准进行计算。</w:t>
      </w:r>
    </w:p>
    <w:p>
      <w:pPr>
        <w:pStyle w:val="BodyText"/>
        <w:spacing w:line="269" w:lineRule="exact"/>
        <w:ind w:left="580"/>
      </w:pPr>
      <w:r>
        <w:rPr>
          <w:rFonts w:ascii="Calibri" w:hAnsi="Calibri" w:eastAsia="Calibri"/>
        </w:rPr>
        <w:t>2</w:t>
      </w:r>
      <w:r>
        <w:rPr/>
        <w:t>、“金额申购、份额赎回”原则，即申购以金额申请，赎回以份额申请。</w:t>
      </w:r>
    </w:p>
    <w:p>
      <w:pPr>
        <w:pStyle w:val="BodyText"/>
        <w:spacing w:before="6"/>
        <w:rPr>
          <w:sz w:val="15"/>
        </w:rPr>
      </w:pPr>
    </w:p>
    <w:p>
      <w:pPr>
        <w:pStyle w:val="BodyText"/>
        <w:ind w:left="580"/>
      </w:pPr>
      <w:r>
        <w:rPr>
          <w:rFonts w:ascii="Calibri" w:eastAsia="Calibri"/>
        </w:rPr>
        <w:t>3</w:t>
      </w:r>
      <w:r>
        <w:rPr/>
        <w:t>、当日的申购与赎回申请可以在基金管理人规定的时间以内撤销。</w:t>
      </w:r>
    </w:p>
    <w:p>
      <w:pPr>
        <w:pStyle w:val="BodyText"/>
        <w:spacing w:before="7"/>
        <w:rPr>
          <w:sz w:val="15"/>
        </w:rPr>
      </w:pPr>
    </w:p>
    <w:p>
      <w:pPr>
        <w:pStyle w:val="BodyText"/>
        <w:ind w:left="580"/>
      </w:pPr>
      <w:r>
        <w:rPr>
          <w:rFonts w:ascii="Calibri" w:hAnsi="Calibri" w:eastAsia="Calibri"/>
        </w:rPr>
        <w:t>4</w:t>
      </w:r>
      <w:r>
        <w:rPr/>
        <w:t>、赎回遵循“先进先出”原则，即按照投资人认购、申购的先后次序进行顺序赎回。</w:t>
      </w:r>
    </w:p>
    <w:p>
      <w:pPr>
        <w:pStyle w:val="BodyText"/>
        <w:spacing w:before="7"/>
        <w:rPr>
          <w:sz w:val="15"/>
        </w:rPr>
      </w:pPr>
    </w:p>
    <w:p>
      <w:pPr>
        <w:pStyle w:val="BodyText"/>
        <w:spacing w:line="417" w:lineRule="auto"/>
        <w:ind w:left="160" w:right="874" w:firstLine="419"/>
      </w:pPr>
      <w:r>
        <w:rPr>
          <w:rFonts w:ascii="Calibri" w:eastAsia="Calibri"/>
        </w:rPr>
        <w:t>5</w:t>
      </w:r>
      <w:r>
        <w:rPr/>
        <w:t>、本基金份额分为多个类别，适用不同的申购费或销售服务费，投资者在申购时可自行选择基金份额类别。</w:t>
      </w:r>
    </w:p>
    <w:p>
      <w:pPr>
        <w:pStyle w:val="BodyText"/>
        <w:ind w:left="580"/>
      </w:pPr>
      <w:r>
        <w:rPr>
          <w:rFonts w:ascii="Calibri" w:eastAsia="Calibri"/>
        </w:rPr>
        <w:t>6</w:t>
      </w:r>
      <w:r>
        <w:rPr/>
        <w:t>、投资者办理申购、赎回等业务时应提交的文件和办理手续、办理时间、处理规则等</w:t>
      </w:r>
    </w:p>
    <w:p>
      <w:pPr>
        <w:spacing w:after="0"/>
        <w:sectPr>
          <w:pgSz w:w="11910" w:h="16840"/>
          <w:pgMar w:header="877" w:footer="995" w:top="1420" w:bottom="1180" w:left="1640" w:right="920"/>
        </w:sectPr>
      </w:pPr>
    </w:p>
    <w:p>
      <w:pPr>
        <w:pStyle w:val="BodyText"/>
        <w:spacing w:before="110"/>
        <w:ind w:left="160"/>
      </w:pPr>
      <w:r>
        <w:rPr/>
        <w:t>在遵守基金合同和招募说明书规定的前提下，以各销售机构的具体规定为准。</w:t>
      </w:r>
    </w:p>
    <w:p>
      <w:pPr>
        <w:pStyle w:val="BodyText"/>
        <w:spacing w:before="6"/>
        <w:rPr>
          <w:sz w:val="15"/>
        </w:rPr>
      </w:pPr>
    </w:p>
    <w:p>
      <w:pPr>
        <w:pStyle w:val="BodyText"/>
        <w:spacing w:line="417" w:lineRule="auto"/>
        <w:ind w:left="160" w:right="871" w:firstLine="419"/>
      </w:pPr>
      <w:r>
        <w:rPr>
          <w:spacing w:val="-8"/>
        </w:rPr>
        <w:t>基金管理人可在法律法规允许的情况下，对上述原则进行调整。基金管理人必须在新规</w:t>
      </w:r>
      <w:r>
        <w:rPr>
          <w:spacing w:val="-5"/>
        </w:rPr>
        <w:t>则开始实施前依照《信息披露办法》的有关规定在指定媒介上公告。</w:t>
      </w:r>
    </w:p>
    <w:p>
      <w:pPr>
        <w:pStyle w:val="BodyText"/>
        <w:spacing w:line="269" w:lineRule="exact"/>
        <w:ind w:left="580"/>
      </w:pPr>
      <w:r>
        <w:rPr/>
        <w:t>（四）申购与赎回的数额限制</w:t>
      </w:r>
    </w:p>
    <w:p>
      <w:pPr>
        <w:pStyle w:val="BodyText"/>
        <w:spacing w:before="7"/>
        <w:rPr>
          <w:sz w:val="15"/>
        </w:rPr>
      </w:pPr>
    </w:p>
    <w:p>
      <w:pPr>
        <w:pStyle w:val="BodyText"/>
        <w:spacing w:line="417" w:lineRule="auto"/>
        <w:ind w:left="160" w:right="768" w:firstLine="419"/>
      </w:pPr>
      <w:r>
        <w:rPr>
          <w:rFonts w:ascii="Times New Roman" w:eastAsia="Times New Roman"/>
        </w:rPr>
        <w:t>1</w:t>
      </w:r>
      <w:r>
        <w:rPr>
          <w:spacing w:val="-1"/>
        </w:rPr>
        <w:t>、投资者通过直销机构或华夏财富办理本基金</w:t>
      </w:r>
      <w:r>
        <w:rPr>
          <w:rFonts w:ascii="Times New Roman" w:eastAsia="Times New Roman"/>
        </w:rPr>
        <w:t>A</w:t>
      </w:r>
      <w:r>
        <w:rPr>
          <w:spacing w:val="-2"/>
        </w:rPr>
        <w:t>类、</w:t>
      </w:r>
      <w:r>
        <w:rPr>
          <w:rFonts w:ascii="Times New Roman" w:eastAsia="Times New Roman"/>
        </w:rPr>
        <w:t>C</w:t>
      </w:r>
      <w:r>
        <w:rPr>
          <w:spacing w:val="-2"/>
        </w:rPr>
        <w:t>类基金份额的申购及赎回业务， </w:t>
      </w:r>
      <w:r>
        <w:rPr>
          <w:w w:val="100"/>
        </w:rPr>
        <w:t>各类基金份额每次最低申购金额均为</w:t>
      </w:r>
      <w:r>
        <w:rPr>
          <w:rFonts w:ascii="Times New Roman" w:eastAsia="Times New Roman"/>
          <w:w w:val="100"/>
        </w:rPr>
        <w:t>1</w:t>
      </w:r>
      <w:r>
        <w:rPr>
          <w:rFonts w:ascii="Times New Roman" w:eastAsia="Times New Roman"/>
          <w:spacing w:val="-3"/>
          <w:w w:val="100"/>
        </w:rPr>
        <w:t>.</w:t>
      </w:r>
      <w:r>
        <w:rPr>
          <w:rFonts w:ascii="Times New Roman" w:eastAsia="Times New Roman"/>
          <w:w w:val="100"/>
        </w:rPr>
        <w:t>0</w:t>
      </w:r>
      <w:r>
        <w:rPr>
          <w:rFonts w:ascii="Times New Roman" w:eastAsia="Times New Roman"/>
          <w:spacing w:val="-1"/>
          <w:w w:val="100"/>
        </w:rPr>
        <w:t>0</w:t>
      </w:r>
      <w:r>
        <w:rPr>
          <w:w w:val="100"/>
        </w:rPr>
        <w:t>元（含申购费</w:t>
      </w:r>
      <w:r>
        <w:rPr>
          <w:spacing w:val="-106"/>
          <w:w w:val="100"/>
        </w:rPr>
        <w:t>）</w:t>
      </w:r>
      <w:r>
        <w:rPr>
          <w:w w:val="100"/>
        </w:rPr>
        <w:t>，各类基金份额每次赎回申请均不</w:t>
      </w:r>
      <w:r>
        <w:rPr>
          <w:spacing w:val="-1"/>
        </w:rPr>
        <w:t>得低于</w:t>
      </w:r>
      <w:r>
        <w:rPr>
          <w:rFonts w:ascii="Times New Roman" w:eastAsia="Times New Roman"/>
        </w:rPr>
        <w:t>1.00</w:t>
      </w:r>
      <w:r>
        <w:rPr>
          <w:spacing w:val="-8"/>
        </w:rPr>
        <w:t>份基金份额。基金份额持有人赎回时或赎回后在直销机构或华夏财富保留的各类</w:t>
      </w:r>
      <w:r>
        <w:rPr>
          <w:spacing w:val="-5"/>
        </w:rPr>
        <w:t>基金份额余额不足</w:t>
      </w:r>
      <w:r>
        <w:rPr>
          <w:rFonts w:ascii="Times New Roman" w:eastAsia="Times New Roman"/>
        </w:rPr>
        <w:t>1.00</w:t>
      </w:r>
      <w:r>
        <w:rPr>
          <w:spacing w:val="-8"/>
        </w:rPr>
        <w:t>份的，在赎回时需一次全部赎回。具体业务办理请遵循基金管理人直</w:t>
      </w:r>
      <w:r>
        <w:rPr>
          <w:spacing w:val="-5"/>
        </w:rPr>
        <w:t>销机构及华夏财富的相关规定。</w:t>
      </w:r>
    </w:p>
    <w:p>
      <w:pPr>
        <w:pStyle w:val="BodyText"/>
        <w:spacing w:line="417" w:lineRule="auto"/>
        <w:ind w:left="160" w:right="871" w:firstLine="419"/>
        <w:jc w:val="both"/>
      </w:pPr>
      <w:r>
        <w:rPr>
          <w:rFonts w:ascii="Calibri" w:eastAsia="Calibri"/>
        </w:rPr>
        <w:t>2</w:t>
      </w:r>
      <w:r>
        <w:rPr>
          <w:spacing w:val="-5"/>
        </w:rPr>
        <w:t>、投资者通过其他代销机构办理本基金 </w:t>
      </w:r>
      <w:r>
        <w:rPr>
          <w:rFonts w:ascii="Calibri" w:eastAsia="Calibri"/>
        </w:rPr>
        <w:t>A </w:t>
      </w:r>
      <w:r>
        <w:rPr>
          <w:spacing w:val="-2"/>
        </w:rPr>
        <w:t>类、</w:t>
      </w:r>
      <w:r>
        <w:rPr>
          <w:rFonts w:ascii="Calibri" w:eastAsia="Calibri"/>
        </w:rPr>
        <w:t>C </w:t>
      </w:r>
      <w:r>
        <w:rPr>
          <w:spacing w:val="-3"/>
        </w:rPr>
        <w:t>类基金份额的申购及赎回业务，每次</w:t>
      </w:r>
      <w:r>
        <w:rPr>
          <w:spacing w:val="-10"/>
        </w:rPr>
        <w:t>最低申购金额、每次最低赎回份额、赎回时或赎回后在该代销机构</w:t>
      </w:r>
      <w:r>
        <w:rPr/>
        <w:t>（</w:t>
      </w:r>
      <w:r>
        <w:rPr>
          <w:spacing w:val="-2"/>
        </w:rPr>
        <w:t>网点</w:t>
      </w:r>
      <w:r>
        <w:rPr>
          <w:spacing w:val="-27"/>
        </w:rPr>
        <w:t>）</w:t>
      </w:r>
      <w:r>
        <w:rPr>
          <w:spacing w:val="-2"/>
        </w:rPr>
        <w:t>保留的最低基金</w:t>
      </w:r>
      <w:r>
        <w:rPr>
          <w:spacing w:val="-8"/>
        </w:rPr>
        <w:t>份额余额以各代销机构的规定为准。具体业务办理请遵循各代销机构的相关规定。投资者在</w:t>
      </w:r>
      <w:r>
        <w:rPr>
          <w:spacing w:val="-5"/>
        </w:rPr>
        <w:t>申购时须注意选择相应的份额类别，否则可能导致申购失败。</w:t>
      </w:r>
    </w:p>
    <w:p>
      <w:pPr>
        <w:pStyle w:val="BodyText"/>
        <w:spacing w:line="417" w:lineRule="auto"/>
        <w:ind w:left="160" w:right="871" w:firstLine="419"/>
        <w:jc w:val="both"/>
      </w:pPr>
      <w:r>
        <w:rPr>
          <w:rFonts w:ascii="Calibri" w:eastAsia="Calibri"/>
        </w:rPr>
        <w:t>3</w:t>
      </w:r>
      <w:r>
        <w:rPr>
          <w:spacing w:val="-3"/>
        </w:rPr>
        <w:t>、当接受申购申请对存量基金份额持有人利益构成潜在重大不利影响时，基金管理人</w:t>
      </w:r>
      <w:r>
        <w:rPr>
          <w:spacing w:val="-7"/>
        </w:rPr>
        <w:t>应当采取设定单一投资者申购金额上限或基金单日净申购比例上限、拒绝大额申购、暂停基</w:t>
      </w:r>
      <w:r>
        <w:rPr>
          <w:spacing w:val="-5"/>
        </w:rPr>
        <w:t>金申购等措施，切实保护存量基金份额持有人的合法权益，具体请参见相关公告。</w:t>
      </w:r>
    </w:p>
    <w:p>
      <w:pPr>
        <w:pStyle w:val="BodyText"/>
        <w:spacing w:line="417" w:lineRule="auto"/>
        <w:ind w:left="160" w:right="874" w:firstLine="419"/>
      </w:pPr>
      <w:r>
        <w:rPr>
          <w:rFonts w:ascii="Calibri" w:eastAsia="Calibri"/>
        </w:rPr>
        <w:t>4</w:t>
      </w:r>
      <w:r>
        <w:rPr/>
        <w:t>、基金管理人可以根据市场情况，在法律法规允许的情况下，调整以上限制。基金管理人必须在调整前依照《信息披露办法》的有关规定在指定媒介上公告。</w:t>
      </w:r>
    </w:p>
    <w:p>
      <w:pPr>
        <w:pStyle w:val="BodyText"/>
        <w:spacing w:line="269" w:lineRule="exact"/>
        <w:ind w:left="580"/>
      </w:pPr>
      <w:r>
        <w:rPr/>
        <w:t>（五）申购和赎回的程序</w:t>
      </w:r>
    </w:p>
    <w:p>
      <w:pPr>
        <w:pStyle w:val="BodyText"/>
        <w:spacing w:before="6"/>
        <w:rPr>
          <w:sz w:val="15"/>
        </w:rPr>
      </w:pPr>
    </w:p>
    <w:p>
      <w:pPr>
        <w:pStyle w:val="BodyText"/>
        <w:ind w:left="580"/>
      </w:pPr>
      <w:r>
        <w:rPr>
          <w:rFonts w:ascii="Calibri" w:eastAsia="Calibri"/>
        </w:rPr>
        <w:t>1</w:t>
      </w:r>
      <w:r>
        <w:rPr/>
        <w:t>、申购和赎回的申请方式</w:t>
      </w:r>
    </w:p>
    <w:p>
      <w:pPr>
        <w:pStyle w:val="BodyText"/>
        <w:spacing w:before="6"/>
        <w:rPr>
          <w:sz w:val="15"/>
        </w:rPr>
      </w:pPr>
    </w:p>
    <w:p>
      <w:pPr>
        <w:pStyle w:val="BodyText"/>
        <w:spacing w:line="417" w:lineRule="auto" w:before="1"/>
        <w:ind w:left="160" w:right="871" w:firstLine="419"/>
      </w:pPr>
      <w:r>
        <w:rPr>
          <w:spacing w:val="-9"/>
        </w:rPr>
        <w:t>投资人必须根据销售机构规定的程序，在开放日的具体业务办理时间内提出申购或赎回</w:t>
      </w:r>
      <w:r>
        <w:rPr>
          <w:spacing w:val="-6"/>
        </w:rPr>
        <w:t>的申请。</w:t>
      </w:r>
    </w:p>
    <w:p>
      <w:pPr>
        <w:pStyle w:val="BodyText"/>
        <w:ind w:left="580"/>
      </w:pPr>
      <w:r>
        <w:rPr>
          <w:rFonts w:ascii="Calibri" w:eastAsia="Calibri"/>
        </w:rPr>
        <w:t>2</w:t>
      </w:r>
      <w:r>
        <w:rPr/>
        <w:t>、申购和赎回的款项支付</w:t>
      </w:r>
    </w:p>
    <w:p>
      <w:pPr>
        <w:pStyle w:val="BodyText"/>
        <w:spacing w:before="6"/>
        <w:rPr>
          <w:sz w:val="15"/>
        </w:rPr>
      </w:pPr>
    </w:p>
    <w:p>
      <w:pPr>
        <w:pStyle w:val="BodyText"/>
        <w:spacing w:line="417" w:lineRule="auto" w:before="1"/>
        <w:ind w:left="160" w:right="871" w:firstLine="419"/>
      </w:pPr>
      <w:r>
        <w:rPr>
          <w:spacing w:val="-9"/>
        </w:rPr>
        <w:t>投资人申购基金份额时，必须全额交付申购款项，投资人交付款项，申购成立，申购是</w:t>
      </w:r>
      <w:r>
        <w:rPr>
          <w:spacing w:val="-5"/>
        </w:rPr>
        <w:t>否生效以基金登记机构确认为准。</w:t>
      </w:r>
    </w:p>
    <w:p>
      <w:pPr>
        <w:pStyle w:val="BodyText"/>
        <w:spacing w:line="417" w:lineRule="auto"/>
        <w:ind w:left="160" w:right="871" w:firstLine="419"/>
        <w:jc w:val="both"/>
      </w:pPr>
      <w:r>
        <w:rPr>
          <w:spacing w:val="-9"/>
        </w:rPr>
        <w:t>基金份额持有人递交赎回申请，赎回成立，赎回是否生效以基金登记机构确认为准。基</w:t>
      </w:r>
      <w:r>
        <w:rPr>
          <w:spacing w:val="-7"/>
        </w:rPr>
        <w:t>金份额持有人赎回申请成功后，基金管理人将在 </w:t>
      </w:r>
      <w:r>
        <w:rPr>
          <w:rFonts w:ascii="Calibri" w:eastAsia="Calibri"/>
        </w:rPr>
        <w:t>T</w:t>
      </w:r>
      <w:r>
        <w:rPr/>
        <w:t>＋</w:t>
      </w:r>
      <w:r>
        <w:rPr>
          <w:rFonts w:ascii="Calibri" w:eastAsia="Calibri"/>
        </w:rPr>
        <w:t>7 </w:t>
      </w:r>
      <w:r>
        <w:rPr>
          <w:spacing w:val="-3"/>
        </w:rPr>
        <w:t>日</w:t>
      </w:r>
      <w:r>
        <w:rPr/>
        <w:t>（</w:t>
      </w:r>
      <w:r>
        <w:rPr>
          <w:spacing w:val="-3"/>
        </w:rPr>
        <w:t>包括该日）内支付赎回款项。在发生巨额赎回时，款项的支付办法参照基金合同有关条款处理。</w:t>
      </w:r>
    </w:p>
    <w:p>
      <w:pPr>
        <w:pStyle w:val="BodyText"/>
        <w:ind w:left="580"/>
      </w:pPr>
      <w:r>
        <w:rPr>
          <w:rFonts w:ascii="Calibri" w:eastAsia="Calibri"/>
        </w:rPr>
        <w:t>3</w:t>
      </w:r>
      <w:r>
        <w:rPr/>
        <w:t>、申购和赎回申请的确认</w:t>
      </w:r>
    </w:p>
    <w:p>
      <w:pPr>
        <w:pStyle w:val="BodyText"/>
        <w:spacing w:before="6"/>
        <w:rPr>
          <w:sz w:val="15"/>
        </w:rPr>
      </w:pPr>
    </w:p>
    <w:p>
      <w:pPr>
        <w:pStyle w:val="BodyText"/>
        <w:ind w:left="580"/>
      </w:pPr>
      <w:r>
        <w:rPr/>
        <w:t>基金管理人应以交易时间结束前受理有效申购和赎回申请的当天作为申购或赎回申请</w:t>
      </w:r>
    </w:p>
    <w:p>
      <w:pPr>
        <w:spacing w:after="0"/>
        <w:sectPr>
          <w:pgSz w:w="11910" w:h="16840"/>
          <w:pgMar w:header="877" w:footer="995" w:top="1420" w:bottom="1180" w:left="1640" w:right="920"/>
        </w:sectPr>
      </w:pPr>
    </w:p>
    <w:p>
      <w:pPr>
        <w:pStyle w:val="BodyText"/>
        <w:spacing w:line="417" w:lineRule="auto" w:before="110"/>
        <w:ind w:left="160" w:right="871"/>
        <w:jc w:val="both"/>
      </w:pPr>
      <w:r>
        <w:rPr>
          <w:spacing w:val="-1"/>
          <w:w w:val="100"/>
        </w:rPr>
        <w:t>日</w:t>
      </w:r>
      <w:r>
        <w:rPr>
          <w:w w:val="100"/>
        </w:rPr>
        <w:t>（</w:t>
      </w:r>
      <w:r>
        <w:rPr>
          <w:rFonts w:ascii="Calibri" w:eastAsia="Calibri"/>
          <w:w w:val="100"/>
        </w:rPr>
        <w:t>T</w:t>
      </w:r>
      <w:r>
        <w:rPr>
          <w:rFonts w:ascii="Calibri" w:eastAsia="Calibri"/>
          <w:spacing w:val="-12"/>
        </w:rPr>
        <w:t>  </w:t>
      </w:r>
      <w:r>
        <w:rPr>
          <w:w w:val="100"/>
        </w:rPr>
        <w:t>日</w:t>
      </w:r>
      <w:r>
        <w:rPr>
          <w:spacing w:val="-106"/>
          <w:w w:val="100"/>
        </w:rPr>
        <w:t>）</w:t>
      </w:r>
      <w:r>
        <w:rPr>
          <w:spacing w:val="-3"/>
          <w:w w:val="100"/>
        </w:rPr>
        <w:t>，在正常情况下，本基金登记机构在</w:t>
      </w:r>
      <w:r>
        <w:rPr>
          <w:spacing w:val="-3"/>
        </w:rPr>
        <w:t> </w:t>
      </w:r>
      <w:r>
        <w:rPr>
          <w:rFonts w:ascii="Calibri" w:eastAsia="Calibri"/>
          <w:w w:val="100"/>
        </w:rPr>
        <w:t>T+1</w:t>
      </w:r>
      <w:r>
        <w:rPr>
          <w:rFonts w:ascii="Calibri" w:eastAsia="Calibri"/>
          <w:spacing w:val="-11"/>
        </w:rPr>
        <w:t>  </w:t>
      </w:r>
      <w:r>
        <w:rPr>
          <w:w w:val="100"/>
        </w:rPr>
        <w:t>日（</w:t>
      </w:r>
      <w:r>
        <w:rPr>
          <w:spacing w:val="-3"/>
          <w:w w:val="100"/>
        </w:rPr>
        <w:t>包括该日）内对该交易的有效性进</w:t>
      </w:r>
      <w:r>
        <w:rPr>
          <w:spacing w:val="-5"/>
        </w:rPr>
        <w:t>行确认。</w:t>
      </w:r>
      <w:r>
        <w:rPr>
          <w:rFonts w:ascii="Calibri" w:eastAsia="Calibri"/>
        </w:rPr>
        <w:t>T </w:t>
      </w:r>
      <w:r>
        <w:rPr>
          <w:spacing w:val="-7"/>
        </w:rPr>
        <w:t>日提交的有效申请，投资人应在 </w:t>
      </w:r>
      <w:r>
        <w:rPr>
          <w:rFonts w:ascii="Calibri" w:eastAsia="Calibri"/>
        </w:rPr>
        <w:t>T+2 </w:t>
      </w:r>
      <w:r>
        <w:rPr>
          <w:spacing w:val="-8"/>
        </w:rPr>
        <w:t>日后</w:t>
      </w:r>
      <w:r>
        <w:rPr/>
        <w:t>（</w:t>
      </w:r>
      <w:r>
        <w:rPr>
          <w:spacing w:val="-3"/>
        </w:rPr>
        <w:t>包括该日</w:t>
      </w:r>
      <w:r>
        <w:rPr>
          <w:spacing w:val="-10"/>
        </w:rPr>
        <w:t>）</w:t>
      </w:r>
      <w:r>
        <w:rPr>
          <w:spacing w:val="-3"/>
        </w:rPr>
        <w:t>及时到销售网点柜台或以</w:t>
      </w:r>
      <w:r>
        <w:rPr>
          <w:spacing w:val="-8"/>
        </w:rPr>
        <w:t>销售机构规定的其他方式查询申请的确认情况。若申购不成功，则申购款项本金退还给投资人。</w:t>
      </w:r>
    </w:p>
    <w:p>
      <w:pPr>
        <w:pStyle w:val="BodyText"/>
        <w:spacing w:line="417" w:lineRule="auto"/>
        <w:ind w:left="160" w:right="768" w:firstLine="419"/>
      </w:pPr>
      <w:r>
        <w:rPr>
          <w:spacing w:val="-10"/>
        </w:rPr>
        <w:t>基金销售机构对申购、赎回申请的受理并不代表申请一定成功，而仅代表销售机构确实</w:t>
      </w:r>
      <w:r>
        <w:rPr>
          <w:spacing w:val="-5"/>
        </w:rPr>
        <w:t>接收到申请。申请的确认以登记机构或基金管理人的确认结果为准。对于申请的确认情况， </w:t>
      </w:r>
      <w:r>
        <w:rPr>
          <w:spacing w:val="-4"/>
        </w:rPr>
        <w:t>投资者应及时查询。</w:t>
      </w:r>
    </w:p>
    <w:p>
      <w:pPr>
        <w:pStyle w:val="BodyText"/>
        <w:spacing w:line="417" w:lineRule="auto"/>
        <w:ind w:left="160" w:right="874" w:firstLine="419"/>
      </w:pPr>
      <w:r>
        <w:rPr>
          <w:rFonts w:ascii="Calibri" w:eastAsia="Calibri"/>
        </w:rPr>
        <w:t>4</w:t>
      </w:r>
      <w:r>
        <w:rPr/>
        <w:t>、基金管理人可以在不违反法律法规的前提下，对上述业务办理时间进行调整，并提前公告。</w:t>
      </w:r>
    </w:p>
    <w:p>
      <w:pPr>
        <w:pStyle w:val="BodyText"/>
        <w:spacing w:line="269" w:lineRule="exact"/>
        <w:ind w:left="580"/>
      </w:pPr>
      <w:r>
        <w:rPr/>
        <w:t>（六）申购费与赎回费</w:t>
      </w:r>
    </w:p>
    <w:p>
      <w:pPr>
        <w:pStyle w:val="BodyText"/>
        <w:spacing w:before="6"/>
        <w:rPr>
          <w:sz w:val="15"/>
        </w:rPr>
      </w:pPr>
    </w:p>
    <w:p>
      <w:pPr>
        <w:pStyle w:val="BodyText"/>
        <w:spacing w:line="417" w:lineRule="auto"/>
        <w:ind w:left="160" w:right="873" w:firstLine="419"/>
      </w:pPr>
      <w:r>
        <w:rPr/>
        <w:t>1、本基金申购费由申购人承担，用于市场推广、销售、登记结算等各项费用。投资者在申购A类基金份额时需交纳前端申购费。</w:t>
      </w:r>
    </w:p>
    <w:p>
      <w:pPr>
        <w:pStyle w:val="BodyText"/>
        <w:spacing w:line="269" w:lineRule="exact"/>
        <w:ind w:left="580"/>
      </w:pPr>
      <w:r>
        <w:rPr>
          <w:rFonts w:ascii="Calibri" w:eastAsia="Calibri"/>
        </w:rPr>
        <w:t>A</w:t>
      </w:r>
      <w:r>
        <w:rPr/>
        <w:t>类基金份额申购费率如下：</w:t>
      </w:r>
    </w:p>
    <w:p>
      <w:pPr>
        <w:pStyle w:val="BodyText"/>
        <w:spacing w:before="9"/>
        <w:rPr>
          <w:sz w:val="7"/>
        </w:rPr>
      </w:pPr>
    </w:p>
    <w:tbl>
      <w:tblPr>
        <w:tblW w:w="0" w:type="auto"/>
        <w:jc w:val="left"/>
        <w:tblInd w:w="16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332"/>
        <w:gridCol w:w="1975"/>
      </w:tblGrid>
      <w:tr>
        <w:trPr>
          <w:trHeight w:val="466" w:hRule="atLeast"/>
        </w:trPr>
        <w:tc>
          <w:tcPr>
            <w:tcW w:w="3332" w:type="dxa"/>
            <w:tcBorders>
              <w:left w:val="nil"/>
              <w:right w:val="single" w:sz="4" w:space="0" w:color="000000"/>
            </w:tcBorders>
          </w:tcPr>
          <w:p>
            <w:pPr>
              <w:pStyle w:val="TableParagraph"/>
              <w:spacing w:before="99"/>
              <w:ind w:left="199" w:right="153"/>
              <w:jc w:val="center"/>
              <w:rPr>
                <w:rFonts w:ascii="宋体" w:eastAsia="宋体" w:hint="eastAsia"/>
                <w:b/>
                <w:sz w:val="21"/>
              </w:rPr>
            </w:pPr>
            <w:r>
              <w:rPr>
                <w:rFonts w:ascii="宋体" w:eastAsia="宋体" w:hint="eastAsia"/>
                <w:b/>
                <w:sz w:val="21"/>
              </w:rPr>
              <w:t>申购金额（含申购费）</w:t>
            </w:r>
          </w:p>
        </w:tc>
        <w:tc>
          <w:tcPr>
            <w:tcW w:w="1975" w:type="dxa"/>
            <w:tcBorders>
              <w:left w:val="single" w:sz="4" w:space="0" w:color="000000"/>
              <w:right w:val="nil"/>
            </w:tcBorders>
          </w:tcPr>
          <w:p>
            <w:pPr>
              <w:pStyle w:val="TableParagraph"/>
              <w:spacing w:before="99"/>
              <w:ind w:left="213" w:right="187"/>
              <w:jc w:val="center"/>
              <w:rPr>
                <w:rFonts w:ascii="宋体" w:eastAsia="宋体" w:hint="eastAsia"/>
                <w:b/>
                <w:sz w:val="21"/>
              </w:rPr>
            </w:pPr>
            <w:r>
              <w:rPr>
                <w:rFonts w:ascii="宋体" w:eastAsia="宋体" w:hint="eastAsia"/>
                <w:b/>
                <w:sz w:val="21"/>
              </w:rPr>
              <w:t>申购费率</w:t>
            </w:r>
          </w:p>
        </w:tc>
      </w:tr>
      <w:tr>
        <w:trPr>
          <w:trHeight w:val="469" w:hRule="atLeast"/>
        </w:trPr>
        <w:tc>
          <w:tcPr>
            <w:tcW w:w="3332" w:type="dxa"/>
            <w:tcBorders>
              <w:left w:val="nil"/>
              <w:bottom w:val="single" w:sz="4" w:space="0" w:color="000000"/>
              <w:right w:val="single" w:sz="4" w:space="0" w:color="000000"/>
            </w:tcBorders>
          </w:tcPr>
          <w:p>
            <w:pPr>
              <w:pStyle w:val="TableParagraph"/>
              <w:spacing w:before="102"/>
              <w:ind w:left="199" w:right="156"/>
              <w:jc w:val="center"/>
              <w:rPr>
                <w:rFonts w:ascii="宋体" w:eastAsia="宋体" w:hint="eastAsia"/>
                <w:sz w:val="21"/>
              </w:rPr>
            </w:pPr>
            <w:r>
              <w:rPr>
                <w:rFonts w:ascii="宋体" w:eastAsia="宋体" w:hint="eastAsia"/>
                <w:sz w:val="21"/>
              </w:rPr>
              <w:t>申购金额 </w:t>
            </w:r>
            <w:r>
              <w:rPr>
                <w:sz w:val="21"/>
              </w:rPr>
              <w:t>&lt; 100 </w:t>
            </w:r>
            <w:r>
              <w:rPr>
                <w:rFonts w:ascii="宋体" w:eastAsia="宋体" w:hint="eastAsia"/>
                <w:sz w:val="21"/>
              </w:rPr>
              <w:t>万元</w:t>
            </w:r>
          </w:p>
        </w:tc>
        <w:tc>
          <w:tcPr>
            <w:tcW w:w="1975" w:type="dxa"/>
            <w:tcBorders>
              <w:left w:val="single" w:sz="4" w:space="0" w:color="000000"/>
              <w:bottom w:val="single" w:sz="4" w:space="0" w:color="000000"/>
              <w:right w:val="nil"/>
            </w:tcBorders>
          </w:tcPr>
          <w:p>
            <w:pPr>
              <w:pStyle w:val="TableParagraph"/>
              <w:spacing w:before="107"/>
              <w:ind w:left="212" w:right="189"/>
              <w:jc w:val="center"/>
              <w:rPr>
                <w:sz w:val="21"/>
              </w:rPr>
            </w:pPr>
            <w:r>
              <w:rPr>
                <w:sz w:val="21"/>
              </w:rPr>
              <w:t>1.20%</w:t>
            </w:r>
          </w:p>
        </w:tc>
      </w:tr>
      <w:tr>
        <w:trPr>
          <w:trHeight w:val="467" w:hRule="atLeast"/>
        </w:trPr>
        <w:tc>
          <w:tcPr>
            <w:tcW w:w="3332" w:type="dxa"/>
            <w:tcBorders>
              <w:top w:val="single" w:sz="4" w:space="0" w:color="000000"/>
              <w:left w:val="nil"/>
              <w:bottom w:val="single" w:sz="4" w:space="0" w:color="000000"/>
              <w:right w:val="single" w:sz="4" w:space="0" w:color="000000"/>
            </w:tcBorders>
          </w:tcPr>
          <w:p>
            <w:pPr>
              <w:pStyle w:val="TableParagraph"/>
              <w:spacing w:before="99"/>
              <w:ind w:left="199" w:right="159"/>
              <w:jc w:val="center"/>
              <w:rPr>
                <w:rFonts w:ascii="宋体" w:hAnsi="宋体" w:eastAsia="宋体" w:hint="eastAsia"/>
                <w:sz w:val="21"/>
              </w:rPr>
            </w:pPr>
            <w:r>
              <w:rPr>
                <w:sz w:val="21"/>
              </w:rPr>
              <w:t>100 </w:t>
            </w:r>
            <w:r>
              <w:rPr>
                <w:rFonts w:ascii="宋体" w:hAnsi="宋体" w:eastAsia="宋体" w:hint="eastAsia"/>
                <w:sz w:val="21"/>
              </w:rPr>
              <w:t>万元 </w:t>
            </w:r>
            <w:r>
              <w:rPr>
                <w:sz w:val="21"/>
              </w:rPr>
              <w:t>≤ </w:t>
            </w:r>
            <w:r>
              <w:rPr>
                <w:rFonts w:ascii="宋体" w:hAnsi="宋体" w:eastAsia="宋体" w:hint="eastAsia"/>
                <w:sz w:val="21"/>
              </w:rPr>
              <w:t>申购金额 </w:t>
            </w:r>
            <w:r>
              <w:rPr>
                <w:sz w:val="21"/>
              </w:rPr>
              <w:t>&lt; 200 </w:t>
            </w:r>
            <w:r>
              <w:rPr>
                <w:rFonts w:ascii="宋体" w:hAnsi="宋体" w:eastAsia="宋体" w:hint="eastAsia"/>
                <w:sz w:val="21"/>
              </w:rPr>
              <w:t>万元</w:t>
            </w:r>
          </w:p>
        </w:tc>
        <w:tc>
          <w:tcPr>
            <w:tcW w:w="1975" w:type="dxa"/>
            <w:tcBorders>
              <w:top w:val="single" w:sz="4" w:space="0" w:color="000000"/>
              <w:left w:val="single" w:sz="4" w:space="0" w:color="000000"/>
              <w:bottom w:val="single" w:sz="4" w:space="0" w:color="000000"/>
              <w:right w:val="nil"/>
            </w:tcBorders>
          </w:tcPr>
          <w:p>
            <w:pPr>
              <w:pStyle w:val="TableParagraph"/>
              <w:spacing w:before="104"/>
              <w:ind w:left="212" w:right="189"/>
              <w:jc w:val="center"/>
              <w:rPr>
                <w:sz w:val="21"/>
              </w:rPr>
            </w:pPr>
            <w:r>
              <w:rPr>
                <w:sz w:val="21"/>
              </w:rPr>
              <w:t>0.90%</w:t>
            </w:r>
          </w:p>
        </w:tc>
      </w:tr>
      <w:tr>
        <w:trPr>
          <w:trHeight w:val="467" w:hRule="atLeast"/>
        </w:trPr>
        <w:tc>
          <w:tcPr>
            <w:tcW w:w="3332" w:type="dxa"/>
            <w:tcBorders>
              <w:top w:val="single" w:sz="4" w:space="0" w:color="000000"/>
              <w:left w:val="nil"/>
              <w:bottom w:val="single" w:sz="4" w:space="0" w:color="000000"/>
              <w:right w:val="single" w:sz="4" w:space="0" w:color="000000"/>
            </w:tcBorders>
          </w:tcPr>
          <w:p>
            <w:pPr>
              <w:pStyle w:val="TableParagraph"/>
              <w:spacing w:before="99"/>
              <w:ind w:left="199" w:right="159"/>
              <w:jc w:val="center"/>
              <w:rPr>
                <w:rFonts w:ascii="宋体" w:hAnsi="宋体" w:eastAsia="宋体" w:hint="eastAsia"/>
                <w:sz w:val="21"/>
              </w:rPr>
            </w:pPr>
            <w:r>
              <w:rPr>
                <w:sz w:val="21"/>
              </w:rPr>
              <w:t>200 </w:t>
            </w:r>
            <w:r>
              <w:rPr>
                <w:rFonts w:ascii="宋体" w:hAnsi="宋体" w:eastAsia="宋体" w:hint="eastAsia"/>
                <w:sz w:val="21"/>
              </w:rPr>
              <w:t>万元 </w:t>
            </w:r>
            <w:r>
              <w:rPr>
                <w:sz w:val="21"/>
              </w:rPr>
              <w:t>≤ </w:t>
            </w:r>
            <w:r>
              <w:rPr>
                <w:rFonts w:ascii="宋体" w:hAnsi="宋体" w:eastAsia="宋体" w:hint="eastAsia"/>
                <w:sz w:val="21"/>
              </w:rPr>
              <w:t>申购金额 </w:t>
            </w:r>
            <w:r>
              <w:rPr>
                <w:sz w:val="21"/>
              </w:rPr>
              <w:t>&lt; 500 </w:t>
            </w:r>
            <w:r>
              <w:rPr>
                <w:rFonts w:ascii="宋体" w:hAnsi="宋体" w:eastAsia="宋体" w:hint="eastAsia"/>
                <w:sz w:val="21"/>
              </w:rPr>
              <w:t>万元</w:t>
            </w:r>
          </w:p>
        </w:tc>
        <w:tc>
          <w:tcPr>
            <w:tcW w:w="1975" w:type="dxa"/>
            <w:tcBorders>
              <w:top w:val="single" w:sz="4" w:space="0" w:color="000000"/>
              <w:left w:val="single" w:sz="4" w:space="0" w:color="000000"/>
              <w:bottom w:val="single" w:sz="4" w:space="0" w:color="000000"/>
              <w:right w:val="nil"/>
            </w:tcBorders>
          </w:tcPr>
          <w:p>
            <w:pPr>
              <w:pStyle w:val="TableParagraph"/>
              <w:spacing w:before="104"/>
              <w:ind w:left="212" w:right="189"/>
              <w:jc w:val="center"/>
              <w:rPr>
                <w:sz w:val="21"/>
              </w:rPr>
            </w:pPr>
            <w:r>
              <w:rPr>
                <w:sz w:val="21"/>
              </w:rPr>
              <w:t>0.60%</w:t>
            </w:r>
          </w:p>
        </w:tc>
      </w:tr>
      <w:tr>
        <w:trPr>
          <w:trHeight w:val="469" w:hRule="atLeast"/>
        </w:trPr>
        <w:tc>
          <w:tcPr>
            <w:tcW w:w="3332" w:type="dxa"/>
            <w:tcBorders>
              <w:top w:val="single" w:sz="4" w:space="0" w:color="000000"/>
              <w:left w:val="nil"/>
              <w:right w:val="single" w:sz="4" w:space="0" w:color="000000"/>
            </w:tcBorders>
          </w:tcPr>
          <w:p>
            <w:pPr>
              <w:pStyle w:val="TableParagraph"/>
              <w:spacing w:before="99"/>
              <w:ind w:left="199" w:right="156"/>
              <w:jc w:val="center"/>
              <w:rPr>
                <w:rFonts w:ascii="宋体" w:hAnsi="宋体" w:eastAsia="宋体" w:hint="eastAsia"/>
                <w:sz w:val="21"/>
              </w:rPr>
            </w:pPr>
            <w:r>
              <w:rPr>
                <w:rFonts w:ascii="宋体" w:hAnsi="宋体" w:eastAsia="宋体" w:hint="eastAsia"/>
                <w:sz w:val="21"/>
              </w:rPr>
              <w:t>申购金额 </w:t>
            </w:r>
            <w:r>
              <w:rPr>
                <w:sz w:val="21"/>
              </w:rPr>
              <w:t>≥ 500 </w:t>
            </w:r>
            <w:r>
              <w:rPr>
                <w:rFonts w:ascii="宋体" w:hAnsi="宋体" w:eastAsia="宋体" w:hint="eastAsia"/>
                <w:sz w:val="21"/>
              </w:rPr>
              <w:t>万元</w:t>
            </w:r>
          </w:p>
        </w:tc>
        <w:tc>
          <w:tcPr>
            <w:tcW w:w="1975" w:type="dxa"/>
            <w:tcBorders>
              <w:top w:val="single" w:sz="4" w:space="0" w:color="000000"/>
              <w:left w:val="single" w:sz="4" w:space="0" w:color="000000"/>
              <w:right w:val="nil"/>
            </w:tcBorders>
          </w:tcPr>
          <w:p>
            <w:pPr>
              <w:pStyle w:val="TableParagraph"/>
              <w:spacing w:before="99"/>
              <w:ind w:left="213" w:right="189"/>
              <w:jc w:val="center"/>
              <w:rPr>
                <w:rFonts w:ascii="宋体" w:eastAsia="宋体" w:hint="eastAsia"/>
                <w:sz w:val="21"/>
              </w:rPr>
            </w:pPr>
            <w:r>
              <w:rPr>
                <w:rFonts w:ascii="宋体" w:eastAsia="宋体" w:hint="eastAsia"/>
                <w:sz w:val="21"/>
              </w:rPr>
              <w:t>每笔 </w:t>
            </w:r>
            <w:r>
              <w:rPr>
                <w:sz w:val="21"/>
              </w:rPr>
              <w:t>1,000.00 </w:t>
            </w:r>
            <w:r>
              <w:rPr>
                <w:rFonts w:ascii="宋体" w:eastAsia="宋体" w:hint="eastAsia"/>
                <w:sz w:val="21"/>
              </w:rPr>
              <w:t>元</w:t>
            </w:r>
          </w:p>
        </w:tc>
      </w:tr>
    </w:tbl>
    <w:p>
      <w:pPr>
        <w:pStyle w:val="BodyText"/>
        <w:spacing w:before="100"/>
        <w:ind w:left="580"/>
      </w:pPr>
      <w:r>
        <w:rPr>
          <w:rFonts w:ascii="Calibri" w:eastAsia="Calibri"/>
        </w:rPr>
        <w:t>2</w:t>
      </w:r>
      <w:r>
        <w:rPr/>
        <w:t>、投资者在申购</w:t>
      </w:r>
      <w:r>
        <w:rPr>
          <w:rFonts w:ascii="Calibri" w:eastAsia="Calibri"/>
        </w:rPr>
        <w:t>C </w:t>
      </w:r>
      <w:r>
        <w:rPr/>
        <w:t>类基金份额时不收取申购费。</w:t>
      </w:r>
    </w:p>
    <w:p>
      <w:pPr>
        <w:pStyle w:val="BodyText"/>
        <w:spacing w:before="7"/>
        <w:rPr>
          <w:sz w:val="15"/>
        </w:rPr>
      </w:pPr>
    </w:p>
    <w:p>
      <w:pPr>
        <w:pStyle w:val="BodyText"/>
        <w:spacing w:line="417" w:lineRule="auto"/>
        <w:ind w:left="160" w:right="871" w:firstLine="419"/>
      </w:pPr>
      <w:r>
        <w:rPr>
          <w:rFonts w:ascii="Calibri" w:eastAsia="Calibri"/>
        </w:rPr>
        <w:t>3</w:t>
      </w:r>
      <w:r>
        <w:rPr/>
        <w:t>、本基金 </w:t>
      </w:r>
      <w:r>
        <w:rPr>
          <w:rFonts w:ascii="Calibri" w:eastAsia="Calibri"/>
        </w:rPr>
        <w:t>A </w:t>
      </w:r>
      <w:r>
        <w:rPr/>
        <w:t>类、</w:t>
      </w:r>
      <w:r>
        <w:rPr>
          <w:rFonts w:ascii="Calibri" w:eastAsia="Calibri"/>
        </w:rPr>
        <w:t>C </w:t>
      </w:r>
      <w:r>
        <w:rPr/>
        <w:t>类收取赎回费，赎回费由赎回人承担，在投资者赎回基金份额时收取。</w:t>
      </w:r>
    </w:p>
    <w:p>
      <w:pPr>
        <w:pStyle w:val="BodyText"/>
        <w:ind w:left="580"/>
      </w:pPr>
      <w:r>
        <w:rPr/>
        <w:t>（</w:t>
      </w:r>
      <w:r>
        <w:rPr>
          <w:rFonts w:ascii="Calibri" w:eastAsia="Calibri"/>
        </w:rPr>
        <w:t>1</w:t>
      </w:r>
      <w:r>
        <w:rPr/>
        <w:t>）</w:t>
      </w:r>
      <w:r>
        <w:rPr>
          <w:rFonts w:ascii="Calibri" w:eastAsia="Calibri"/>
        </w:rPr>
        <w:t>A </w:t>
      </w:r>
      <w:r>
        <w:rPr/>
        <w:t>类基金份额赎回费率如下：</w:t>
      </w:r>
    </w:p>
    <w:p>
      <w:pPr>
        <w:pStyle w:val="BodyText"/>
        <w:spacing w:before="10"/>
        <w:rPr>
          <w:sz w:val="7"/>
        </w:rPr>
      </w:pPr>
    </w:p>
    <w:tbl>
      <w:tblPr>
        <w:tblW w:w="0" w:type="auto"/>
        <w:jc w:val="left"/>
        <w:tblInd w:w="24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225"/>
        <w:gridCol w:w="1418"/>
      </w:tblGrid>
      <w:tr>
        <w:trPr>
          <w:trHeight w:val="466" w:hRule="atLeast"/>
        </w:trPr>
        <w:tc>
          <w:tcPr>
            <w:tcW w:w="2225" w:type="dxa"/>
            <w:tcBorders>
              <w:left w:val="nil"/>
              <w:right w:val="single" w:sz="4" w:space="0" w:color="000000"/>
            </w:tcBorders>
          </w:tcPr>
          <w:p>
            <w:pPr>
              <w:pStyle w:val="TableParagraph"/>
              <w:spacing w:before="99"/>
              <w:ind w:left="146" w:right="101"/>
              <w:jc w:val="center"/>
              <w:rPr>
                <w:rFonts w:ascii="宋体" w:eastAsia="宋体" w:hint="eastAsia"/>
                <w:b/>
                <w:sz w:val="21"/>
              </w:rPr>
            </w:pPr>
            <w:r>
              <w:rPr>
                <w:rFonts w:ascii="宋体" w:eastAsia="宋体" w:hint="eastAsia"/>
                <w:b/>
                <w:sz w:val="21"/>
              </w:rPr>
              <w:t>持有期限</w:t>
            </w:r>
          </w:p>
        </w:tc>
        <w:tc>
          <w:tcPr>
            <w:tcW w:w="1418" w:type="dxa"/>
            <w:tcBorders>
              <w:left w:val="single" w:sz="4" w:space="0" w:color="000000"/>
              <w:right w:val="nil"/>
            </w:tcBorders>
          </w:tcPr>
          <w:p>
            <w:pPr>
              <w:pStyle w:val="TableParagraph"/>
              <w:spacing w:before="99"/>
              <w:ind w:left="278" w:right="251"/>
              <w:jc w:val="center"/>
              <w:rPr>
                <w:rFonts w:ascii="宋体" w:eastAsia="宋体" w:hint="eastAsia"/>
                <w:b/>
                <w:sz w:val="21"/>
              </w:rPr>
            </w:pPr>
            <w:r>
              <w:rPr>
                <w:rFonts w:ascii="宋体" w:eastAsia="宋体" w:hint="eastAsia"/>
                <w:b/>
                <w:sz w:val="21"/>
              </w:rPr>
              <w:t>赎回费率</w:t>
            </w:r>
          </w:p>
        </w:tc>
      </w:tr>
      <w:tr>
        <w:trPr>
          <w:trHeight w:val="469" w:hRule="atLeast"/>
        </w:trPr>
        <w:tc>
          <w:tcPr>
            <w:tcW w:w="2225" w:type="dxa"/>
            <w:tcBorders>
              <w:left w:val="nil"/>
              <w:bottom w:val="single" w:sz="4" w:space="0" w:color="000000"/>
              <w:right w:val="single" w:sz="4" w:space="0" w:color="000000"/>
            </w:tcBorders>
          </w:tcPr>
          <w:p>
            <w:pPr>
              <w:pStyle w:val="TableParagraph"/>
              <w:spacing w:before="101"/>
              <w:ind w:left="146" w:right="101"/>
              <w:jc w:val="center"/>
              <w:rPr>
                <w:rFonts w:ascii="宋体" w:eastAsia="宋体" w:hint="eastAsia"/>
                <w:sz w:val="21"/>
              </w:rPr>
            </w:pPr>
            <w:r>
              <w:rPr>
                <w:rFonts w:ascii="宋体" w:eastAsia="宋体" w:hint="eastAsia"/>
                <w:sz w:val="21"/>
              </w:rPr>
              <w:t>持有期限 </w:t>
            </w:r>
            <w:r>
              <w:rPr>
                <w:sz w:val="21"/>
              </w:rPr>
              <w:t>&lt; 7 </w:t>
            </w:r>
            <w:r>
              <w:rPr>
                <w:rFonts w:ascii="宋体" w:eastAsia="宋体" w:hint="eastAsia"/>
                <w:sz w:val="21"/>
              </w:rPr>
              <w:t>天</w:t>
            </w:r>
          </w:p>
        </w:tc>
        <w:tc>
          <w:tcPr>
            <w:tcW w:w="1418" w:type="dxa"/>
            <w:tcBorders>
              <w:left w:val="single" w:sz="4" w:space="0" w:color="000000"/>
              <w:bottom w:val="single" w:sz="4" w:space="0" w:color="000000"/>
              <w:right w:val="nil"/>
            </w:tcBorders>
          </w:tcPr>
          <w:p>
            <w:pPr>
              <w:pStyle w:val="TableParagraph"/>
              <w:spacing w:before="106"/>
              <w:ind w:left="278" w:right="250"/>
              <w:jc w:val="center"/>
              <w:rPr>
                <w:sz w:val="21"/>
              </w:rPr>
            </w:pPr>
            <w:r>
              <w:rPr>
                <w:sz w:val="21"/>
              </w:rPr>
              <w:t>1.50%</w:t>
            </w:r>
          </w:p>
        </w:tc>
      </w:tr>
      <w:tr>
        <w:trPr>
          <w:trHeight w:val="467" w:hRule="atLeast"/>
        </w:trPr>
        <w:tc>
          <w:tcPr>
            <w:tcW w:w="2225" w:type="dxa"/>
            <w:tcBorders>
              <w:top w:val="single" w:sz="4" w:space="0" w:color="000000"/>
              <w:left w:val="nil"/>
              <w:bottom w:val="single" w:sz="4" w:space="0" w:color="000000"/>
              <w:right w:val="single" w:sz="4" w:space="0" w:color="000000"/>
            </w:tcBorders>
          </w:tcPr>
          <w:p>
            <w:pPr>
              <w:pStyle w:val="TableParagraph"/>
              <w:spacing w:before="99"/>
              <w:ind w:left="149" w:right="101"/>
              <w:jc w:val="center"/>
              <w:rPr>
                <w:rFonts w:ascii="宋体" w:hAnsi="宋体" w:eastAsia="宋体" w:hint="eastAsia"/>
                <w:sz w:val="21"/>
              </w:rPr>
            </w:pPr>
            <w:r>
              <w:rPr>
                <w:sz w:val="21"/>
              </w:rPr>
              <w:t>7 </w:t>
            </w:r>
            <w:r>
              <w:rPr>
                <w:rFonts w:ascii="宋体" w:hAnsi="宋体" w:eastAsia="宋体" w:hint="eastAsia"/>
                <w:sz w:val="21"/>
              </w:rPr>
              <w:t>天</w:t>
            </w:r>
            <w:r>
              <w:rPr>
                <w:sz w:val="21"/>
              </w:rPr>
              <w:t>≤</w:t>
            </w:r>
            <w:r>
              <w:rPr>
                <w:rFonts w:ascii="宋体" w:hAnsi="宋体" w:eastAsia="宋体" w:hint="eastAsia"/>
                <w:sz w:val="21"/>
              </w:rPr>
              <w:t>持有期限 </w:t>
            </w:r>
            <w:r>
              <w:rPr>
                <w:sz w:val="21"/>
              </w:rPr>
              <w:t>&lt; 1 </w:t>
            </w:r>
            <w:r>
              <w:rPr>
                <w:rFonts w:ascii="宋体" w:hAnsi="宋体" w:eastAsia="宋体" w:hint="eastAsia"/>
                <w:sz w:val="21"/>
              </w:rPr>
              <w:t>年</w:t>
            </w:r>
          </w:p>
        </w:tc>
        <w:tc>
          <w:tcPr>
            <w:tcW w:w="1418" w:type="dxa"/>
            <w:tcBorders>
              <w:top w:val="single" w:sz="4" w:space="0" w:color="000000"/>
              <w:left w:val="single" w:sz="4" w:space="0" w:color="000000"/>
              <w:bottom w:val="single" w:sz="4" w:space="0" w:color="000000"/>
              <w:right w:val="nil"/>
            </w:tcBorders>
          </w:tcPr>
          <w:p>
            <w:pPr>
              <w:pStyle w:val="TableParagraph"/>
              <w:spacing w:before="104"/>
              <w:ind w:left="278" w:right="250"/>
              <w:jc w:val="center"/>
              <w:rPr>
                <w:sz w:val="21"/>
              </w:rPr>
            </w:pPr>
            <w:r>
              <w:rPr>
                <w:sz w:val="21"/>
              </w:rPr>
              <w:t>0.50%</w:t>
            </w:r>
          </w:p>
        </w:tc>
      </w:tr>
      <w:tr>
        <w:trPr>
          <w:trHeight w:val="469" w:hRule="atLeast"/>
        </w:trPr>
        <w:tc>
          <w:tcPr>
            <w:tcW w:w="2225" w:type="dxa"/>
            <w:tcBorders>
              <w:top w:val="single" w:sz="4" w:space="0" w:color="000000"/>
              <w:left w:val="nil"/>
              <w:right w:val="single" w:sz="4" w:space="0" w:color="000000"/>
            </w:tcBorders>
          </w:tcPr>
          <w:p>
            <w:pPr>
              <w:pStyle w:val="TableParagraph"/>
              <w:spacing w:before="99"/>
              <w:ind w:left="146" w:right="101"/>
              <w:jc w:val="center"/>
              <w:rPr>
                <w:rFonts w:ascii="宋体" w:hAnsi="宋体" w:eastAsia="宋体" w:hint="eastAsia"/>
                <w:sz w:val="21"/>
              </w:rPr>
            </w:pPr>
            <w:r>
              <w:rPr>
                <w:rFonts w:ascii="宋体" w:hAnsi="宋体" w:eastAsia="宋体" w:hint="eastAsia"/>
                <w:sz w:val="21"/>
              </w:rPr>
              <w:t>持有期限 </w:t>
            </w:r>
            <w:r>
              <w:rPr>
                <w:sz w:val="21"/>
              </w:rPr>
              <w:t>≥ 1 </w:t>
            </w:r>
            <w:r>
              <w:rPr>
                <w:rFonts w:ascii="宋体" w:hAnsi="宋体" w:eastAsia="宋体" w:hint="eastAsia"/>
                <w:sz w:val="21"/>
              </w:rPr>
              <w:t>年</w:t>
            </w:r>
          </w:p>
        </w:tc>
        <w:tc>
          <w:tcPr>
            <w:tcW w:w="1418" w:type="dxa"/>
            <w:tcBorders>
              <w:top w:val="single" w:sz="4" w:space="0" w:color="000000"/>
              <w:left w:val="single" w:sz="4" w:space="0" w:color="000000"/>
              <w:right w:val="nil"/>
            </w:tcBorders>
          </w:tcPr>
          <w:p>
            <w:pPr>
              <w:pStyle w:val="TableParagraph"/>
              <w:spacing w:before="104"/>
              <w:ind w:left="28"/>
              <w:jc w:val="center"/>
              <w:rPr>
                <w:sz w:val="21"/>
              </w:rPr>
            </w:pPr>
            <w:r>
              <w:rPr>
                <w:w w:val="100"/>
                <w:sz w:val="21"/>
              </w:rPr>
              <w:t>0</w:t>
            </w:r>
          </w:p>
        </w:tc>
      </w:tr>
    </w:tbl>
    <w:p>
      <w:pPr>
        <w:pStyle w:val="BodyText"/>
        <w:spacing w:line="417" w:lineRule="auto" w:before="99"/>
        <w:ind w:left="160" w:right="871" w:firstLine="419"/>
      </w:pPr>
      <w:r>
        <w:rPr>
          <w:spacing w:val="-10"/>
        </w:rPr>
        <w:t>其中，不低于赎回费总额的 </w:t>
      </w:r>
      <w:r>
        <w:rPr>
          <w:rFonts w:ascii="Calibri" w:eastAsia="Calibri"/>
        </w:rPr>
        <w:t>25%</w:t>
      </w:r>
      <w:r>
        <w:rPr>
          <w:spacing w:val="-9"/>
        </w:rPr>
        <w:t>应归基金财产，其余用于支付登记费和其他必要的手续费。对于赎回时份额持有不满 </w:t>
      </w:r>
      <w:r>
        <w:rPr>
          <w:rFonts w:ascii="Calibri" w:eastAsia="Calibri"/>
        </w:rPr>
        <w:t>7 </w:t>
      </w:r>
      <w:r>
        <w:rPr>
          <w:spacing w:val="-3"/>
        </w:rPr>
        <w:t>天的，收取的赎回费全额计入基金财产。</w:t>
      </w:r>
    </w:p>
    <w:p>
      <w:pPr>
        <w:pStyle w:val="BodyText"/>
        <w:ind w:left="580"/>
      </w:pPr>
      <w:r>
        <w:rPr/>
        <w:t>（</w:t>
      </w:r>
      <w:r>
        <w:rPr>
          <w:rFonts w:ascii="Times New Roman" w:eastAsia="Times New Roman"/>
        </w:rPr>
        <w:t>2</w:t>
      </w:r>
      <w:r>
        <w:rPr/>
        <w:t>）</w:t>
      </w:r>
      <w:r>
        <w:rPr>
          <w:rFonts w:ascii="Times New Roman" w:eastAsia="Times New Roman"/>
        </w:rPr>
        <w:t>C </w:t>
      </w:r>
      <w:r>
        <w:rPr/>
        <w:t>类基金份额赎回费率如下：</w:t>
      </w:r>
    </w:p>
    <w:p>
      <w:pPr>
        <w:spacing w:after="0"/>
        <w:sectPr>
          <w:pgSz w:w="11910" w:h="16840"/>
          <w:pgMar w:header="877" w:footer="995" w:top="1420" w:bottom="1180" w:left="1640" w:right="920"/>
        </w:sectPr>
      </w:pPr>
    </w:p>
    <w:tbl>
      <w:tblPr>
        <w:tblW w:w="0" w:type="auto"/>
        <w:jc w:val="left"/>
        <w:tblInd w:w="27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697"/>
        <w:gridCol w:w="1421"/>
      </w:tblGrid>
      <w:tr>
        <w:trPr>
          <w:trHeight w:val="467" w:hRule="atLeast"/>
        </w:trPr>
        <w:tc>
          <w:tcPr>
            <w:tcW w:w="1697" w:type="dxa"/>
            <w:tcBorders>
              <w:left w:val="nil"/>
              <w:right w:val="single" w:sz="4" w:space="0" w:color="000000"/>
            </w:tcBorders>
          </w:tcPr>
          <w:p>
            <w:pPr>
              <w:pStyle w:val="TableParagraph"/>
              <w:spacing w:before="102"/>
              <w:ind w:left="120" w:right="70"/>
              <w:jc w:val="center"/>
              <w:rPr>
                <w:rFonts w:ascii="宋体" w:eastAsia="宋体" w:hint="eastAsia"/>
                <w:b/>
                <w:sz w:val="21"/>
              </w:rPr>
            </w:pPr>
            <w:r>
              <w:rPr>
                <w:rFonts w:ascii="宋体" w:eastAsia="宋体" w:hint="eastAsia"/>
                <w:b/>
                <w:sz w:val="21"/>
              </w:rPr>
              <w:t>持有期限</w:t>
            </w:r>
          </w:p>
        </w:tc>
        <w:tc>
          <w:tcPr>
            <w:tcW w:w="1421" w:type="dxa"/>
            <w:tcBorders>
              <w:left w:val="single" w:sz="4" w:space="0" w:color="000000"/>
              <w:right w:val="nil"/>
            </w:tcBorders>
          </w:tcPr>
          <w:p>
            <w:pPr>
              <w:pStyle w:val="TableParagraph"/>
              <w:spacing w:before="102"/>
              <w:ind w:left="278" w:right="254"/>
              <w:jc w:val="center"/>
              <w:rPr>
                <w:rFonts w:ascii="宋体" w:eastAsia="宋体" w:hint="eastAsia"/>
                <w:b/>
                <w:sz w:val="21"/>
              </w:rPr>
            </w:pPr>
            <w:r>
              <w:rPr>
                <w:rFonts w:ascii="宋体" w:eastAsia="宋体" w:hint="eastAsia"/>
                <w:b/>
                <w:sz w:val="21"/>
              </w:rPr>
              <w:t>赎回费率</w:t>
            </w:r>
          </w:p>
        </w:tc>
      </w:tr>
      <w:tr>
        <w:trPr>
          <w:trHeight w:val="469" w:hRule="atLeast"/>
        </w:trPr>
        <w:tc>
          <w:tcPr>
            <w:tcW w:w="1697" w:type="dxa"/>
            <w:tcBorders>
              <w:left w:val="nil"/>
              <w:bottom w:val="single" w:sz="4" w:space="0" w:color="000000"/>
              <w:right w:val="single" w:sz="4" w:space="0" w:color="000000"/>
            </w:tcBorders>
          </w:tcPr>
          <w:p>
            <w:pPr>
              <w:pStyle w:val="TableParagraph"/>
              <w:spacing w:before="101"/>
              <w:ind w:left="120" w:right="70"/>
              <w:jc w:val="center"/>
              <w:rPr>
                <w:rFonts w:ascii="宋体" w:eastAsia="宋体" w:hint="eastAsia"/>
                <w:sz w:val="21"/>
              </w:rPr>
            </w:pPr>
            <w:r>
              <w:rPr>
                <w:rFonts w:ascii="宋体" w:eastAsia="宋体" w:hint="eastAsia"/>
                <w:sz w:val="21"/>
              </w:rPr>
              <w:t>持有期限 </w:t>
            </w:r>
            <w:r>
              <w:rPr>
                <w:sz w:val="21"/>
              </w:rPr>
              <w:t>&lt; 7 </w:t>
            </w:r>
            <w:r>
              <w:rPr>
                <w:rFonts w:ascii="宋体" w:eastAsia="宋体" w:hint="eastAsia"/>
                <w:sz w:val="21"/>
              </w:rPr>
              <w:t>天</w:t>
            </w:r>
          </w:p>
        </w:tc>
        <w:tc>
          <w:tcPr>
            <w:tcW w:w="1421" w:type="dxa"/>
            <w:tcBorders>
              <w:left w:val="single" w:sz="4" w:space="0" w:color="000000"/>
              <w:bottom w:val="single" w:sz="4" w:space="0" w:color="000000"/>
              <w:right w:val="nil"/>
            </w:tcBorders>
          </w:tcPr>
          <w:p>
            <w:pPr>
              <w:pStyle w:val="TableParagraph"/>
              <w:spacing w:before="106"/>
              <w:ind w:left="278" w:right="253"/>
              <w:jc w:val="center"/>
              <w:rPr>
                <w:sz w:val="21"/>
              </w:rPr>
            </w:pPr>
            <w:r>
              <w:rPr>
                <w:sz w:val="21"/>
              </w:rPr>
              <w:t>1.50%</w:t>
            </w:r>
          </w:p>
        </w:tc>
      </w:tr>
      <w:tr>
        <w:trPr>
          <w:trHeight w:val="469" w:hRule="atLeast"/>
        </w:trPr>
        <w:tc>
          <w:tcPr>
            <w:tcW w:w="1697" w:type="dxa"/>
            <w:tcBorders>
              <w:top w:val="single" w:sz="4" w:space="0" w:color="000000"/>
              <w:left w:val="nil"/>
              <w:right w:val="single" w:sz="4" w:space="0" w:color="000000"/>
            </w:tcBorders>
          </w:tcPr>
          <w:p>
            <w:pPr>
              <w:pStyle w:val="TableParagraph"/>
              <w:spacing w:before="99"/>
              <w:ind w:left="120" w:right="70"/>
              <w:jc w:val="center"/>
              <w:rPr>
                <w:rFonts w:ascii="宋体" w:hAnsi="宋体" w:eastAsia="宋体" w:hint="eastAsia"/>
                <w:sz w:val="21"/>
              </w:rPr>
            </w:pPr>
            <w:r>
              <w:rPr>
                <w:rFonts w:ascii="宋体" w:hAnsi="宋体" w:eastAsia="宋体" w:hint="eastAsia"/>
                <w:sz w:val="21"/>
              </w:rPr>
              <w:t>持有期限 </w:t>
            </w:r>
            <w:r>
              <w:rPr>
                <w:sz w:val="21"/>
              </w:rPr>
              <w:t>≥7 </w:t>
            </w:r>
            <w:r>
              <w:rPr>
                <w:rFonts w:ascii="宋体" w:hAnsi="宋体" w:eastAsia="宋体" w:hint="eastAsia"/>
                <w:sz w:val="21"/>
              </w:rPr>
              <w:t>天</w:t>
            </w:r>
          </w:p>
        </w:tc>
        <w:tc>
          <w:tcPr>
            <w:tcW w:w="1421" w:type="dxa"/>
            <w:tcBorders>
              <w:top w:val="single" w:sz="4" w:space="0" w:color="000000"/>
              <w:left w:val="single" w:sz="4" w:space="0" w:color="000000"/>
              <w:right w:val="nil"/>
            </w:tcBorders>
          </w:tcPr>
          <w:p>
            <w:pPr>
              <w:pStyle w:val="TableParagraph"/>
              <w:spacing w:before="104"/>
              <w:ind w:left="278" w:right="253"/>
              <w:jc w:val="center"/>
              <w:rPr>
                <w:sz w:val="21"/>
              </w:rPr>
            </w:pPr>
            <w:r>
              <w:rPr>
                <w:sz w:val="21"/>
              </w:rPr>
              <w:t>0.00%</w:t>
            </w:r>
          </w:p>
        </w:tc>
      </w:tr>
    </w:tbl>
    <w:p>
      <w:pPr>
        <w:pStyle w:val="BodyText"/>
        <w:spacing w:before="109"/>
        <w:ind w:left="580"/>
      </w:pPr>
      <w:r>
        <w:rPr/>
        <w:t>收取的赎回费全额计入基金财产。</w:t>
      </w:r>
    </w:p>
    <w:p>
      <w:pPr>
        <w:pStyle w:val="BodyText"/>
        <w:spacing w:before="7"/>
        <w:rPr>
          <w:sz w:val="15"/>
        </w:rPr>
      </w:pPr>
    </w:p>
    <w:p>
      <w:pPr>
        <w:pStyle w:val="BodyText"/>
        <w:spacing w:line="417" w:lineRule="auto"/>
        <w:ind w:left="160" w:right="874" w:firstLine="419"/>
      </w:pPr>
      <w:r>
        <w:rPr>
          <w:rFonts w:ascii="Calibri" w:eastAsia="Calibri"/>
        </w:rPr>
        <w:t>4</w:t>
      </w:r>
      <w:r>
        <w:rPr/>
        <w:t>、基金管理人可以在基金合同约定的范围内调整费率或收费方式，并最迟应于新的费率或收费方式实施日前依照《信息披露办法》的有关规定在指定媒介上公告。</w:t>
      </w:r>
    </w:p>
    <w:p>
      <w:pPr>
        <w:pStyle w:val="BodyText"/>
        <w:spacing w:line="417" w:lineRule="auto"/>
        <w:ind w:left="160" w:right="871" w:firstLine="419"/>
        <w:jc w:val="both"/>
      </w:pPr>
      <w:r>
        <w:rPr>
          <w:rFonts w:ascii="Calibri" w:eastAsia="Calibri"/>
        </w:rPr>
        <w:t>5</w:t>
      </w:r>
      <w:r>
        <w:rPr>
          <w:spacing w:val="-3"/>
        </w:rPr>
        <w:t>、基金管理人可以在不违反法律法规规定及基金合同约定的情形下根据市场情况制定</w:t>
      </w:r>
      <w:r>
        <w:rPr>
          <w:spacing w:val="-9"/>
        </w:rPr>
        <w:t>基金促销计划，针对以特定交易方式</w:t>
      </w:r>
      <w:r>
        <w:rPr/>
        <w:t>（</w:t>
      </w:r>
      <w:r>
        <w:rPr>
          <w:spacing w:val="-6"/>
        </w:rPr>
        <w:t>如网上交易、移动客户端交易</w:t>
      </w:r>
      <w:r>
        <w:rPr>
          <w:spacing w:val="-27"/>
        </w:rPr>
        <w:t>）</w:t>
      </w:r>
      <w:r>
        <w:rPr>
          <w:spacing w:val="-3"/>
        </w:rPr>
        <w:t>等进行基金交易的投</w:t>
      </w:r>
      <w:r>
        <w:rPr>
          <w:spacing w:val="-8"/>
        </w:rPr>
        <w:t>资者定期或不定期地开展基金促销活动。在基金促销活动期间，基金管理人可根据法律法规</w:t>
      </w:r>
      <w:r>
        <w:rPr>
          <w:spacing w:val="-5"/>
        </w:rPr>
        <w:t>要求对基金申购费率、赎回费率等进行适当费率优惠。</w:t>
      </w:r>
    </w:p>
    <w:p>
      <w:pPr>
        <w:pStyle w:val="BodyText"/>
        <w:ind w:left="580"/>
      </w:pPr>
      <w:r>
        <w:rPr/>
        <w:t>（七）申购份额与赎回金额的计算方式</w:t>
      </w:r>
    </w:p>
    <w:p>
      <w:pPr>
        <w:pStyle w:val="BodyText"/>
        <w:spacing w:before="6"/>
        <w:rPr>
          <w:sz w:val="15"/>
        </w:rPr>
      </w:pPr>
    </w:p>
    <w:p>
      <w:pPr>
        <w:pStyle w:val="BodyText"/>
        <w:ind w:left="580"/>
      </w:pPr>
      <w:r>
        <w:rPr>
          <w:rFonts w:ascii="Calibri" w:eastAsia="Calibri"/>
        </w:rPr>
        <w:t>1</w:t>
      </w:r>
      <w:r>
        <w:rPr/>
        <w:t>、申购份额的计算</w:t>
      </w:r>
    </w:p>
    <w:p>
      <w:pPr>
        <w:pStyle w:val="BodyText"/>
        <w:spacing w:before="7"/>
        <w:rPr>
          <w:sz w:val="15"/>
        </w:rPr>
      </w:pPr>
    </w:p>
    <w:p>
      <w:pPr>
        <w:pStyle w:val="ListParagraph"/>
        <w:numPr>
          <w:ilvl w:val="0"/>
          <w:numId w:val="10"/>
        </w:numPr>
        <w:tabs>
          <w:tab w:pos="1110" w:val="left" w:leader="none"/>
        </w:tabs>
        <w:spacing w:line="417" w:lineRule="auto" w:before="0" w:after="0"/>
        <w:ind w:left="580" w:right="2335" w:firstLine="0"/>
        <w:jc w:val="left"/>
        <w:rPr>
          <w:sz w:val="21"/>
        </w:rPr>
      </w:pPr>
      <w:r>
        <w:rPr>
          <w:spacing w:val="-7"/>
          <w:sz w:val="21"/>
        </w:rPr>
        <w:t>当投资者选择申购 </w:t>
      </w:r>
      <w:r>
        <w:rPr>
          <w:rFonts w:ascii="Calibri" w:eastAsia="Calibri"/>
          <w:sz w:val="21"/>
        </w:rPr>
        <w:t>A</w:t>
      </w:r>
      <w:r>
        <w:rPr>
          <w:rFonts w:ascii="Calibri" w:eastAsia="Calibri"/>
          <w:spacing w:val="18"/>
          <w:sz w:val="21"/>
        </w:rPr>
        <w:t> </w:t>
      </w:r>
      <w:r>
        <w:rPr>
          <w:spacing w:val="-3"/>
          <w:sz w:val="21"/>
        </w:rPr>
        <w:t>类基金份额时，申购份额的计算方法如下： 申购费用适用比例费率时，申购份额的计算方法如下：</w:t>
      </w:r>
    </w:p>
    <w:p>
      <w:pPr>
        <w:pStyle w:val="BodyText"/>
        <w:spacing w:line="417" w:lineRule="auto"/>
        <w:ind w:left="1000" w:right="4164"/>
      </w:pPr>
      <w:r>
        <w:rPr/>
        <w:t>净申购金额＝申购金额</w:t>
      </w:r>
      <w:r>
        <w:rPr>
          <w:rFonts w:ascii="Calibri" w:eastAsia="Calibri"/>
          <w:position w:val="1"/>
        </w:rPr>
        <w:t>/</w:t>
      </w:r>
      <w:r>
        <w:rPr/>
        <w:t>（</w:t>
      </w:r>
      <w:r>
        <w:rPr>
          <w:rFonts w:ascii="Calibri" w:eastAsia="Calibri"/>
          <w:position w:val="1"/>
        </w:rPr>
        <w:t>1</w:t>
      </w:r>
      <w:r>
        <w:rPr/>
        <w:t>＋前端申购费率） 前端申购费用＝申购金额－净申购金额</w:t>
      </w:r>
    </w:p>
    <w:p>
      <w:pPr>
        <w:pStyle w:val="BodyText"/>
        <w:spacing w:line="269" w:lineRule="exact"/>
        <w:ind w:left="1000"/>
      </w:pPr>
      <w:r>
        <w:rPr/>
        <w:t>申购份额＝净申购金额</w:t>
      </w:r>
      <w:r>
        <w:rPr>
          <w:rFonts w:ascii="Calibri" w:eastAsia="Calibri"/>
          <w:position w:val="1"/>
        </w:rPr>
        <w:t>/T</w:t>
      </w:r>
      <w:r>
        <w:rPr/>
        <w:t>日</w:t>
      </w:r>
      <w:r>
        <w:rPr>
          <w:rFonts w:ascii="Calibri" w:eastAsia="Calibri"/>
          <w:position w:val="1"/>
        </w:rPr>
        <w:t>A</w:t>
      </w:r>
      <w:r>
        <w:rPr/>
        <w:t>类基金份额净值</w:t>
      </w:r>
    </w:p>
    <w:p>
      <w:pPr>
        <w:pStyle w:val="BodyText"/>
        <w:spacing w:before="7"/>
        <w:rPr>
          <w:sz w:val="15"/>
        </w:rPr>
      </w:pPr>
    </w:p>
    <w:p>
      <w:pPr>
        <w:pStyle w:val="BodyText"/>
        <w:spacing w:line="417" w:lineRule="auto"/>
        <w:ind w:left="1000" w:right="3929" w:hanging="420"/>
      </w:pPr>
      <w:r>
        <w:rPr/>
        <w:t>申购费用为固定金额时，申购份额的计算方法如下： 前端申购费用＝固定金额</w:t>
      </w:r>
    </w:p>
    <w:p>
      <w:pPr>
        <w:pStyle w:val="BodyText"/>
        <w:spacing w:line="269" w:lineRule="exact"/>
        <w:ind w:left="1000"/>
      </w:pPr>
      <w:r>
        <w:rPr/>
        <w:t>净申购金额</w:t>
      </w:r>
      <w:r>
        <w:rPr>
          <w:rFonts w:ascii="Calibri" w:eastAsia="Calibri"/>
        </w:rPr>
        <w:t>=</w:t>
      </w:r>
      <w:r>
        <w:rPr/>
        <w:t>申购金额－前端申购费用</w:t>
      </w:r>
    </w:p>
    <w:p>
      <w:pPr>
        <w:pStyle w:val="BodyText"/>
        <w:spacing w:before="7"/>
        <w:rPr>
          <w:sz w:val="15"/>
        </w:rPr>
      </w:pPr>
    </w:p>
    <w:p>
      <w:pPr>
        <w:pStyle w:val="BodyText"/>
        <w:ind w:left="1000"/>
      </w:pPr>
      <w:r>
        <w:rPr/>
        <w:t>申购份额＝净申购金额</w:t>
      </w:r>
      <w:r>
        <w:rPr>
          <w:rFonts w:ascii="Calibri" w:eastAsia="Calibri"/>
        </w:rPr>
        <w:t>/T</w:t>
      </w:r>
      <w:r>
        <w:rPr/>
        <w:t>日</w:t>
      </w:r>
      <w:r>
        <w:rPr>
          <w:rFonts w:ascii="Calibri" w:eastAsia="Calibri"/>
        </w:rPr>
        <w:t>A</w:t>
      </w:r>
      <w:r>
        <w:rPr/>
        <w:t>类基金份额净值</w:t>
      </w:r>
    </w:p>
    <w:p>
      <w:pPr>
        <w:pStyle w:val="BodyText"/>
        <w:spacing w:before="7"/>
        <w:rPr>
          <w:sz w:val="15"/>
        </w:rPr>
      </w:pPr>
    </w:p>
    <w:p>
      <w:pPr>
        <w:pStyle w:val="ListParagraph"/>
        <w:numPr>
          <w:ilvl w:val="0"/>
          <w:numId w:val="10"/>
        </w:numPr>
        <w:tabs>
          <w:tab w:pos="1110" w:val="left" w:leader="none"/>
        </w:tabs>
        <w:spacing w:line="417" w:lineRule="auto" w:before="0" w:after="0"/>
        <w:ind w:left="580" w:right="2450" w:firstLine="0"/>
        <w:jc w:val="left"/>
        <w:rPr>
          <w:sz w:val="21"/>
        </w:rPr>
      </w:pPr>
      <w:r>
        <w:rPr>
          <w:spacing w:val="-3"/>
          <w:sz w:val="21"/>
        </w:rPr>
        <w:t>当投资者选择申购</w:t>
      </w:r>
      <w:r>
        <w:rPr>
          <w:rFonts w:ascii="Calibri" w:eastAsia="Calibri"/>
          <w:spacing w:val="-3"/>
          <w:sz w:val="21"/>
        </w:rPr>
        <w:t>C</w:t>
      </w:r>
      <w:r>
        <w:rPr>
          <w:spacing w:val="-3"/>
          <w:sz w:val="21"/>
        </w:rPr>
        <w:t>类基金份额时，申购份额的计算方法如下： 申购份额＝申购金额</w:t>
      </w:r>
      <w:r>
        <w:rPr>
          <w:rFonts w:ascii="Calibri" w:eastAsia="Calibri"/>
          <w:sz w:val="21"/>
        </w:rPr>
        <w:t>/T</w:t>
      </w:r>
      <w:r>
        <w:rPr>
          <w:spacing w:val="-3"/>
          <w:sz w:val="21"/>
        </w:rPr>
        <w:t>日</w:t>
      </w:r>
      <w:r>
        <w:rPr>
          <w:rFonts w:ascii="Calibri" w:eastAsia="Calibri"/>
          <w:spacing w:val="-3"/>
          <w:sz w:val="21"/>
        </w:rPr>
        <w:t>C</w:t>
      </w:r>
      <w:r>
        <w:rPr>
          <w:spacing w:val="-2"/>
          <w:sz w:val="21"/>
        </w:rPr>
        <w:t>类基金份额净值</w:t>
      </w:r>
    </w:p>
    <w:p>
      <w:pPr>
        <w:pStyle w:val="ListParagraph"/>
        <w:numPr>
          <w:ilvl w:val="0"/>
          <w:numId w:val="10"/>
        </w:numPr>
        <w:tabs>
          <w:tab w:pos="1112" w:val="left" w:leader="none"/>
        </w:tabs>
        <w:spacing w:line="417" w:lineRule="auto" w:before="0" w:after="0"/>
        <w:ind w:left="160" w:right="874" w:firstLine="419"/>
        <w:jc w:val="left"/>
        <w:rPr>
          <w:sz w:val="21"/>
        </w:rPr>
      </w:pPr>
      <w:r>
        <w:rPr>
          <w:spacing w:val="-3"/>
          <w:sz w:val="21"/>
        </w:rPr>
        <w:t>基金份额按照四舍五入方法，保留小数点后两位，由此误差产生的损失由基金财产承担，产生的收益归基金财产所有。</w:t>
      </w:r>
    </w:p>
    <w:p>
      <w:pPr>
        <w:pStyle w:val="BodyText"/>
        <w:spacing w:line="269" w:lineRule="exact"/>
        <w:ind w:left="580"/>
      </w:pPr>
      <w:r>
        <w:rPr/>
        <w:t>例：假定</w:t>
      </w:r>
      <w:r>
        <w:rPr>
          <w:rFonts w:ascii="Calibri" w:eastAsia="Calibri"/>
        </w:rPr>
        <w:t>T</w:t>
      </w:r>
      <w:r>
        <w:rPr/>
        <w:t>日的</w:t>
      </w:r>
      <w:r>
        <w:rPr>
          <w:rFonts w:ascii="Calibri" w:eastAsia="Calibri"/>
        </w:rPr>
        <w:t>A</w:t>
      </w:r>
      <w:r>
        <w:rPr/>
        <w:t>类基金份额净值为</w:t>
      </w:r>
      <w:r>
        <w:rPr>
          <w:rFonts w:ascii="Calibri" w:eastAsia="Calibri"/>
        </w:rPr>
        <w:t>1.2300</w:t>
      </w:r>
      <w:r>
        <w:rPr/>
        <w:t>元，四笔申购金额分别为</w:t>
      </w:r>
      <w:r>
        <w:rPr>
          <w:rFonts w:ascii="Calibri" w:eastAsia="Calibri"/>
        </w:rPr>
        <w:t>1,000.00</w:t>
      </w:r>
      <w:r>
        <w:rPr/>
        <w:t>元、</w:t>
      </w:r>
      <w:r>
        <w:rPr>
          <w:rFonts w:ascii="Calibri" w:eastAsia="Calibri"/>
        </w:rPr>
        <w:t>100</w:t>
      </w:r>
      <w:r>
        <w:rPr/>
        <w:t>万元、</w:t>
      </w:r>
    </w:p>
    <w:p>
      <w:pPr>
        <w:pStyle w:val="BodyText"/>
        <w:spacing w:before="6"/>
        <w:rPr>
          <w:sz w:val="15"/>
        </w:rPr>
      </w:pPr>
    </w:p>
    <w:p>
      <w:pPr>
        <w:pStyle w:val="BodyText"/>
        <w:ind w:left="160"/>
      </w:pPr>
      <w:r>
        <w:rPr/>
        <w:pict>
          <v:group style="position:absolute;margin-left:120.379997pt;margin-top:18.420094pt;width:354pt;height:50.3pt;mso-position-horizontal-relative:page;mso-position-vertical-relative:paragraph;z-index:-251646976;mso-wrap-distance-left:0;mso-wrap-distance-right:0" coordorigin="2408,368" coordsize="7080,1006">
            <v:line style="position:absolute" from="2422,383" to="5067,383" stroked="true" strokeweight="1.4399pt" strokecolor="#000000">
              <v:stroke dashstyle="solid"/>
            </v:line>
            <v:shape style="position:absolute;left:5067;top:397;width:10;height:3" type="#_x0000_t75" stroked="false">
              <v:imagedata r:id="rId137" o:title=""/>
            </v:shape>
            <v:rect style="position:absolute;left:5067;top:368;width:29;height:29" filled="true" fillcolor="#000000" stroked="false">
              <v:fill type="solid"/>
            </v:rect>
            <v:line style="position:absolute" from="5096,383" to="6474,383" stroked="true" strokeweight="1.4399pt" strokecolor="#000000">
              <v:stroke dashstyle="solid"/>
            </v:line>
            <v:shape style="position:absolute;left:6474;top:397;width:10;height:3" type="#_x0000_t75" stroked="false">
              <v:imagedata r:id="rId137" o:title=""/>
            </v:shape>
            <v:rect style="position:absolute;left:6474;top:368;width:29;height:29" filled="true" fillcolor="#000000" stroked="false">
              <v:fill type="solid"/>
            </v:rect>
            <v:line style="position:absolute" from="6503,383" to="7936,383" stroked="true" strokeweight="1.4399pt" strokecolor="#000000">
              <v:stroke dashstyle="solid"/>
            </v:line>
            <v:shape style="position:absolute;left:7935;top:397;width:10;height:3" type="#_x0000_t75" stroked="false">
              <v:imagedata r:id="rId137" o:title=""/>
            </v:shape>
            <v:rect style="position:absolute;left:7935;top:368;width:29;height:29" filled="true" fillcolor="#000000" stroked="false">
              <v:fill type="solid"/>
            </v:rect>
            <v:line style="position:absolute" from="7965,383" to="9487,383" stroked="true" strokeweight="1.4399pt" strokecolor="#000000">
              <v:stroke dashstyle="solid"/>
            </v:line>
            <v:shape style="position:absolute;left:5067;top:399;width:10;height:497" type="#_x0000_t75" stroked="false">
              <v:imagedata r:id="rId138" o:title=""/>
            </v:shape>
            <v:shape style="position:absolute;left:6474;top:399;width:10;height:466" type="#_x0000_t75" stroked="false">
              <v:imagedata r:id="rId139" o:title=""/>
            </v:shape>
            <v:shape style="position:absolute;left:7935;top:399;width:10;height:497" type="#_x0000_t75" stroked="false">
              <v:imagedata r:id="rId138" o:title=""/>
            </v:shape>
            <v:line style="position:absolute" from="2422,880" to="5067,880" stroked="true" strokeweight="1.44pt" strokecolor="#000000">
              <v:stroke dashstyle="solid"/>
            </v:line>
            <v:line style="position:absolute" from="5077,880" to="6474,880" stroked="true" strokeweight="1.44pt" strokecolor="#000000">
              <v:stroke dashstyle="solid"/>
            </v:line>
            <v:line style="position:absolute" from="6484,880" to="7936,880" stroked="true" strokeweight="1.44pt" strokecolor="#000000">
              <v:stroke dashstyle="solid"/>
            </v:line>
            <v:line style="position:absolute" from="7945,880" to="9487,880" stroked="true" strokeweight="1.44pt" strokecolor="#000000">
              <v:stroke dashstyle="solid"/>
            </v:line>
            <v:shape style="position:absolute;left:2407;top:865;width:7080;height:510" type="#_x0000_t75" stroked="false">
              <v:imagedata r:id="rId140" o:title=""/>
            </v:shape>
            <v:shape style="position:absolute;left:5511;top:525;width:548;height:235" type="#_x0000_t202" filled="false" stroked="false">
              <v:textbox inset="0,0,0,0">
                <w:txbxContent>
                  <w:p>
                    <w:pPr>
                      <w:spacing w:line="234" w:lineRule="exact" w:before="0"/>
                      <w:ind w:left="0" w:right="0" w:firstLine="0"/>
                      <w:jc w:val="left"/>
                      <w:rPr>
                        <w:rFonts w:ascii="Calibri" w:eastAsia="Calibri"/>
                        <w:sz w:val="21"/>
                      </w:rPr>
                    </w:pPr>
                    <w:r>
                      <w:rPr>
                        <w:sz w:val="21"/>
                      </w:rPr>
                      <w:t>申购</w:t>
                    </w:r>
                    <w:r>
                      <w:rPr>
                        <w:rFonts w:ascii="Calibri" w:eastAsia="Calibri"/>
                        <w:sz w:val="21"/>
                      </w:rPr>
                      <w:t>1</w:t>
                    </w:r>
                  </w:p>
                </w:txbxContent>
              </v:textbox>
              <w10:wrap type="none"/>
            </v:shape>
            <v:shape style="position:absolute;left:6944;top:525;width:548;height:235" type="#_x0000_t202" filled="false" stroked="false">
              <v:textbox inset="0,0,0,0">
                <w:txbxContent>
                  <w:p>
                    <w:pPr>
                      <w:spacing w:line="234" w:lineRule="exact" w:before="0"/>
                      <w:ind w:left="0" w:right="0" w:firstLine="0"/>
                      <w:jc w:val="left"/>
                      <w:rPr>
                        <w:rFonts w:ascii="Calibri" w:eastAsia="Calibri"/>
                        <w:sz w:val="21"/>
                      </w:rPr>
                    </w:pPr>
                    <w:r>
                      <w:rPr>
                        <w:sz w:val="21"/>
                      </w:rPr>
                      <w:t>申购</w:t>
                    </w:r>
                    <w:r>
                      <w:rPr>
                        <w:rFonts w:ascii="Calibri" w:eastAsia="Calibri"/>
                        <w:sz w:val="21"/>
                      </w:rPr>
                      <w:t>2</w:t>
                    </w:r>
                  </w:p>
                </w:txbxContent>
              </v:textbox>
              <w10:wrap type="none"/>
            </v:shape>
            <v:shape style="position:absolute;left:8447;top:525;width:548;height:235" type="#_x0000_t202" filled="false" stroked="false">
              <v:textbox inset="0,0,0,0">
                <w:txbxContent>
                  <w:p>
                    <w:pPr>
                      <w:spacing w:line="234" w:lineRule="exact" w:before="0"/>
                      <w:ind w:left="0" w:right="0" w:firstLine="0"/>
                      <w:jc w:val="left"/>
                      <w:rPr>
                        <w:rFonts w:ascii="Calibri" w:eastAsia="Calibri"/>
                        <w:sz w:val="21"/>
                      </w:rPr>
                    </w:pPr>
                    <w:r>
                      <w:rPr>
                        <w:sz w:val="21"/>
                      </w:rPr>
                      <w:t>申购</w:t>
                    </w:r>
                    <w:r>
                      <w:rPr>
                        <w:rFonts w:ascii="Calibri" w:eastAsia="Calibri"/>
                        <w:sz w:val="21"/>
                      </w:rPr>
                      <w:t>3</w:t>
                    </w:r>
                  </w:p>
                </w:txbxContent>
              </v:textbox>
              <w10:wrap type="none"/>
            </v:shape>
            <v:shape style="position:absolute;left:2856;top:1024;width:1804;height:235" type="#_x0000_t202" filled="false" stroked="false">
              <v:textbox inset="0,0,0,0">
                <w:txbxContent>
                  <w:p>
                    <w:pPr>
                      <w:spacing w:line="234" w:lineRule="exact" w:before="0"/>
                      <w:ind w:left="0" w:right="0" w:firstLine="0"/>
                      <w:jc w:val="left"/>
                      <w:rPr>
                        <w:sz w:val="21"/>
                      </w:rPr>
                    </w:pPr>
                    <w:r>
                      <w:rPr>
                        <w:sz w:val="21"/>
                      </w:rPr>
                      <w:t>申购金额（元，</w:t>
                    </w:r>
                    <w:r>
                      <w:rPr>
                        <w:rFonts w:ascii="Calibri" w:eastAsia="Calibri"/>
                        <w:sz w:val="21"/>
                      </w:rPr>
                      <w:t>a</w:t>
                    </w:r>
                    <w:r>
                      <w:rPr>
                        <w:sz w:val="21"/>
                      </w:rPr>
                      <w:t>）</w:t>
                    </w:r>
                  </w:p>
                </w:txbxContent>
              </v:textbox>
              <w10:wrap type="none"/>
            </v:shape>
            <v:shape style="position:absolute;left:5626;top:1043;width:2225;height:212" type="#_x0000_t202" filled="false" stroked="false">
              <v:textbox inset="0,0,0,0">
                <w:txbxContent>
                  <w:p>
                    <w:pPr>
                      <w:tabs>
                        <w:tab w:pos="1140" w:val="left" w:leader="none"/>
                      </w:tabs>
                      <w:spacing w:line="211" w:lineRule="exact" w:before="0"/>
                      <w:ind w:left="0" w:right="0" w:firstLine="0"/>
                      <w:jc w:val="left"/>
                      <w:rPr>
                        <w:rFonts w:ascii="Calibri"/>
                        <w:sz w:val="21"/>
                      </w:rPr>
                    </w:pPr>
                    <w:r>
                      <w:rPr>
                        <w:rFonts w:ascii="Calibri"/>
                        <w:sz w:val="21"/>
                      </w:rPr>
                      <w:t>1,000.00</w:t>
                      <w:tab/>
                      <w:t>1000,000.00</w:t>
                    </w:r>
                  </w:p>
                </w:txbxContent>
              </v:textbox>
              <w10:wrap type="none"/>
            </v:shape>
            <v:shape style="position:absolute;left:8259;top:1043;width:1137;height:212" type="#_x0000_t202" filled="false" stroked="false">
              <v:textbox inset="0,0,0,0">
                <w:txbxContent>
                  <w:p>
                    <w:pPr>
                      <w:spacing w:line="211" w:lineRule="exact" w:before="0"/>
                      <w:ind w:left="0" w:right="0" w:firstLine="0"/>
                      <w:jc w:val="left"/>
                      <w:rPr>
                        <w:rFonts w:ascii="Calibri"/>
                        <w:sz w:val="21"/>
                      </w:rPr>
                    </w:pPr>
                    <w:r>
                      <w:rPr>
                        <w:rFonts w:ascii="Calibri"/>
                        <w:sz w:val="21"/>
                      </w:rPr>
                      <w:t>2,000,000.00</w:t>
                    </w:r>
                  </w:p>
                </w:txbxContent>
              </v:textbox>
              <w10:wrap type="none"/>
            </v:shape>
            <w10:wrap type="topAndBottom"/>
          </v:group>
        </w:pict>
      </w:r>
      <w:r>
        <w:rPr>
          <w:rFonts w:ascii="Calibri" w:eastAsia="Calibri"/>
        </w:rPr>
        <w:t>200</w:t>
      </w:r>
      <w:r>
        <w:rPr/>
        <w:t>万元和</w:t>
      </w:r>
      <w:r>
        <w:rPr>
          <w:rFonts w:ascii="Calibri" w:eastAsia="Calibri"/>
        </w:rPr>
        <w:t>500</w:t>
      </w:r>
      <w:r>
        <w:rPr/>
        <w:t>万元，则各笔申购负担的前端申购费用和获得的基金份额计算如下：</w:t>
      </w:r>
    </w:p>
    <w:p>
      <w:pPr>
        <w:spacing w:after="0"/>
        <w:sectPr>
          <w:pgSz w:w="11910" w:h="16840"/>
          <w:pgMar w:header="877" w:footer="995" w:top="1420" w:bottom="1180" w:left="1640" w:right="920"/>
        </w:sectPr>
      </w:pPr>
    </w:p>
    <w:p>
      <w:pPr>
        <w:pStyle w:val="BodyText"/>
        <w:spacing w:before="7"/>
        <w:rPr>
          <w:sz w:val="11"/>
        </w:rPr>
      </w:pPr>
    </w:p>
    <w:tbl>
      <w:tblPr>
        <w:tblW w:w="0" w:type="auto"/>
        <w:jc w:val="left"/>
        <w:tblInd w:w="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37"/>
        <w:gridCol w:w="1278"/>
        <w:gridCol w:w="1422"/>
        <w:gridCol w:w="1442"/>
      </w:tblGrid>
      <w:tr>
        <w:trPr>
          <w:trHeight w:val="355" w:hRule="atLeast"/>
        </w:trPr>
        <w:tc>
          <w:tcPr>
            <w:tcW w:w="2937" w:type="dxa"/>
          </w:tcPr>
          <w:p>
            <w:pPr>
              <w:pStyle w:val="TableParagraph"/>
              <w:spacing w:line="241" w:lineRule="exact" w:before="0"/>
              <w:ind w:right="488"/>
              <w:jc w:val="right"/>
              <w:rPr>
                <w:rFonts w:ascii="宋体" w:eastAsia="宋体" w:hint="eastAsia"/>
                <w:sz w:val="21"/>
              </w:rPr>
            </w:pPr>
            <w:r>
              <w:rPr>
                <w:rFonts w:ascii="宋体" w:eastAsia="宋体" w:hint="eastAsia"/>
                <w:sz w:val="21"/>
              </w:rPr>
              <w:t>适用前端申购费率（</w:t>
            </w:r>
            <w:r>
              <w:rPr>
                <w:sz w:val="21"/>
              </w:rPr>
              <w:t>b</w:t>
            </w:r>
            <w:r>
              <w:rPr>
                <w:rFonts w:ascii="宋体" w:eastAsia="宋体" w:hint="eastAsia"/>
                <w:sz w:val="21"/>
              </w:rPr>
              <w:t>）</w:t>
            </w:r>
          </w:p>
        </w:tc>
        <w:tc>
          <w:tcPr>
            <w:tcW w:w="1278" w:type="dxa"/>
          </w:tcPr>
          <w:p>
            <w:pPr>
              <w:pStyle w:val="TableParagraph"/>
              <w:spacing w:line="233" w:lineRule="exact" w:before="0"/>
              <w:ind w:right="247"/>
              <w:jc w:val="right"/>
              <w:rPr>
                <w:sz w:val="21"/>
              </w:rPr>
            </w:pPr>
            <w:r>
              <w:rPr>
                <w:sz w:val="21"/>
              </w:rPr>
              <w:t>1.20%</w:t>
            </w:r>
          </w:p>
        </w:tc>
        <w:tc>
          <w:tcPr>
            <w:tcW w:w="1422" w:type="dxa"/>
          </w:tcPr>
          <w:p>
            <w:pPr>
              <w:pStyle w:val="TableParagraph"/>
              <w:spacing w:line="233" w:lineRule="exact" w:before="0"/>
              <w:ind w:right="210"/>
              <w:jc w:val="right"/>
              <w:rPr>
                <w:sz w:val="21"/>
              </w:rPr>
            </w:pPr>
            <w:r>
              <w:rPr>
                <w:sz w:val="21"/>
              </w:rPr>
              <w:t>0.90%</w:t>
            </w:r>
          </w:p>
        </w:tc>
        <w:tc>
          <w:tcPr>
            <w:tcW w:w="1442" w:type="dxa"/>
          </w:tcPr>
          <w:p>
            <w:pPr>
              <w:pStyle w:val="TableParagraph"/>
              <w:spacing w:line="233" w:lineRule="exact" w:before="0"/>
              <w:ind w:right="106"/>
              <w:jc w:val="right"/>
              <w:rPr>
                <w:sz w:val="21"/>
              </w:rPr>
            </w:pPr>
            <w:r>
              <w:rPr>
                <w:sz w:val="21"/>
              </w:rPr>
              <w:t>0.60%</w:t>
            </w:r>
          </w:p>
        </w:tc>
      </w:tr>
      <w:tr>
        <w:trPr>
          <w:trHeight w:val="477" w:hRule="atLeast"/>
        </w:trPr>
        <w:tc>
          <w:tcPr>
            <w:tcW w:w="2937" w:type="dxa"/>
          </w:tcPr>
          <w:p>
            <w:pPr>
              <w:pStyle w:val="TableParagraph"/>
              <w:spacing w:before="93"/>
              <w:ind w:right="437"/>
              <w:jc w:val="right"/>
              <w:rPr>
                <w:rFonts w:ascii="宋体" w:eastAsia="宋体" w:hint="eastAsia"/>
                <w:sz w:val="21"/>
              </w:rPr>
            </w:pPr>
            <w:r>
              <w:rPr>
                <w:rFonts w:ascii="宋体" w:eastAsia="宋体" w:hint="eastAsia"/>
                <w:spacing w:val="-2"/>
                <w:w w:val="100"/>
                <w:sz w:val="21"/>
              </w:rPr>
              <w:t>净申购金额</w:t>
            </w:r>
            <w:r>
              <w:rPr>
                <w:rFonts w:ascii="宋体" w:eastAsia="宋体" w:hint="eastAsia"/>
                <w:spacing w:val="-1"/>
                <w:w w:val="100"/>
                <w:sz w:val="21"/>
              </w:rPr>
              <w:t>（</w:t>
            </w:r>
            <w:r>
              <w:rPr>
                <w:w w:val="100"/>
                <w:sz w:val="21"/>
              </w:rPr>
              <w:t>c=</w:t>
            </w:r>
            <w:r>
              <w:rPr>
                <w:spacing w:val="-3"/>
                <w:w w:val="100"/>
                <w:sz w:val="21"/>
              </w:rPr>
              <w:t>a</w:t>
            </w:r>
            <w:r>
              <w:rPr>
                <w:w w:val="100"/>
                <w:sz w:val="21"/>
              </w:rPr>
              <w:t>/</w:t>
            </w:r>
            <w:r>
              <w:rPr>
                <w:rFonts w:ascii="宋体" w:eastAsia="宋体" w:hint="eastAsia"/>
                <w:spacing w:val="-3"/>
                <w:w w:val="100"/>
                <w:sz w:val="21"/>
              </w:rPr>
              <w:t>（</w:t>
            </w:r>
            <w:r>
              <w:rPr>
                <w:w w:val="100"/>
                <w:sz w:val="21"/>
              </w:rPr>
              <w:t>1+b</w:t>
            </w:r>
            <w:r>
              <w:rPr>
                <w:rFonts w:ascii="宋体" w:eastAsia="宋体" w:hint="eastAsia"/>
                <w:spacing w:val="-108"/>
                <w:w w:val="100"/>
                <w:sz w:val="21"/>
              </w:rPr>
              <w:t>））</w:t>
            </w:r>
          </w:p>
        </w:tc>
        <w:tc>
          <w:tcPr>
            <w:tcW w:w="1278" w:type="dxa"/>
          </w:tcPr>
          <w:p>
            <w:pPr>
              <w:pStyle w:val="TableParagraph"/>
              <w:spacing w:before="98"/>
              <w:ind w:right="251"/>
              <w:jc w:val="right"/>
              <w:rPr>
                <w:sz w:val="21"/>
              </w:rPr>
            </w:pPr>
            <w:r>
              <w:rPr>
                <w:sz w:val="21"/>
              </w:rPr>
              <w:t>988.14</w:t>
            </w:r>
          </w:p>
        </w:tc>
        <w:tc>
          <w:tcPr>
            <w:tcW w:w="1422" w:type="dxa"/>
          </w:tcPr>
          <w:p>
            <w:pPr>
              <w:pStyle w:val="TableParagraph"/>
              <w:spacing w:before="98"/>
              <w:ind w:right="212"/>
              <w:jc w:val="right"/>
              <w:rPr>
                <w:sz w:val="21"/>
              </w:rPr>
            </w:pPr>
            <w:r>
              <w:rPr>
                <w:sz w:val="21"/>
              </w:rPr>
              <w:t>991,080.28</w:t>
            </w:r>
          </w:p>
        </w:tc>
        <w:tc>
          <w:tcPr>
            <w:tcW w:w="1442" w:type="dxa"/>
          </w:tcPr>
          <w:p>
            <w:pPr>
              <w:pStyle w:val="TableParagraph"/>
              <w:spacing w:before="98"/>
              <w:ind w:right="110"/>
              <w:jc w:val="right"/>
              <w:rPr>
                <w:sz w:val="21"/>
              </w:rPr>
            </w:pPr>
            <w:r>
              <w:rPr>
                <w:sz w:val="21"/>
              </w:rPr>
              <w:t>1,988,071.57</w:t>
            </w:r>
          </w:p>
        </w:tc>
      </w:tr>
      <w:tr>
        <w:trPr>
          <w:trHeight w:val="478" w:hRule="atLeast"/>
        </w:trPr>
        <w:tc>
          <w:tcPr>
            <w:tcW w:w="2937" w:type="dxa"/>
          </w:tcPr>
          <w:p>
            <w:pPr>
              <w:pStyle w:val="TableParagraph"/>
              <w:spacing w:before="93"/>
              <w:ind w:left="369"/>
              <w:rPr>
                <w:rFonts w:ascii="宋体" w:eastAsia="宋体" w:hint="eastAsia"/>
                <w:sz w:val="21"/>
              </w:rPr>
            </w:pPr>
            <w:r>
              <w:rPr>
                <w:rFonts w:ascii="宋体" w:eastAsia="宋体" w:hint="eastAsia"/>
                <w:sz w:val="21"/>
              </w:rPr>
              <w:t>前端申购费（</w:t>
            </w:r>
            <w:r>
              <w:rPr>
                <w:sz w:val="21"/>
              </w:rPr>
              <w:t>d=a-c</w:t>
            </w:r>
            <w:r>
              <w:rPr>
                <w:rFonts w:ascii="宋体" w:eastAsia="宋体" w:hint="eastAsia"/>
                <w:sz w:val="21"/>
              </w:rPr>
              <w:t>）</w:t>
            </w:r>
          </w:p>
        </w:tc>
        <w:tc>
          <w:tcPr>
            <w:tcW w:w="1278" w:type="dxa"/>
          </w:tcPr>
          <w:p>
            <w:pPr>
              <w:pStyle w:val="TableParagraph"/>
              <w:spacing w:before="98"/>
              <w:ind w:right="249"/>
              <w:jc w:val="right"/>
              <w:rPr>
                <w:sz w:val="21"/>
              </w:rPr>
            </w:pPr>
            <w:r>
              <w:rPr>
                <w:sz w:val="21"/>
              </w:rPr>
              <w:t>11.86</w:t>
            </w:r>
          </w:p>
        </w:tc>
        <w:tc>
          <w:tcPr>
            <w:tcW w:w="1422" w:type="dxa"/>
          </w:tcPr>
          <w:p>
            <w:pPr>
              <w:pStyle w:val="TableParagraph"/>
              <w:spacing w:before="98"/>
              <w:ind w:right="215"/>
              <w:jc w:val="right"/>
              <w:rPr>
                <w:sz w:val="21"/>
              </w:rPr>
            </w:pPr>
            <w:r>
              <w:rPr>
                <w:sz w:val="21"/>
              </w:rPr>
              <w:t>8,919.72</w:t>
            </w:r>
          </w:p>
        </w:tc>
        <w:tc>
          <w:tcPr>
            <w:tcW w:w="1442" w:type="dxa"/>
          </w:tcPr>
          <w:p>
            <w:pPr>
              <w:pStyle w:val="TableParagraph"/>
              <w:spacing w:before="98"/>
              <w:ind w:right="110"/>
              <w:jc w:val="right"/>
              <w:rPr>
                <w:sz w:val="21"/>
              </w:rPr>
            </w:pPr>
            <w:r>
              <w:rPr>
                <w:sz w:val="21"/>
              </w:rPr>
              <w:t>11,928.43</w:t>
            </w:r>
          </w:p>
        </w:tc>
      </w:tr>
      <w:tr>
        <w:trPr>
          <w:trHeight w:val="478" w:hRule="atLeast"/>
        </w:trPr>
        <w:tc>
          <w:tcPr>
            <w:tcW w:w="2937" w:type="dxa"/>
          </w:tcPr>
          <w:p>
            <w:pPr>
              <w:pStyle w:val="TableParagraph"/>
              <w:spacing w:before="94"/>
              <w:ind w:right="491"/>
              <w:jc w:val="right"/>
              <w:rPr>
                <w:rFonts w:ascii="宋体" w:eastAsia="宋体" w:hint="eastAsia"/>
                <w:sz w:val="21"/>
              </w:rPr>
            </w:pPr>
            <w:r>
              <w:rPr>
                <w:rFonts w:ascii="宋体" w:eastAsia="宋体" w:hint="eastAsia"/>
                <w:sz w:val="21"/>
              </w:rPr>
              <w:t>该类基金份额净值（</w:t>
            </w:r>
            <w:r>
              <w:rPr>
                <w:sz w:val="21"/>
              </w:rPr>
              <w:t>e</w:t>
            </w:r>
            <w:r>
              <w:rPr>
                <w:rFonts w:ascii="宋体" w:eastAsia="宋体" w:hint="eastAsia"/>
                <w:sz w:val="21"/>
              </w:rPr>
              <w:t>）</w:t>
            </w:r>
          </w:p>
        </w:tc>
        <w:tc>
          <w:tcPr>
            <w:tcW w:w="1278" w:type="dxa"/>
          </w:tcPr>
          <w:p>
            <w:pPr>
              <w:pStyle w:val="TableParagraph"/>
              <w:spacing w:before="99"/>
              <w:ind w:right="249"/>
              <w:jc w:val="right"/>
              <w:rPr>
                <w:sz w:val="21"/>
              </w:rPr>
            </w:pPr>
            <w:r>
              <w:rPr>
                <w:sz w:val="21"/>
              </w:rPr>
              <w:t>1.2300</w:t>
            </w:r>
          </w:p>
        </w:tc>
        <w:tc>
          <w:tcPr>
            <w:tcW w:w="1422" w:type="dxa"/>
          </w:tcPr>
          <w:p>
            <w:pPr>
              <w:pStyle w:val="TableParagraph"/>
              <w:spacing w:before="99"/>
              <w:ind w:right="211"/>
              <w:jc w:val="right"/>
              <w:rPr>
                <w:sz w:val="21"/>
              </w:rPr>
            </w:pPr>
            <w:r>
              <w:rPr>
                <w:sz w:val="21"/>
              </w:rPr>
              <w:t>1.2300</w:t>
            </w:r>
          </w:p>
        </w:tc>
        <w:tc>
          <w:tcPr>
            <w:tcW w:w="1442" w:type="dxa"/>
          </w:tcPr>
          <w:p>
            <w:pPr>
              <w:pStyle w:val="TableParagraph"/>
              <w:spacing w:before="99"/>
              <w:ind w:right="108"/>
              <w:jc w:val="right"/>
              <w:rPr>
                <w:sz w:val="21"/>
              </w:rPr>
            </w:pPr>
            <w:r>
              <w:rPr>
                <w:sz w:val="21"/>
              </w:rPr>
              <w:t>1.2300</w:t>
            </w:r>
          </w:p>
        </w:tc>
      </w:tr>
      <w:tr>
        <w:trPr>
          <w:trHeight w:val="460" w:hRule="atLeast"/>
        </w:trPr>
        <w:tc>
          <w:tcPr>
            <w:tcW w:w="2937" w:type="dxa"/>
            <w:tcBorders>
              <w:bottom w:val="single" w:sz="12" w:space="0" w:color="000000"/>
            </w:tcBorders>
          </w:tcPr>
          <w:p>
            <w:pPr>
              <w:pStyle w:val="TableParagraph"/>
              <w:spacing w:before="93"/>
              <w:ind w:left="489"/>
              <w:rPr>
                <w:rFonts w:ascii="宋体" w:eastAsia="宋体" w:hint="eastAsia"/>
                <w:sz w:val="21"/>
              </w:rPr>
            </w:pPr>
            <w:r>
              <w:rPr>
                <w:rFonts w:ascii="宋体" w:eastAsia="宋体" w:hint="eastAsia"/>
                <w:sz w:val="21"/>
              </w:rPr>
              <w:t>申购份额（</w:t>
            </w:r>
            <w:r>
              <w:rPr>
                <w:sz w:val="21"/>
              </w:rPr>
              <w:t>f=c/e</w:t>
            </w:r>
            <w:r>
              <w:rPr>
                <w:rFonts w:ascii="宋体" w:eastAsia="宋体" w:hint="eastAsia"/>
                <w:sz w:val="21"/>
              </w:rPr>
              <w:t>）</w:t>
            </w:r>
          </w:p>
        </w:tc>
        <w:tc>
          <w:tcPr>
            <w:tcW w:w="1278" w:type="dxa"/>
            <w:tcBorders>
              <w:bottom w:val="single" w:sz="12" w:space="0" w:color="000000"/>
            </w:tcBorders>
          </w:tcPr>
          <w:p>
            <w:pPr>
              <w:pStyle w:val="TableParagraph"/>
              <w:spacing w:before="98"/>
              <w:ind w:right="251"/>
              <w:jc w:val="right"/>
              <w:rPr>
                <w:sz w:val="21"/>
              </w:rPr>
            </w:pPr>
            <w:r>
              <w:rPr>
                <w:sz w:val="21"/>
              </w:rPr>
              <w:t>803.37</w:t>
            </w:r>
          </w:p>
        </w:tc>
        <w:tc>
          <w:tcPr>
            <w:tcW w:w="1422" w:type="dxa"/>
            <w:tcBorders>
              <w:bottom w:val="single" w:sz="12" w:space="0" w:color="000000"/>
            </w:tcBorders>
          </w:tcPr>
          <w:p>
            <w:pPr>
              <w:pStyle w:val="TableParagraph"/>
              <w:spacing w:before="98"/>
              <w:ind w:right="211"/>
              <w:jc w:val="right"/>
              <w:rPr>
                <w:sz w:val="21"/>
              </w:rPr>
            </w:pPr>
            <w:r>
              <w:rPr>
                <w:sz w:val="21"/>
              </w:rPr>
              <w:t>805,756.33</w:t>
            </w:r>
          </w:p>
        </w:tc>
        <w:tc>
          <w:tcPr>
            <w:tcW w:w="1442" w:type="dxa"/>
            <w:tcBorders>
              <w:bottom w:val="single" w:sz="12" w:space="0" w:color="000000"/>
            </w:tcBorders>
          </w:tcPr>
          <w:p>
            <w:pPr>
              <w:pStyle w:val="TableParagraph"/>
              <w:spacing w:before="98"/>
              <w:ind w:right="110"/>
              <w:jc w:val="right"/>
              <w:rPr>
                <w:sz w:val="21"/>
              </w:rPr>
            </w:pPr>
            <w:r>
              <w:rPr>
                <w:sz w:val="21"/>
              </w:rPr>
              <w:t>1,616,318.35</w:t>
            </w:r>
          </w:p>
        </w:tc>
      </w:tr>
    </w:tbl>
    <w:p>
      <w:pPr>
        <w:pStyle w:val="BodyText"/>
        <w:spacing w:before="85"/>
        <w:ind w:left="580"/>
      </w:pPr>
      <w:r>
        <w:rPr/>
        <w:drawing>
          <wp:anchor distT="0" distB="0" distL="0" distR="0" allowOverlap="1" layoutInCell="1" locked="0" behindDoc="1" simplePos="0" relativeHeight="243461120">
            <wp:simplePos x="0" y="0"/>
            <wp:positionH relativeFrom="page">
              <wp:posOffset>1537969</wp:posOffset>
            </wp:positionH>
            <wp:positionV relativeFrom="paragraph">
              <wp:posOffset>-1545716</wp:posOffset>
            </wp:positionV>
            <wp:extent cx="4485398" cy="1517903"/>
            <wp:effectExtent l="0" t="0" r="0" b="0"/>
            <wp:wrapNone/>
            <wp:docPr id="1" name="image11.png"/>
            <wp:cNvGraphicFramePr>
              <a:graphicFrameLocks noChangeAspect="1"/>
            </wp:cNvGraphicFramePr>
            <a:graphic>
              <a:graphicData uri="http://schemas.openxmlformats.org/drawingml/2006/picture">
                <pic:pic>
                  <pic:nvPicPr>
                    <pic:cNvPr id="2" name="image11.png"/>
                    <pic:cNvPicPr/>
                  </pic:nvPicPr>
                  <pic:blipFill>
                    <a:blip r:embed="rId141" cstate="print"/>
                    <a:stretch>
                      <a:fillRect/>
                    </a:stretch>
                  </pic:blipFill>
                  <pic:spPr>
                    <a:xfrm>
                      <a:off x="0" y="0"/>
                      <a:ext cx="4485398" cy="1517903"/>
                    </a:xfrm>
                    <a:prstGeom prst="rect">
                      <a:avLst/>
                    </a:prstGeom>
                  </pic:spPr>
                </pic:pic>
              </a:graphicData>
            </a:graphic>
          </wp:anchor>
        </w:drawing>
      </w:r>
      <w:r>
        <w:rPr/>
        <w:drawing>
          <wp:anchor distT="0" distB="0" distL="0" distR="0" allowOverlap="1" layoutInCell="1" locked="0" behindDoc="1" simplePos="0" relativeHeight="243462144">
            <wp:simplePos x="0" y="0"/>
            <wp:positionH relativeFrom="page">
              <wp:posOffset>4111116</wp:posOffset>
            </wp:positionH>
            <wp:positionV relativeFrom="paragraph">
              <wp:posOffset>-324738</wp:posOffset>
            </wp:positionV>
            <wp:extent cx="6119" cy="298323"/>
            <wp:effectExtent l="0" t="0" r="0" b="0"/>
            <wp:wrapNone/>
            <wp:docPr id="3" name="image9.png"/>
            <wp:cNvGraphicFramePr>
              <a:graphicFrameLocks noChangeAspect="1"/>
            </wp:cNvGraphicFramePr>
            <a:graphic>
              <a:graphicData uri="http://schemas.openxmlformats.org/drawingml/2006/picture">
                <pic:pic>
                  <pic:nvPicPr>
                    <pic:cNvPr id="4" name="image9.png"/>
                    <pic:cNvPicPr/>
                  </pic:nvPicPr>
                  <pic:blipFill>
                    <a:blip r:embed="rId139" cstate="print"/>
                    <a:stretch>
                      <a:fillRect/>
                    </a:stretch>
                  </pic:blipFill>
                  <pic:spPr>
                    <a:xfrm>
                      <a:off x="0" y="0"/>
                      <a:ext cx="6119" cy="298323"/>
                    </a:xfrm>
                    <a:prstGeom prst="rect">
                      <a:avLst/>
                    </a:prstGeom>
                  </pic:spPr>
                </pic:pic>
              </a:graphicData>
            </a:graphic>
          </wp:anchor>
        </w:drawing>
      </w:r>
      <w:r>
        <w:rPr/>
        <w:drawing>
          <wp:anchor distT="0" distB="0" distL="0" distR="0" allowOverlap="1" layoutInCell="1" locked="0" behindDoc="1" simplePos="0" relativeHeight="243463168">
            <wp:simplePos x="0" y="0"/>
            <wp:positionH relativeFrom="page">
              <wp:posOffset>5039233</wp:posOffset>
            </wp:positionH>
            <wp:positionV relativeFrom="paragraph">
              <wp:posOffset>-324738</wp:posOffset>
            </wp:positionV>
            <wp:extent cx="6119" cy="298323"/>
            <wp:effectExtent l="0" t="0" r="0" b="0"/>
            <wp:wrapNone/>
            <wp:docPr id="5" name="image9.png"/>
            <wp:cNvGraphicFramePr>
              <a:graphicFrameLocks noChangeAspect="1"/>
            </wp:cNvGraphicFramePr>
            <a:graphic>
              <a:graphicData uri="http://schemas.openxmlformats.org/drawingml/2006/picture">
                <pic:pic>
                  <pic:nvPicPr>
                    <pic:cNvPr id="6" name="image9.png"/>
                    <pic:cNvPicPr/>
                  </pic:nvPicPr>
                  <pic:blipFill>
                    <a:blip r:embed="rId139" cstate="print"/>
                    <a:stretch>
                      <a:fillRect/>
                    </a:stretch>
                  </pic:blipFill>
                  <pic:spPr>
                    <a:xfrm>
                      <a:off x="0" y="0"/>
                      <a:ext cx="6119" cy="298323"/>
                    </a:xfrm>
                    <a:prstGeom prst="rect">
                      <a:avLst/>
                    </a:prstGeom>
                  </pic:spPr>
                </pic:pic>
              </a:graphicData>
            </a:graphic>
          </wp:anchor>
        </w:drawing>
      </w:r>
      <w:r>
        <w:rPr/>
        <w:pict>
          <v:group style="position:absolute;margin-left:307.369995pt;margin-top:47.63002pt;width:.5pt;height:143.950pt;mso-position-horizontal-relative:page;mso-position-vertical-relative:paragraph;z-index:-259852288" coordorigin="6147,953" coordsize="10,2879">
            <v:shape style="position:absolute;left:6147;top:952;width:10;height:469" type="#_x0000_t75" stroked="false">
              <v:imagedata r:id="rId142" o:title=""/>
            </v:shape>
            <v:shape style="position:absolute;left:6147;top:1421;width:10;height:32" type="#_x0000_t75" stroked="false">
              <v:imagedata r:id="rId143" o:title=""/>
            </v:shape>
            <v:shape style="position:absolute;left:6147;top:1452;width:10;height:432" coordorigin="6147,1452" coordsize="10,432" path="m6157,1740l6147,1740,6147,1788,6147,1836,6147,1884,6157,1884,6157,1836,6157,1788,6157,1740m6157,1500l6147,1500,6147,1548,6147,1596,6147,1644,6147,1692,6147,1740,6157,1740,6157,1692,6157,1644,6157,1596,6157,1548,6157,1500m6157,1452l6147,1452,6147,1500,6157,1500,6157,1452e" filled="true" fillcolor="#000000" stroked="false">
              <v:path arrowok="t"/>
              <v:fill type="solid"/>
            </v:shape>
            <v:shape style="position:absolute;left:6147;top:1927;width:10;height:1904" type="#_x0000_t75" stroked="false">
              <v:imagedata r:id="rId144" o:title=""/>
            </v:shape>
            <w10:wrap type="none"/>
          </v:group>
        </w:pict>
      </w:r>
      <w:r>
        <w:rPr/>
        <w:t>若该投资者申购金额为</w:t>
      </w:r>
      <w:r>
        <w:rPr>
          <w:rFonts w:ascii="Calibri" w:eastAsia="Calibri"/>
        </w:rPr>
        <w:t>500</w:t>
      </w:r>
      <w:r>
        <w:rPr/>
        <w:t>万元，则申购负担的前端申购费用和获得的基金份额计算如</w:t>
      </w:r>
    </w:p>
    <w:p>
      <w:pPr>
        <w:pStyle w:val="BodyText"/>
        <w:spacing w:before="9" w:after="1"/>
        <w:rPr>
          <w:sz w:val="17"/>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21"/>
        <w:gridCol w:w="2383"/>
        <w:gridCol w:w="1375"/>
      </w:tblGrid>
      <w:tr>
        <w:trPr>
          <w:trHeight w:val="339" w:hRule="atLeast"/>
        </w:trPr>
        <w:tc>
          <w:tcPr>
            <w:tcW w:w="2321" w:type="dxa"/>
          </w:tcPr>
          <w:p>
            <w:pPr>
              <w:pStyle w:val="TableParagraph"/>
              <w:spacing w:line="241" w:lineRule="exact" w:before="0"/>
              <w:ind w:left="50"/>
              <w:rPr>
                <w:rFonts w:ascii="宋体" w:eastAsia="宋体" w:hint="eastAsia"/>
                <w:sz w:val="21"/>
              </w:rPr>
            </w:pPr>
            <w:r>
              <w:rPr>
                <w:rFonts w:ascii="宋体" w:eastAsia="宋体" w:hint="eastAsia"/>
                <w:sz w:val="21"/>
              </w:rPr>
              <w:t>下：</w:t>
            </w:r>
          </w:p>
        </w:tc>
        <w:tc>
          <w:tcPr>
            <w:tcW w:w="3758" w:type="dxa"/>
            <w:gridSpan w:val="2"/>
            <w:tcBorders>
              <w:bottom w:val="single" w:sz="12" w:space="0" w:color="000000"/>
            </w:tcBorders>
          </w:tcPr>
          <w:p>
            <w:pPr>
              <w:pStyle w:val="TableParagraph"/>
              <w:spacing w:before="0"/>
              <w:rPr>
                <w:rFonts w:ascii="Times New Roman"/>
                <w:sz w:val="20"/>
              </w:rPr>
            </w:pPr>
          </w:p>
        </w:tc>
      </w:tr>
      <w:tr>
        <w:trPr>
          <w:trHeight w:val="469" w:hRule="atLeast"/>
        </w:trPr>
        <w:tc>
          <w:tcPr>
            <w:tcW w:w="2321" w:type="dxa"/>
          </w:tcPr>
          <w:p>
            <w:pPr>
              <w:pStyle w:val="TableParagraph"/>
              <w:spacing w:before="0"/>
              <w:rPr>
                <w:rFonts w:ascii="Times New Roman"/>
                <w:sz w:val="20"/>
              </w:rPr>
            </w:pPr>
          </w:p>
        </w:tc>
        <w:tc>
          <w:tcPr>
            <w:tcW w:w="2383" w:type="dxa"/>
            <w:tcBorders>
              <w:top w:val="single" w:sz="12" w:space="0" w:color="000000"/>
              <w:bottom w:val="single" w:sz="12" w:space="0" w:color="000000"/>
            </w:tcBorders>
          </w:tcPr>
          <w:p>
            <w:pPr>
              <w:pStyle w:val="TableParagraph"/>
              <w:spacing w:before="0"/>
              <w:rPr>
                <w:rFonts w:ascii="Times New Roman"/>
                <w:sz w:val="20"/>
              </w:rPr>
            </w:pPr>
          </w:p>
        </w:tc>
        <w:tc>
          <w:tcPr>
            <w:tcW w:w="1375" w:type="dxa"/>
            <w:tcBorders>
              <w:top w:val="single" w:sz="12" w:space="0" w:color="000000"/>
              <w:bottom w:val="single" w:sz="12" w:space="0" w:color="000000"/>
            </w:tcBorders>
          </w:tcPr>
          <w:p>
            <w:pPr>
              <w:pStyle w:val="TableParagraph"/>
              <w:spacing w:before="102"/>
              <w:ind w:left="271"/>
              <w:rPr>
                <w:sz w:val="21"/>
              </w:rPr>
            </w:pPr>
            <w:r>
              <w:rPr>
                <w:rFonts w:ascii="宋体" w:eastAsia="宋体" w:hint="eastAsia"/>
                <w:sz w:val="21"/>
              </w:rPr>
              <w:t>申购</w:t>
            </w:r>
            <w:r>
              <w:rPr>
                <w:sz w:val="21"/>
              </w:rPr>
              <w:t>4</w:t>
            </w:r>
          </w:p>
        </w:tc>
      </w:tr>
      <w:tr>
        <w:trPr>
          <w:trHeight w:val="449" w:hRule="atLeast"/>
        </w:trPr>
        <w:tc>
          <w:tcPr>
            <w:tcW w:w="2321" w:type="dxa"/>
          </w:tcPr>
          <w:p>
            <w:pPr>
              <w:pStyle w:val="TableParagraph"/>
              <w:spacing w:before="0"/>
              <w:rPr>
                <w:rFonts w:ascii="Times New Roman"/>
                <w:sz w:val="20"/>
              </w:rPr>
            </w:pPr>
          </w:p>
        </w:tc>
        <w:tc>
          <w:tcPr>
            <w:tcW w:w="2383" w:type="dxa"/>
            <w:tcBorders>
              <w:top w:val="single" w:sz="12" w:space="0" w:color="000000"/>
              <w:bottom w:val="single" w:sz="18" w:space="0" w:color="000000"/>
            </w:tcBorders>
          </w:tcPr>
          <w:p>
            <w:pPr>
              <w:pStyle w:val="TableParagraph"/>
              <w:spacing w:before="99"/>
              <w:ind w:left="38"/>
              <w:rPr>
                <w:rFonts w:ascii="宋体" w:eastAsia="宋体" w:hint="eastAsia"/>
                <w:sz w:val="21"/>
              </w:rPr>
            </w:pPr>
            <w:r>
              <w:rPr>
                <w:rFonts w:ascii="宋体" w:eastAsia="宋体" w:hint="eastAsia"/>
                <w:sz w:val="21"/>
              </w:rPr>
              <w:t>申购金额（元，</w:t>
            </w:r>
            <w:r>
              <w:rPr>
                <w:sz w:val="21"/>
              </w:rPr>
              <w:t>a</w:t>
            </w:r>
            <w:r>
              <w:rPr>
                <w:rFonts w:ascii="宋体" w:eastAsia="宋体" w:hint="eastAsia"/>
                <w:sz w:val="21"/>
              </w:rPr>
              <w:t>）</w:t>
            </w:r>
          </w:p>
        </w:tc>
        <w:tc>
          <w:tcPr>
            <w:tcW w:w="1375" w:type="dxa"/>
            <w:tcBorders>
              <w:top w:val="single" w:sz="12" w:space="0" w:color="000000"/>
              <w:bottom w:val="single" w:sz="4" w:space="0" w:color="000000"/>
            </w:tcBorders>
          </w:tcPr>
          <w:p>
            <w:pPr>
              <w:pStyle w:val="TableParagraph"/>
              <w:spacing w:before="104"/>
              <w:ind w:right="28"/>
              <w:jc w:val="right"/>
              <w:rPr>
                <w:sz w:val="21"/>
              </w:rPr>
            </w:pPr>
            <w:r>
              <w:rPr>
                <w:sz w:val="21"/>
              </w:rPr>
              <w:t>5,000,000.00</w:t>
            </w:r>
          </w:p>
        </w:tc>
      </w:tr>
      <w:tr>
        <w:trPr>
          <w:trHeight w:val="450" w:hRule="atLeast"/>
        </w:trPr>
        <w:tc>
          <w:tcPr>
            <w:tcW w:w="2321" w:type="dxa"/>
          </w:tcPr>
          <w:p>
            <w:pPr>
              <w:pStyle w:val="TableParagraph"/>
              <w:spacing w:before="0"/>
              <w:rPr>
                <w:rFonts w:ascii="Times New Roman"/>
                <w:sz w:val="20"/>
              </w:rPr>
            </w:pPr>
          </w:p>
        </w:tc>
        <w:tc>
          <w:tcPr>
            <w:tcW w:w="2383" w:type="dxa"/>
            <w:tcBorders>
              <w:top w:val="single" w:sz="18" w:space="0" w:color="000000"/>
              <w:bottom w:val="single" w:sz="4" w:space="0" w:color="000000"/>
            </w:tcBorders>
          </w:tcPr>
          <w:p>
            <w:pPr>
              <w:pStyle w:val="TableParagraph"/>
              <w:spacing w:before="82"/>
              <w:ind w:left="38"/>
              <w:rPr>
                <w:rFonts w:ascii="宋体" w:eastAsia="宋体" w:hint="eastAsia"/>
                <w:sz w:val="21"/>
              </w:rPr>
            </w:pPr>
            <w:r>
              <w:rPr>
                <w:rFonts w:ascii="宋体" w:eastAsia="宋体" w:hint="eastAsia"/>
                <w:sz w:val="21"/>
              </w:rPr>
              <w:t>前端申购费（</w:t>
            </w:r>
            <w:r>
              <w:rPr>
                <w:sz w:val="21"/>
              </w:rPr>
              <w:t>b</w:t>
            </w:r>
            <w:r>
              <w:rPr>
                <w:rFonts w:ascii="宋体" w:eastAsia="宋体" w:hint="eastAsia"/>
                <w:sz w:val="21"/>
              </w:rPr>
              <w:t>）</w:t>
            </w:r>
          </w:p>
        </w:tc>
        <w:tc>
          <w:tcPr>
            <w:tcW w:w="1375" w:type="dxa"/>
            <w:tcBorders>
              <w:top w:val="single" w:sz="4" w:space="0" w:color="000000"/>
              <w:bottom w:val="single" w:sz="4" w:space="0" w:color="000000"/>
            </w:tcBorders>
          </w:tcPr>
          <w:p>
            <w:pPr>
              <w:pStyle w:val="TableParagraph"/>
              <w:spacing w:before="87"/>
              <w:ind w:right="27"/>
              <w:jc w:val="right"/>
              <w:rPr>
                <w:sz w:val="21"/>
              </w:rPr>
            </w:pPr>
            <w:r>
              <w:rPr>
                <w:sz w:val="21"/>
              </w:rPr>
              <w:t>1,000.00</w:t>
            </w:r>
          </w:p>
        </w:tc>
      </w:tr>
      <w:tr>
        <w:trPr>
          <w:trHeight w:val="450" w:hRule="atLeast"/>
        </w:trPr>
        <w:tc>
          <w:tcPr>
            <w:tcW w:w="2321" w:type="dxa"/>
          </w:tcPr>
          <w:p>
            <w:pPr>
              <w:pStyle w:val="TableParagraph"/>
              <w:spacing w:before="0"/>
              <w:rPr>
                <w:rFonts w:ascii="Times New Roman"/>
                <w:sz w:val="20"/>
              </w:rPr>
            </w:pPr>
          </w:p>
        </w:tc>
        <w:tc>
          <w:tcPr>
            <w:tcW w:w="2383" w:type="dxa"/>
            <w:tcBorders>
              <w:top w:val="single" w:sz="4" w:space="0" w:color="000000"/>
              <w:bottom w:val="single" w:sz="4" w:space="0" w:color="000000"/>
            </w:tcBorders>
          </w:tcPr>
          <w:p>
            <w:pPr>
              <w:pStyle w:val="TableParagraph"/>
              <w:spacing w:before="102"/>
              <w:ind w:left="38"/>
              <w:rPr>
                <w:rFonts w:ascii="宋体" w:eastAsia="宋体" w:hint="eastAsia"/>
                <w:sz w:val="21"/>
              </w:rPr>
            </w:pPr>
            <w:r>
              <w:rPr>
                <w:rFonts w:ascii="宋体" w:eastAsia="宋体" w:hint="eastAsia"/>
                <w:sz w:val="21"/>
              </w:rPr>
              <w:t>净申购金额（</w:t>
            </w:r>
            <w:r>
              <w:rPr>
                <w:sz w:val="21"/>
              </w:rPr>
              <w:t>c=a-b</w:t>
            </w:r>
            <w:r>
              <w:rPr>
                <w:rFonts w:ascii="宋体" w:eastAsia="宋体" w:hint="eastAsia"/>
                <w:sz w:val="21"/>
              </w:rPr>
              <w:t>）</w:t>
            </w:r>
          </w:p>
        </w:tc>
        <w:tc>
          <w:tcPr>
            <w:tcW w:w="1375" w:type="dxa"/>
            <w:tcBorders>
              <w:top w:val="single" w:sz="4" w:space="0" w:color="000000"/>
              <w:bottom w:val="single" w:sz="4" w:space="0" w:color="000000"/>
            </w:tcBorders>
          </w:tcPr>
          <w:p>
            <w:pPr>
              <w:pStyle w:val="TableParagraph"/>
              <w:spacing w:before="107"/>
              <w:ind w:right="30"/>
              <w:jc w:val="right"/>
              <w:rPr>
                <w:sz w:val="21"/>
              </w:rPr>
            </w:pPr>
            <w:r>
              <w:rPr>
                <w:sz w:val="21"/>
              </w:rPr>
              <w:t>4,999,000.00</w:t>
            </w:r>
          </w:p>
        </w:tc>
      </w:tr>
      <w:tr>
        <w:trPr>
          <w:trHeight w:val="486" w:hRule="atLeast"/>
        </w:trPr>
        <w:tc>
          <w:tcPr>
            <w:tcW w:w="2321" w:type="dxa"/>
          </w:tcPr>
          <w:p>
            <w:pPr>
              <w:pStyle w:val="TableParagraph"/>
              <w:spacing w:before="0"/>
              <w:rPr>
                <w:rFonts w:ascii="Times New Roman"/>
                <w:sz w:val="20"/>
              </w:rPr>
            </w:pPr>
          </w:p>
        </w:tc>
        <w:tc>
          <w:tcPr>
            <w:tcW w:w="2383" w:type="dxa"/>
            <w:tcBorders>
              <w:top w:val="single" w:sz="4" w:space="0" w:color="000000"/>
              <w:bottom w:val="single" w:sz="4" w:space="0" w:color="000000"/>
            </w:tcBorders>
          </w:tcPr>
          <w:p>
            <w:pPr>
              <w:pStyle w:val="TableParagraph"/>
              <w:spacing w:before="118"/>
              <w:ind w:left="38"/>
              <w:rPr>
                <w:rFonts w:ascii="宋体" w:eastAsia="宋体" w:hint="eastAsia"/>
                <w:sz w:val="21"/>
              </w:rPr>
            </w:pPr>
            <w:r>
              <w:rPr>
                <w:rFonts w:ascii="宋体" w:eastAsia="宋体" w:hint="eastAsia"/>
                <w:sz w:val="21"/>
              </w:rPr>
              <w:t>该类基金份额净值（</w:t>
            </w:r>
            <w:r>
              <w:rPr>
                <w:sz w:val="21"/>
              </w:rPr>
              <w:t>d</w:t>
            </w:r>
            <w:r>
              <w:rPr>
                <w:rFonts w:ascii="宋体" w:eastAsia="宋体" w:hint="eastAsia"/>
                <w:sz w:val="21"/>
              </w:rPr>
              <w:t>）</w:t>
            </w:r>
          </w:p>
        </w:tc>
        <w:tc>
          <w:tcPr>
            <w:tcW w:w="1375" w:type="dxa"/>
            <w:tcBorders>
              <w:top w:val="single" w:sz="4" w:space="0" w:color="000000"/>
              <w:bottom w:val="single" w:sz="4" w:space="0" w:color="000000"/>
            </w:tcBorders>
          </w:tcPr>
          <w:p>
            <w:pPr>
              <w:pStyle w:val="TableParagraph"/>
              <w:spacing w:before="124"/>
              <w:ind w:right="27"/>
              <w:jc w:val="right"/>
              <w:rPr>
                <w:sz w:val="21"/>
              </w:rPr>
            </w:pPr>
            <w:r>
              <w:rPr>
                <w:sz w:val="21"/>
              </w:rPr>
              <w:t>1.2300</w:t>
            </w:r>
          </w:p>
        </w:tc>
      </w:tr>
      <w:tr>
        <w:trPr>
          <w:trHeight w:val="467" w:hRule="atLeast"/>
        </w:trPr>
        <w:tc>
          <w:tcPr>
            <w:tcW w:w="2321" w:type="dxa"/>
          </w:tcPr>
          <w:p>
            <w:pPr>
              <w:pStyle w:val="TableParagraph"/>
              <w:spacing w:before="0"/>
              <w:rPr>
                <w:rFonts w:ascii="Times New Roman"/>
                <w:sz w:val="20"/>
              </w:rPr>
            </w:pPr>
          </w:p>
        </w:tc>
        <w:tc>
          <w:tcPr>
            <w:tcW w:w="2383" w:type="dxa"/>
            <w:tcBorders>
              <w:top w:val="single" w:sz="4" w:space="0" w:color="000000"/>
              <w:bottom w:val="single" w:sz="12" w:space="0" w:color="000000"/>
            </w:tcBorders>
          </w:tcPr>
          <w:p>
            <w:pPr>
              <w:pStyle w:val="TableParagraph"/>
              <w:spacing w:before="99"/>
              <w:ind w:left="38"/>
              <w:rPr>
                <w:rFonts w:ascii="宋体" w:eastAsia="宋体" w:hint="eastAsia"/>
                <w:sz w:val="21"/>
              </w:rPr>
            </w:pPr>
            <w:r>
              <w:rPr>
                <w:rFonts w:ascii="宋体" w:eastAsia="宋体" w:hint="eastAsia"/>
                <w:sz w:val="21"/>
              </w:rPr>
              <w:t>申购份额（</w:t>
            </w:r>
            <w:r>
              <w:rPr>
                <w:sz w:val="21"/>
              </w:rPr>
              <w:t>e=c/d</w:t>
            </w:r>
            <w:r>
              <w:rPr>
                <w:rFonts w:ascii="宋体" w:eastAsia="宋体" w:hint="eastAsia"/>
                <w:sz w:val="21"/>
              </w:rPr>
              <w:t>）</w:t>
            </w:r>
          </w:p>
        </w:tc>
        <w:tc>
          <w:tcPr>
            <w:tcW w:w="1375" w:type="dxa"/>
            <w:tcBorders>
              <w:top w:val="single" w:sz="4" w:space="0" w:color="000000"/>
              <w:bottom w:val="single" w:sz="12" w:space="0" w:color="000000"/>
            </w:tcBorders>
          </w:tcPr>
          <w:p>
            <w:pPr>
              <w:pStyle w:val="TableParagraph"/>
              <w:spacing w:before="104"/>
              <w:ind w:right="28"/>
              <w:jc w:val="right"/>
              <w:rPr>
                <w:sz w:val="21"/>
              </w:rPr>
            </w:pPr>
            <w:r>
              <w:rPr>
                <w:sz w:val="21"/>
              </w:rPr>
              <w:t>4,064,227.64</w:t>
            </w:r>
          </w:p>
        </w:tc>
      </w:tr>
    </w:tbl>
    <w:p>
      <w:pPr>
        <w:pStyle w:val="BodyText"/>
        <w:spacing w:line="417" w:lineRule="auto" w:before="85"/>
        <w:ind w:left="160" w:right="809" w:firstLine="419"/>
      </w:pPr>
      <w:r>
        <w:rPr/>
        <w:t>例：假定</w:t>
      </w:r>
      <w:r>
        <w:rPr>
          <w:rFonts w:ascii="Calibri" w:eastAsia="Calibri"/>
          <w:position w:val="1"/>
        </w:rPr>
        <w:t>T</w:t>
      </w:r>
      <w:r>
        <w:rPr/>
        <w:t>日的</w:t>
      </w:r>
      <w:r>
        <w:rPr>
          <w:rFonts w:ascii="Calibri" w:eastAsia="Calibri"/>
          <w:position w:val="1"/>
        </w:rPr>
        <w:t>C</w:t>
      </w:r>
      <w:r>
        <w:rPr/>
        <w:t>类基金份额净值为</w:t>
      </w:r>
      <w:r>
        <w:rPr>
          <w:rFonts w:ascii="Calibri" w:eastAsia="Calibri"/>
          <w:position w:val="1"/>
        </w:rPr>
        <w:t>1.2000</w:t>
      </w:r>
      <w:r>
        <w:rPr/>
        <w:t>元，某投资者申购金额为</w:t>
      </w:r>
      <w:r>
        <w:rPr>
          <w:rFonts w:ascii="Calibri" w:eastAsia="Calibri"/>
          <w:position w:val="1"/>
        </w:rPr>
        <w:t>10</w:t>
      </w:r>
      <w:r>
        <w:rPr/>
        <w:t>万元，则申购获得的基金份额计算如下：</w:t>
      </w:r>
    </w:p>
    <w:p>
      <w:pPr>
        <w:pStyle w:val="BodyText"/>
        <w:ind w:left="1420"/>
      </w:pPr>
      <w:r>
        <w:rPr/>
        <w:t>申购份额＝</w:t>
      </w:r>
      <w:r>
        <w:rPr>
          <w:rFonts w:ascii="Calibri" w:eastAsia="Calibri"/>
        </w:rPr>
        <w:t>100,000.00/1.2000=83,333.33</w:t>
      </w:r>
      <w:r>
        <w:rPr/>
        <w:t>份</w:t>
      </w:r>
    </w:p>
    <w:p>
      <w:pPr>
        <w:pStyle w:val="BodyText"/>
        <w:spacing w:before="7"/>
        <w:rPr>
          <w:sz w:val="15"/>
        </w:rPr>
      </w:pPr>
    </w:p>
    <w:p>
      <w:pPr>
        <w:pStyle w:val="BodyText"/>
        <w:ind w:left="580"/>
      </w:pPr>
      <w:r>
        <w:rPr>
          <w:rFonts w:ascii="Calibri" w:eastAsia="Calibri"/>
          <w:position w:val="1"/>
        </w:rPr>
        <w:t>2</w:t>
      </w:r>
      <w:r>
        <w:rPr/>
        <w:t>、赎回金额的计算</w:t>
      </w:r>
    </w:p>
    <w:p>
      <w:pPr>
        <w:pStyle w:val="BodyText"/>
        <w:spacing w:before="6"/>
        <w:rPr>
          <w:sz w:val="15"/>
        </w:rPr>
      </w:pPr>
    </w:p>
    <w:p>
      <w:pPr>
        <w:pStyle w:val="BodyText"/>
        <w:spacing w:line="417" w:lineRule="auto"/>
        <w:ind w:left="1000" w:right="3195" w:hanging="420"/>
      </w:pPr>
      <w:r>
        <w:rPr/>
        <w:t>投资者赎回</w:t>
      </w:r>
      <w:r>
        <w:rPr>
          <w:rFonts w:ascii="Calibri" w:hAnsi="Calibri" w:eastAsia="Calibri"/>
          <w:position w:val="1"/>
        </w:rPr>
        <w:t>A</w:t>
      </w:r>
      <w:r>
        <w:rPr/>
        <w:t>类</w:t>
      </w:r>
      <w:r>
        <w:rPr>
          <w:rFonts w:ascii="Calibri" w:hAnsi="Calibri" w:eastAsia="Calibri"/>
          <w:position w:val="1"/>
        </w:rPr>
        <w:t>/C</w:t>
      </w:r>
      <w:r>
        <w:rPr/>
        <w:t>类基金份额时，赎回金额的计算方法如下： 赎回金额＝赎回份额</w:t>
      </w:r>
      <w:r>
        <w:rPr>
          <w:rFonts w:ascii="Calibri" w:hAnsi="Calibri" w:eastAsia="Calibri"/>
          <w:position w:val="1"/>
        </w:rPr>
        <w:t>×T</w:t>
      </w:r>
      <w:r>
        <w:rPr/>
        <w:t>日该类基金份额净值</w:t>
      </w:r>
    </w:p>
    <w:p>
      <w:pPr>
        <w:pStyle w:val="BodyText"/>
        <w:spacing w:line="417" w:lineRule="auto"/>
        <w:ind w:left="1000" w:right="5441"/>
      </w:pPr>
      <w:r>
        <w:rPr/>
        <w:t>赎回费用＝赎回金额</w:t>
      </w:r>
      <w:r>
        <w:rPr>
          <w:rFonts w:ascii="Calibri" w:hAnsi="Calibri" w:eastAsia="Calibri"/>
        </w:rPr>
        <w:t>×</w:t>
      </w:r>
      <w:r>
        <w:rPr/>
        <w:t>赎回费率净赎回金额</w:t>
      </w:r>
      <w:r>
        <w:rPr>
          <w:rFonts w:ascii="Calibri" w:hAnsi="Calibri" w:eastAsia="Calibri"/>
        </w:rPr>
        <w:t>=</w:t>
      </w:r>
      <w:r>
        <w:rPr/>
        <w:t>赎回金额</w:t>
      </w:r>
      <w:r>
        <w:rPr>
          <w:rFonts w:ascii="Calibri" w:hAnsi="Calibri" w:eastAsia="Calibri"/>
        </w:rPr>
        <w:t>-</w:t>
      </w:r>
      <w:r>
        <w:rPr/>
        <w:t>赎回费用</w:t>
      </w:r>
    </w:p>
    <w:p>
      <w:pPr>
        <w:pStyle w:val="BodyText"/>
        <w:spacing w:line="417" w:lineRule="auto"/>
        <w:ind w:left="160" w:right="876" w:firstLine="419"/>
      </w:pPr>
      <w:r>
        <w:rPr>
          <w:spacing w:val="-11"/>
        </w:rPr>
        <w:t>例：假定某投资者在 </w:t>
      </w:r>
      <w:r>
        <w:rPr>
          <w:rFonts w:ascii="Calibri" w:eastAsia="Calibri"/>
        </w:rPr>
        <w:t>T </w:t>
      </w:r>
      <w:r>
        <w:rPr>
          <w:spacing w:val="-15"/>
        </w:rPr>
        <w:t>日赎回 </w:t>
      </w:r>
      <w:r>
        <w:rPr>
          <w:rFonts w:ascii="Calibri" w:eastAsia="Calibri"/>
        </w:rPr>
        <w:t>10,000 </w:t>
      </w:r>
      <w:r>
        <w:rPr>
          <w:spacing w:val="50"/>
        </w:rPr>
        <w:t>份</w:t>
      </w:r>
      <w:r>
        <w:rPr>
          <w:rFonts w:ascii="Calibri" w:eastAsia="Calibri"/>
        </w:rPr>
        <w:t>A </w:t>
      </w:r>
      <w:r>
        <w:rPr>
          <w:spacing w:val="-10"/>
        </w:rPr>
        <w:t>类基金份额，持有期限 </w:t>
      </w:r>
      <w:r>
        <w:rPr>
          <w:rFonts w:ascii="Calibri" w:eastAsia="Calibri"/>
        </w:rPr>
        <w:t>30 </w:t>
      </w:r>
      <w:r>
        <w:rPr>
          <w:spacing w:val="-7"/>
        </w:rPr>
        <w:t>天，该日基金份额</w:t>
      </w:r>
      <w:r>
        <w:rPr>
          <w:spacing w:val="-17"/>
        </w:rPr>
        <w:t>净值为 </w:t>
      </w:r>
      <w:r>
        <w:rPr>
          <w:rFonts w:ascii="Calibri" w:eastAsia="Calibri"/>
        </w:rPr>
        <w:t>1.2500 </w:t>
      </w:r>
      <w:r>
        <w:rPr>
          <w:spacing w:val="-3"/>
        </w:rPr>
        <w:t>元，则其获得的赎回金额计算如下：</w:t>
      </w:r>
    </w:p>
    <w:p>
      <w:pPr>
        <w:pStyle w:val="BodyText"/>
        <w:spacing w:line="417" w:lineRule="auto"/>
        <w:ind w:left="1420" w:right="4059"/>
      </w:pPr>
      <w:r>
        <w:rPr/>
        <w:t>赎回总金额</w:t>
      </w:r>
      <w:r>
        <w:rPr>
          <w:rFonts w:ascii="Calibri" w:hAnsi="Calibri" w:eastAsia="Calibri"/>
        </w:rPr>
        <w:t>=10,000.00×1.2500=12,500.00</w:t>
      </w:r>
      <w:r>
        <w:rPr/>
        <w:t>元赎回费用＝</w:t>
      </w:r>
      <w:r>
        <w:rPr>
          <w:rFonts w:ascii="Calibri" w:hAnsi="Calibri" w:eastAsia="Calibri"/>
        </w:rPr>
        <w:t>12,500.00×0.5%</w:t>
      </w:r>
      <w:r>
        <w:rPr/>
        <w:t>＝</w:t>
      </w:r>
      <w:r>
        <w:rPr>
          <w:rFonts w:ascii="Calibri" w:hAnsi="Calibri" w:eastAsia="Calibri"/>
        </w:rPr>
        <w:t>62.50</w:t>
      </w:r>
      <w:r>
        <w:rPr/>
        <w:t>元</w:t>
      </w:r>
    </w:p>
    <w:p>
      <w:pPr>
        <w:pStyle w:val="BodyText"/>
        <w:spacing w:line="269" w:lineRule="exact"/>
        <w:ind w:left="1420"/>
      </w:pPr>
      <w:r>
        <w:rPr/>
        <w:t>净赎回金额</w:t>
      </w:r>
      <w:r>
        <w:rPr>
          <w:rFonts w:ascii="Calibri" w:eastAsia="Calibri"/>
        </w:rPr>
        <w:t>=12,500.00-62.50</w:t>
      </w:r>
      <w:r>
        <w:rPr/>
        <w:t>＝</w:t>
      </w:r>
      <w:r>
        <w:rPr>
          <w:rFonts w:ascii="Calibri" w:eastAsia="Calibri"/>
        </w:rPr>
        <w:t>12,437.50</w:t>
      </w:r>
      <w:r>
        <w:rPr/>
        <w:t>元</w:t>
      </w:r>
    </w:p>
    <w:p>
      <w:pPr>
        <w:pStyle w:val="BodyText"/>
        <w:spacing w:before="7"/>
        <w:rPr>
          <w:sz w:val="15"/>
        </w:rPr>
      </w:pPr>
    </w:p>
    <w:p>
      <w:pPr>
        <w:pStyle w:val="BodyText"/>
        <w:spacing w:line="417" w:lineRule="auto"/>
        <w:ind w:left="160" w:right="821" w:firstLine="419"/>
      </w:pPr>
      <w:r>
        <w:rPr/>
        <w:t>例：假定某投资者在</w:t>
      </w:r>
      <w:r>
        <w:rPr>
          <w:rFonts w:ascii="Calibri" w:eastAsia="Calibri"/>
        </w:rPr>
        <w:t>T </w:t>
      </w:r>
      <w:r>
        <w:rPr/>
        <w:t>日赎回 </w:t>
      </w:r>
      <w:r>
        <w:rPr>
          <w:rFonts w:ascii="Calibri" w:eastAsia="Calibri"/>
        </w:rPr>
        <w:t>10,000 </w:t>
      </w:r>
      <w:r>
        <w:rPr/>
        <w:t>份</w:t>
      </w:r>
      <w:r>
        <w:rPr>
          <w:rFonts w:ascii="Calibri" w:eastAsia="Calibri"/>
        </w:rPr>
        <w:t>C </w:t>
      </w:r>
      <w:r>
        <w:rPr/>
        <w:t>类基金份额，持有期限 </w:t>
      </w:r>
      <w:r>
        <w:rPr>
          <w:rFonts w:ascii="Calibri" w:eastAsia="Calibri"/>
        </w:rPr>
        <w:t>30 </w:t>
      </w:r>
      <w:r>
        <w:rPr/>
        <w:t>天，该日基金份额净值为 </w:t>
      </w:r>
      <w:r>
        <w:rPr>
          <w:rFonts w:ascii="Calibri" w:eastAsia="Calibri"/>
        </w:rPr>
        <w:t>1.2500 </w:t>
      </w:r>
      <w:r>
        <w:rPr/>
        <w:t>元，则其获得的赎回金额计算如下：</w:t>
      </w:r>
    </w:p>
    <w:p>
      <w:pPr>
        <w:pStyle w:val="BodyText"/>
        <w:spacing w:line="262" w:lineRule="exact"/>
        <w:ind w:left="1420"/>
      </w:pPr>
      <w:r>
        <w:rPr/>
        <w:t>净赎回金额</w:t>
      </w:r>
      <w:r>
        <w:rPr>
          <w:rFonts w:ascii="Calibri" w:hAnsi="Calibri" w:eastAsia="Calibri"/>
        </w:rPr>
        <w:t>=10,000.00×1.2500=12,500.00</w:t>
      </w:r>
      <w:r>
        <w:rPr/>
        <w:t>元</w:t>
      </w:r>
    </w:p>
    <w:p>
      <w:pPr>
        <w:spacing w:after="0" w:line="262" w:lineRule="exact"/>
        <w:sectPr>
          <w:pgSz w:w="11910" w:h="16840"/>
          <w:pgMar w:header="877" w:footer="995" w:top="1420" w:bottom="1180" w:left="1640" w:right="920"/>
        </w:sectPr>
      </w:pPr>
    </w:p>
    <w:p>
      <w:pPr>
        <w:pStyle w:val="BodyText"/>
        <w:spacing w:line="417" w:lineRule="auto" w:before="110"/>
        <w:ind w:left="160" w:right="768" w:firstLine="419"/>
      </w:pPr>
      <w:r>
        <w:rPr>
          <w:rFonts w:ascii="Calibri" w:eastAsia="Calibri"/>
        </w:rPr>
        <w:t>3</w:t>
      </w:r>
      <w:r>
        <w:rPr>
          <w:spacing w:val="-3"/>
        </w:rPr>
        <w:t>、本基金份额净值的计算，保留到小数点后</w:t>
      </w:r>
      <w:r>
        <w:rPr>
          <w:rFonts w:ascii="Calibri" w:eastAsia="Calibri"/>
        </w:rPr>
        <w:t>4</w:t>
      </w:r>
      <w:r>
        <w:rPr>
          <w:spacing w:val="-3"/>
        </w:rPr>
        <w:t>位，小数点后第</w:t>
      </w:r>
      <w:r>
        <w:rPr>
          <w:rFonts w:ascii="Calibri" w:eastAsia="Calibri"/>
        </w:rPr>
        <w:t>5</w:t>
      </w:r>
      <w:r>
        <w:rPr>
          <w:spacing w:val="-3"/>
        </w:rPr>
        <w:t>位四舍五入，由此产生的收益或损失由基金财产承担。</w:t>
      </w:r>
      <w:r>
        <w:rPr>
          <w:rFonts w:ascii="Calibri" w:eastAsia="Calibri"/>
          <w:spacing w:val="-3"/>
        </w:rPr>
        <w:t>T</w:t>
      </w:r>
      <w:r>
        <w:rPr>
          <w:spacing w:val="-3"/>
        </w:rPr>
        <w:t>日的基金份额净值在当天收市后计算，并在</w:t>
      </w:r>
      <w:r>
        <w:rPr>
          <w:rFonts w:ascii="Calibri" w:eastAsia="Calibri"/>
        </w:rPr>
        <w:t>T+1</w:t>
      </w:r>
      <w:r>
        <w:rPr>
          <w:spacing w:val="-2"/>
        </w:rPr>
        <w:t>日内公告。</w:t>
      </w:r>
      <w:r>
        <w:rPr>
          <w:spacing w:val="-3"/>
        </w:rPr>
        <w:t>遇特殊情况，经中国证监会同意，可以适当延迟计算或公告。</w:t>
      </w:r>
    </w:p>
    <w:p>
      <w:pPr>
        <w:pStyle w:val="BodyText"/>
        <w:spacing w:line="297" w:lineRule="exact"/>
        <w:ind w:left="580"/>
      </w:pPr>
      <w:r>
        <w:rPr>
          <w:rFonts w:ascii="Calibri" w:eastAsia="Calibri"/>
        </w:rPr>
        <w:t>4</w:t>
      </w:r>
      <w:r>
        <w:rPr>
          <w:rFonts w:ascii="等线" w:eastAsia="等线" w:hint="eastAsia"/>
        </w:rPr>
        <w:t>、 </w:t>
      </w:r>
      <w:r>
        <w:rPr/>
        <w:t>当发生大额申购或赎回情形时，基金管理人可以采用摆动定价机制，以确保基金估</w:t>
      </w:r>
    </w:p>
    <w:p>
      <w:pPr>
        <w:pStyle w:val="BodyText"/>
        <w:spacing w:before="170"/>
        <w:ind w:left="160"/>
      </w:pPr>
      <w:r>
        <w:rPr/>
        <w:t>值的公平性，具体处理原则与操作规范遵循相关法律法规以及监管部门、自律规则的规定。</w:t>
      </w:r>
    </w:p>
    <w:p>
      <w:pPr>
        <w:pStyle w:val="BodyText"/>
        <w:spacing w:before="6"/>
        <w:rPr>
          <w:sz w:val="15"/>
        </w:rPr>
      </w:pPr>
    </w:p>
    <w:p>
      <w:pPr>
        <w:pStyle w:val="BodyText"/>
        <w:spacing w:before="1"/>
        <w:ind w:left="580"/>
      </w:pPr>
      <w:r>
        <w:rPr/>
        <w:t>（八）拒绝或暂停申购的情形</w:t>
      </w:r>
    </w:p>
    <w:p>
      <w:pPr>
        <w:pStyle w:val="BodyText"/>
        <w:spacing w:before="6"/>
        <w:rPr>
          <w:sz w:val="15"/>
        </w:rPr>
      </w:pPr>
    </w:p>
    <w:p>
      <w:pPr>
        <w:pStyle w:val="BodyText"/>
        <w:ind w:left="580"/>
      </w:pPr>
      <w:r>
        <w:rPr/>
        <w:t>发生下列情况时，基金管理人可拒绝或暂停接受投资人的申购申请：</w:t>
      </w:r>
    </w:p>
    <w:p>
      <w:pPr>
        <w:pStyle w:val="BodyText"/>
        <w:spacing w:before="8"/>
        <w:rPr>
          <w:sz w:val="15"/>
        </w:rPr>
      </w:pPr>
    </w:p>
    <w:p>
      <w:pPr>
        <w:pStyle w:val="BodyText"/>
        <w:ind w:left="580"/>
      </w:pPr>
      <w:r>
        <w:rPr>
          <w:rFonts w:ascii="Calibri" w:eastAsia="Calibri"/>
        </w:rPr>
        <w:t>1</w:t>
      </w:r>
      <w:r>
        <w:rPr/>
        <w:t>、因不可抗力导致基金无法正常运作或基金管理人无法接受投资人的申购申请。</w:t>
      </w:r>
    </w:p>
    <w:p>
      <w:pPr>
        <w:pStyle w:val="BodyText"/>
        <w:spacing w:before="6"/>
        <w:rPr>
          <w:sz w:val="15"/>
        </w:rPr>
      </w:pPr>
    </w:p>
    <w:p>
      <w:pPr>
        <w:pStyle w:val="BodyText"/>
        <w:spacing w:line="417" w:lineRule="auto"/>
        <w:ind w:left="160" w:right="871" w:firstLine="419"/>
        <w:jc w:val="both"/>
      </w:pPr>
      <w:r>
        <w:rPr>
          <w:rFonts w:ascii="Calibri" w:eastAsia="Calibri"/>
        </w:rPr>
        <w:t>2</w:t>
      </w:r>
      <w:r>
        <w:rPr>
          <w:spacing w:val="-3"/>
        </w:rPr>
        <w:t>、发生基金合同规定的暂停基金资产估值情况时，基金管理人可暂停接受投资人的申</w:t>
      </w:r>
      <w:r>
        <w:rPr>
          <w:spacing w:val="-13"/>
        </w:rPr>
        <w:t>购申请。当前一估值日基金资产净值 </w:t>
      </w:r>
      <w:r>
        <w:rPr>
          <w:rFonts w:ascii="Calibri" w:eastAsia="Calibri"/>
        </w:rPr>
        <w:t>50%</w:t>
      </w:r>
      <w:r>
        <w:rPr>
          <w:spacing w:val="-3"/>
        </w:rPr>
        <w:t>以上的资产出现无可参考的活跃市场价格且采用估</w:t>
      </w:r>
      <w:r>
        <w:rPr>
          <w:spacing w:val="-8"/>
        </w:rPr>
        <w:t>值技术仍导致公允价值存在重大不确定性时，经与基金托管人协商确认后，基金管理人应当</w:t>
      </w:r>
      <w:r>
        <w:rPr>
          <w:spacing w:val="-5"/>
        </w:rPr>
        <w:t>暂停接受基金申购申请。</w:t>
      </w:r>
    </w:p>
    <w:p>
      <w:pPr>
        <w:pStyle w:val="BodyText"/>
        <w:spacing w:line="268" w:lineRule="exact"/>
        <w:ind w:left="580"/>
      </w:pPr>
      <w:r>
        <w:rPr>
          <w:rFonts w:ascii="Calibri" w:eastAsia="Calibri"/>
        </w:rPr>
        <w:t>3</w:t>
      </w:r>
      <w:r>
        <w:rPr/>
        <w:t>、证券</w:t>
      </w:r>
      <w:r>
        <w:rPr>
          <w:rFonts w:ascii="Calibri" w:eastAsia="Calibri"/>
        </w:rPr>
        <w:t>/</w:t>
      </w:r>
      <w:r>
        <w:rPr/>
        <w:t>期货交易所交易时间非正常停市，导致基金管理人无法计算当日基金资产净值。</w:t>
      </w:r>
    </w:p>
    <w:p>
      <w:pPr>
        <w:pStyle w:val="BodyText"/>
        <w:spacing w:before="7"/>
        <w:rPr>
          <w:sz w:val="15"/>
        </w:rPr>
      </w:pPr>
    </w:p>
    <w:p>
      <w:pPr>
        <w:pStyle w:val="BodyText"/>
        <w:ind w:left="580"/>
      </w:pPr>
      <w:r>
        <w:rPr>
          <w:rFonts w:ascii="Calibri" w:eastAsia="Calibri"/>
        </w:rPr>
        <w:t>4</w:t>
      </w:r>
      <w:r>
        <w:rPr/>
        <w:t>、本基金的目标 </w:t>
      </w:r>
      <w:r>
        <w:rPr>
          <w:rFonts w:ascii="Calibri" w:eastAsia="Calibri"/>
        </w:rPr>
        <w:t>ETF </w:t>
      </w:r>
      <w:r>
        <w:rPr/>
        <w:t>暂停估值。</w:t>
      </w:r>
    </w:p>
    <w:p>
      <w:pPr>
        <w:pStyle w:val="BodyText"/>
        <w:spacing w:before="7"/>
        <w:rPr>
          <w:sz w:val="15"/>
        </w:rPr>
      </w:pPr>
    </w:p>
    <w:p>
      <w:pPr>
        <w:pStyle w:val="BodyText"/>
        <w:spacing w:line="417" w:lineRule="auto"/>
        <w:ind w:left="160" w:right="826" w:firstLine="419"/>
      </w:pPr>
      <w:r>
        <w:rPr>
          <w:rFonts w:ascii="Calibri" w:eastAsia="Calibri"/>
        </w:rPr>
        <w:t>5</w:t>
      </w:r>
      <w:r>
        <w:rPr/>
        <w:t>、本基金的目标 </w:t>
      </w:r>
      <w:r>
        <w:rPr>
          <w:rFonts w:ascii="Calibri" w:eastAsia="Calibri"/>
        </w:rPr>
        <w:t>ETF </w:t>
      </w:r>
      <w:r>
        <w:rPr/>
        <w:t>暂停申购或二级市场交易停牌，且基金管理人认为有必要暂停本基金申购的。</w:t>
      </w:r>
    </w:p>
    <w:p>
      <w:pPr>
        <w:pStyle w:val="BodyText"/>
        <w:spacing w:line="269" w:lineRule="exact"/>
        <w:ind w:left="580"/>
      </w:pPr>
      <w:r>
        <w:rPr>
          <w:rFonts w:ascii="Calibri" w:eastAsia="Calibri"/>
        </w:rPr>
        <w:t>6</w:t>
      </w:r>
      <w:r>
        <w:rPr/>
        <w:t>、基金管理人、基金托管人、登记机构、销售机构等因异常情况无法办理申购业务。</w:t>
      </w:r>
    </w:p>
    <w:p>
      <w:pPr>
        <w:pStyle w:val="BodyText"/>
        <w:spacing w:before="7"/>
        <w:rPr>
          <w:sz w:val="15"/>
        </w:rPr>
      </w:pPr>
    </w:p>
    <w:p>
      <w:pPr>
        <w:pStyle w:val="BodyText"/>
        <w:spacing w:line="417" w:lineRule="auto"/>
        <w:ind w:left="160" w:right="873" w:firstLine="419"/>
      </w:pPr>
      <w:r>
        <w:rPr>
          <w:rFonts w:ascii="Calibri" w:eastAsia="Calibri"/>
        </w:rPr>
        <w:t>7</w:t>
      </w:r>
      <w:r>
        <w:rPr/>
        <w:t>、基金管理人认为接受某笔或某些申购申请可能会影响或损害现有基金份额持有人利益时。</w:t>
      </w:r>
    </w:p>
    <w:p>
      <w:pPr>
        <w:pStyle w:val="BodyText"/>
        <w:spacing w:line="417" w:lineRule="auto"/>
        <w:ind w:left="160" w:right="874" w:firstLine="419"/>
      </w:pPr>
      <w:r>
        <w:rPr>
          <w:rFonts w:ascii="Calibri" w:eastAsia="Calibri"/>
        </w:rPr>
        <w:t>8</w:t>
      </w:r>
      <w:r>
        <w:rPr/>
        <w:t>、基金资产规模过大，使基金管理人无法找到合适的投资品种，或其他可能对基金业绩产生负面影响，从而损害现有基金份额持有人利益的情形。</w:t>
      </w:r>
    </w:p>
    <w:p>
      <w:pPr>
        <w:pStyle w:val="BodyText"/>
        <w:ind w:left="580"/>
      </w:pPr>
      <w:r>
        <w:rPr>
          <w:rFonts w:ascii="Calibri" w:eastAsia="Calibri"/>
        </w:rPr>
        <w:t>9</w:t>
      </w:r>
      <w:r>
        <w:rPr/>
        <w:t>、法律法规规定或中国证监会认定的其他情形。</w:t>
      </w:r>
    </w:p>
    <w:p>
      <w:pPr>
        <w:pStyle w:val="BodyText"/>
        <w:spacing w:before="7"/>
        <w:rPr>
          <w:sz w:val="15"/>
        </w:rPr>
      </w:pPr>
    </w:p>
    <w:p>
      <w:pPr>
        <w:pStyle w:val="BodyText"/>
        <w:spacing w:line="417" w:lineRule="auto"/>
        <w:ind w:left="160" w:right="765" w:firstLine="419"/>
      </w:pPr>
      <w:r>
        <w:rPr>
          <w:spacing w:val="-8"/>
        </w:rPr>
        <w:t>发生上述第 </w:t>
      </w:r>
      <w:r>
        <w:rPr>
          <w:rFonts w:ascii="Calibri" w:eastAsia="Calibri"/>
        </w:rPr>
        <w:t>1</w:t>
      </w:r>
      <w:r>
        <w:rPr/>
        <w:t>、</w:t>
      </w:r>
      <w:r>
        <w:rPr>
          <w:rFonts w:ascii="Calibri" w:eastAsia="Calibri"/>
        </w:rPr>
        <w:t>2</w:t>
      </w:r>
      <w:r>
        <w:rPr/>
        <w:t>、</w:t>
      </w:r>
      <w:r>
        <w:rPr>
          <w:rFonts w:ascii="Calibri" w:eastAsia="Calibri"/>
        </w:rPr>
        <w:t>3</w:t>
      </w:r>
      <w:r>
        <w:rPr/>
        <w:t>、</w:t>
      </w:r>
      <w:r>
        <w:rPr>
          <w:rFonts w:ascii="Calibri" w:eastAsia="Calibri"/>
        </w:rPr>
        <w:t>4</w:t>
      </w:r>
      <w:r>
        <w:rPr>
          <w:spacing w:val="-3"/>
        </w:rPr>
        <w:t>、</w:t>
      </w:r>
      <w:r>
        <w:rPr>
          <w:rFonts w:ascii="Calibri" w:eastAsia="Calibri"/>
        </w:rPr>
        <w:t>5</w:t>
      </w:r>
      <w:r>
        <w:rPr>
          <w:spacing w:val="-3"/>
        </w:rPr>
        <w:t>、</w:t>
      </w:r>
      <w:r>
        <w:rPr>
          <w:rFonts w:ascii="Calibri" w:eastAsia="Calibri"/>
        </w:rPr>
        <w:t>6</w:t>
      </w:r>
      <w:r>
        <w:rPr>
          <w:spacing w:val="-3"/>
        </w:rPr>
        <w:t>、</w:t>
      </w:r>
      <w:r>
        <w:rPr>
          <w:rFonts w:ascii="Calibri" w:eastAsia="Calibri"/>
        </w:rPr>
        <w:t>8 </w:t>
      </w:r>
      <w:r>
        <w:rPr>
          <w:spacing w:val="-3"/>
        </w:rPr>
        <w:t>项暂停申购情形之一且基金管理人决定暂停申购时， </w:t>
      </w:r>
      <w:r>
        <w:rPr>
          <w:spacing w:val="-7"/>
        </w:rPr>
        <w:t>基金管理人应当根据有关规定在指定媒介上刊登暂停申购公告。如果投资人的申购申请被拒</w:t>
      </w:r>
      <w:r>
        <w:rPr>
          <w:spacing w:val="-10"/>
        </w:rPr>
        <w:t>绝，被拒绝的申购款项本金将退还给投资人。在暂停申购的情况消除时，基金管理人应及时</w:t>
      </w:r>
      <w:r>
        <w:rPr>
          <w:spacing w:val="-5"/>
        </w:rPr>
        <w:t>恢复申购业务的办理。</w:t>
      </w:r>
    </w:p>
    <w:p>
      <w:pPr>
        <w:pStyle w:val="BodyText"/>
        <w:spacing w:line="268" w:lineRule="exact"/>
        <w:ind w:left="580"/>
      </w:pPr>
      <w:r>
        <w:rPr/>
        <w:t>（九）暂停赎回或延缓支付赎回款项的情形</w:t>
      </w:r>
    </w:p>
    <w:p>
      <w:pPr>
        <w:pStyle w:val="BodyText"/>
        <w:spacing w:before="6"/>
        <w:rPr>
          <w:sz w:val="15"/>
        </w:rPr>
      </w:pPr>
    </w:p>
    <w:p>
      <w:pPr>
        <w:pStyle w:val="BodyText"/>
        <w:spacing w:before="1"/>
        <w:ind w:left="580"/>
      </w:pPr>
      <w:r>
        <w:rPr/>
        <w:t>发生下列情形时，基金管理人可暂停接受投资人的赎回申请或延缓支付赎回款项：</w:t>
      </w:r>
    </w:p>
    <w:p>
      <w:pPr>
        <w:pStyle w:val="BodyText"/>
        <w:spacing w:before="7"/>
        <w:rPr>
          <w:sz w:val="15"/>
        </w:rPr>
      </w:pPr>
    </w:p>
    <w:p>
      <w:pPr>
        <w:pStyle w:val="BodyText"/>
        <w:ind w:left="580"/>
      </w:pPr>
      <w:r>
        <w:rPr>
          <w:rFonts w:ascii="Calibri" w:eastAsia="Calibri"/>
        </w:rPr>
        <w:t>1</w:t>
      </w:r>
      <w:r>
        <w:rPr/>
        <w:t>、因不可抗力导致基金管理人不能支付赎回款项。</w:t>
      </w:r>
    </w:p>
    <w:p>
      <w:pPr>
        <w:pStyle w:val="BodyText"/>
        <w:spacing w:before="6"/>
        <w:rPr>
          <w:sz w:val="15"/>
        </w:rPr>
      </w:pPr>
    </w:p>
    <w:p>
      <w:pPr>
        <w:pStyle w:val="BodyText"/>
        <w:ind w:left="580"/>
      </w:pPr>
      <w:r>
        <w:rPr>
          <w:rFonts w:ascii="Calibri" w:eastAsia="Calibri"/>
        </w:rPr>
        <w:t>2</w:t>
      </w:r>
      <w:r>
        <w:rPr/>
        <w:t>、发生基金合同规定的暂停基金资产估值情况时，基金管理人可暂停接受投资人的赎</w:t>
      </w:r>
    </w:p>
    <w:p>
      <w:pPr>
        <w:spacing w:after="0"/>
        <w:sectPr>
          <w:pgSz w:w="11910" w:h="16840"/>
          <w:pgMar w:header="877" w:footer="995" w:top="1420" w:bottom="1180" w:left="1640" w:right="920"/>
        </w:sectPr>
      </w:pPr>
    </w:p>
    <w:p>
      <w:pPr>
        <w:pStyle w:val="BodyText"/>
        <w:spacing w:line="417" w:lineRule="auto" w:before="110"/>
        <w:ind w:left="160" w:right="871"/>
        <w:jc w:val="both"/>
      </w:pPr>
      <w:r>
        <w:rPr>
          <w:spacing w:val="-11"/>
        </w:rPr>
        <w:t>回申请或延缓支付赎回款项。当前一估值日基金资产净值 </w:t>
      </w:r>
      <w:r>
        <w:rPr>
          <w:rFonts w:ascii="Calibri" w:eastAsia="Calibri"/>
        </w:rPr>
        <w:t>50%</w:t>
      </w:r>
      <w:r>
        <w:rPr>
          <w:spacing w:val="-3"/>
        </w:rPr>
        <w:t>以上的资产出现无可参考的活</w:t>
      </w:r>
      <w:r>
        <w:rPr>
          <w:spacing w:val="-7"/>
        </w:rPr>
        <w:t>跃市场价格且采用估值技术仍导致公允价值存在重大不确定性时，经与基金托管人协商确认</w:t>
      </w:r>
      <w:r>
        <w:rPr>
          <w:spacing w:val="-5"/>
        </w:rPr>
        <w:t>后，基金管理人应当暂停接受基金赎回申请或延缓支付赎回款项。</w:t>
      </w:r>
    </w:p>
    <w:p>
      <w:pPr>
        <w:pStyle w:val="BodyText"/>
        <w:spacing w:line="269" w:lineRule="exact"/>
        <w:ind w:left="580"/>
      </w:pPr>
      <w:r>
        <w:rPr>
          <w:rFonts w:ascii="Calibri" w:eastAsia="Calibri"/>
        </w:rPr>
        <w:t>3</w:t>
      </w:r>
      <w:r>
        <w:rPr/>
        <w:t>、证券</w:t>
      </w:r>
      <w:r>
        <w:rPr>
          <w:rFonts w:ascii="Calibri" w:eastAsia="Calibri"/>
        </w:rPr>
        <w:t>/</w:t>
      </w:r>
      <w:r>
        <w:rPr/>
        <w:t>期货交易所交易时间非正常停市，导致基金管理人无法计算当日基金资产净值。</w:t>
      </w:r>
    </w:p>
    <w:p>
      <w:pPr>
        <w:pStyle w:val="BodyText"/>
        <w:spacing w:before="6"/>
        <w:rPr>
          <w:sz w:val="15"/>
        </w:rPr>
      </w:pPr>
    </w:p>
    <w:p>
      <w:pPr>
        <w:pStyle w:val="BodyText"/>
        <w:ind w:left="580"/>
      </w:pPr>
      <w:r>
        <w:rPr>
          <w:rFonts w:ascii="Calibri" w:eastAsia="Calibri"/>
        </w:rPr>
        <w:t>4</w:t>
      </w:r>
      <w:r>
        <w:rPr/>
        <w:t>、本基金的目标 </w:t>
      </w:r>
      <w:r>
        <w:rPr>
          <w:rFonts w:ascii="Calibri" w:eastAsia="Calibri"/>
        </w:rPr>
        <w:t>ETF </w:t>
      </w:r>
      <w:r>
        <w:rPr/>
        <w:t>暂停估值。</w:t>
      </w:r>
    </w:p>
    <w:p>
      <w:pPr>
        <w:pStyle w:val="BodyText"/>
        <w:spacing w:before="7"/>
        <w:rPr>
          <w:sz w:val="15"/>
        </w:rPr>
      </w:pPr>
    </w:p>
    <w:p>
      <w:pPr>
        <w:pStyle w:val="BodyText"/>
        <w:spacing w:line="417" w:lineRule="auto"/>
        <w:ind w:left="160" w:right="825" w:firstLine="419"/>
      </w:pPr>
      <w:r>
        <w:rPr>
          <w:rFonts w:ascii="Calibri" w:eastAsia="Calibri"/>
        </w:rPr>
        <w:t>5</w:t>
      </w:r>
      <w:r>
        <w:rPr/>
        <w:t>、本基金的目标 </w:t>
      </w:r>
      <w:r>
        <w:rPr>
          <w:rFonts w:ascii="Calibri" w:eastAsia="Calibri"/>
        </w:rPr>
        <w:t>ETF </w:t>
      </w:r>
      <w:r>
        <w:rPr/>
        <w:t>暂停赎回或二级市场交易停牌，且基金管理人认为有必要暂停本基金赎回的。</w:t>
      </w:r>
    </w:p>
    <w:p>
      <w:pPr>
        <w:pStyle w:val="BodyText"/>
        <w:ind w:left="580"/>
      </w:pPr>
      <w:r>
        <w:rPr>
          <w:rFonts w:ascii="Calibri" w:eastAsia="Calibri"/>
        </w:rPr>
        <w:t>6</w:t>
      </w:r>
      <w:r>
        <w:rPr/>
        <w:t>、连续两个或两个以上开放日发生巨额赎回。</w:t>
      </w:r>
    </w:p>
    <w:p>
      <w:pPr>
        <w:pStyle w:val="BodyText"/>
        <w:spacing w:before="7"/>
        <w:rPr>
          <w:sz w:val="15"/>
        </w:rPr>
      </w:pPr>
    </w:p>
    <w:p>
      <w:pPr>
        <w:pStyle w:val="BodyText"/>
        <w:ind w:left="580"/>
      </w:pPr>
      <w:r>
        <w:rPr>
          <w:rFonts w:ascii="Calibri" w:eastAsia="Calibri"/>
        </w:rPr>
        <w:t>7</w:t>
      </w:r>
      <w:r>
        <w:rPr/>
        <w:t>、法律法规规定或中国证监会认定的其他情形。</w:t>
      </w:r>
    </w:p>
    <w:p>
      <w:pPr>
        <w:pStyle w:val="BodyText"/>
        <w:spacing w:before="7"/>
        <w:rPr>
          <w:sz w:val="15"/>
        </w:rPr>
      </w:pPr>
    </w:p>
    <w:p>
      <w:pPr>
        <w:pStyle w:val="BodyText"/>
        <w:spacing w:line="417" w:lineRule="auto"/>
        <w:ind w:left="160" w:right="765" w:firstLine="419"/>
      </w:pPr>
      <w:r>
        <w:rPr>
          <w:spacing w:val="-6"/>
        </w:rPr>
        <w:t>发生上述情形之一且基金管理人决定暂停赎回或延缓支付赎回款项时，基金管理人应在</w:t>
      </w:r>
      <w:r>
        <w:rPr>
          <w:spacing w:val="-20"/>
        </w:rPr>
        <w:t>当日报中国证监会备案，已确认的赎回申请，基金管理人应足额支付；如暂时不能足额支付， </w:t>
      </w:r>
      <w:r>
        <w:rPr>
          <w:spacing w:val="-11"/>
        </w:rPr>
        <w:t>应将可支付部分按单个账户申请量占申请总量的比例分配给赎回申请人，未支付部分可延期</w:t>
      </w:r>
      <w:r>
        <w:rPr>
          <w:spacing w:val="-7"/>
        </w:rPr>
        <w:t>支付，并以后续开放日的基金份额净值为依据计算赎回金额。若出现上述第 </w:t>
      </w:r>
      <w:r>
        <w:rPr>
          <w:rFonts w:ascii="Calibri" w:eastAsia="Calibri"/>
        </w:rPr>
        <w:t>6 </w:t>
      </w:r>
      <w:r>
        <w:rPr>
          <w:spacing w:val="-3"/>
        </w:rPr>
        <w:t>项所述情形， </w:t>
      </w:r>
      <w:r>
        <w:rPr>
          <w:spacing w:val="-11"/>
        </w:rPr>
        <w:t>按基金合同的相关条款处理。基金份额持有人在申请赎回时可事先选择将当日可能未获受理</w:t>
      </w:r>
      <w:r>
        <w:rPr>
          <w:spacing w:val="-6"/>
        </w:rPr>
        <w:t>部分予以撤销。在暂停赎回的情况消除时，基金管理人应及时恢复赎回业务的办理并公告。</w:t>
      </w:r>
    </w:p>
    <w:p>
      <w:pPr>
        <w:pStyle w:val="BodyText"/>
        <w:spacing w:line="268" w:lineRule="exact"/>
        <w:ind w:left="580"/>
      </w:pPr>
      <w:r>
        <w:rPr/>
        <w:t>（十）巨额赎回的情形及处理方式</w:t>
      </w:r>
    </w:p>
    <w:p>
      <w:pPr>
        <w:pStyle w:val="BodyText"/>
        <w:spacing w:before="7"/>
        <w:rPr>
          <w:sz w:val="15"/>
        </w:rPr>
      </w:pPr>
    </w:p>
    <w:p>
      <w:pPr>
        <w:pStyle w:val="BodyText"/>
        <w:ind w:left="580"/>
      </w:pPr>
      <w:r>
        <w:rPr>
          <w:rFonts w:ascii="Calibri" w:eastAsia="Calibri"/>
        </w:rPr>
        <w:t>1</w:t>
      </w:r>
      <w:r>
        <w:rPr/>
        <w:t>、巨额赎回的认定</w:t>
      </w:r>
    </w:p>
    <w:p>
      <w:pPr>
        <w:pStyle w:val="BodyText"/>
        <w:spacing w:before="6"/>
        <w:rPr>
          <w:sz w:val="15"/>
        </w:rPr>
      </w:pPr>
    </w:p>
    <w:p>
      <w:pPr>
        <w:pStyle w:val="BodyText"/>
        <w:spacing w:line="417" w:lineRule="auto"/>
        <w:ind w:left="160" w:right="871" w:firstLine="419"/>
        <w:jc w:val="both"/>
      </w:pPr>
      <w:r>
        <w:rPr>
          <w:spacing w:val="-8"/>
        </w:rPr>
        <w:t>若本基金单个开放日内的基金份额净赎回申请</w:t>
      </w:r>
      <w:r>
        <w:rPr/>
        <w:t>（</w:t>
      </w:r>
      <w:r>
        <w:rPr>
          <w:spacing w:val="-3"/>
        </w:rPr>
        <w:t>赎回申请份额总数加上基金转换中转出申请份额总数后扣除申购申请份额总数及基金转换中转入申请份额总数后的余额</w:t>
      </w:r>
      <w:r>
        <w:rPr>
          <w:spacing w:val="-94"/>
        </w:rPr>
        <w:t>）</w:t>
      </w:r>
      <w:r>
        <w:rPr>
          <w:spacing w:val="-3"/>
        </w:rPr>
        <w:t>超过前一</w:t>
      </w:r>
      <w:r>
        <w:rPr>
          <w:spacing w:val="-8"/>
        </w:rPr>
        <w:t>开放日的基金总份额的 </w:t>
      </w:r>
      <w:r>
        <w:rPr>
          <w:rFonts w:ascii="Calibri" w:eastAsia="Calibri"/>
        </w:rPr>
        <w:t>10%</w:t>
      </w:r>
      <w:r>
        <w:rPr>
          <w:spacing w:val="-3"/>
        </w:rPr>
        <w:t>，即认为是发生了巨额赎回。</w:t>
      </w:r>
    </w:p>
    <w:p>
      <w:pPr>
        <w:pStyle w:val="BodyText"/>
        <w:spacing w:line="269" w:lineRule="exact"/>
        <w:ind w:left="580"/>
      </w:pPr>
      <w:r>
        <w:rPr>
          <w:rFonts w:ascii="Calibri" w:eastAsia="Calibri"/>
        </w:rPr>
        <w:t>2</w:t>
      </w:r>
      <w:r>
        <w:rPr/>
        <w:t>、巨额赎回的处理方式</w:t>
      </w:r>
    </w:p>
    <w:p>
      <w:pPr>
        <w:pStyle w:val="BodyText"/>
        <w:spacing w:before="8"/>
        <w:rPr>
          <w:sz w:val="15"/>
        </w:rPr>
      </w:pPr>
    </w:p>
    <w:p>
      <w:pPr>
        <w:pStyle w:val="BodyText"/>
        <w:spacing w:line="417" w:lineRule="auto"/>
        <w:ind w:left="160" w:right="871" w:firstLine="419"/>
      </w:pPr>
      <w:r>
        <w:rPr>
          <w:spacing w:val="-12"/>
        </w:rPr>
        <w:t>当基金出现巨额赎回时，基金管理人可以根据基金当时的资产组合状况决定全额赎回或</w:t>
      </w:r>
      <w:r>
        <w:rPr>
          <w:spacing w:val="-6"/>
        </w:rPr>
        <w:t>部分延期赎回。</w:t>
      </w:r>
    </w:p>
    <w:p>
      <w:pPr>
        <w:pStyle w:val="ListParagraph"/>
        <w:numPr>
          <w:ilvl w:val="0"/>
          <w:numId w:val="11"/>
        </w:numPr>
        <w:tabs>
          <w:tab w:pos="1112" w:val="left" w:leader="none"/>
        </w:tabs>
        <w:spacing w:line="417" w:lineRule="auto" w:before="0" w:after="0"/>
        <w:ind w:left="160" w:right="874" w:firstLine="419"/>
        <w:jc w:val="left"/>
        <w:rPr>
          <w:sz w:val="21"/>
        </w:rPr>
      </w:pPr>
      <w:r>
        <w:rPr>
          <w:spacing w:val="-3"/>
          <w:sz w:val="21"/>
        </w:rPr>
        <w:t>全额赎回：当基金管理人认为有能力支付投资人的全部赎回申请时，按正常赎回程序执行。</w:t>
      </w:r>
    </w:p>
    <w:p>
      <w:pPr>
        <w:pStyle w:val="ListParagraph"/>
        <w:numPr>
          <w:ilvl w:val="0"/>
          <w:numId w:val="11"/>
        </w:numPr>
        <w:tabs>
          <w:tab w:pos="1112" w:val="left" w:leader="none"/>
        </w:tabs>
        <w:spacing w:line="417" w:lineRule="auto" w:before="0" w:after="0"/>
        <w:ind w:left="160" w:right="765" w:firstLine="419"/>
        <w:jc w:val="left"/>
        <w:rPr>
          <w:sz w:val="21"/>
        </w:rPr>
      </w:pPr>
      <w:r>
        <w:rPr>
          <w:spacing w:val="-3"/>
          <w:sz w:val="21"/>
        </w:rPr>
        <w:t>部分延期赎回：当基金管理人认为支付投资人的赎回申请有困难或认为因支付投</w:t>
      </w:r>
      <w:r>
        <w:rPr>
          <w:spacing w:val="-6"/>
          <w:sz w:val="21"/>
        </w:rPr>
        <w:t>资人的赎回申请而进行的财产变现可能会对基金资产净值造成较大波动时，基金管理人在当</w:t>
      </w:r>
      <w:r>
        <w:rPr>
          <w:spacing w:val="-5"/>
          <w:sz w:val="21"/>
        </w:rPr>
        <w:t>日接受赎回比例不低于上一开放日基金总份额 </w:t>
      </w:r>
      <w:r>
        <w:rPr>
          <w:rFonts w:ascii="Calibri" w:eastAsia="Calibri"/>
          <w:sz w:val="21"/>
        </w:rPr>
        <w:t>10%</w:t>
      </w:r>
      <w:r>
        <w:rPr>
          <w:spacing w:val="-3"/>
          <w:sz w:val="21"/>
        </w:rPr>
        <w:t>的前提下，可对其余赎回申请延期办理。</w:t>
      </w:r>
      <w:r>
        <w:rPr>
          <w:spacing w:val="-10"/>
          <w:sz w:val="21"/>
        </w:rPr>
        <w:t>对于当日的赎回申请，应当按单个账户赎回申请量占赎回申请总量的比例，确定当日受理的</w:t>
      </w:r>
      <w:r>
        <w:rPr>
          <w:spacing w:val="-12"/>
          <w:sz w:val="21"/>
        </w:rPr>
        <w:t>赎回份额；对于未能赎回部分，投资人在提交赎回申请时可以选择延期赎回或取消赎回。选</w:t>
      </w:r>
    </w:p>
    <w:p>
      <w:pPr>
        <w:spacing w:after="0" w:line="417" w:lineRule="auto"/>
        <w:jc w:val="left"/>
        <w:rPr>
          <w:sz w:val="21"/>
        </w:rPr>
        <w:sectPr>
          <w:pgSz w:w="11910" w:h="16840"/>
          <w:pgMar w:header="877" w:footer="995" w:top="1420" w:bottom="1180" w:left="1640" w:right="920"/>
        </w:sectPr>
      </w:pPr>
    </w:p>
    <w:p>
      <w:pPr>
        <w:pStyle w:val="BodyText"/>
        <w:spacing w:line="417" w:lineRule="auto" w:before="110"/>
        <w:ind w:left="160" w:right="768"/>
      </w:pPr>
      <w:r>
        <w:rPr>
          <w:spacing w:val="-3"/>
        </w:rPr>
        <w:t>择延期赎回的，将自动转入下一个开放日继续赎回，直到全部赎回为止；选择取消赎回的， 当日未获受理的部分赎回申请将被撤销。延期的赎回申请与下一开放日赎回申请一并处理， </w:t>
      </w:r>
      <w:r>
        <w:rPr>
          <w:spacing w:val="-7"/>
        </w:rPr>
        <w:t>无优先权并以下一开放日的基金份额净值为基础计算赎回金额，以此类推，直到全部赎回为</w:t>
      </w:r>
      <w:r>
        <w:rPr>
          <w:spacing w:val="-5"/>
        </w:rPr>
        <w:t>止。如投资人在提交赎回申请时未作明确选择，投资人未能赎回部分作自动延期赎回处理。</w:t>
      </w:r>
    </w:p>
    <w:p>
      <w:pPr>
        <w:pStyle w:val="ListParagraph"/>
        <w:numPr>
          <w:ilvl w:val="0"/>
          <w:numId w:val="11"/>
        </w:numPr>
        <w:tabs>
          <w:tab w:pos="1110" w:val="left" w:leader="none"/>
        </w:tabs>
        <w:spacing w:line="417" w:lineRule="auto" w:before="0" w:after="0"/>
        <w:ind w:left="160" w:right="871" w:firstLine="419"/>
        <w:jc w:val="both"/>
        <w:rPr>
          <w:sz w:val="21"/>
        </w:rPr>
      </w:pPr>
      <w:r>
        <w:rPr>
          <w:spacing w:val="-7"/>
          <w:sz w:val="21"/>
        </w:rPr>
        <w:t>暂停赎回：连续 </w:t>
      </w:r>
      <w:r>
        <w:rPr>
          <w:rFonts w:ascii="Calibri" w:eastAsia="Calibri"/>
          <w:sz w:val="21"/>
        </w:rPr>
        <w:t>2</w:t>
      </w:r>
      <w:r>
        <w:rPr>
          <w:rFonts w:ascii="Calibri" w:eastAsia="Calibri"/>
          <w:spacing w:val="30"/>
          <w:sz w:val="21"/>
        </w:rPr>
        <w:t> </w:t>
      </w:r>
      <w:r>
        <w:rPr>
          <w:spacing w:val="-3"/>
          <w:sz w:val="21"/>
        </w:rPr>
        <w:t>个开放日以上</w:t>
      </w:r>
      <w:r>
        <w:rPr>
          <w:sz w:val="21"/>
        </w:rPr>
        <w:t>（</w:t>
      </w:r>
      <w:r>
        <w:rPr>
          <w:spacing w:val="-3"/>
          <w:sz w:val="21"/>
        </w:rPr>
        <w:t>含本数</w:t>
      </w:r>
      <w:r>
        <w:rPr>
          <w:sz w:val="21"/>
        </w:rPr>
        <w:t>）</w:t>
      </w:r>
      <w:r>
        <w:rPr>
          <w:spacing w:val="-3"/>
          <w:sz w:val="21"/>
        </w:rPr>
        <w:t>发生巨额赎回，如基金管理人认为有</w:t>
      </w:r>
      <w:r>
        <w:rPr>
          <w:spacing w:val="-10"/>
          <w:sz w:val="21"/>
        </w:rPr>
        <w:t>必要，可暂停接受基金的赎回申请；已经接受的赎回申请可以延缓支付赎回款项，但不得超</w:t>
      </w:r>
      <w:r>
        <w:rPr>
          <w:spacing w:val="-32"/>
          <w:sz w:val="21"/>
        </w:rPr>
        <w:t>过 </w:t>
      </w:r>
      <w:r>
        <w:rPr>
          <w:rFonts w:ascii="Calibri" w:eastAsia="Calibri"/>
          <w:sz w:val="21"/>
        </w:rPr>
        <w:t>20</w:t>
      </w:r>
      <w:r>
        <w:rPr>
          <w:rFonts w:ascii="Calibri" w:eastAsia="Calibri"/>
          <w:spacing w:val="3"/>
          <w:sz w:val="21"/>
        </w:rPr>
        <w:t> </w:t>
      </w:r>
      <w:r>
        <w:rPr>
          <w:spacing w:val="-3"/>
          <w:sz w:val="21"/>
        </w:rPr>
        <w:t>个工作日，并应当在指定媒介上进行公告。</w:t>
      </w:r>
    </w:p>
    <w:p>
      <w:pPr>
        <w:pStyle w:val="ListParagraph"/>
        <w:numPr>
          <w:ilvl w:val="0"/>
          <w:numId w:val="11"/>
        </w:numPr>
        <w:tabs>
          <w:tab w:pos="1110" w:val="left" w:leader="none"/>
        </w:tabs>
        <w:spacing w:line="417" w:lineRule="auto" w:before="0" w:after="0"/>
        <w:ind w:left="160" w:right="871" w:firstLine="419"/>
        <w:jc w:val="both"/>
        <w:rPr>
          <w:sz w:val="21"/>
        </w:rPr>
      </w:pPr>
      <w:r>
        <w:rPr>
          <w:spacing w:val="-4"/>
          <w:sz w:val="21"/>
        </w:rPr>
        <w:t>如果基金发生巨额赎回，在单个基金份额持有人超过基金总份额 </w:t>
      </w:r>
      <w:r>
        <w:rPr>
          <w:rFonts w:ascii="Calibri" w:eastAsia="Calibri"/>
          <w:sz w:val="21"/>
        </w:rPr>
        <w:t>20%</w:t>
      </w:r>
      <w:r>
        <w:rPr>
          <w:spacing w:val="-3"/>
          <w:sz w:val="21"/>
        </w:rPr>
        <w:t>以上的大额</w:t>
      </w:r>
      <w:r>
        <w:rPr>
          <w:spacing w:val="-12"/>
          <w:sz w:val="21"/>
        </w:rPr>
        <w:t>赎回申请情形下，如果基金管理人认为支付全部投资人的赎回申请有困难或认为因支付全部</w:t>
      </w:r>
      <w:r>
        <w:rPr>
          <w:spacing w:val="-9"/>
          <w:sz w:val="21"/>
        </w:rPr>
        <w:t>投资人的赎回申请而进行的财产变现可能会对基金资产净值造成较大波动时，基金管理人可</w:t>
      </w:r>
      <w:r>
        <w:rPr>
          <w:spacing w:val="-5"/>
          <w:sz w:val="21"/>
        </w:rPr>
        <w:t>以延期办理赎回申请。具体分为两种情况：</w:t>
      </w:r>
    </w:p>
    <w:p>
      <w:pPr>
        <w:pStyle w:val="BodyText"/>
        <w:spacing w:line="417" w:lineRule="auto"/>
        <w:ind w:left="160" w:right="871" w:firstLine="419"/>
        <w:jc w:val="both"/>
      </w:pPr>
      <w:r>
        <w:rPr>
          <w:spacing w:val="-7"/>
        </w:rPr>
        <w:t>①如果基金管理人认为有能力支付其他投资人的全部赎回申请，为了保护其他赎回投资人的利益，对于其他投资人的赎回申请按正常程序进行。对于单个投资人超过基金总份额</w:t>
      </w:r>
      <w:r>
        <w:rPr>
          <w:rFonts w:ascii="Calibri" w:hAnsi="Calibri" w:eastAsia="Calibri"/>
          <w:spacing w:val="-7"/>
        </w:rPr>
        <w:t>20%</w:t>
      </w:r>
      <w:r>
        <w:rPr>
          <w:spacing w:val="-7"/>
        </w:rPr>
        <w:t>以上的大额赎回申请，基金管理人在剩余支付能力范围内对其按比例确认当日受理的赎</w:t>
      </w:r>
      <w:r>
        <w:rPr>
          <w:spacing w:val="-13"/>
        </w:rPr>
        <w:t>回份额，未确认的赎回部分作自动延期处理。延期的赎回申请与下一开放日赎回申请一并处</w:t>
      </w:r>
      <w:r>
        <w:rPr>
          <w:spacing w:val="-10"/>
        </w:rPr>
        <w:t>理，无优先权并以下一开放日的基金份额净值为基础计算赎回金额，以此类推，直到全部赎</w:t>
      </w:r>
      <w:r>
        <w:rPr>
          <w:spacing w:val="-12"/>
        </w:rPr>
        <w:t>回为止。如投资人在提交赎回申请时选择取消赎回的，则当日未获受理的部分赎回申请将被撤销。</w:t>
      </w:r>
    </w:p>
    <w:p>
      <w:pPr>
        <w:pStyle w:val="BodyText"/>
        <w:spacing w:line="417" w:lineRule="auto"/>
        <w:ind w:left="160" w:right="765" w:firstLine="419"/>
      </w:pPr>
      <w:r>
        <w:rPr>
          <w:spacing w:val="-7"/>
        </w:rPr>
        <w:t>②如果基金管理人认为仅支付其他投资人的赎回申请也有困难时，则所有投资人的赎回</w:t>
      </w:r>
      <w:r>
        <w:rPr>
          <w:spacing w:val="-23"/>
        </w:rPr>
        <w:t>申请</w:t>
      </w:r>
      <w:r>
        <w:rPr/>
        <w:t>（</w:t>
      </w:r>
      <w:r>
        <w:rPr>
          <w:spacing w:val="-1"/>
        </w:rPr>
        <w:t>包括单个投资人超过基金总份额 </w:t>
      </w:r>
      <w:r>
        <w:rPr>
          <w:rFonts w:ascii="Calibri" w:hAnsi="Calibri" w:eastAsia="Calibri"/>
        </w:rPr>
        <w:t>20%</w:t>
      </w:r>
      <w:r>
        <w:rPr>
          <w:spacing w:val="-3"/>
        </w:rPr>
        <w:t>以上的大额赎回申请和其他投资人的赎回申请</w:t>
      </w:r>
      <w:r>
        <w:rPr/>
        <w:t>） </w:t>
      </w:r>
      <w:r>
        <w:rPr>
          <w:spacing w:val="-20"/>
          <w:w w:val="100"/>
        </w:rPr>
        <w:t>都按照上述“</w:t>
      </w:r>
      <w:r>
        <w:rPr>
          <w:spacing w:val="-3"/>
          <w:w w:val="100"/>
        </w:rPr>
        <w:t>（</w:t>
      </w:r>
      <w:r>
        <w:rPr>
          <w:rFonts w:ascii="Calibri" w:hAnsi="Calibri" w:eastAsia="Calibri"/>
          <w:w w:val="100"/>
        </w:rPr>
        <w:t>2</w:t>
      </w:r>
      <w:r>
        <w:rPr>
          <w:spacing w:val="-3"/>
          <w:w w:val="100"/>
        </w:rPr>
        <w:t>）</w:t>
      </w:r>
      <w:r>
        <w:rPr>
          <w:spacing w:val="-10"/>
          <w:w w:val="100"/>
        </w:rPr>
        <w:t>部分延期赎回”的约定一并办理。。</w:t>
      </w:r>
    </w:p>
    <w:p>
      <w:pPr>
        <w:pStyle w:val="BodyText"/>
        <w:ind w:left="580"/>
      </w:pPr>
      <w:r>
        <w:rPr>
          <w:rFonts w:ascii="Calibri" w:eastAsia="Calibri"/>
        </w:rPr>
        <w:t>3</w:t>
      </w:r>
      <w:r>
        <w:rPr/>
        <w:t>、巨额赎回的公告</w:t>
      </w:r>
    </w:p>
    <w:p>
      <w:pPr>
        <w:pStyle w:val="BodyText"/>
        <w:spacing w:line="417" w:lineRule="auto" w:before="197"/>
        <w:ind w:left="160" w:right="871" w:firstLine="419"/>
        <w:jc w:val="both"/>
      </w:pPr>
      <w:r>
        <w:rPr>
          <w:spacing w:val="-8"/>
        </w:rPr>
        <w:t>当发生上述巨额赎回并延期办理时，基金管理人应当通过邮寄、传真或者招募说明书规</w:t>
      </w:r>
      <w:r>
        <w:rPr>
          <w:spacing w:val="-10"/>
        </w:rPr>
        <w:t>定的其他方式在 </w:t>
      </w:r>
      <w:r>
        <w:rPr>
          <w:rFonts w:ascii="Calibri" w:eastAsia="Calibri"/>
        </w:rPr>
        <w:t>3 </w:t>
      </w:r>
      <w:r>
        <w:rPr>
          <w:spacing w:val="-8"/>
        </w:rPr>
        <w:t>个交易日内通知基金份额持有人，说明有关处理方法，同时在指定媒介上</w:t>
      </w:r>
      <w:r>
        <w:rPr>
          <w:spacing w:val="-5"/>
        </w:rPr>
        <w:t>刊登公告。</w:t>
      </w:r>
    </w:p>
    <w:p>
      <w:pPr>
        <w:pStyle w:val="BodyText"/>
        <w:spacing w:line="269" w:lineRule="exact"/>
        <w:ind w:left="580"/>
      </w:pPr>
      <w:r>
        <w:rPr/>
        <w:t>（十一）暂停申购或赎回的公告和重新开放申购或赎回的公告</w:t>
      </w:r>
    </w:p>
    <w:p>
      <w:pPr>
        <w:pStyle w:val="BodyText"/>
        <w:spacing w:before="6"/>
        <w:rPr>
          <w:sz w:val="15"/>
        </w:rPr>
      </w:pPr>
    </w:p>
    <w:p>
      <w:pPr>
        <w:pStyle w:val="BodyText"/>
        <w:spacing w:line="417" w:lineRule="auto"/>
        <w:ind w:left="160" w:right="874" w:firstLine="419"/>
      </w:pPr>
      <w:r>
        <w:rPr>
          <w:rFonts w:ascii="Calibri" w:eastAsia="Calibri"/>
        </w:rPr>
        <w:t>1</w:t>
      </w:r>
      <w:r>
        <w:rPr/>
        <w:t>、发生上述暂停申购或赎回情况的，基金管理人应在规定期限内在指定媒介上刊登暂停公告。</w:t>
      </w:r>
    </w:p>
    <w:p>
      <w:pPr>
        <w:pStyle w:val="BodyText"/>
        <w:spacing w:line="417" w:lineRule="auto" w:before="1"/>
        <w:ind w:left="160" w:right="818" w:firstLine="419"/>
      </w:pPr>
      <w:r>
        <w:rPr>
          <w:rFonts w:ascii="Calibri" w:eastAsia="Calibri"/>
        </w:rPr>
        <w:t>2</w:t>
      </w:r>
      <w:r>
        <w:rPr/>
        <w:t>、上述暂停申购或赎回情况消除的，基金管理人应于重新开放日公布最近 </w:t>
      </w:r>
      <w:r>
        <w:rPr>
          <w:rFonts w:ascii="Calibri" w:eastAsia="Calibri"/>
        </w:rPr>
        <w:t>1 </w:t>
      </w:r>
      <w:r>
        <w:rPr/>
        <w:t>个开放日的基金份额净值。</w:t>
      </w:r>
    </w:p>
    <w:p>
      <w:pPr>
        <w:spacing w:after="0" w:line="417" w:lineRule="auto"/>
        <w:sectPr>
          <w:pgSz w:w="11910" w:h="16840"/>
          <w:pgMar w:header="877" w:footer="995" w:top="1420" w:bottom="1180" w:left="1640" w:right="920"/>
        </w:sectPr>
      </w:pPr>
    </w:p>
    <w:p>
      <w:pPr>
        <w:pStyle w:val="BodyText"/>
        <w:spacing w:line="417" w:lineRule="auto" w:before="110"/>
        <w:ind w:left="160" w:right="871" w:firstLine="419"/>
        <w:jc w:val="both"/>
      </w:pPr>
      <w:r>
        <w:rPr>
          <w:rFonts w:ascii="Calibri" w:eastAsia="Calibri"/>
        </w:rPr>
        <w:t>3</w:t>
      </w:r>
      <w:r>
        <w:rPr>
          <w:spacing w:val="-3"/>
        </w:rPr>
        <w:t>、基金管理人可以根据暂停申购或赎回的时间，最迟于重新开放日在指定媒介上刊登</w:t>
      </w:r>
      <w:r>
        <w:rPr>
          <w:spacing w:val="-11"/>
        </w:rPr>
        <w:t>重新开放申购或赎回的公告；也可以根据实际情况在暂停公告中明确重新开放申购或赎回的</w:t>
      </w:r>
      <w:r>
        <w:rPr>
          <w:spacing w:val="-6"/>
        </w:rPr>
        <w:t>时间，届时不再另行发布重新开放的公告。</w:t>
      </w:r>
    </w:p>
    <w:p>
      <w:pPr>
        <w:pStyle w:val="BodyText"/>
        <w:spacing w:line="269" w:lineRule="exact"/>
        <w:ind w:left="580"/>
      </w:pPr>
      <w:r>
        <w:rPr/>
        <w:t>（十二）基金转换</w:t>
      </w:r>
    </w:p>
    <w:p>
      <w:pPr>
        <w:pStyle w:val="BodyText"/>
        <w:spacing w:before="6"/>
        <w:rPr>
          <w:sz w:val="15"/>
        </w:rPr>
      </w:pPr>
    </w:p>
    <w:p>
      <w:pPr>
        <w:pStyle w:val="BodyText"/>
        <w:ind w:left="580"/>
      </w:pPr>
      <w:r>
        <w:rPr>
          <w:rFonts w:ascii="Calibri" w:eastAsia="Calibri"/>
        </w:rPr>
        <w:t>1</w:t>
      </w:r>
      <w:r>
        <w:rPr/>
        <w:t>、基金转换的原则</w:t>
      </w:r>
    </w:p>
    <w:p>
      <w:pPr>
        <w:pStyle w:val="BodyText"/>
        <w:spacing w:before="7"/>
        <w:rPr>
          <w:sz w:val="15"/>
        </w:rPr>
      </w:pPr>
    </w:p>
    <w:p>
      <w:pPr>
        <w:pStyle w:val="ListParagraph"/>
        <w:numPr>
          <w:ilvl w:val="0"/>
          <w:numId w:val="12"/>
        </w:numPr>
        <w:tabs>
          <w:tab w:pos="1110" w:val="left" w:leader="none"/>
        </w:tabs>
        <w:spacing w:line="240" w:lineRule="auto" w:before="0" w:after="0"/>
        <w:ind w:left="1109" w:right="0" w:hanging="530"/>
        <w:jc w:val="left"/>
        <w:rPr>
          <w:sz w:val="21"/>
        </w:rPr>
      </w:pPr>
      <w:r>
        <w:rPr>
          <w:spacing w:val="-3"/>
          <w:sz w:val="21"/>
        </w:rPr>
        <w:t>投资者只可在同时销售转出基金及转入基金的机构办理基金转换业务。</w:t>
      </w:r>
    </w:p>
    <w:p>
      <w:pPr>
        <w:pStyle w:val="BodyText"/>
        <w:spacing w:before="7"/>
        <w:rPr>
          <w:sz w:val="15"/>
        </w:rPr>
      </w:pPr>
    </w:p>
    <w:p>
      <w:pPr>
        <w:pStyle w:val="ListParagraph"/>
        <w:numPr>
          <w:ilvl w:val="0"/>
          <w:numId w:val="12"/>
        </w:numPr>
        <w:tabs>
          <w:tab w:pos="1110" w:val="left" w:leader="none"/>
        </w:tabs>
        <w:spacing w:line="240" w:lineRule="auto" w:before="0" w:after="0"/>
        <w:ind w:left="1109" w:right="0" w:hanging="530"/>
        <w:jc w:val="left"/>
        <w:rPr>
          <w:sz w:val="21"/>
        </w:rPr>
      </w:pPr>
      <w:r>
        <w:rPr>
          <w:spacing w:val="-3"/>
          <w:sz w:val="21"/>
        </w:rPr>
        <w:t>基金转换以份额为单位进行申请。</w:t>
      </w:r>
    </w:p>
    <w:p>
      <w:pPr>
        <w:pStyle w:val="BodyText"/>
        <w:spacing w:before="7"/>
        <w:rPr>
          <w:sz w:val="15"/>
        </w:rPr>
      </w:pPr>
    </w:p>
    <w:p>
      <w:pPr>
        <w:pStyle w:val="ListParagraph"/>
        <w:numPr>
          <w:ilvl w:val="0"/>
          <w:numId w:val="12"/>
        </w:numPr>
        <w:tabs>
          <w:tab w:pos="1112" w:val="left" w:leader="none"/>
        </w:tabs>
        <w:spacing w:line="417" w:lineRule="auto" w:before="0" w:after="0"/>
        <w:ind w:left="160" w:right="874" w:firstLine="419"/>
        <w:jc w:val="left"/>
        <w:rPr>
          <w:sz w:val="21"/>
        </w:rPr>
      </w:pPr>
      <w:r>
        <w:rPr>
          <w:spacing w:val="-3"/>
          <w:sz w:val="21"/>
        </w:rPr>
        <w:t>基金转换采取未知价法，即基金的转换价格以转换申请受理当日转出、转入基金的份额净值为基准进行计算。</w:t>
      </w:r>
    </w:p>
    <w:p>
      <w:pPr>
        <w:pStyle w:val="ListParagraph"/>
        <w:numPr>
          <w:ilvl w:val="0"/>
          <w:numId w:val="12"/>
        </w:numPr>
        <w:tabs>
          <w:tab w:pos="1110" w:val="left" w:leader="none"/>
        </w:tabs>
        <w:spacing w:line="269" w:lineRule="exact" w:before="0" w:after="0"/>
        <w:ind w:left="1109" w:right="0" w:hanging="530"/>
        <w:jc w:val="left"/>
        <w:rPr>
          <w:sz w:val="21"/>
        </w:rPr>
      </w:pPr>
      <w:r>
        <w:rPr>
          <w:spacing w:val="-3"/>
          <w:sz w:val="21"/>
        </w:rPr>
        <w:t>投资者Ｔ日申请基金转换后，</w:t>
      </w:r>
      <w:r>
        <w:rPr>
          <w:rFonts w:ascii="Calibri" w:eastAsia="Calibri"/>
          <w:sz w:val="21"/>
        </w:rPr>
        <w:t>T+1</w:t>
      </w:r>
      <w:r>
        <w:rPr>
          <w:spacing w:val="-3"/>
          <w:sz w:val="21"/>
        </w:rPr>
        <w:t>日可获得确认。</w:t>
      </w:r>
    </w:p>
    <w:p>
      <w:pPr>
        <w:pStyle w:val="BodyText"/>
        <w:spacing w:before="7"/>
        <w:rPr>
          <w:sz w:val="15"/>
        </w:rPr>
      </w:pPr>
    </w:p>
    <w:p>
      <w:pPr>
        <w:pStyle w:val="ListParagraph"/>
        <w:numPr>
          <w:ilvl w:val="0"/>
          <w:numId w:val="12"/>
        </w:numPr>
        <w:tabs>
          <w:tab w:pos="1112" w:val="left" w:leader="none"/>
        </w:tabs>
        <w:spacing w:line="417" w:lineRule="auto" w:before="0" w:after="0"/>
        <w:ind w:left="160" w:right="871" w:firstLine="419"/>
        <w:jc w:val="left"/>
        <w:rPr>
          <w:sz w:val="21"/>
        </w:rPr>
      </w:pPr>
      <w:r>
        <w:rPr>
          <w:spacing w:val="-12"/>
          <w:sz w:val="21"/>
        </w:rPr>
        <w:t>除另有规定外，基金份额持有人单笔转出申请遵循转出基金有关赎回份额的限制</w:t>
      </w:r>
      <w:r>
        <w:rPr>
          <w:spacing w:val="-3"/>
          <w:sz w:val="21"/>
        </w:rPr>
        <w:t>，单笔转入申请不受转入基金最低申购限额限制。</w:t>
      </w:r>
    </w:p>
    <w:p>
      <w:pPr>
        <w:pStyle w:val="ListParagraph"/>
        <w:numPr>
          <w:ilvl w:val="0"/>
          <w:numId w:val="12"/>
        </w:numPr>
        <w:tabs>
          <w:tab w:pos="1112" w:val="left" w:leader="none"/>
        </w:tabs>
        <w:spacing w:line="417" w:lineRule="auto" w:before="0" w:after="0"/>
        <w:ind w:left="160" w:right="871" w:firstLine="419"/>
        <w:jc w:val="both"/>
        <w:rPr>
          <w:sz w:val="21"/>
        </w:rPr>
      </w:pPr>
      <w:r>
        <w:rPr>
          <w:spacing w:val="-3"/>
          <w:sz w:val="21"/>
        </w:rPr>
        <w:t>发生巨额赎回时，基金转出与基金赎回具有相同的优先级，基金管理人可根据基</w:t>
      </w:r>
      <w:r>
        <w:rPr>
          <w:spacing w:val="-10"/>
          <w:sz w:val="21"/>
        </w:rPr>
        <w:t>金资产组合情况，决定全额转出或部分转出，并且对于基金转出和基金赎回，将采取相同的</w:t>
      </w:r>
      <w:r>
        <w:rPr>
          <w:spacing w:val="-12"/>
          <w:sz w:val="21"/>
        </w:rPr>
        <w:t>比例确认；在转出申请得到部分确认的情况下，未确认的转出申请可根据投资者事先的选择</w:t>
      </w:r>
      <w:r>
        <w:rPr>
          <w:spacing w:val="-6"/>
          <w:sz w:val="21"/>
        </w:rPr>
        <w:t>和代销机构的相关规定予以顺延或撤销基金转换。</w:t>
      </w:r>
    </w:p>
    <w:p>
      <w:pPr>
        <w:pStyle w:val="ListParagraph"/>
        <w:numPr>
          <w:ilvl w:val="0"/>
          <w:numId w:val="12"/>
        </w:numPr>
        <w:tabs>
          <w:tab w:pos="1112" w:val="left" w:leader="none"/>
        </w:tabs>
        <w:spacing w:line="417" w:lineRule="auto" w:before="0" w:after="0"/>
        <w:ind w:left="160" w:right="874" w:firstLine="419"/>
        <w:jc w:val="left"/>
        <w:rPr>
          <w:sz w:val="21"/>
        </w:rPr>
      </w:pPr>
      <w:r>
        <w:rPr>
          <w:spacing w:val="-3"/>
          <w:sz w:val="21"/>
        </w:rPr>
        <w:t>投资者办理基金转换业务时，转出基金必须处于可赎回状态，转入基金必须处于可申购状态。</w:t>
      </w:r>
    </w:p>
    <w:p>
      <w:pPr>
        <w:pStyle w:val="BodyText"/>
        <w:spacing w:line="417" w:lineRule="auto"/>
        <w:ind w:left="160" w:right="871" w:firstLine="419"/>
      </w:pPr>
      <w:r>
        <w:rPr>
          <w:spacing w:val="-8"/>
        </w:rPr>
        <w:t>由于各代销机构系统及业务安排等原因，可能开展基金转换业务的时间有所不同，投资</w:t>
      </w:r>
      <w:r>
        <w:rPr>
          <w:spacing w:val="-5"/>
        </w:rPr>
        <w:t>者应参照各代销机构的具体规定。</w:t>
      </w:r>
    </w:p>
    <w:p>
      <w:pPr>
        <w:pStyle w:val="BodyText"/>
        <w:spacing w:line="417" w:lineRule="auto"/>
        <w:ind w:left="160" w:right="871" w:firstLine="419"/>
      </w:pPr>
      <w:r>
        <w:rPr/>
        <w:t>基金管理人有权根据市场情况调整转换的程序及有关限制，但应最迟在调整生效前</w:t>
      </w:r>
      <w:r>
        <w:rPr>
          <w:rFonts w:ascii="Calibri" w:eastAsia="Calibri"/>
        </w:rPr>
        <w:t>3</w:t>
      </w:r>
      <w:r>
        <w:rPr/>
        <w:t>个工作日在至少一种中国证监会指定的信息披露媒介公告。</w:t>
      </w:r>
    </w:p>
    <w:p>
      <w:pPr>
        <w:pStyle w:val="BodyText"/>
        <w:ind w:left="580"/>
      </w:pPr>
      <w:r>
        <w:rPr>
          <w:rFonts w:ascii="Calibri" w:eastAsia="Calibri"/>
        </w:rPr>
        <w:t>2</w:t>
      </w:r>
      <w:r>
        <w:rPr/>
        <w:t>、暂停基金转换的情形及处理</w:t>
      </w:r>
    </w:p>
    <w:p>
      <w:pPr>
        <w:pStyle w:val="BodyText"/>
        <w:spacing w:before="6"/>
        <w:rPr>
          <w:sz w:val="15"/>
        </w:rPr>
      </w:pPr>
    </w:p>
    <w:p>
      <w:pPr>
        <w:pStyle w:val="BodyText"/>
        <w:ind w:left="580"/>
      </w:pPr>
      <w:r>
        <w:rPr/>
        <w:t>出现下列情况之一时，基金管理人可以暂停基金转换业务：</w:t>
      </w:r>
    </w:p>
    <w:p>
      <w:pPr>
        <w:pStyle w:val="BodyText"/>
        <w:spacing w:before="6"/>
        <w:rPr>
          <w:sz w:val="15"/>
        </w:rPr>
      </w:pPr>
    </w:p>
    <w:p>
      <w:pPr>
        <w:pStyle w:val="ListParagraph"/>
        <w:numPr>
          <w:ilvl w:val="0"/>
          <w:numId w:val="13"/>
        </w:numPr>
        <w:tabs>
          <w:tab w:pos="1110" w:val="left" w:leader="none"/>
        </w:tabs>
        <w:spacing w:line="240" w:lineRule="auto" w:before="1" w:after="0"/>
        <w:ind w:left="1109" w:right="0" w:hanging="530"/>
        <w:jc w:val="left"/>
        <w:rPr>
          <w:sz w:val="21"/>
        </w:rPr>
      </w:pPr>
      <w:r>
        <w:rPr>
          <w:spacing w:val="-3"/>
          <w:sz w:val="21"/>
        </w:rPr>
        <w:t>不可抗力的原因导致基金无法正常运作。</w:t>
      </w:r>
    </w:p>
    <w:p>
      <w:pPr>
        <w:pStyle w:val="BodyText"/>
        <w:spacing w:before="6"/>
        <w:rPr>
          <w:sz w:val="15"/>
        </w:rPr>
      </w:pPr>
    </w:p>
    <w:p>
      <w:pPr>
        <w:pStyle w:val="ListParagraph"/>
        <w:numPr>
          <w:ilvl w:val="0"/>
          <w:numId w:val="13"/>
        </w:numPr>
        <w:tabs>
          <w:tab w:pos="1112" w:val="left" w:leader="none"/>
        </w:tabs>
        <w:spacing w:line="417" w:lineRule="auto" w:before="0" w:after="0"/>
        <w:ind w:left="160" w:right="874" w:firstLine="419"/>
        <w:jc w:val="left"/>
        <w:rPr>
          <w:sz w:val="21"/>
        </w:rPr>
      </w:pPr>
      <w:r>
        <w:rPr>
          <w:spacing w:val="-3"/>
          <w:sz w:val="21"/>
        </w:rPr>
        <w:t>证券交易场所在交易时间非正常停市，导致基金管理人无法计算当日基金资产净值。</w:t>
      </w:r>
    </w:p>
    <w:p>
      <w:pPr>
        <w:pStyle w:val="ListParagraph"/>
        <w:numPr>
          <w:ilvl w:val="0"/>
          <w:numId w:val="13"/>
        </w:numPr>
        <w:tabs>
          <w:tab w:pos="1112" w:val="left" w:leader="none"/>
        </w:tabs>
        <w:spacing w:line="417" w:lineRule="auto" w:before="0" w:after="0"/>
        <w:ind w:left="160" w:right="874" w:firstLine="419"/>
        <w:jc w:val="left"/>
        <w:rPr>
          <w:sz w:val="21"/>
        </w:rPr>
      </w:pPr>
      <w:r>
        <w:rPr>
          <w:spacing w:val="-3"/>
          <w:sz w:val="21"/>
        </w:rPr>
        <w:t>因市场剧烈波动或其它原因而出现连续巨额赎回，基金管理人认为有必要暂停接受该基金份额的转出申请。</w:t>
      </w:r>
    </w:p>
    <w:p>
      <w:pPr>
        <w:pStyle w:val="ListParagraph"/>
        <w:numPr>
          <w:ilvl w:val="0"/>
          <w:numId w:val="13"/>
        </w:numPr>
        <w:tabs>
          <w:tab w:pos="1110" w:val="left" w:leader="none"/>
        </w:tabs>
        <w:spacing w:line="240" w:lineRule="auto" w:before="0" w:after="0"/>
        <w:ind w:left="1109" w:right="0" w:hanging="530"/>
        <w:jc w:val="left"/>
        <w:rPr>
          <w:sz w:val="21"/>
        </w:rPr>
      </w:pPr>
      <w:r>
        <w:rPr>
          <w:spacing w:val="-3"/>
          <w:sz w:val="21"/>
        </w:rPr>
        <w:t>基金管理人认为会有损于现有基金份额持有人利益的某笔转换申请。</w:t>
      </w:r>
    </w:p>
    <w:p>
      <w:pPr>
        <w:spacing w:after="0" w:line="240" w:lineRule="auto"/>
        <w:jc w:val="left"/>
        <w:rPr>
          <w:sz w:val="21"/>
        </w:rPr>
        <w:sectPr>
          <w:pgSz w:w="11910" w:h="16840"/>
          <w:pgMar w:header="877" w:footer="995" w:top="1420" w:bottom="1180" w:left="1640" w:right="920"/>
        </w:sectPr>
      </w:pPr>
    </w:p>
    <w:p>
      <w:pPr>
        <w:pStyle w:val="ListParagraph"/>
        <w:numPr>
          <w:ilvl w:val="0"/>
          <w:numId w:val="13"/>
        </w:numPr>
        <w:tabs>
          <w:tab w:pos="1110" w:val="left" w:leader="none"/>
        </w:tabs>
        <w:spacing w:line="240" w:lineRule="auto" w:before="110" w:after="0"/>
        <w:ind w:left="1109" w:right="0" w:hanging="530"/>
        <w:jc w:val="left"/>
        <w:rPr>
          <w:sz w:val="21"/>
        </w:rPr>
      </w:pPr>
      <w:r>
        <w:rPr>
          <w:spacing w:val="-3"/>
          <w:sz w:val="21"/>
        </w:rPr>
        <w:t>基金管理人有正当理由认为需要拒绝或暂停接受基金转换申请的。</w:t>
      </w:r>
    </w:p>
    <w:p>
      <w:pPr>
        <w:pStyle w:val="BodyText"/>
        <w:spacing w:before="6"/>
        <w:rPr>
          <w:sz w:val="15"/>
        </w:rPr>
      </w:pPr>
    </w:p>
    <w:p>
      <w:pPr>
        <w:pStyle w:val="ListParagraph"/>
        <w:numPr>
          <w:ilvl w:val="0"/>
          <w:numId w:val="13"/>
        </w:numPr>
        <w:tabs>
          <w:tab w:pos="1110" w:val="left" w:leader="none"/>
        </w:tabs>
        <w:spacing w:line="240" w:lineRule="auto" w:before="0" w:after="0"/>
        <w:ind w:left="1109" w:right="0" w:hanging="530"/>
        <w:jc w:val="left"/>
        <w:rPr>
          <w:sz w:val="21"/>
        </w:rPr>
      </w:pPr>
      <w:r>
        <w:rPr>
          <w:spacing w:val="-3"/>
          <w:sz w:val="21"/>
        </w:rPr>
        <w:t>发生基金合同规定的暂停基金申购或赎回的情形。</w:t>
      </w:r>
    </w:p>
    <w:p>
      <w:pPr>
        <w:pStyle w:val="BodyText"/>
        <w:spacing w:before="7"/>
        <w:rPr>
          <w:sz w:val="15"/>
        </w:rPr>
      </w:pPr>
    </w:p>
    <w:p>
      <w:pPr>
        <w:pStyle w:val="ListParagraph"/>
        <w:numPr>
          <w:ilvl w:val="0"/>
          <w:numId w:val="13"/>
        </w:numPr>
        <w:tabs>
          <w:tab w:pos="1110" w:val="left" w:leader="none"/>
        </w:tabs>
        <w:spacing w:line="240" w:lineRule="auto" w:before="0" w:after="0"/>
        <w:ind w:left="1109" w:right="0" w:hanging="530"/>
        <w:jc w:val="left"/>
        <w:rPr>
          <w:sz w:val="21"/>
        </w:rPr>
      </w:pPr>
      <w:r>
        <w:rPr>
          <w:spacing w:val="-3"/>
          <w:sz w:val="21"/>
        </w:rPr>
        <w:t>法律法规规定或中国证监会认定的其他情形。</w:t>
      </w:r>
    </w:p>
    <w:p>
      <w:pPr>
        <w:pStyle w:val="BodyText"/>
        <w:spacing w:before="7"/>
        <w:rPr>
          <w:sz w:val="15"/>
        </w:rPr>
      </w:pPr>
    </w:p>
    <w:p>
      <w:pPr>
        <w:pStyle w:val="BodyText"/>
        <w:spacing w:line="417" w:lineRule="auto"/>
        <w:ind w:left="160" w:right="871" w:firstLine="419"/>
        <w:jc w:val="both"/>
      </w:pPr>
      <w:r>
        <w:rPr>
          <w:spacing w:val="-12"/>
        </w:rPr>
        <w:t>发生上述情形之一的，基金管理人应于规定期限内在至少一种中国证监会指定媒介上刊</w:t>
      </w:r>
      <w:r>
        <w:rPr>
          <w:spacing w:val="-11"/>
        </w:rPr>
        <w:t>登暂停公告。重新开放基金转换时，基金管理人应及时在至少一种中国证监会指定媒介上刊</w:t>
      </w:r>
      <w:r>
        <w:rPr>
          <w:spacing w:val="-6"/>
        </w:rPr>
        <w:t>登重新开放基金转换的公告。</w:t>
      </w:r>
    </w:p>
    <w:p>
      <w:pPr>
        <w:pStyle w:val="BodyText"/>
        <w:spacing w:line="269" w:lineRule="exact"/>
        <w:ind w:left="580"/>
      </w:pPr>
      <w:r>
        <w:rPr>
          <w:rFonts w:ascii="Calibri" w:eastAsia="Calibri"/>
        </w:rPr>
        <w:t>3</w:t>
      </w:r>
      <w:r>
        <w:rPr/>
        <w:t>、转换费</w:t>
      </w:r>
    </w:p>
    <w:p>
      <w:pPr>
        <w:pStyle w:val="BodyText"/>
        <w:spacing w:before="7"/>
        <w:rPr>
          <w:sz w:val="15"/>
        </w:rPr>
      </w:pPr>
    </w:p>
    <w:p>
      <w:pPr>
        <w:pStyle w:val="ListParagraph"/>
        <w:numPr>
          <w:ilvl w:val="0"/>
          <w:numId w:val="14"/>
        </w:numPr>
        <w:tabs>
          <w:tab w:pos="1110" w:val="left" w:leader="none"/>
        </w:tabs>
        <w:spacing w:line="240" w:lineRule="auto" w:before="0" w:after="0"/>
        <w:ind w:left="1109" w:right="0" w:hanging="530"/>
        <w:jc w:val="left"/>
        <w:rPr>
          <w:sz w:val="21"/>
        </w:rPr>
      </w:pPr>
      <w:r>
        <w:rPr>
          <w:spacing w:val="-3"/>
          <w:sz w:val="21"/>
        </w:rPr>
        <w:t>基金转换费：无。</w:t>
      </w:r>
    </w:p>
    <w:p>
      <w:pPr>
        <w:pStyle w:val="BodyText"/>
        <w:spacing w:before="7"/>
        <w:rPr>
          <w:sz w:val="15"/>
        </w:rPr>
      </w:pPr>
    </w:p>
    <w:p>
      <w:pPr>
        <w:pStyle w:val="ListParagraph"/>
        <w:numPr>
          <w:ilvl w:val="0"/>
          <w:numId w:val="14"/>
        </w:numPr>
        <w:tabs>
          <w:tab w:pos="1112" w:val="left" w:leader="none"/>
        </w:tabs>
        <w:spacing w:line="417" w:lineRule="auto" w:before="0" w:after="0"/>
        <w:ind w:left="160" w:right="871" w:firstLine="419"/>
        <w:jc w:val="both"/>
        <w:rPr>
          <w:sz w:val="21"/>
        </w:rPr>
      </w:pPr>
      <w:r>
        <w:rPr>
          <w:spacing w:val="-3"/>
          <w:sz w:val="21"/>
        </w:rPr>
        <w:t>转出基金费用：按转出基金赎回时应收的赎回费收取，如该部分基金采用后端收</w:t>
      </w:r>
      <w:r>
        <w:rPr>
          <w:spacing w:val="-10"/>
          <w:sz w:val="21"/>
        </w:rPr>
        <w:t>费模式购买，除收取赎回费外，还需收取赎回时应收的后端申购费。转换金额指扣除赎回费</w:t>
      </w:r>
      <w:r>
        <w:rPr>
          <w:spacing w:val="-5"/>
          <w:sz w:val="21"/>
        </w:rPr>
        <w:t>与后端申购费</w:t>
      </w:r>
      <w:r>
        <w:rPr>
          <w:spacing w:val="-3"/>
          <w:sz w:val="21"/>
        </w:rPr>
        <w:t>（</w:t>
      </w:r>
      <w:r>
        <w:rPr>
          <w:spacing w:val="-2"/>
          <w:sz w:val="21"/>
        </w:rPr>
        <w:t>若有</w:t>
      </w:r>
      <w:r>
        <w:rPr>
          <w:sz w:val="21"/>
        </w:rPr>
        <w:t>）</w:t>
      </w:r>
      <w:r>
        <w:rPr>
          <w:spacing w:val="-3"/>
          <w:sz w:val="21"/>
        </w:rPr>
        <w:t>后的余额。</w:t>
      </w:r>
    </w:p>
    <w:p>
      <w:pPr>
        <w:pStyle w:val="ListParagraph"/>
        <w:numPr>
          <w:ilvl w:val="0"/>
          <w:numId w:val="14"/>
        </w:numPr>
        <w:tabs>
          <w:tab w:pos="1110" w:val="left" w:leader="none"/>
        </w:tabs>
        <w:spacing w:line="269" w:lineRule="exact" w:before="0" w:after="0"/>
        <w:ind w:left="1109" w:right="0" w:hanging="530"/>
        <w:jc w:val="left"/>
        <w:rPr>
          <w:sz w:val="21"/>
        </w:rPr>
      </w:pPr>
      <w:r>
        <w:rPr>
          <w:spacing w:val="-3"/>
          <w:sz w:val="21"/>
        </w:rPr>
        <w:t>转入基金费用：转入基金申购费用根据适用的转换情形收取，详细如下：</w:t>
      </w:r>
    </w:p>
    <w:p>
      <w:pPr>
        <w:pStyle w:val="BodyText"/>
        <w:spacing w:before="7"/>
        <w:rPr>
          <w:sz w:val="15"/>
        </w:rPr>
      </w:pPr>
    </w:p>
    <w:p>
      <w:pPr>
        <w:pStyle w:val="BodyText"/>
        <w:ind w:left="580"/>
      </w:pPr>
      <w:r>
        <w:rPr/>
        <w:t>①从前端（比例费率）收费基金转出，转入其他前端（比例费率）收费基金</w:t>
      </w:r>
    </w:p>
    <w:p>
      <w:pPr>
        <w:pStyle w:val="BodyText"/>
        <w:spacing w:before="6"/>
        <w:rPr>
          <w:sz w:val="15"/>
        </w:rPr>
      </w:pPr>
    </w:p>
    <w:p>
      <w:pPr>
        <w:pStyle w:val="BodyText"/>
        <w:spacing w:line="417" w:lineRule="auto" w:before="1"/>
        <w:ind w:left="160" w:right="871" w:firstLine="419"/>
      </w:pPr>
      <w:r>
        <w:rPr>
          <w:spacing w:val="-12"/>
        </w:rPr>
        <w:t>情形描述：投资者将其持有的某一前端收费基金的基金份额转换为本公司管理的其他前</w:t>
      </w:r>
      <w:r>
        <w:rPr>
          <w:spacing w:val="-6"/>
        </w:rPr>
        <w:t>端收费基金基金份额，且转出基金和转入基金的申购费率均适用比例费率。</w:t>
      </w:r>
    </w:p>
    <w:p>
      <w:pPr>
        <w:pStyle w:val="BodyText"/>
        <w:spacing w:line="417" w:lineRule="auto"/>
        <w:ind w:left="160" w:right="871" w:firstLine="419"/>
      </w:pPr>
      <w:r>
        <w:rPr>
          <w:spacing w:val="-12"/>
        </w:rPr>
        <w:t>费用收取方式：收取的申购费率</w:t>
      </w:r>
      <w:r>
        <w:rPr>
          <w:spacing w:val="-3"/>
        </w:rPr>
        <w:t>＝转入基金的前端申购费率最高档－转出基金的前端申购费率最高档，最低为</w:t>
      </w:r>
      <w:r>
        <w:rPr>
          <w:rFonts w:ascii="Calibri" w:eastAsia="Calibri"/>
        </w:rPr>
        <w:t>0</w:t>
      </w:r>
      <w:r>
        <w:rPr/>
        <w:t>。</w:t>
      </w:r>
    </w:p>
    <w:p>
      <w:pPr>
        <w:pStyle w:val="BodyText"/>
        <w:spacing w:line="269" w:lineRule="exact"/>
        <w:ind w:left="580"/>
      </w:pPr>
      <w:r>
        <w:rPr/>
        <w:t>业务举例：详见“</w:t>
      </w:r>
      <w:r>
        <w:rPr>
          <w:rFonts w:ascii="Calibri" w:hAnsi="Calibri" w:eastAsia="Calibri"/>
        </w:rPr>
        <w:t>4</w:t>
      </w:r>
      <w:r>
        <w:rPr/>
        <w:t>、业务举例”中例一。</w:t>
      </w:r>
    </w:p>
    <w:p>
      <w:pPr>
        <w:pStyle w:val="BodyText"/>
        <w:spacing w:before="6"/>
        <w:rPr>
          <w:sz w:val="15"/>
        </w:rPr>
      </w:pPr>
    </w:p>
    <w:p>
      <w:pPr>
        <w:pStyle w:val="BodyText"/>
        <w:ind w:left="580"/>
      </w:pPr>
      <w:r>
        <w:rPr/>
        <w:t>②从前端（比例费率）收费基金转出，转入其他前端（固定费用）收费基金</w:t>
      </w:r>
    </w:p>
    <w:p>
      <w:pPr>
        <w:pStyle w:val="BodyText"/>
        <w:spacing w:before="7"/>
        <w:rPr>
          <w:sz w:val="15"/>
        </w:rPr>
      </w:pPr>
    </w:p>
    <w:p>
      <w:pPr>
        <w:pStyle w:val="BodyText"/>
        <w:spacing w:line="417" w:lineRule="auto"/>
        <w:ind w:left="160" w:right="768" w:firstLine="419"/>
      </w:pPr>
      <w:r>
        <w:rPr>
          <w:spacing w:val="-12"/>
        </w:rPr>
        <w:t>情形描述：投资者将其持有的某一前端收费基金的基金份额转换为本公司管理的其他前</w:t>
      </w:r>
      <w:r>
        <w:rPr>
          <w:spacing w:val="-17"/>
        </w:rPr>
        <w:t>端收费基金基金份额，且转出基金申购费率适用比例费率，转入基金申购费率适用固定费用。</w:t>
      </w:r>
    </w:p>
    <w:p>
      <w:pPr>
        <w:pStyle w:val="BodyText"/>
        <w:spacing w:line="417" w:lineRule="auto"/>
        <w:ind w:left="160" w:right="871" w:firstLine="419"/>
      </w:pPr>
      <w:r>
        <w:rPr>
          <w:spacing w:val="-12"/>
        </w:rPr>
        <w:t>费用收取方式：如果转入基金的前端申购费率最高档比转出基金的前端申购费率最高档</w:t>
      </w:r>
      <w:r>
        <w:rPr>
          <w:spacing w:val="-6"/>
        </w:rPr>
        <w:t>高，则收取的申购费用为转入基金适用的固定费用；反之，收取的申购费用为</w:t>
      </w:r>
      <w:r>
        <w:rPr>
          <w:rFonts w:ascii="Calibri" w:eastAsia="Calibri"/>
        </w:rPr>
        <w:t>0</w:t>
      </w:r>
      <w:r>
        <w:rPr/>
        <w:t>。</w:t>
      </w:r>
    </w:p>
    <w:p>
      <w:pPr>
        <w:pStyle w:val="BodyText"/>
        <w:spacing w:line="269" w:lineRule="exact"/>
        <w:ind w:left="580"/>
      </w:pPr>
      <w:r>
        <w:rPr/>
        <w:t>业务举例：详见“</w:t>
      </w:r>
      <w:r>
        <w:rPr>
          <w:rFonts w:ascii="Calibri" w:hAnsi="Calibri" w:eastAsia="Calibri"/>
        </w:rPr>
        <w:t>4</w:t>
      </w:r>
      <w:r>
        <w:rPr/>
        <w:t>、业务举例”中例二。</w:t>
      </w:r>
    </w:p>
    <w:p>
      <w:pPr>
        <w:pStyle w:val="BodyText"/>
        <w:spacing w:before="7"/>
        <w:rPr>
          <w:sz w:val="15"/>
        </w:rPr>
      </w:pPr>
    </w:p>
    <w:p>
      <w:pPr>
        <w:pStyle w:val="BodyText"/>
        <w:ind w:left="580"/>
      </w:pPr>
      <w:r>
        <w:rPr/>
        <w:t>③从前端（比例费率）收费基金转出，转入其他后端收费基金</w:t>
      </w:r>
    </w:p>
    <w:p>
      <w:pPr>
        <w:pStyle w:val="BodyText"/>
        <w:spacing w:before="7"/>
        <w:rPr>
          <w:sz w:val="15"/>
        </w:rPr>
      </w:pPr>
    </w:p>
    <w:p>
      <w:pPr>
        <w:pStyle w:val="BodyText"/>
        <w:spacing w:line="417" w:lineRule="auto"/>
        <w:ind w:left="160" w:right="871" w:firstLine="419"/>
      </w:pPr>
      <w:r>
        <w:rPr>
          <w:spacing w:val="-12"/>
        </w:rPr>
        <w:t>情形描述：投资者将其持有的某一前端收费基金的基金份额转换为本公司管理的其他后</w:t>
      </w:r>
      <w:r>
        <w:rPr>
          <w:spacing w:val="-6"/>
        </w:rPr>
        <w:t>端收费基金基金份额，且转出基金申购费率适用比例费率。</w:t>
      </w:r>
    </w:p>
    <w:p>
      <w:pPr>
        <w:pStyle w:val="BodyText"/>
        <w:spacing w:line="417" w:lineRule="auto"/>
        <w:ind w:left="160" w:right="871" w:firstLine="419"/>
      </w:pPr>
      <w:r>
        <w:rPr>
          <w:spacing w:val="-10"/>
        </w:rPr>
        <w:t>费用收取方式：前端收费基金转入其他后端收费基金时，转入的基金份额的持有期将自</w:t>
      </w:r>
      <w:r>
        <w:rPr>
          <w:spacing w:val="-5"/>
        </w:rPr>
        <w:t>转入的基金份额被确认之日起重新开始计算。</w:t>
      </w:r>
    </w:p>
    <w:p>
      <w:pPr>
        <w:pStyle w:val="BodyText"/>
        <w:ind w:left="580"/>
      </w:pPr>
      <w:r>
        <w:rPr/>
        <w:t>业务举例：详见“</w:t>
      </w:r>
      <w:r>
        <w:rPr>
          <w:rFonts w:ascii="Calibri" w:hAnsi="Calibri" w:eastAsia="Calibri"/>
        </w:rPr>
        <w:t>4</w:t>
      </w:r>
      <w:r>
        <w:rPr/>
        <w:t>、业务举例”中例三。</w:t>
      </w:r>
    </w:p>
    <w:p>
      <w:pPr>
        <w:spacing w:after="0"/>
        <w:sectPr>
          <w:pgSz w:w="11910" w:h="16840"/>
          <w:pgMar w:header="877" w:footer="995" w:top="1420" w:bottom="1180" w:left="1640" w:right="920"/>
        </w:sectPr>
      </w:pPr>
    </w:p>
    <w:p>
      <w:pPr>
        <w:pStyle w:val="BodyText"/>
        <w:spacing w:before="110"/>
        <w:ind w:left="580"/>
      </w:pPr>
      <w:r>
        <w:rPr/>
        <w:t>④从前端（比例费率）收费基金转出，转入其他不收取申购费用的基金</w:t>
      </w:r>
    </w:p>
    <w:p>
      <w:pPr>
        <w:pStyle w:val="BodyText"/>
        <w:spacing w:before="6"/>
        <w:rPr>
          <w:sz w:val="15"/>
        </w:rPr>
      </w:pPr>
    </w:p>
    <w:p>
      <w:pPr>
        <w:pStyle w:val="BodyText"/>
        <w:spacing w:line="417" w:lineRule="auto"/>
        <w:ind w:left="160" w:right="871" w:firstLine="419"/>
      </w:pPr>
      <w:r>
        <w:rPr>
          <w:spacing w:val="-12"/>
        </w:rPr>
        <w:t>情形描述：投资者将其持有的某一前端收费基金的基金份额转换为本公司管理的其他不</w:t>
      </w:r>
      <w:r>
        <w:rPr>
          <w:spacing w:val="-6"/>
        </w:rPr>
        <w:t>收取申购费用的基金基金份额，且转出基金申购费率适用比例费率。</w:t>
      </w:r>
    </w:p>
    <w:p>
      <w:pPr>
        <w:pStyle w:val="BodyText"/>
        <w:spacing w:line="269" w:lineRule="exact"/>
        <w:ind w:left="580"/>
      </w:pPr>
      <w:r>
        <w:rPr/>
        <w:t>费用收取方式：不收取申购费用。</w:t>
      </w:r>
    </w:p>
    <w:p>
      <w:pPr>
        <w:pStyle w:val="BodyText"/>
        <w:spacing w:before="7"/>
        <w:rPr>
          <w:sz w:val="15"/>
        </w:rPr>
      </w:pPr>
    </w:p>
    <w:p>
      <w:pPr>
        <w:pStyle w:val="BodyText"/>
        <w:ind w:left="580"/>
      </w:pPr>
      <w:r>
        <w:rPr/>
        <w:t>业务举例：详见“</w:t>
      </w:r>
      <w:r>
        <w:rPr>
          <w:rFonts w:ascii="Calibri" w:hAnsi="Calibri" w:eastAsia="Calibri"/>
        </w:rPr>
        <w:t>4</w:t>
      </w:r>
      <w:r>
        <w:rPr/>
        <w:t>、业务举例”中例四。</w:t>
      </w:r>
    </w:p>
    <w:p>
      <w:pPr>
        <w:pStyle w:val="BodyText"/>
        <w:spacing w:before="7"/>
        <w:rPr>
          <w:sz w:val="15"/>
        </w:rPr>
      </w:pPr>
    </w:p>
    <w:p>
      <w:pPr>
        <w:pStyle w:val="BodyText"/>
        <w:ind w:left="580"/>
      </w:pPr>
      <w:r>
        <w:rPr/>
        <w:t>⑤从前端（固定费用）收费基金转出，转入其他前端（比例费率）收费基金</w:t>
      </w:r>
    </w:p>
    <w:p>
      <w:pPr>
        <w:pStyle w:val="BodyText"/>
        <w:spacing w:before="7"/>
        <w:rPr>
          <w:sz w:val="15"/>
        </w:rPr>
      </w:pPr>
    </w:p>
    <w:p>
      <w:pPr>
        <w:pStyle w:val="BodyText"/>
        <w:spacing w:line="417" w:lineRule="auto"/>
        <w:ind w:left="160" w:right="768" w:firstLine="419"/>
      </w:pPr>
      <w:r>
        <w:rPr>
          <w:spacing w:val="-12"/>
        </w:rPr>
        <w:t>情形描述：投资者将其持有的某一前端收费基金的基金份额转换为本公司管理的其他前</w:t>
      </w:r>
      <w:r>
        <w:rPr>
          <w:spacing w:val="-17"/>
        </w:rPr>
        <w:t>端收费基金基金份额，且转出基金申购费率适用固定费用，转入基金申购费率适用比例费率。</w:t>
      </w:r>
    </w:p>
    <w:p>
      <w:pPr>
        <w:pStyle w:val="BodyText"/>
        <w:spacing w:line="417" w:lineRule="auto"/>
        <w:ind w:left="160" w:right="871" w:firstLine="419"/>
      </w:pPr>
      <w:r>
        <w:rPr>
          <w:spacing w:val="-12"/>
        </w:rPr>
        <w:t>费用收取方式：收取的申购费率</w:t>
      </w:r>
      <w:r>
        <w:rPr>
          <w:spacing w:val="-3"/>
        </w:rPr>
        <w:t>＝转入基金的前端申购费率最高档－转出基金的前端申购费率最高档，最低为</w:t>
      </w:r>
      <w:r>
        <w:rPr>
          <w:rFonts w:ascii="Calibri" w:eastAsia="Calibri"/>
        </w:rPr>
        <w:t>0</w:t>
      </w:r>
      <w:r>
        <w:rPr/>
        <w:t>。</w:t>
      </w:r>
    </w:p>
    <w:p>
      <w:pPr>
        <w:pStyle w:val="BodyText"/>
        <w:spacing w:line="269" w:lineRule="exact"/>
        <w:ind w:left="580"/>
      </w:pPr>
      <w:r>
        <w:rPr/>
        <w:t>业务举例：详见“</w:t>
      </w:r>
      <w:r>
        <w:rPr>
          <w:rFonts w:ascii="Calibri" w:hAnsi="Calibri" w:eastAsia="Calibri"/>
        </w:rPr>
        <w:t>4</w:t>
      </w:r>
      <w:r>
        <w:rPr/>
        <w:t>、业务举例”中例五。</w:t>
      </w:r>
    </w:p>
    <w:p>
      <w:pPr>
        <w:pStyle w:val="BodyText"/>
        <w:spacing w:before="7"/>
        <w:rPr>
          <w:sz w:val="15"/>
        </w:rPr>
      </w:pPr>
    </w:p>
    <w:p>
      <w:pPr>
        <w:pStyle w:val="BodyText"/>
        <w:ind w:left="580"/>
      </w:pPr>
      <w:r>
        <w:rPr/>
        <w:t>⑥从前端（固定费用）收费基金转出，转入其他前端（固定费用）收费基金</w:t>
      </w:r>
    </w:p>
    <w:p>
      <w:pPr>
        <w:pStyle w:val="BodyText"/>
        <w:spacing w:before="6"/>
        <w:rPr>
          <w:sz w:val="15"/>
        </w:rPr>
      </w:pPr>
    </w:p>
    <w:p>
      <w:pPr>
        <w:pStyle w:val="BodyText"/>
        <w:spacing w:line="417" w:lineRule="auto"/>
        <w:ind w:left="160" w:right="871" w:firstLine="419"/>
      </w:pPr>
      <w:r>
        <w:rPr>
          <w:spacing w:val="-12"/>
        </w:rPr>
        <w:t>情形描述：投资者将其持有的某一前端收费基金的基金份额转换为本公司管理的其他前</w:t>
      </w:r>
      <w:r>
        <w:rPr>
          <w:spacing w:val="-6"/>
        </w:rPr>
        <w:t>端收费基金基金份额，且转出基金和转入基金的申购费率均适用固定费用。</w:t>
      </w:r>
    </w:p>
    <w:p>
      <w:pPr>
        <w:pStyle w:val="BodyText"/>
        <w:spacing w:line="417" w:lineRule="auto" w:before="1"/>
        <w:ind w:left="580" w:right="880"/>
      </w:pPr>
      <w:r>
        <w:rPr/>
        <w:t>费用收取方式：收取的申购费用＝转入基金申购费用－转出基金申购费用，最低为</w:t>
      </w:r>
      <w:r>
        <w:rPr>
          <w:rFonts w:ascii="Calibri" w:hAnsi="Calibri" w:eastAsia="Calibri"/>
        </w:rPr>
        <w:t>0</w:t>
      </w:r>
      <w:r>
        <w:rPr/>
        <w:t>。业务举例：详见“</w:t>
      </w:r>
      <w:r>
        <w:rPr>
          <w:rFonts w:ascii="Calibri" w:hAnsi="Calibri" w:eastAsia="Calibri"/>
        </w:rPr>
        <w:t>4</w:t>
      </w:r>
      <w:r>
        <w:rPr/>
        <w:t>、业务举例”中例六。</w:t>
      </w:r>
    </w:p>
    <w:p>
      <w:pPr>
        <w:pStyle w:val="BodyText"/>
        <w:spacing w:line="269" w:lineRule="exact"/>
        <w:ind w:left="580"/>
      </w:pPr>
      <w:r>
        <w:rPr/>
        <w:t>⑦从前端（固定费用）收费基金转出，转入其他后端收费基金</w:t>
      </w:r>
    </w:p>
    <w:p>
      <w:pPr>
        <w:pStyle w:val="BodyText"/>
        <w:spacing w:before="6"/>
        <w:rPr>
          <w:sz w:val="15"/>
        </w:rPr>
      </w:pPr>
    </w:p>
    <w:p>
      <w:pPr>
        <w:pStyle w:val="BodyText"/>
        <w:spacing w:line="417" w:lineRule="auto"/>
        <w:ind w:left="160" w:right="871" w:firstLine="419"/>
      </w:pPr>
      <w:r>
        <w:rPr>
          <w:spacing w:val="-12"/>
        </w:rPr>
        <w:t>情形描述：投资者将其持有的某一前端收费基金的基金份额转换为本公司管理的其他后</w:t>
      </w:r>
      <w:r>
        <w:rPr>
          <w:spacing w:val="-6"/>
        </w:rPr>
        <w:t>端收费基金基金份额，且转出基金申购费率适用固定费用。</w:t>
      </w:r>
    </w:p>
    <w:p>
      <w:pPr>
        <w:pStyle w:val="BodyText"/>
        <w:spacing w:line="417" w:lineRule="auto"/>
        <w:ind w:left="160" w:right="871" w:firstLine="419"/>
      </w:pPr>
      <w:r>
        <w:rPr>
          <w:spacing w:val="-10"/>
        </w:rPr>
        <w:t>费用收取方式：前端收费基金转入其他后端收费基金时，转入的基金份额的持有期将自</w:t>
      </w:r>
      <w:r>
        <w:rPr>
          <w:spacing w:val="-5"/>
        </w:rPr>
        <w:t>转入的基金份额被确认之日起重新开始计算。</w:t>
      </w:r>
    </w:p>
    <w:p>
      <w:pPr>
        <w:pStyle w:val="BodyText"/>
        <w:ind w:left="580"/>
      </w:pPr>
      <w:r>
        <w:rPr/>
        <w:t>业务举例：详见“</w:t>
      </w:r>
      <w:r>
        <w:rPr>
          <w:rFonts w:ascii="Calibri" w:hAnsi="Calibri" w:eastAsia="Calibri"/>
        </w:rPr>
        <w:t>4</w:t>
      </w:r>
      <w:r>
        <w:rPr/>
        <w:t>、业务举例”中例七。</w:t>
      </w:r>
    </w:p>
    <w:p>
      <w:pPr>
        <w:pStyle w:val="BodyText"/>
        <w:spacing w:before="7"/>
        <w:rPr>
          <w:sz w:val="15"/>
        </w:rPr>
      </w:pPr>
    </w:p>
    <w:p>
      <w:pPr>
        <w:pStyle w:val="BodyText"/>
        <w:ind w:left="580"/>
      </w:pPr>
      <w:r>
        <w:rPr/>
        <w:t>⑧从前端（固定费用）收费基金转出，转入其他不收取申购费用的基金</w:t>
      </w:r>
    </w:p>
    <w:p>
      <w:pPr>
        <w:pStyle w:val="BodyText"/>
        <w:spacing w:before="7"/>
        <w:rPr>
          <w:sz w:val="15"/>
        </w:rPr>
      </w:pPr>
    </w:p>
    <w:p>
      <w:pPr>
        <w:pStyle w:val="BodyText"/>
        <w:spacing w:line="417" w:lineRule="auto"/>
        <w:ind w:left="160" w:right="871" w:firstLine="419"/>
      </w:pPr>
      <w:r>
        <w:rPr>
          <w:spacing w:val="-12"/>
        </w:rPr>
        <w:t>情形描述：投资者将其持有的某一前端收费基金的基金份额转换为本公司管理的其他不</w:t>
      </w:r>
      <w:r>
        <w:rPr>
          <w:spacing w:val="-6"/>
        </w:rPr>
        <w:t>收取申购费用的基金基金份额，且转出基金申购费率适用固定费用。</w:t>
      </w:r>
    </w:p>
    <w:p>
      <w:pPr>
        <w:pStyle w:val="BodyText"/>
        <w:spacing w:line="269" w:lineRule="exact"/>
        <w:ind w:left="580"/>
      </w:pPr>
      <w:r>
        <w:rPr/>
        <w:t>费用收取方式：不收取申购费用。</w:t>
      </w:r>
    </w:p>
    <w:p>
      <w:pPr>
        <w:pStyle w:val="BodyText"/>
        <w:spacing w:before="6"/>
        <w:rPr>
          <w:sz w:val="15"/>
        </w:rPr>
      </w:pPr>
    </w:p>
    <w:p>
      <w:pPr>
        <w:pStyle w:val="BodyText"/>
        <w:ind w:left="580"/>
      </w:pPr>
      <w:r>
        <w:rPr/>
        <w:t>业务举例：详见“</w:t>
      </w:r>
      <w:r>
        <w:rPr>
          <w:rFonts w:ascii="Calibri" w:hAnsi="Calibri" w:eastAsia="Calibri"/>
        </w:rPr>
        <w:t>4</w:t>
      </w:r>
      <w:r>
        <w:rPr/>
        <w:t>、业务举例”中例八。</w:t>
      </w:r>
    </w:p>
    <w:p>
      <w:pPr>
        <w:pStyle w:val="BodyText"/>
        <w:spacing w:before="7"/>
        <w:rPr>
          <w:sz w:val="15"/>
        </w:rPr>
      </w:pPr>
    </w:p>
    <w:p>
      <w:pPr>
        <w:pStyle w:val="BodyText"/>
        <w:ind w:left="580"/>
      </w:pPr>
      <w:r>
        <w:rPr/>
        <w:t>⑨从后端收费基金转出，转入其他前端（比例费率）收费基金</w:t>
      </w:r>
    </w:p>
    <w:p>
      <w:pPr>
        <w:pStyle w:val="BodyText"/>
        <w:spacing w:before="7"/>
        <w:rPr>
          <w:sz w:val="15"/>
        </w:rPr>
      </w:pPr>
    </w:p>
    <w:p>
      <w:pPr>
        <w:pStyle w:val="BodyText"/>
        <w:spacing w:line="417" w:lineRule="auto"/>
        <w:ind w:left="160" w:right="871" w:firstLine="419"/>
      </w:pPr>
      <w:r>
        <w:rPr>
          <w:spacing w:val="-12"/>
        </w:rPr>
        <w:t>情形描述：投资者将其持有的某一后端收费基金的基金份额转换为本公司管理的其他前</w:t>
      </w:r>
      <w:r>
        <w:rPr>
          <w:spacing w:val="-6"/>
        </w:rPr>
        <w:t>端收费基金基金份额，且转入基金申购费率适用比例费率。</w:t>
      </w:r>
    </w:p>
    <w:p>
      <w:pPr>
        <w:spacing w:after="0" w:line="417" w:lineRule="auto"/>
        <w:sectPr>
          <w:pgSz w:w="11910" w:h="16840"/>
          <w:pgMar w:header="877" w:footer="995" w:top="1420" w:bottom="1180" w:left="1640" w:right="920"/>
        </w:sectPr>
      </w:pPr>
    </w:p>
    <w:p>
      <w:pPr>
        <w:pStyle w:val="BodyText"/>
        <w:spacing w:line="417" w:lineRule="auto" w:before="110"/>
        <w:ind w:left="160" w:right="871" w:firstLine="419"/>
      </w:pPr>
      <w:r>
        <w:rPr>
          <w:spacing w:val="-12"/>
        </w:rPr>
        <w:t>费用收取方式：收取的申购费率</w:t>
      </w:r>
      <w:r>
        <w:rPr>
          <w:spacing w:val="-3"/>
        </w:rPr>
        <w:t>＝转入基金的前端申购费率最高档－转出基金的前端申购费率最高档，最低为</w:t>
      </w:r>
      <w:r>
        <w:rPr>
          <w:rFonts w:ascii="Calibri" w:eastAsia="Calibri"/>
        </w:rPr>
        <w:t>0</w:t>
      </w:r>
      <w:r>
        <w:rPr/>
        <w:t>。</w:t>
      </w:r>
    </w:p>
    <w:p>
      <w:pPr>
        <w:pStyle w:val="BodyText"/>
        <w:spacing w:line="269" w:lineRule="exact"/>
        <w:ind w:left="580"/>
      </w:pPr>
      <w:r>
        <w:rPr/>
        <w:t>业务举例：详见“</w:t>
      </w:r>
      <w:r>
        <w:rPr>
          <w:rFonts w:ascii="Calibri" w:hAnsi="Calibri" w:eastAsia="Calibri"/>
        </w:rPr>
        <w:t>4</w:t>
      </w:r>
      <w:r>
        <w:rPr/>
        <w:t>、业务举例”中例九。</w:t>
      </w:r>
    </w:p>
    <w:p>
      <w:pPr>
        <w:pStyle w:val="BodyText"/>
        <w:spacing w:before="6"/>
        <w:rPr>
          <w:sz w:val="15"/>
        </w:rPr>
      </w:pPr>
    </w:p>
    <w:p>
      <w:pPr>
        <w:pStyle w:val="BodyText"/>
        <w:ind w:left="580"/>
      </w:pPr>
      <w:r>
        <w:rPr/>
        <w:t>⑩从后端收费基金转出，转入其他前端（固定费用）收费基金</w:t>
      </w:r>
    </w:p>
    <w:p>
      <w:pPr>
        <w:pStyle w:val="BodyText"/>
        <w:spacing w:before="7"/>
        <w:rPr>
          <w:sz w:val="15"/>
        </w:rPr>
      </w:pPr>
    </w:p>
    <w:p>
      <w:pPr>
        <w:pStyle w:val="BodyText"/>
        <w:spacing w:line="417" w:lineRule="auto"/>
        <w:ind w:left="160" w:right="871" w:firstLine="419"/>
      </w:pPr>
      <w:r>
        <w:rPr>
          <w:spacing w:val="-12"/>
        </w:rPr>
        <w:t>情形描述：投资者将其持有的某一后端收费基金的基金份额转换为本公司管理的其他前</w:t>
      </w:r>
      <w:r>
        <w:rPr>
          <w:spacing w:val="-6"/>
        </w:rPr>
        <w:t>端收费基金基金份额，且转入基金申购费率适用固定费用。</w:t>
      </w:r>
    </w:p>
    <w:p>
      <w:pPr>
        <w:pStyle w:val="BodyText"/>
        <w:spacing w:line="417" w:lineRule="auto"/>
        <w:ind w:left="160" w:right="871" w:firstLine="419"/>
      </w:pPr>
      <w:r>
        <w:rPr>
          <w:spacing w:val="-12"/>
        </w:rPr>
        <w:t>费用收取方式：如果转入基金的前端申购费率最高档比转出基金的前端申购费率最高档</w:t>
      </w:r>
      <w:r>
        <w:rPr>
          <w:spacing w:val="-6"/>
        </w:rPr>
        <w:t>高，则收取的申购费用为转入基金适用的固定费用；反之，收取的申购费用为</w:t>
      </w:r>
      <w:r>
        <w:rPr>
          <w:rFonts w:ascii="Calibri" w:eastAsia="Calibri"/>
        </w:rPr>
        <w:t>0</w:t>
      </w:r>
      <w:r>
        <w:rPr/>
        <w:t>。</w:t>
      </w:r>
    </w:p>
    <w:p>
      <w:pPr>
        <w:pStyle w:val="BodyText"/>
        <w:ind w:left="580"/>
      </w:pPr>
      <w:r>
        <w:rPr/>
        <w:t>业务举例：详见“</w:t>
      </w:r>
      <w:r>
        <w:rPr>
          <w:rFonts w:ascii="Calibri" w:hAnsi="Calibri" w:eastAsia="Calibri"/>
        </w:rPr>
        <w:t>4</w:t>
      </w:r>
      <w:r>
        <w:rPr/>
        <w:t>、业务举例”中例十。</w:t>
      </w:r>
    </w:p>
    <w:p>
      <w:pPr>
        <w:pStyle w:val="BodyText"/>
        <w:spacing w:before="7"/>
        <w:rPr>
          <w:sz w:val="15"/>
        </w:rPr>
      </w:pPr>
    </w:p>
    <w:p>
      <w:pPr>
        <w:pStyle w:val="BodyText"/>
        <w:ind w:left="580"/>
      </w:pPr>
      <w:r>
        <w:rPr>
          <w:rFonts w:ascii="Cambria Math" w:hAnsi="Cambria Math" w:eastAsia="Cambria Math"/>
        </w:rPr>
        <w:t>⑪</w:t>
      </w:r>
      <w:r>
        <w:rPr/>
        <w:t>从后端收费基金转出，转入其他后端收费基金</w:t>
      </w:r>
    </w:p>
    <w:p>
      <w:pPr>
        <w:pStyle w:val="BodyText"/>
        <w:spacing w:line="417" w:lineRule="auto" w:before="199"/>
        <w:ind w:left="160" w:right="871" w:firstLine="419"/>
      </w:pPr>
      <w:r>
        <w:rPr>
          <w:spacing w:val="-12"/>
        </w:rPr>
        <w:t>情形描述：投资者将其持有的某一后端收费基金的基金份额转换为本公司管理的其他后</w:t>
      </w:r>
      <w:r>
        <w:rPr>
          <w:spacing w:val="-6"/>
        </w:rPr>
        <w:t>端收费基金基金份额。</w:t>
      </w:r>
    </w:p>
    <w:p>
      <w:pPr>
        <w:pStyle w:val="BodyText"/>
        <w:spacing w:line="417" w:lineRule="auto"/>
        <w:ind w:left="160" w:right="871" w:firstLine="419"/>
      </w:pPr>
      <w:r>
        <w:rPr>
          <w:spacing w:val="-10"/>
        </w:rPr>
        <w:t>费用收取方式：后端收费基金转入其他后端收费基金时，转入的基金份额的持有期将自</w:t>
      </w:r>
      <w:r>
        <w:rPr>
          <w:spacing w:val="-5"/>
        </w:rPr>
        <w:t>转入的基金份额被确认之日起重新开始计算。</w:t>
      </w:r>
    </w:p>
    <w:p>
      <w:pPr>
        <w:pStyle w:val="BodyText"/>
        <w:ind w:left="580"/>
      </w:pPr>
      <w:r>
        <w:rPr/>
        <w:t>业务举例：详见“</w:t>
      </w:r>
      <w:r>
        <w:rPr>
          <w:rFonts w:ascii="Calibri" w:hAnsi="Calibri" w:eastAsia="Calibri"/>
        </w:rPr>
        <w:t>4</w:t>
      </w:r>
      <w:r>
        <w:rPr/>
        <w:t>、业务举例”中例十一。</w:t>
      </w:r>
    </w:p>
    <w:p>
      <w:pPr>
        <w:pStyle w:val="BodyText"/>
        <w:spacing w:before="6"/>
        <w:rPr>
          <w:sz w:val="15"/>
        </w:rPr>
      </w:pPr>
    </w:p>
    <w:p>
      <w:pPr>
        <w:pStyle w:val="BodyText"/>
        <w:ind w:left="580"/>
      </w:pPr>
      <w:r>
        <w:rPr>
          <w:rFonts w:ascii="Cambria Math" w:hAnsi="Cambria Math" w:eastAsia="Cambria Math"/>
        </w:rPr>
        <w:t>⑫</w:t>
      </w:r>
      <w:r>
        <w:rPr/>
        <w:t>从后端收费基金转出，转入其他不收取申购费用的基金</w:t>
      </w:r>
    </w:p>
    <w:p>
      <w:pPr>
        <w:pStyle w:val="BodyText"/>
        <w:spacing w:line="417" w:lineRule="auto" w:before="199"/>
        <w:ind w:left="160" w:right="871" w:firstLine="419"/>
      </w:pPr>
      <w:r>
        <w:rPr>
          <w:spacing w:val="-12"/>
        </w:rPr>
        <w:t>情形描述：投资者将其持有的某一后端收费基金的基金份额转换为本公司管理的其他不</w:t>
      </w:r>
      <w:r>
        <w:rPr>
          <w:spacing w:val="-6"/>
        </w:rPr>
        <w:t>收取申购费用的基金基金份额。</w:t>
      </w:r>
    </w:p>
    <w:p>
      <w:pPr>
        <w:pStyle w:val="BodyText"/>
        <w:spacing w:line="269" w:lineRule="exact"/>
        <w:ind w:left="580"/>
      </w:pPr>
      <w:r>
        <w:rPr/>
        <w:t>费用收取方式：不收取申购费用。</w:t>
      </w:r>
    </w:p>
    <w:p>
      <w:pPr>
        <w:pStyle w:val="BodyText"/>
        <w:spacing w:before="7"/>
        <w:rPr>
          <w:sz w:val="15"/>
        </w:rPr>
      </w:pPr>
    </w:p>
    <w:p>
      <w:pPr>
        <w:pStyle w:val="BodyText"/>
        <w:ind w:left="580"/>
      </w:pPr>
      <w:r>
        <w:rPr/>
        <w:t>业务举例：详见“</w:t>
      </w:r>
      <w:r>
        <w:rPr>
          <w:rFonts w:ascii="Calibri" w:hAnsi="Calibri" w:eastAsia="Calibri"/>
        </w:rPr>
        <w:t>4</w:t>
      </w:r>
      <w:r>
        <w:rPr/>
        <w:t>、业务举例”中例十二。</w:t>
      </w:r>
    </w:p>
    <w:p>
      <w:pPr>
        <w:pStyle w:val="BodyText"/>
        <w:spacing w:before="7"/>
        <w:rPr>
          <w:sz w:val="15"/>
        </w:rPr>
      </w:pPr>
    </w:p>
    <w:p>
      <w:pPr>
        <w:pStyle w:val="BodyText"/>
        <w:ind w:left="580"/>
      </w:pPr>
      <w:r>
        <w:rPr>
          <w:rFonts w:ascii="Cambria Math" w:hAnsi="Cambria Math" w:eastAsia="Cambria Math"/>
        </w:rPr>
        <w:t>⑬</w:t>
      </w:r>
      <w:r>
        <w:rPr/>
        <w:t>从不收取申购费用的基金转出，转入其他前端（比例费率）收费基金</w:t>
      </w:r>
    </w:p>
    <w:p>
      <w:pPr>
        <w:pStyle w:val="BodyText"/>
        <w:spacing w:line="417" w:lineRule="auto" w:before="199"/>
        <w:ind w:left="160" w:right="871" w:firstLine="419"/>
      </w:pPr>
      <w:r>
        <w:rPr>
          <w:spacing w:val="-12"/>
        </w:rPr>
        <w:t>情形描述：投资者将其持有的某一不收取申购费用基金的基金份额转换为本公司管理的</w:t>
      </w:r>
      <w:r>
        <w:rPr>
          <w:spacing w:val="-6"/>
        </w:rPr>
        <w:t>其他前端收费基金基金份额，且转入基金申购费率适用比例费率。</w:t>
      </w:r>
    </w:p>
    <w:p>
      <w:pPr>
        <w:pStyle w:val="BodyText"/>
        <w:spacing w:line="417" w:lineRule="auto"/>
        <w:ind w:left="160" w:right="873" w:firstLine="419"/>
      </w:pPr>
      <w:r>
        <w:rPr>
          <w:spacing w:val="-3"/>
        </w:rPr>
        <w:t>费用收取方式：收取的申购费率</w:t>
      </w:r>
      <w:r>
        <w:rPr>
          <w:rFonts w:ascii="Calibri" w:hAnsi="Calibri" w:eastAsia="Calibri"/>
        </w:rPr>
        <w:t>=</w:t>
      </w:r>
      <w:r>
        <w:rPr>
          <w:spacing w:val="-3"/>
        </w:rPr>
        <w:t>转入基金的申购费率－转出基金的销售服务费率×转</w:t>
      </w:r>
      <w:r>
        <w:rPr>
          <w:spacing w:val="-3"/>
          <w:w w:val="100"/>
        </w:rPr>
        <w:t>出基金的持有时间（</w:t>
      </w:r>
      <w:r>
        <w:rPr>
          <w:spacing w:val="-2"/>
          <w:w w:val="100"/>
        </w:rPr>
        <w:t>单位为年</w:t>
      </w:r>
      <w:r>
        <w:rPr>
          <w:spacing w:val="-108"/>
          <w:w w:val="100"/>
        </w:rPr>
        <w:t>）</w:t>
      </w:r>
      <w:r>
        <w:rPr>
          <w:spacing w:val="-3"/>
          <w:w w:val="100"/>
        </w:rPr>
        <w:t>，最低为</w:t>
      </w:r>
      <w:r>
        <w:rPr>
          <w:rFonts w:ascii="Calibri" w:hAnsi="Calibri" w:eastAsia="Calibri"/>
          <w:w w:val="100"/>
        </w:rPr>
        <w:t>0</w:t>
      </w:r>
      <w:r>
        <w:rPr>
          <w:w w:val="100"/>
        </w:rPr>
        <w:t>。</w:t>
      </w:r>
    </w:p>
    <w:p>
      <w:pPr>
        <w:pStyle w:val="BodyText"/>
        <w:spacing w:line="269" w:lineRule="exact"/>
        <w:ind w:left="580"/>
      </w:pPr>
      <w:r>
        <w:rPr/>
        <w:t>业务举例：详见“</w:t>
      </w:r>
      <w:r>
        <w:rPr>
          <w:rFonts w:ascii="Calibri" w:hAnsi="Calibri" w:eastAsia="Calibri"/>
        </w:rPr>
        <w:t>4</w:t>
      </w:r>
      <w:r>
        <w:rPr/>
        <w:t>、业务举例”中例十三。</w:t>
      </w:r>
    </w:p>
    <w:p>
      <w:pPr>
        <w:pStyle w:val="BodyText"/>
        <w:spacing w:before="6"/>
        <w:rPr>
          <w:sz w:val="15"/>
        </w:rPr>
      </w:pPr>
    </w:p>
    <w:p>
      <w:pPr>
        <w:pStyle w:val="BodyText"/>
        <w:spacing w:before="1"/>
        <w:ind w:left="580"/>
      </w:pPr>
      <w:r>
        <w:rPr>
          <w:rFonts w:ascii="Cambria Math" w:hAnsi="Cambria Math" w:eastAsia="Cambria Math"/>
        </w:rPr>
        <w:t>⑭</w:t>
      </w:r>
      <w:r>
        <w:rPr/>
        <w:t>从不收取申购费用基金转出，转入其他前端（固定费用）收费基金</w:t>
      </w:r>
    </w:p>
    <w:p>
      <w:pPr>
        <w:pStyle w:val="BodyText"/>
        <w:spacing w:line="417" w:lineRule="auto" w:before="199"/>
        <w:ind w:left="160" w:right="871" w:firstLine="419"/>
      </w:pPr>
      <w:r>
        <w:rPr>
          <w:spacing w:val="-12"/>
        </w:rPr>
        <w:t>情形描述：投资者将其持有的某一不收取申购费用基金的基金份额转换为本公司管理的</w:t>
      </w:r>
      <w:r>
        <w:rPr>
          <w:spacing w:val="-6"/>
        </w:rPr>
        <w:t>其他前端收费基金基金份额，且转入基金申购费率适用固定费用。</w:t>
      </w:r>
    </w:p>
    <w:p>
      <w:pPr>
        <w:pStyle w:val="BodyText"/>
        <w:ind w:left="580"/>
      </w:pPr>
      <w:r>
        <w:rPr/>
        <w:t>费用收取方式：收取的申购费用</w:t>
      </w:r>
      <w:r>
        <w:rPr>
          <w:rFonts w:ascii="Calibri" w:hAnsi="Calibri" w:eastAsia="Calibri"/>
        </w:rPr>
        <w:t>=</w:t>
      </w:r>
      <w:r>
        <w:rPr/>
        <w:t>固定费用－转换金额×转出基金的销售服务费率×转</w:t>
      </w:r>
    </w:p>
    <w:p>
      <w:pPr>
        <w:spacing w:after="0"/>
        <w:sectPr>
          <w:pgSz w:w="11910" w:h="16840"/>
          <w:pgMar w:header="877" w:footer="995" w:top="1420" w:bottom="1180" w:left="1640" w:right="920"/>
        </w:sectPr>
      </w:pPr>
    </w:p>
    <w:p>
      <w:pPr>
        <w:pStyle w:val="BodyText"/>
        <w:spacing w:before="110"/>
        <w:ind w:left="160"/>
      </w:pPr>
      <w:r>
        <w:rPr>
          <w:spacing w:val="-3"/>
          <w:w w:val="100"/>
        </w:rPr>
        <w:t>出基金的持有时间（</w:t>
      </w:r>
      <w:r>
        <w:rPr>
          <w:spacing w:val="-2"/>
          <w:w w:val="100"/>
        </w:rPr>
        <w:t>单位为年</w:t>
      </w:r>
      <w:r>
        <w:rPr>
          <w:spacing w:val="-108"/>
          <w:w w:val="100"/>
        </w:rPr>
        <w:t>）</w:t>
      </w:r>
      <w:r>
        <w:rPr>
          <w:spacing w:val="-3"/>
          <w:w w:val="100"/>
        </w:rPr>
        <w:t>，最低为</w:t>
      </w:r>
      <w:r>
        <w:rPr>
          <w:rFonts w:ascii="Calibri" w:eastAsia="Calibri"/>
          <w:w w:val="100"/>
        </w:rPr>
        <w:t>0</w:t>
      </w:r>
      <w:r>
        <w:rPr>
          <w:w w:val="100"/>
        </w:rPr>
        <w:t>。</w:t>
      </w:r>
    </w:p>
    <w:p>
      <w:pPr>
        <w:pStyle w:val="BodyText"/>
        <w:spacing w:before="6"/>
        <w:rPr>
          <w:sz w:val="15"/>
        </w:rPr>
      </w:pPr>
    </w:p>
    <w:p>
      <w:pPr>
        <w:pStyle w:val="BodyText"/>
        <w:ind w:left="580"/>
      </w:pPr>
      <w:r>
        <w:rPr/>
        <w:t>业务举例：详见“</w:t>
      </w:r>
      <w:r>
        <w:rPr>
          <w:rFonts w:ascii="Calibri" w:hAnsi="Calibri" w:eastAsia="Calibri"/>
        </w:rPr>
        <w:t>4</w:t>
      </w:r>
      <w:r>
        <w:rPr/>
        <w:t>、业务举例”中例十四。</w:t>
      </w:r>
    </w:p>
    <w:p>
      <w:pPr>
        <w:pStyle w:val="BodyText"/>
        <w:spacing w:before="7"/>
        <w:rPr>
          <w:sz w:val="15"/>
        </w:rPr>
      </w:pPr>
    </w:p>
    <w:p>
      <w:pPr>
        <w:pStyle w:val="BodyText"/>
        <w:ind w:left="580"/>
      </w:pPr>
      <w:r>
        <w:rPr>
          <w:rFonts w:ascii="Cambria Math" w:hAnsi="Cambria Math" w:eastAsia="Cambria Math"/>
        </w:rPr>
        <w:t>⑮</w:t>
      </w:r>
      <w:r>
        <w:rPr/>
        <w:t>从不收取申购费用的基金转出，转入其他后端收费基金</w:t>
      </w:r>
    </w:p>
    <w:p>
      <w:pPr>
        <w:pStyle w:val="BodyText"/>
        <w:spacing w:line="417" w:lineRule="auto" w:before="199"/>
        <w:ind w:left="160" w:right="871" w:firstLine="419"/>
      </w:pPr>
      <w:r>
        <w:rPr>
          <w:spacing w:val="-12"/>
        </w:rPr>
        <w:t>情形描述：投资者将其持有的某一不收取申购费用基金的基金份额转换为本公司管理的</w:t>
      </w:r>
      <w:r>
        <w:rPr>
          <w:spacing w:val="-6"/>
        </w:rPr>
        <w:t>其他后端收费基金基金份额。</w:t>
      </w:r>
    </w:p>
    <w:p>
      <w:pPr>
        <w:pStyle w:val="BodyText"/>
        <w:spacing w:line="417" w:lineRule="auto"/>
        <w:ind w:left="160" w:right="871" w:firstLine="419"/>
      </w:pPr>
      <w:r>
        <w:rPr>
          <w:spacing w:val="-10"/>
        </w:rPr>
        <w:t>费用收取方式：不收取申购费用的基金转入其他后端收费基金时，转入的基金份额的持</w:t>
      </w:r>
      <w:r>
        <w:rPr>
          <w:spacing w:val="-5"/>
        </w:rPr>
        <w:t>有期将自转入的基金份额被确认之日起重新开始计算。</w:t>
      </w:r>
    </w:p>
    <w:p>
      <w:pPr>
        <w:pStyle w:val="BodyText"/>
        <w:ind w:left="580"/>
      </w:pPr>
      <w:r>
        <w:rPr/>
        <w:t>业务举例：详见“</w:t>
      </w:r>
      <w:r>
        <w:rPr>
          <w:rFonts w:ascii="Calibri" w:hAnsi="Calibri" w:eastAsia="Calibri"/>
        </w:rPr>
        <w:t>4</w:t>
      </w:r>
      <w:r>
        <w:rPr/>
        <w:t>、业务举例”中例十五。</w:t>
      </w:r>
    </w:p>
    <w:p>
      <w:pPr>
        <w:pStyle w:val="BodyText"/>
        <w:spacing w:before="7"/>
        <w:rPr>
          <w:sz w:val="15"/>
        </w:rPr>
      </w:pPr>
    </w:p>
    <w:p>
      <w:pPr>
        <w:pStyle w:val="BodyText"/>
        <w:ind w:left="580"/>
      </w:pPr>
      <w:r>
        <w:rPr>
          <w:rFonts w:ascii="Cambria Math" w:hAnsi="Cambria Math" w:eastAsia="Cambria Math"/>
        </w:rPr>
        <w:t>⑯</w:t>
      </w:r>
      <w:r>
        <w:rPr/>
        <w:t>从不收取申购费用的基金转出，转入其他不收取申购费用的基金</w:t>
      </w:r>
    </w:p>
    <w:p>
      <w:pPr>
        <w:pStyle w:val="BodyText"/>
        <w:spacing w:line="417" w:lineRule="auto" w:before="199"/>
        <w:ind w:left="160" w:right="871" w:firstLine="419"/>
      </w:pPr>
      <w:r>
        <w:rPr>
          <w:spacing w:val="-12"/>
        </w:rPr>
        <w:t>情形描述：投资者将其持有的某一不收取申购费用基金的基金份额转换为本公司管理的</w:t>
      </w:r>
      <w:r>
        <w:rPr>
          <w:spacing w:val="-6"/>
        </w:rPr>
        <w:t>其他不收取申购费用的基金基金份额。</w:t>
      </w:r>
    </w:p>
    <w:p>
      <w:pPr>
        <w:pStyle w:val="BodyText"/>
        <w:spacing w:line="269" w:lineRule="exact"/>
        <w:ind w:left="580"/>
      </w:pPr>
      <w:r>
        <w:rPr>
          <w:spacing w:val="-3"/>
        </w:rPr>
        <w:t>费用收取方式：不收取申购费用。</w:t>
      </w:r>
    </w:p>
    <w:p>
      <w:pPr>
        <w:pStyle w:val="BodyText"/>
        <w:spacing w:before="6"/>
        <w:rPr>
          <w:sz w:val="15"/>
        </w:rPr>
      </w:pPr>
    </w:p>
    <w:p>
      <w:pPr>
        <w:pStyle w:val="BodyText"/>
        <w:spacing w:before="1"/>
        <w:ind w:left="580"/>
      </w:pPr>
      <w:r>
        <w:rPr/>
        <w:t>业务举例：详见“</w:t>
      </w:r>
      <w:r>
        <w:rPr>
          <w:rFonts w:ascii="Calibri" w:hAnsi="Calibri" w:eastAsia="Calibri"/>
        </w:rPr>
        <w:t>4</w:t>
      </w:r>
      <w:r>
        <w:rPr/>
        <w:t>、业务举例”中例十六。</w:t>
      </w:r>
    </w:p>
    <w:p>
      <w:pPr>
        <w:pStyle w:val="BodyText"/>
        <w:spacing w:before="6"/>
        <w:rPr>
          <w:sz w:val="15"/>
        </w:rPr>
      </w:pPr>
    </w:p>
    <w:p>
      <w:pPr>
        <w:pStyle w:val="BodyText"/>
        <w:ind w:left="580"/>
      </w:pPr>
      <w:r>
        <w:rPr>
          <w:rFonts w:ascii="Cambria Math" w:hAnsi="Cambria Math" w:eastAsia="Cambria Math"/>
        </w:rPr>
        <w:t>⑰</w:t>
      </w:r>
      <w:r>
        <w:rPr/>
        <w:t>对于货币基金的基金份额转出情况的补充说明</w:t>
      </w:r>
    </w:p>
    <w:p>
      <w:pPr>
        <w:pStyle w:val="BodyText"/>
        <w:spacing w:line="417" w:lineRule="auto" w:before="200"/>
        <w:ind w:left="580" w:right="1617"/>
      </w:pPr>
      <w:r>
        <w:rPr/>
        <w:t>对于货币型基金，每当有基金新增份额时，均调整持有时间，计算方法如下： 调整后的持有时间</w:t>
      </w:r>
      <w:r>
        <w:rPr>
          <w:rFonts w:ascii="Calibri" w:hAnsi="Calibri" w:eastAsia="Calibri"/>
        </w:rPr>
        <w:t>=</w:t>
      </w:r>
      <w:r>
        <w:rPr/>
        <w:t>原持有时间×原份额</w:t>
      </w:r>
      <w:r>
        <w:rPr>
          <w:rFonts w:ascii="Calibri" w:hAnsi="Calibri" w:eastAsia="Calibri"/>
        </w:rPr>
        <w:t>/</w:t>
      </w:r>
      <w:r>
        <w:rPr/>
        <w:t>（原份额</w:t>
      </w:r>
      <w:r>
        <w:rPr>
          <w:rFonts w:ascii="Calibri" w:hAnsi="Calibri" w:eastAsia="Calibri"/>
        </w:rPr>
        <w:t>+</w:t>
      </w:r>
      <w:r>
        <w:rPr/>
        <w:t>新增份额）</w:t>
      </w:r>
    </w:p>
    <w:p>
      <w:pPr>
        <w:pStyle w:val="ListParagraph"/>
        <w:numPr>
          <w:ilvl w:val="0"/>
          <w:numId w:val="14"/>
        </w:numPr>
        <w:tabs>
          <w:tab w:pos="1110" w:val="left" w:leader="none"/>
        </w:tabs>
        <w:spacing w:line="269" w:lineRule="exact" w:before="0" w:after="0"/>
        <w:ind w:left="1109" w:right="0" w:hanging="530"/>
        <w:jc w:val="left"/>
        <w:rPr>
          <w:sz w:val="21"/>
        </w:rPr>
      </w:pPr>
      <w:r>
        <w:rPr>
          <w:spacing w:val="-3"/>
          <w:sz w:val="21"/>
        </w:rPr>
        <w:t>上述费用另有优惠的，从其规定。</w:t>
      </w:r>
    </w:p>
    <w:p>
      <w:pPr>
        <w:pStyle w:val="BodyText"/>
        <w:spacing w:before="6"/>
        <w:rPr>
          <w:sz w:val="15"/>
        </w:rPr>
      </w:pPr>
    </w:p>
    <w:p>
      <w:pPr>
        <w:pStyle w:val="BodyText"/>
        <w:ind w:left="580"/>
      </w:pPr>
      <w:r>
        <w:rPr/>
        <w:t>基金管理人可以在法律法规和本基金合同规定范围内调整基金转换的有关业务规则。</w:t>
      </w:r>
    </w:p>
    <w:p>
      <w:pPr>
        <w:pStyle w:val="BodyText"/>
        <w:spacing w:before="7"/>
        <w:rPr>
          <w:sz w:val="15"/>
        </w:rPr>
      </w:pPr>
    </w:p>
    <w:p>
      <w:pPr>
        <w:pStyle w:val="BodyText"/>
        <w:ind w:left="580"/>
      </w:pPr>
      <w:r>
        <w:rPr>
          <w:rFonts w:ascii="Calibri" w:eastAsia="Calibri"/>
        </w:rPr>
        <w:t>4</w:t>
      </w:r>
      <w:r>
        <w:rPr/>
        <w:t>、业务举例</w:t>
      </w:r>
    </w:p>
    <w:p>
      <w:pPr>
        <w:pStyle w:val="BodyText"/>
        <w:spacing w:before="7"/>
        <w:rPr>
          <w:sz w:val="15"/>
        </w:rPr>
      </w:pPr>
    </w:p>
    <w:p>
      <w:pPr>
        <w:pStyle w:val="BodyText"/>
        <w:spacing w:line="417" w:lineRule="auto"/>
        <w:ind w:left="160" w:right="873" w:firstLine="419"/>
      </w:pPr>
      <w:r>
        <w:rPr>
          <w:w w:val="100"/>
        </w:rPr>
        <w:t>例一：假定投资者在</w:t>
      </w:r>
      <w:r>
        <w:rPr>
          <w:rFonts w:ascii="Calibri" w:eastAsia="Calibri"/>
          <w:w w:val="100"/>
        </w:rPr>
        <w:t>T</w:t>
      </w:r>
      <w:r>
        <w:rPr>
          <w:spacing w:val="1"/>
          <w:w w:val="100"/>
        </w:rPr>
        <w:t>日转出</w:t>
      </w:r>
      <w:r>
        <w:rPr>
          <w:rFonts w:ascii="Calibri" w:eastAsia="Calibri"/>
          <w:spacing w:val="-2"/>
          <w:w w:val="100"/>
        </w:rPr>
        <w:t>1</w:t>
      </w:r>
      <w:r>
        <w:rPr>
          <w:rFonts w:ascii="Calibri" w:eastAsia="Calibri"/>
          <w:w w:val="100"/>
        </w:rPr>
        <w:t>,</w:t>
      </w:r>
      <w:r>
        <w:rPr>
          <w:rFonts w:ascii="Calibri" w:eastAsia="Calibri"/>
          <w:spacing w:val="-2"/>
          <w:w w:val="100"/>
        </w:rPr>
        <w:t>00</w:t>
      </w:r>
      <w:r>
        <w:rPr>
          <w:rFonts w:ascii="Calibri" w:eastAsia="Calibri"/>
          <w:w w:val="100"/>
        </w:rPr>
        <w:t>0</w:t>
      </w:r>
      <w:r>
        <w:rPr>
          <w:w w:val="100"/>
        </w:rPr>
        <w:t>份甲基金基金份额（前端收费模式</w:t>
      </w:r>
      <w:r>
        <w:rPr>
          <w:spacing w:val="-106"/>
          <w:w w:val="100"/>
        </w:rPr>
        <w:t>）</w:t>
      </w:r>
      <w:r>
        <w:rPr>
          <w:spacing w:val="-2"/>
          <w:w w:val="100"/>
        </w:rPr>
        <w:t>，该日甲基金基</w:t>
      </w:r>
      <w:r>
        <w:rPr>
          <w:spacing w:val="-3"/>
        </w:rPr>
        <w:t>金份额净值为</w:t>
      </w:r>
      <w:r>
        <w:rPr>
          <w:rFonts w:ascii="Calibri" w:eastAsia="Calibri"/>
        </w:rPr>
        <w:t>1.200</w:t>
      </w:r>
      <w:r>
        <w:rPr>
          <w:spacing w:val="-3"/>
        </w:rPr>
        <w:t>元。甲基金前端申购费率最高档为</w:t>
      </w:r>
      <w:r>
        <w:rPr>
          <w:rFonts w:ascii="Calibri" w:eastAsia="Calibri"/>
        </w:rPr>
        <w:t>1.5%</w:t>
      </w:r>
      <w:r>
        <w:rPr>
          <w:spacing w:val="-3"/>
        </w:rPr>
        <w:t>，赎回费率为</w:t>
      </w:r>
      <w:r>
        <w:rPr>
          <w:rFonts w:ascii="Calibri" w:eastAsia="Calibri"/>
        </w:rPr>
        <w:t>0.5%</w:t>
      </w:r>
      <w:r>
        <w:rPr/>
        <w:t>。</w:t>
      </w:r>
    </w:p>
    <w:p>
      <w:pPr>
        <w:pStyle w:val="ListParagraph"/>
        <w:numPr>
          <w:ilvl w:val="0"/>
          <w:numId w:val="15"/>
        </w:numPr>
        <w:tabs>
          <w:tab w:pos="1110" w:val="left" w:leader="none"/>
        </w:tabs>
        <w:spacing w:line="417" w:lineRule="auto" w:before="0" w:after="0"/>
        <w:ind w:left="160" w:right="873" w:firstLine="419"/>
        <w:jc w:val="left"/>
        <w:rPr>
          <w:sz w:val="21"/>
        </w:rPr>
      </w:pPr>
      <w:r>
        <w:rPr/>
        <w:pict>
          <v:shape style="position:absolute;margin-left:110.300003pt;margin-top:41.820023pt;width:375.1pt;height:145.5pt;mso-position-horizontal-relative:page;mso-position-vertical-relative:paragraph;z-index:25167462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1"/>
                    <w:gridCol w:w="3226"/>
                  </w:tblGrid>
                  <w:tr>
                    <w:trPr>
                      <w:trHeight w:val="311" w:hRule="atLeast"/>
                    </w:trPr>
                    <w:tc>
                      <w:tcPr>
                        <w:tcW w:w="4261" w:type="dxa"/>
                      </w:tcPr>
                      <w:p>
                        <w:pPr>
                          <w:pStyle w:val="TableParagraph"/>
                          <w:ind w:left="1901" w:right="1889"/>
                          <w:jc w:val="center"/>
                          <w:rPr>
                            <w:rFonts w:ascii="宋体" w:eastAsia="宋体" w:hint="eastAsia"/>
                            <w:sz w:val="21"/>
                          </w:rPr>
                        </w:pPr>
                        <w:r>
                          <w:rPr>
                            <w:rFonts w:ascii="宋体" w:eastAsia="宋体" w:hint="eastAsia"/>
                            <w:sz w:val="21"/>
                          </w:rPr>
                          <w:t>项目</w:t>
                        </w:r>
                      </w:p>
                    </w:tc>
                    <w:tc>
                      <w:tcPr>
                        <w:tcW w:w="3226" w:type="dxa"/>
                      </w:tcPr>
                      <w:p>
                        <w:pPr>
                          <w:pStyle w:val="TableParagraph"/>
                          <w:ind w:left="1173" w:right="1162"/>
                          <w:jc w:val="center"/>
                          <w:rPr>
                            <w:rFonts w:ascii="宋体" w:eastAsia="宋体" w:hint="eastAsia"/>
                            <w:sz w:val="21"/>
                          </w:rPr>
                        </w:pPr>
                        <w:r>
                          <w:rPr>
                            <w:rFonts w:ascii="宋体" w:eastAsia="宋体" w:hint="eastAsia"/>
                            <w:sz w:val="21"/>
                          </w:rPr>
                          <w:t>费用计算</w:t>
                        </w:r>
                      </w:p>
                    </w:tc>
                  </w:tr>
                  <w:tr>
                    <w:trPr>
                      <w:trHeight w:val="311" w:hRule="atLeast"/>
                    </w:trPr>
                    <w:tc>
                      <w:tcPr>
                        <w:tcW w:w="4261" w:type="dxa"/>
                      </w:tcPr>
                      <w:p>
                        <w:pPr>
                          <w:pStyle w:val="TableParagraph"/>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6" w:type="dxa"/>
                      </w:tcPr>
                      <w:p>
                        <w:pPr>
                          <w:pStyle w:val="TableParagraph"/>
                          <w:spacing w:before="28"/>
                          <w:ind w:right="95"/>
                          <w:jc w:val="right"/>
                          <w:rPr>
                            <w:sz w:val="21"/>
                          </w:rPr>
                        </w:pPr>
                        <w:r>
                          <w:rPr>
                            <w:sz w:val="21"/>
                          </w:rPr>
                          <w:t>1,000.00</w:t>
                        </w:r>
                      </w:p>
                    </w:tc>
                  </w:tr>
                  <w:tr>
                    <w:trPr>
                      <w:trHeight w:val="311" w:hRule="atLeast"/>
                    </w:trPr>
                    <w:tc>
                      <w:tcPr>
                        <w:tcW w:w="4261" w:type="dxa"/>
                      </w:tcPr>
                      <w:p>
                        <w:pPr>
                          <w:pStyle w:val="TableParagraph"/>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6" w:type="dxa"/>
                      </w:tcPr>
                      <w:p>
                        <w:pPr>
                          <w:pStyle w:val="TableParagraph"/>
                          <w:spacing w:before="28"/>
                          <w:ind w:right="94"/>
                          <w:jc w:val="right"/>
                          <w:rPr>
                            <w:sz w:val="21"/>
                          </w:rPr>
                        </w:pPr>
                        <w:r>
                          <w:rPr>
                            <w:sz w:val="21"/>
                          </w:rPr>
                          <w:t>1.200</w:t>
                        </w:r>
                      </w:p>
                    </w:tc>
                  </w:tr>
                  <w:tr>
                    <w:trPr>
                      <w:trHeight w:val="314" w:hRule="atLeast"/>
                    </w:trPr>
                    <w:tc>
                      <w:tcPr>
                        <w:tcW w:w="4261" w:type="dxa"/>
                      </w:tcPr>
                      <w:p>
                        <w:pPr>
                          <w:pStyle w:val="TableParagraph"/>
                          <w:spacing w:before="25"/>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6" w:type="dxa"/>
                      </w:tcPr>
                      <w:p>
                        <w:pPr>
                          <w:pStyle w:val="TableParagraph"/>
                          <w:spacing w:before="30"/>
                          <w:ind w:right="95"/>
                          <w:jc w:val="right"/>
                          <w:rPr>
                            <w:sz w:val="21"/>
                          </w:rPr>
                        </w:pPr>
                        <w:r>
                          <w:rPr>
                            <w:sz w:val="21"/>
                          </w:rPr>
                          <w:t>1,200.00</w:t>
                        </w:r>
                      </w:p>
                    </w:tc>
                  </w:tr>
                  <w:tr>
                    <w:trPr>
                      <w:trHeight w:val="311" w:hRule="atLeast"/>
                    </w:trPr>
                    <w:tc>
                      <w:tcPr>
                        <w:tcW w:w="4261" w:type="dxa"/>
                      </w:tcPr>
                      <w:p>
                        <w:pPr>
                          <w:pStyle w:val="TableParagraph"/>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6" w:type="dxa"/>
                      </w:tcPr>
                      <w:p>
                        <w:pPr>
                          <w:pStyle w:val="TableParagraph"/>
                          <w:spacing w:before="28"/>
                          <w:ind w:right="94"/>
                          <w:jc w:val="right"/>
                          <w:rPr>
                            <w:sz w:val="21"/>
                          </w:rPr>
                        </w:pPr>
                        <w:r>
                          <w:rPr>
                            <w:sz w:val="21"/>
                          </w:rPr>
                          <w:t>0.5%</w:t>
                        </w:r>
                      </w:p>
                    </w:tc>
                  </w:tr>
                  <w:tr>
                    <w:trPr>
                      <w:trHeight w:val="311" w:hRule="atLeast"/>
                    </w:trPr>
                    <w:tc>
                      <w:tcPr>
                        <w:tcW w:w="4261" w:type="dxa"/>
                      </w:tcPr>
                      <w:p>
                        <w:pPr>
                          <w:pStyle w:val="TableParagraph"/>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6" w:type="dxa"/>
                      </w:tcPr>
                      <w:p>
                        <w:pPr>
                          <w:pStyle w:val="TableParagraph"/>
                          <w:spacing w:before="28"/>
                          <w:ind w:right="94"/>
                          <w:jc w:val="right"/>
                          <w:rPr>
                            <w:sz w:val="21"/>
                          </w:rPr>
                        </w:pPr>
                        <w:r>
                          <w:rPr>
                            <w:sz w:val="21"/>
                          </w:rPr>
                          <w:t>6.00</w:t>
                        </w:r>
                      </w:p>
                    </w:tc>
                  </w:tr>
                  <w:tr>
                    <w:trPr>
                      <w:trHeight w:val="311" w:hRule="atLeast"/>
                    </w:trPr>
                    <w:tc>
                      <w:tcPr>
                        <w:tcW w:w="4261" w:type="dxa"/>
                      </w:tcPr>
                      <w:p>
                        <w:pPr>
                          <w:pStyle w:val="TableParagraph"/>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6" w:type="dxa"/>
                      </w:tcPr>
                      <w:p>
                        <w:pPr>
                          <w:pStyle w:val="TableParagraph"/>
                          <w:spacing w:before="28"/>
                          <w:ind w:right="95"/>
                          <w:jc w:val="right"/>
                          <w:rPr>
                            <w:sz w:val="21"/>
                          </w:rPr>
                        </w:pPr>
                        <w:r>
                          <w:rPr>
                            <w:sz w:val="21"/>
                          </w:rPr>
                          <w:t>1,194.00</w:t>
                        </w:r>
                      </w:p>
                    </w:tc>
                  </w:tr>
                  <w:tr>
                    <w:trPr>
                      <w:trHeight w:val="311" w:hRule="atLeast"/>
                    </w:trPr>
                    <w:tc>
                      <w:tcPr>
                        <w:tcW w:w="4261" w:type="dxa"/>
                      </w:tcPr>
                      <w:p>
                        <w:pPr>
                          <w:pStyle w:val="TableParagraph"/>
                          <w:ind w:left="107"/>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26" w:type="dxa"/>
                      </w:tcPr>
                      <w:p>
                        <w:pPr>
                          <w:pStyle w:val="TableParagraph"/>
                          <w:spacing w:before="28"/>
                          <w:ind w:right="95"/>
                          <w:jc w:val="right"/>
                          <w:rPr>
                            <w:sz w:val="21"/>
                          </w:rPr>
                        </w:pPr>
                        <w:r>
                          <w:rPr>
                            <w:sz w:val="21"/>
                          </w:rPr>
                          <w:t>2.0%-1.5%=0.5%</w:t>
                        </w:r>
                      </w:p>
                    </w:tc>
                  </w:tr>
                  <w:tr>
                    <w:trPr>
                      <w:trHeight w:val="313" w:hRule="atLeast"/>
                    </w:trPr>
                    <w:tc>
                      <w:tcPr>
                        <w:tcW w:w="4261" w:type="dxa"/>
                      </w:tcPr>
                      <w:p>
                        <w:pPr>
                          <w:pStyle w:val="TableParagraph"/>
                          <w:ind w:left="107"/>
                          <w:rPr>
                            <w:rFonts w:ascii="宋体" w:eastAsia="宋体" w:hint="eastAsia"/>
                            <w:sz w:val="21"/>
                          </w:rPr>
                        </w:pPr>
                        <w:r>
                          <w:rPr>
                            <w:rFonts w:ascii="宋体" w:eastAsia="宋体" w:hint="eastAsia"/>
                            <w:spacing w:val="-2"/>
                            <w:w w:val="100"/>
                            <w:sz w:val="21"/>
                          </w:rPr>
                          <w:t>净转入金额</w:t>
                        </w:r>
                        <w:r>
                          <w:rPr>
                            <w:rFonts w:ascii="宋体" w:eastAsia="宋体" w:hint="eastAsia"/>
                            <w:spacing w:val="-1"/>
                            <w:w w:val="100"/>
                            <w:sz w:val="21"/>
                          </w:rPr>
                          <w:t>（</w:t>
                        </w:r>
                        <w:r>
                          <w:rPr>
                            <w:spacing w:val="-2"/>
                            <w:w w:val="100"/>
                            <w:sz w:val="21"/>
                          </w:rPr>
                          <w:t>H</w:t>
                        </w:r>
                        <w:r>
                          <w:rPr>
                            <w:w w:val="100"/>
                            <w:sz w:val="21"/>
                          </w:rPr>
                          <w:t>=</w:t>
                        </w:r>
                        <w:r>
                          <w:rPr>
                            <w:spacing w:val="-8"/>
                            <w:w w:val="100"/>
                            <w:sz w:val="21"/>
                          </w:rPr>
                          <w:t>F</w:t>
                        </w:r>
                        <w:r>
                          <w:rPr>
                            <w:w w:val="100"/>
                            <w:sz w:val="21"/>
                          </w:rPr>
                          <w:t>/</w:t>
                        </w:r>
                        <w:r>
                          <w:rPr>
                            <w:rFonts w:ascii="宋体" w:eastAsia="宋体" w:hint="eastAsia"/>
                            <w:spacing w:val="-3"/>
                            <w:w w:val="100"/>
                            <w:sz w:val="21"/>
                          </w:rPr>
                          <w:t>（</w:t>
                        </w:r>
                        <w:r>
                          <w:rPr>
                            <w:w w:val="100"/>
                            <w:sz w:val="21"/>
                          </w:rPr>
                          <w:t>1</w:t>
                        </w:r>
                        <w:r>
                          <w:rPr>
                            <w:spacing w:val="-2"/>
                            <w:w w:val="100"/>
                            <w:sz w:val="21"/>
                          </w:rPr>
                          <w:t>+</w:t>
                        </w:r>
                        <w:r>
                          <w:rPr>
                            <w:spacing w:val="1"/>
                            <w:w w:val="100"/>
                            <w:sz w:val="21"/>
                          </w:rPr>
                          <w:t>G</w:t>
                        </w:r>
                        <w:r>
                          <w:rPr>
                            <w:rFonts w:ascii="宋体" w:eastAsia="宋体" w:hint="eastAsia"/>
                            <w:spacing w:val="-108"/>
                            <w:w w:val="100"/>
                            <w:sz w:val="21"/>
                          </w:rPr>
                          <w:t>）</w:t>
                        </w:r>
                        <w:r>
                          <w:rPr>
                            <w:rFonts w:ascii="宋体" w:eastAsia="宋体" w:hint="eastAsia"/>
                            <w:w w:val="100"/>
                            <w:sz w:val="21"/>
                          </w:rPr>
                          <w:t>）</w:t>
                        </w:r>
                      </w:p>
                    </w:tc>
                    <w:tc>
                      <w:tcPr>
                        <w:tcW w:w="3226" w:type="dxa"/>
                      </w:tcPr>
                      <w:p>
                        <w:pPr>
                          <w:pStyle w:val="TableParagraph"/>
                          <w:spacing w:before="28"/>
                          <w:ind w:right="95"/>
                          <w:jc w:val="right"/>
                          <w:rPr>
                            <w:sz w:val="21"/>
                          </w:rPr>
                        </w:pPr>
                        <w:r>
                          <w:rPr>
                            <w:sz w:val="21"/>
                          </w:rPr>
                          <w:t>1,188.06</w:t>
                        </w:r>
                      </w:p>
                    </w:tc>
                  </w:tr>
                </w:tbl>
                <w:p>
                  <w:pPr>
                    <w:pStyle w:val="BodyText"/>
                  </w:pPr>
                </w:p>
              </w:txbxContent>
            </v:textbox>
            <w10:wrap type="none"/>
          </v:shape>
        </w:pict>
      </w:r>
      <w:r>
        <w:rPr>
          <w:sz w:val="21"/>
        </w:rPr>
        <w:t>若</w:t>
      </w:r>
      <w:r>
        <w:rPr>
          <w:rFonts w:ascii="Calibri" w:eastAsia="Calibri"/>
          <w:spacing w:val="-3"/>
          <w:sz w:val="21"/>
        </w:rPr>
        <w:t>T</w:t>
      </w:r>
      <w:r>
        <w:rPr>
          <w:spacing w:val="-14"/>
          <w:sz w:val="21"/>
        </w:rPr>
        <w:t>日转入乙基金</w:t>
      </w:r>
      <w:r>
        <w:rPr>
          <w:sz w:val="21"/>
        </w:rPr>
        <w:t>（</w:t>
      </w:r>
      <w:r>
        <w:rPr>
          <w:spacing w:val="-3"/>
          <w:sz w:val="21"/>
        </w:rPr>
        <w:t>前端收费模式</w:t>
      </w:r>
      <w:r>
        <w:rPr>
          <w:spacing w:val="-87"/>
          <w:sz w:val="21"/>
        </w:rPr>
        <w:t>）</w:t>
      </w:r>
      <w:r>
        <w:rPr>
          <w:spacing w:val="-11"/>
          <w:sz w:val="21"/>
        </w:rPr>
        <w:t>，且乙基金适用的前端申购费率最高档为</w:t>
      </w:r>
      <w:r>
        <w:rPr>
          <w:rFonts w:ascii="Calibri" w:eastAsia="Calibri"/>
          <w:spacing w:val="-11"/>
          <w:sz w:val="21"/>
        </w:rPr>
        <w:t>2.0%</w:t>
      </w:r>
      <w:r>
        <w:rPr>
          <w:spacing w:val="-7"/>
          <w:sz w:val="21"/>
        </w:rPr>
        <w:t>，该日乙基金基金份额净值为</w:t>
      </w:r>
      <w:r>
        <w:rPr>
          <w:rFonts w:ascii="Calibri" w:eastAsia="Calibri"/>
          <w:sz w:val="21"/>
        </w:rPr>
        <w:t>1.300</w:t>
      </w:r>
      <w:r>
        <w:rPr>
          <w:spacing w:val="-3"/>
          <w:sz w:val="21"/>
        </w:rPr>
        <w:t>元。则转出基金费用、转入基金费用及份额计算如</w:t>
      </w:r>
      <w:r>
        <w:rPr>
          <w:sz w:val="21"/>
        </w:rPr>
        <w:t>下：</w:t>
      </w:r>
    </w:p>
    <w:p>
      <w:pPr>
        <w:spacing w:after="0" w:line="417" w:lineRule="auto"/>
        <w:jc w:val="left"/>
        <w:rPr>
          <w:sz w:val="21"/>
        </w:rPr>
        <w:sectPr>
          <w:pgSz w:w="11910" w:h="16840"/>
          <w:pgMar w:header="877" w:footer="995" w:top="1420" w:bottom="1180" w:left="1640" w:right="920"/>
        </w:sectPr>
      </w:pPr>
    </w:p>
    <w:tbl>
      <w:tblPr>
        <w:tblW w:w="0" w:type="auto"/>
        <w:jc w:val="left"/>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1"/>
        <w:gridCol w:w="3226"/>
      </w:tblGrid>
      <w:tr>
        <w:trPr>
          <w:trHeight w:val="312" w:hRule="atLeast"/>
        </w:trPr>
        <w:tc>
          <w:tcPr>
            <w:tcW w:w="4261" w:type="dxa"/>
          </w:tcPr>
          <w:p>
            <w:pPr>
              <w:pStyle w:val="TableParagraph"/>
              <w:spacing w:before="23"/>
              <w:ind w:left="107"/>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26" w:type="dxa"/>
          </w:tcPr>
          <w:p>
            <w:pPr>
              <w:pStyle w:val="TableParagraph"/>
              <w:spacing w:before="28"/>
              <w:ind w:right="94"/>
              <w:jc w:val="right"/>
              <w:rPr>
                <w:sz w:val="21"/>
              </w:rPr>
            </w:pPr>
            <w:r>
              <w:rPr>
                <w:sz w:val="21"/>
              </w:rPr>
              <w:t>5.94</w:t>
            </w:r>
          </w:p>
        </w:tc>
      </w:tr>
      <w:tr>
        <w:trPr>
          <w:trHeight w:val="311" w:hRule="atLeast"/>
        </w:trPr>
        <w:tc>
          <w:tcPr>
            <w:tcW w:w="4261" w:type="dxa"/>
          </w:tcPr>
          <w:p>
            <w:pPr>
              <w:pStyle w:val="TableParagraph"/>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26" w:type="dxa"/>
          </w:tcPr>
          <w:p>
            <w:pPr>
              <w:pStyle w:val="TableParagraph"/>
              <w:spacing w:before="28"/>
              <w:ind w:right="94"/>
              <w:jc w:val="right"/>
              <w:rPr>
                <w:sz w:val="21"/>
              </w:rPr>
            </w:pPr>
            <w:r>
              <w:rPr>
                <w:sz w:val="21"/>
              </w:rPr>
              <w:t>1.300</w:t>
            </w:r>
          </w:p>
        </w:tc>
      </w:tr>
      <w:tr>
        <w:trPr>
          <w:trHeight w:val="314" w:hRule="atLeast"/>
        </w:trPr>
        <w:tc>
          <w:tcPr>
            <w:tcW w:w="4261" w:type="dxa"/>
          </w:tcPr>
          <w:p>
            <w:pPr>
              <w:pStyle w:val="TableParagraph"/>
              <w:ind w:left="107"/>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26" w:type="dxa"/>
          </w:tcPr>
          <w:p>
            <w:pPr>
              <w:pStyle w:val="TableParagraph"/>
              <w:spacing w:before="28"/>
              <w:ind w:right="95"/>
              <w:jc w:val="right"/>
              <w:rPr>
                <w:sz w:val="21"/>
              </w:rPr>
            </w:pPr>
            <w:r>
              <w:rPr>
                <w:sz w:val="21"/>
              </w:rPr>
              <w:t>913.89</w:t>
            </w:r>
          </w:p>
        </w:tc>
      </w:tr>
    </w:tbl>
    <w:p>
      <w:pPr>
        <w:pStyle w:val="ListParagraph"/>
        <w:numPr>
          <w:ilvl w:val="0"/>
          <w:numId w:val="15"/>
        </w:numPr>
        <w:tabs>
          <w:tab w:pos="1112" w:val="left" w:leader="none"/>
        </w:tabs>
        <w:spacing w:line="417" w:lineRule="auto" w:before="109" w:after="0"/>
        <w:ind w:left="160" w:right="871" w:firstLine="419"/>
        <w:jc w:val="both"/>
        <w:rPr>
          <w:sz w:val="21"/>
        </w:rPr>
      </w:pPr>
      <w:r>
        <w:rPr/>
        <w:pict>
          <v:shape style="position:absolute;margin-left:110.779999pt;margin-top:47.270016pt;width:374.15pt;height:193.75pt;mso-position-horizontal-relative:page;mso-position-vertical-relative:paragraph;z-index:25167564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1"/>
                    <w:gridCol w:w="3207"/>
                  </w:tblGrid>
                  <w:tr>
                    <w:trPr>
                      <w:trHeight w:val="311" w:hRule="atLeast"/>
                    </w:trPr>
                    <w:tc>
                      <w:tcPr>
                        <w:tcW w:w="4261" w:type="dxa"/>
                      </w:tcPr>
                      <w:p>
                        <w:pPr>
                          <w:pStyle w:val="TableParagraph"/>
                          <w:ind w:left="1901" w:right="1889"/>
                          <w:jc w:val="center"/>
                          <w:rPr>
                            <w:rFonts w:ascii="宋体" w:eastAsia="宋体" w:hint="eastAsia"/>
                            <w:sz w:val="21"/>
                          </w:rPr>
                        </w:pPr>
                        <w:r>
                          <w:rPr>
                            <w:rFonts w:ascii="宋体" w:eastAsia="宋体" w:hint="eastAsia"/>
                            <w:sz w:val="21"/>
                          </w:rPr>
                          <w:t>项目</w:t>
                        </w:r>
                      </w:p>
                    </w:tc>
                    <w:tc>
                      <w:tcPr>
                        <w:tcW w:w="3207" w:type="dxa"/>
                      </w:tcPr>
                      <w:p>
                        <w:pPr>
                          <w:pStyle w:val="TableParagraph"/>
                          <w:ind w:left="1164" w:right="1153"/>
                          <w:jc w:val="center"/>
                          <w:rPr>
                            <w:rFonts w:ascii="宋体" w:eastAsia="宋体" w:hint="eastAsia"/>
                            <w:sz w:val="21"/>
                          </w:rPr>
                        </w:pPr>
                        <w:r>
                          <w:rPr>
                            <w:rFonts w:ascii="宋体" w:eastAsia="宋体" w:hint="eastAsia"/>
                            <w:sz w:val="21"/>
                          </w:rPr>
                          <w:t>费用计算</w:t>
                        </w:r>
                      </w:p>
                    </w:tc>
                  </w:tr>
                  <w:tr>
                    <w:trPr>
                      <w:trHeight w:val="311" w:hRule="atLeast"/>
                    </w:trPr>
                    <w:tc>
                      <w:tcPr>
                        <w:tcW w:w="4261" w:type="dxa"/>
                      </w:tcPr>
                      <w:p>
                        <w:pPr>
                          <w:pStyle w:val="TableParagraph"/>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7" w:type="dxa"/>
                      </w:tcPr>
                      <w:p>
                        <w:pPr>
                          <w:pStyle w:val="TableParagraph"/>
                          <w:spacing w:before="28"/>
                          <w:ind w:right="97"/>
                          <w:jc w:val="right"/>
                          <w:rPr>
                            <w:sz w:val="21"/>
                          </w:rPr>
                        </w:pPr>
                        <w:r>
                          <w:rPr>
                            <w:sz w:val="21"/>
                          </w:rPr>
                          <w:t>1,000.00</w:t>
                        </w:r>
                      </w:p>
                    </w:tc>
                  </w:tr>
                  <w:tr>
                    <w:trPr>
                      <w:trHeight w:val="311" w:hRule="atLeast"/>
                    </w:trPr>
                    <w:tc>
                      <w:tcPr>
                        <w:tcW w:w="4261" w:type="dxa"/>
                      </w:tcPr>
                      <w:p>
                        <w:pPr>
                          <w:pStyle w:val="TableParagraph"/>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7" w:type="dxa"/>
                      </w:tcPr>
                      <w:p>
                        <w:pPr>
                          <w:pStyle w:val="TableParagraph"/>
                          <w:spacing w:before="28"/>
                          <w:ind w:right="95"/>
                          <w:jc w:val="right"/>
                          <w:rPr>
                            <w:sz w:val="21"/>
                          </w:rPr>
                        </w:pPr>
                        <w:r>
                          <w:rPr>
                            <w:sz w:val="21"/>
                          </w:rPr>
                          <w:t>1.200</w:t>
                        </w:r>
                      </w:p>
                    </w:tc>
                  </w:tr>
                  <w:tr>
                    <w:trPr>
                      <w:trHeight w:val="311" w:hRule="atLeast"/>
                    </w:trPr>
                    <w:tc>
                      <w:tcPr>
                        <w:tcW w:w="4261" w:type="dxa"/>
                      </w:tcPr>
                      <w:p>
                        <w:pPr>
                          <w:pStyle w:val="TableParagraph"/>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7" w:type="dxa"/>
                      </w:tcPr>
                      <w:p>
                        <w:pPr>
                          <w:pStyle w:val="TableParagraph"/>
                          <w:spacing w:before="28"/>
                          <w:ind w:right="97"/>
                          <w:jc w:val="right"/>
                          <w:rPr>
                            <w:sz w:val="21"/>
                          </w:rPr>
                        </w:pPr>
                        <w:r>
                          <w:rPr>
                            <w:sz w:val="21"/>
                          </w:rPr>
                          <w:t>1,200.00</w:t>
                        </w:r>
                      </w:p>
                    </w:tc>
                  </w:tr>
                  <w:tr>
                    <w:trPr>
                      <w:trHeight w:val="312" w:hRule="atLeast"/>
                    </w:trPr>
                    <w:tc>
                      <w:tcPr>
                        <w:tcW w:w="4261" w:type="dxa"/>
                      </w:tcPr>
                      <w:p>
                        <w:pPr>
                          <w:pStyle w:val="TableParagraph"/>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7" w:type="dxa"/>
                      </w:tcPr>
                      <w:p>
                        <w:pPr>
                          <w:pStyle w:val="TableParagraph"/>
                          <w:spacing w:before="28"/>
                          <w:ind w:right="94"/>
                          <w:jc w:val="right"/>
                          <w:rPr>
                            <w:sz w:val="21"/>
                          </w:rPr>
                        </w:pPr>
                        <w:r>
                          <w:rPr>
                            <w:sz w:val="21"/>
                          </w:rPr>
                          <w:t>0.5%</w:t>
                        </w:r>
                      </w:p>
                    </w:tc>
                  </w:tr>
                  <w:tr>
                    <w:trPr>
                      <w:trHeight w:val="314" w:hRule="atLeast"/>
                    </w:trPr>
                    <w:tc>
                      <w:tcPr>
                        <w:tcW w:w="4261" w:type="dxa"/>
                      </w:tcPr>
                      <w:p>
                        <w:pPr>
                          <w:pStyle w:val="TableParagraph"/>
                          <w:spacing w:before="25"/>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07" w:type="dxa"/>
                      </w:tcPr>
                      <w:p>
                        <w:pPr>
                          <w:pStyle w:val="TableParagraph"/>
                          <w:spacing w:before="30"/>
                          <w:ind w:right="95"/>
                          <w:jc w:val="right"/>
                          <w:rPr>
                            <w:sz w:val="21"/>
                          </w:rPr>
                        </w:pPr>
                        <w:r>
                          <w:rPr>
                            <w:sz w:val="21"/>
                          </w:rPr>
                          <w:t>6.00</w:t>
                        </w:r>
                      </w:p>
                    </w:tc>
                  </w:tr>
                  <w:tr>
                    <w:trPr>
                      <w:trHeight w:val="311" w:hRule="atLeast"/>
                    </w:trPr>
                    <w:tc>
                      <w:tcPr>
                        <w:tcW w:w="4261" w:type="dxa"/>
                      </w:tcPr>
                      <w:p>
                        <w:pPr>
                          <w:pStyle w:val="TableParagraph"/>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07" w:type="dxa"/>
                      </w:tcPr>
                      <w:p>
                        <w:pPr>
                          <w:pStyle w:val="TableParagraph"/>
                          <w:spacing w:before="28"/>
                          <w:ind w:right="97"/>
                          <w:jc w:val="right"/>
                          <w:rPr>
                            <w:sz w:val="21"/>
                          </w:rPr>
                        </w:pPr>
                        <w:r>
                          <w:rPr>
                            <w:sz w:val="21"/>
                          </w:rPr>
                          <w:t>1,194.00</w:t>
                        </w:r>
                      </w:p>
                    </w:tc>
                  </w:tr>
                  <w:tr>
                    <w:trPr>
                      <w:trHeight w:val="311" w:hRule="atLeast"/>
                    </w:trPr>
                    <w:tc>
                      <w:tcPr>
                        <w:tcW w:w="4261" w:type="dxa"/>
                      </w:tcPr>
                      <w:p>
                        <w:pPr>
                          <w:pStyle w:val="TableParagraph"/>
                          <w:ind w:left="107"/>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07" w:type="dxa"/>
                      </w:tcPr>
                      <w:p>
                        <w:pPr>
                          <w:pStyle w:val="TableParagraph"/>
                          <w:spacing w:before="28"/>
                          <w:ind w:right="94"/>
                          <w:jc w:val="right"/>
                          <w:rPr>
                            <w:sz w:val="21"/>
                          </w:rPr>
                        </w:pPr>
                        <w:r>
                          <w:rPr>
                            <w:sz w:val="21"/>
                          </w:rPr>
                          <w:t>0.00%</w:t>
                        </w:r>
                      </w:p>
                    </w:tc>
                  </w:tr>
                  <w:tr>
                    <w:trPr>
                      <w:trHeight w:val="311" w:hRule="atLeast"/>
                    </w:trPr>
                    <w:tc>
                      <w:tcPr>
                        <w:tcW w:w="4261" w:type="dxa"/>
                      </w:tcPr>
                      <w:p>
                        <w:pPr>
                          <w:pStyle w:val="TableParagraph"/>
                          <w:ind w:left="107"/>
                          <w:rPr>
                            <w:rFonts w:ascii="宋体" w:eastAsia="宋体" w:hint="eastAsia"/>
                            <w:sz w:val="21"/>
                          </w:rPr>
                        </w:pPr>
                        <w:r>
                          <w:rPr>
                            <w:rFonts w:ascii="宋体" w:eastAsia="宋体" w:hint="eastAsia"/>
                            <w:spacing w:val="-2"/>
                            <w:w w:val="100"/>
                            <w:sz w:val="21"/>
                          </w:rPr>
                          <w:t>净转入金额</w:t>
                        </w:r>
                        <w:r>
                          <w:rPr>
                            <w:rFonts w:ascii="宋体" w:eastAsia="宋体" w:hint="eastAsia"/>
                            <w:spacing w:val="-1"/>
                            <w:w w:val="100"/>
                            <w:sz w:val="21"/>
                          </w:rPr>
                          <w:t>（</w:t>
                        </w:r>
                        <w:r>
                          <w:rPr>
                            <w:spacing w:val="-2"/>
                            <w:w w:val="100"/>
                            <w:sz w:val="21"/>
                          </w:rPr>
                          <w:t>H</w:t>
                        </w:r>
                        <w:r>
                          <w:rPr>
                            <w:w w:val="100"/>
                            <w:sz w:val="21"/>
                          </w:rPr>
                          <w:t>=</w:t>
                        </w:r>
                        <w:r>
                          <w:rPr>
                            <w:spacing w:val="-8"/>
                            <w:w w:val="100"/>
                            <w:sz w:val="21"/>
                          </w:rPr>
                          <w:t>F</w:t>
                        </w:r>
                        <w:r>
                          <w:rPr>
                            <w:w w:val="100"/>
                            <w:sz w:val="21"/>
                          </w:rPr>
                          <w:t>/</w:t>
                        </w:r>
                        <w:r>
                          <w:rPr>
                            <w:rFonts w:ascii="宋体" w:eastAsia="宋体" w:hint="eastAsia"/>
                            <w:spacing w:val="-3"/>
                            <w:w w:val="100"/>
                            <w:sz w:val="21"/>
                          </w:rPr>
                          <w:t>（</w:t>
                        </w:r>
                        <w:r>
                          <w:rPr>
                            <w:w w:val="100"/>
                            <w:sz w:val="21"/>
                          </w:rPr>
                          <w:t>1</w:t>
                        </w:r>
                        <w:r>
                          <w:rPr>
                            <w:spacing w:val="-2"/>
                            <w:w w:val="100"/>
                            <w:sz w:val="21"/>
                          </w:rPr>
                          <w:t>+</w:t>
                        </w:r>
                        <w:r>
                          <w:rPr>
                            <w:spacing w:val="1"/>
                            <w:w w:val="100"/>
                            <w:sz w:val="21"/>
                          </w:rPr>
                          <w:t>G</w:t>
                        </w:r>
                        <w:r>
                          <w:rPr>
                            <w:rFonts w:ascii="宋体" w:eastAsia="宋体" w:hint="eastAsia"/>
                            <w:spacing w:val="-108"/>
                            <w:w w:val="100"/>
                            <w:sz w:val="21"/>
                          </w:rPr>
                          <w:t>）</w:t>
                        </w:r>
                        <w:r>
                          <w:rPr>
                            <w:rFonts w:ascii="宋体" w:eastAsia="宋体" w:hint="eastAsia"/>
                            <w:w w:val="100"/>
                            <w:sz w:val="21"/>
                          </w:rPr>
                          <w:t>）</w:t>
                        </w:r>
                      </w:p>
                    </w:tc>
                    <w:tc>
                      <w:tcPr>
                        <w:tcW w:w="3207" w:type="dxa"/>
                      </w:tcPr>
                      <w:p>
                        <w:pPr>
                          <w:pStyle w:val="TableParagraph"/>
                          <w:spacing w:before="28"/>
                          <w:ind w:right="97"/>
                          <w:jc w:val="right"/>
                          <w:rPr>
                            <w:sz w:val="21"/>
                          </w:rPr>
                        </w:pPr>
                        <w:r>
                          <w:rPr>
                            <w:sz w:val="21"/>
                          </w:rPr>
                          <w:t>1,194.00</w:t>
                        </w:r>
                      </w:p>
                    </w:tc>
                  </w:tr>
                  <w:tr>
                    <w:trPr>
                      <w:trHeight w:val="311" w:hRule="atLeast"/>
                    </w:trPr>
                    <w:tc>
                      <w:tcPr>
                        <w:tcW w:w="4261" w:type="dxa"/>
                      </w:tcPr>
                      <w:p>
                        <w:pPr>
                          <w:pStyle w:val="TableParagraph"/>
                          <w:ind w:left="107"/>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07" w:type="dxa"/>
                      </w:tcPr>
                      <w:p>
                        <w:pPr>
                          <w:pStyle w:val="TableParagraph"/>
                          <w:spacing w:before="28"/>
                          <w:ind w:right="95"/>
                          <w:jc w:val="right"/>
                          <w:rPr>
                            <w:sz w:val="21"/>
                          </w:rPr>
                        </w:pPr>
                        <w:r>
                          <w:rPr>
                            <w:sz w:val="21"/>
                          </w:rPr>
                          <w:t>0.00</w:t>
                        </w:r>
                      </w:p>
                    </w:tc>
                  </w:tr>
                  <w:tr>
                    <w:trPr>
                      <w:trHeight w:val="311" w:hRule="atLeast"/>
                    </w:trPr>
                    <w:tc>
                      <w:tcPr>
                        <w:tcW w:w="4261" w:type="dxa"/>
                      </w:tcPr>
                      <w:p>
                        <w:pPr>
                          <w:pStyle w:val="TableParagraph"/>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07" w:type="dxa"/>
                      </w:tcPr>
                      <w:p>
                        <w:pPr>
                          <w:pStyle w:val="TableParagraph"/>
                          <w:spacing w:before="28"/>
                          <w:ind w:right="95"/>
                          <w:jc w:val="right"/>
                          <w:rPr>
                            <w:sz w:val="21"/>
                          </w:rPr>
                        </w:pPr>
                        <w:r>
                          <w:rPr>
                            <w:sz w:val="21"/>
                          </w:rPr>
                          <w:t>1.300</w:t>
                        </w:r>
                      </w:p>
                    </w:tc>
                  </w:tr>
                  <w:tr>
                    <w:trPr>
                      <w:trHeight w:val="313" w:hRule="atLeast"/>
                    </w:trPr>
                    <w:tc>
                      <w:tcPr>
                        <w:tcW w:w="4261" w:type="dxa"/>
                      </w:tcPr>
                      <w:p>
                        <w:pPr>
                          <w:pStyle w:val="TableParagraph"/>
                          <w:spacing w:before="25"/>
                          <w:ind w:left="107"/>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07" w:type="dxa"/>
                      </w:tcPr>
                      <w:p>
                        <w:pPr>
                          <w:pStyle w:val="TableParagraph"/>
                          <w:spacing w:before="30"/>
                          <w:ind w:right="95"/>
                          <w:jc w:val="right"/>
                          <w:rPr>
                            <w:sz w:val="21"/>
                          </w:rPr>
                        </w:pPr>
                        <w:r>
                          <w:rPr>
                            <w:sz w:val="21"/>
                          </w:rPr>
                          <w:t>918.46</w:t>
                        </w:r>
                      </w:p>
                    </w:tc>
                  </w:tr>
                </w:tbl>
                <w:p>
                  <w:pPr>
                    <w:pStyle w:val="BodyText"/>
                  </w:pPr>
                </w:p>
              </w:txbxContent>
            </v:textbox>
            <w10:wrap type="none"/>
          </v:shape>
        </w:pict>
      </w:r>
      <w:r>
        <w:rPr>
          <w:spacing w:val="-33"/>
          <w:sz w:val="21"/>
        </w:rPr>
        <w:t>若 </w:t>
      </w:r>
      <w:r>
        <w:rPr>
          <w:rFonts w:ascii="Calibri" w:eastAsia="Calibri"/>
          <w:sz w:val="21"/>
        </w:rPr>
        <w:t>T</w:t>
      </w:r>
      <w:r>
        <w:rPr>
          <w:rFonts w:ascii="Calibri" w:eastAsia="Calibri"/>
          <w:spacing w:val="-5"/>
          <w:sz w:val="21"/>
        </w:rPr>
        <w:t> </w:t>
      </w:r>
      <w:r>
        <w:rPr>
          <w:spacing w:val="-21"/>
          <w:sz w:val="21"/>
        </w:rPr>
        <w:t>日转入丙基金</w:t>
      </w:r>
      <w:r>
        <w:rPr>
          <w:sz w:val="21"/>
        </w:rPr>
        <w:t>（</w:t>
      </w:r>
      <w:r>
        <w:rPr>
          <w:spacing w:val="-3"/>
          <w:sz w:val="21"/>
        </w:rPr>
        <w:t>前端收费模式</w:t>
      </w:r>
      <w:r>
        <w:rPr>
          <w:spacing w:val="-106"/>
          <w:sz w:val="21"/>
        </w:rPr>
        <w:t>），</w:t>
      </w:r>
      <w:r>
        <w:rPr>
          <w:spacing w:val="-3"/>
          <w:sz w:val="21"/>
        </w:rPr>
        <w:t>且丙基金适用的前端申购费率最高档为</w:t>
      </w:r>
      <w:r>
        <w:rPr>
          <w:rFonts w:ascii="Calibri" w:eastAsia="Calibri"/>
          <w:spacing w:val="-3"/>
          <w:sz w:val="21"/>
        </w:rPr>
        <w:t>1.2%</w:t>
      </w:r>
      <w:r>
        <w:rPr>
          <w:spacing w:val="-7"/>
          <w:sz w:val="21"/>
        </w:rPr>
        <w:t>，该日丙基金基金份额净值为 </w:t>
      </w:r>
      <w:r>
        <w:rPr>
          <w:rFonts w:ascii="Calibri" w:eastAsia="Calibri"/>
          <w:sz w:val="21"/>
        </w:rPr>
        <w:t>1.300</w:t>
      </w:r>
      <w:r>
        <w:rPr>
          <w:rFonts w:ascii="Calibri" w:eastAsia="Calibri"/>
          <w:spacing w:val="12"/>
          <w:sz w:val="21"/>
        </w:rPr>
        <w:t> </w:t>
      </w:r>
      <w:r>
        <w:rPr>
          <w:spacing w:val="-3"/>
          <w:sz w:val="21"/>
        </w:rPr>
        <w:t>元。则转出基金费用、转入基金费用及份额计算如</w:t>
      </w:r>
      <w:r>
        <w:rPr>
          <w:spacing w:val="-2"/>
          <w:sz w:val="21"/>
        </w:rPr>
        <w:t>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5"/>
        <w:rPr>
          <w:sz w:val="16"/>
        </w:rPr>
      </w:pPr>
    </w:p>
    <w:p>
      <w:pPr>
        <w:pStyle w:val="BodyText"/>
        <w:spacing w:line="417" w:lineRule="auto"/>
        <w:ind w:left="160" w:right="871" w:firstLine="419"/>
        <w:jc w:val="both"/>
      </w:pPr>
      <w:r>
        <w:rPr>
          <w:spacing w:val="2"/>
          <w:w w:val="100"/>
        </w:rPr>
        <w:t>例二：假定投资者在</w:t>
      </w:r>
      <w:r>
        <w:rPr>
          <w:rFonts w:ascii="Calibri" w:eastAsia="Calibri"/>
          <w:w w:val="100"/>
        </w:rPr>
        <w:t>T</w:t>
      </w:r>
      <w:r>
        <w:rPr>
          <w:rFonts w:ascii="Calibri" w:eastAsia="Calibri"/>
        </w:rPr>
        <w:t> </w:t>
      </w:r>
      <w:r>
        <w:rPr>
          <w:spacing w:val="-2"/>
          <w:w w:val="100"/>
        </w:rPr>
        <w:t>日转出</w:t>
      </w:r>
      <w:r>
        <w:rPr>
          <w:spacing w:val="-55"/>
        </w:rPr>
        <w:t> </w:t>
      </w:r>
      <w:r>
        <w:rPr>
          <w:rFonts w:ascii="Calibri" w:eastAsia="Calibri"/>
          <w:w w:val="100"/>
        </w:rPr>
        <w:t>10</w:t>
      </w:r>
      <w:r>
        <w:rPr>
          <w:rFonts w:ascii="Calibri" w:eastAsia="Calibri"/>
          <w:spacing w:val="-3"/>
          <w:w w:val="100"/>
        </w:rPr>
        <w:t>,</w:t>
      </w:r>
      <w:r>
        <w:rPr>
          <w:rFonts w:ascii="Calibri" w:eastAsia="Calibri"/>
          <w:spacing w:val="-2"/>
          <w:w w:val="100"/>
        </w:rPr>
        <w:t>0</w:t>
      </w:r>
      <w:r>
        <w:rPr>
          <w:rFonts w:ascii="Calibri" w:eastAsia="Calibri"/>
          <w:w w:val="100"/>
        </w:rPr>
        <w:t>00</w:t>
      </w:r>
      <w:r>
        <w:rPr>
          <w:rFonts w:ascii="Calibri" w:eastAsia="Calibri"/>
          <w:spacing w:val="-3"/>
          <w:w w:val="100"/>
        </w:rPr>
        <w:t>,</w:t>
      </w:r>
      <w:r>
        <w:rPr>
          <w:rFonts w:ascii="Calibri" w:eastAsia="Calibri"/>
          <w:spacing w:val="-2"/>
          <w:w w:val="100"/>
        </w:rPr>
        <w:t>0</w:t>
      </w:r>
      <w:r>
        <w:rPr>
          <w:rFonts w:ascii="Calibri" w:eastAsia="Calibri"/>
          <w:w w:val="100"/>
        </w:rPr>
        <w:t>00</w:t>
      </w:r>
      <w:r>
        <w:rPr>
          <w:rFonts w:ascii="Calibri" w:eastAsia="Calibri"/>
        </w:rPr>
        <w:t> </w:t>
      </w:r>
      <w:r>
        <w:rPr>
          <w:spacing w:val="-3"/>
          <w:w w:val="100"/>
        </w:rPr>
        <w:t>份甲基金基金份额（前端收费模式</w:t>
      </w:r>
      <w:r>
        <w:rPr>
          <w:spacing w:val="-108"/>
          <w:w w:val="100"/>
        </w:rPr>
        <w:t>）</w:t>
      </w:r>
      <w:r>
        <w:rPr>
          <w:spacing w:val="-1"/>
          <w:w w:val="100"/>
        </w:rPr>
        <w:t>，甲基金</w:t>
      </w:r>
      <w:r>
        <w:rPr>
          <w:spacing w:val="-8"/>
        </w:rPr>
        <w:t>申购费率适用比例费率，该日甲基金基金份额净值为 </w:t>
      </w:r>
      <w:r>
        <w:rPr>
          <w:rFonts w:ascii="Calibri" w:eastAsia="Calibri"/>
        </w:rPr>
        <w:t>1.200 </w:t>
      </w:r>
      <w:r>
        <w:rPr>
          <w:spacing w:val="-7"/>
        </w:rPr>
        <w:t>元。甲基金前端申购费率最高档</w:t>
      </w:r>
      <w:r>
        <w:rPr>
          <w:spacing w:val="-30"/>
        </w:rPr>
        <w:t>为 </w:t>
      </w:r>
      <w:r>
        <w:rPr>
          <w:rFonts w:ascii="Calibri" w:eastAsia="Calibri"/>
        </w:rPr>
        <w:t>1.5%</w:t>
      </w:r>
      <w:r>
        <w:rPr>
          <w:spacing w:val="-11"/>
        </w:rPr>
        <w:t>，赎回费率为 </w:t>
      </w:r>
      <w:r>
        <w:rPr>
          <w:rFonts w:ascii="Calibri" w:eastAsia="Calibri"/>
        </w:rPr>
        <w:t>0.5%</w:t>
      </w:r>
      <w:r>
        <w:rPr/>
        <w:t>。</w:t>
      </w:r>
    </w:p>
    <w:p>
      <w:pPr>
        <w:pStyle w:val="ListParagraph"/>
        <w:numPr>
          <w:ilvl w:val="0"/>
          <w:numId w:val="16"/>
        </w:numPr>
        <w:tabs>
          <w:tab w:pos="1112" w:val="left" w:leader="none"/>
        </w:tabs>
        <w:spacing w:line="417" w:lineRule="auto" w:before="0" w:after="0"/>
        <w:ind w:left="160" w:right="873" w:firstLine="419"/>
        <w:jc w:val="both"/>
        <w:rPr>
          <w:sz w:val="21"/>
        </w:rPr>
      </w:pPr>
      <w:r>
        <w:rPr/>
        <w:pict>
          <v:shape style="position:absolute;margin-left:111.5pt;margin-top:65.219994pt;width:372.7pt;height:177.65pt;mso-position-horizontal-relative:page;mso-position-vertical-relative:paragraph;z-index:25167667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0"/>
                    <w:gridCol w:w="3210"/>
                  </w:tblGrid>
                  <w:tr>
                    <w:trPr>
                      <w:trHeight w:val="311" w:hRule="atLeast"/>
                    </w:trPr>
                    <w:tc>
                      <w:tcPr>
                        <w:tcW w:w="4230" w:type="dxa"/>
                      </w:tcPr>
                      <w:p>
                        <w:pPr>
                          <w:pStyle w:val="TableParagraph"/>
                          <w:ind w:left="1884" w:right="1875"/>
                          <w:jc w:val="center"/>
                          <w:rPr>
                            <w:rFonts w:ascii="宋体" w:eastAsia="宋体" w:hint="eastAsia"/>
                            <w:sz w:val="21"/>
                          </w:rPr>
                        </w:pPr>
                        <w:r>
                          <w:rPr>
                            <w:rFonts w:ascii="宋体" w:eastAsia="宋体" w:hint="eastAsia"/>
                            <w:sz w:val="21"/>
                          </w:rPr>
                          <w:t>项目</w:t>
                        </w:r>
                      </w:p>
                    </w:tc>
                    <w:tc>
                      <w:tcPr>
                        <w:tcW w:w="3210" w:type="dxa"/>
                      </w:tcPr>
                      <w:p>
                        <w:pPr>
                          <w:pStyle w:val="TableParagraph"/>
                          <w:ind w:left="1164" w:right="1156"/>
                          <w:jc w:val="center"/>
                          <w:rPr>
                            <w:rFonts w:ascii="宋体" w:eastAsia="宋体" w:hint="eastAsia"/>
                            <w:sz w:val="21"/>
                          </w:rPr>
                        </w:pPr>
                        <w:r>
                          <w:rPr>
                            <w:rFonts w:ascii="宋体" w:eastAsia="宋体" w:hint="eastAsia"/>
                            <w:sz w:val="21"/>
                          </w:rPr>
                          <w:t>费用计算</w:t>
                        </w:r>
                      </w:p>
                    </w:tc>
                  </w:tr>
                  <w:tr>
                    <w:trPr>
                      <w:trHeight w:val="311" w:hRule="atLeast"/>
                    </w:trPr>
                    <w:tc>
                      <w:tcPr>
                        <w:tcW w:w="4230" w:type="dxa"/>
                      </w:tcPr>
                      <w:p>
                        <w:pPr>
                          <w:pStyle w:val="TableParagraph"/>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0" w:type="dxa"/>
                      </w:tcPr>
                      <w:p>
                        <w:pPr>
                          <w:pStyle w:val="TableParagraph"/>
                          <w:spacing w:before="28"/>
                          <w:ind w:right="97"/>
                          <w:jc w:val="right"/>
                          <w:rPr>
                            <w:sz w:val="21"/>
                          </w:rPr>
                        </w:pPr>
                        <w:r>
                          <w:rPr>
                            <w:sz w:val="21"/>
                          </w:rPr>
                          <w:t>10,000,000.00</w:t>
                        </w:r>
                      </w:p>
                    </w:tc>
                  </w:tr>
                  <w:tr>
                    <w:trPr>
                      <w:trHeight w:val="311" w:hRule="atLeast"/>
                    </w:trPr>
                    <w:tc>
                      <w:tcPr>
                        <w:tcW w:w="4230" w:type="dxa"/>
                      </w:tcPr>
                      <w:p>
                        <w:pPr>
                          <w:pStyle w:val="TableParagraph"/>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0" w:type="dxa"/>
                      </w:tcPr>
                      <w:p>
                        <w:pPr>
                          <w:pStyle w:val="TableParagraph"/>
                          <w:spacing w:before="28"/>
                          <w:ind w:right="95"/>
                          <w:jc w:val="right"/>
                          <w:rPr>
                            <w:sz w:val="21"/>
                          </w:rPr>
                        </w:pPr>
                        <w:r>
                          <w:rPr>
                            <w:sz w:val="21"/>
                          </w:rPr>
                          <w:t>1.200</w:t>
                        </w:r>
                      </w:p>
                    </w:tc>
                  </w:tr>
                  <w:tr>
                    <w:trPr>
                      <w:trHeight w:val="311" w:hRule="atLeast"/>
                    </w:trPr>
                    <w:tc>
                      <w:tcPr>
                        <w:tcW w:w="4230" w:type="dxa"/>
                      </w:tcPr>
                      <w:p>
                        <w:pPr>
                          <w:pStyle w:val="TableParagraph"/>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0" w:type="dxa"/>
                      </w:tcPr>
                      <w:p>
                        <w:pPr>
                          <w:pStyle w:val="TableParagraph"/>
                          <w:spacing w:before="28"/>
                          <w:ind w:right="97"/>
                          <w:jc w:val="right"/>
                          <w:rPr>
                            <w:sz w:val="21"/>
                          </w:rPr>
                        </w:pPr>
                        <w:r>
                          <w:rPr>
                            <w:sz w:val="21"/>
                          </w:rPr>
                          <w:t>12,000,000.00</w:t>
                        </w:r>
                      </w:p>
                    </w:tc>
                  </w:tr>
                  <w:tr>
                    <w:trPr>
                      <w:trHeight w:val="314" w:hRule="atLeast"/>
                    </w:trPr>
                    <w:tc>
                      <w:tcPr>
                        <w:tcW w:w="4230" w:type="dxa"/>
                      </w:tcPr>
                      <w:p>
                        <w:pPr>
                          <w:pStyle w:val="TableParagraph"/>
                          <w:spacing w:before="25"/>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0" w:type="dxa"/>
                      </w:tcPr>
                      <w:p>
                        <w:pPr>
                          <w:pStyle w:val="TableParagraph"/>
                          <w:spacing w:before="31"/>
                          <w:ind w:right="95"/>
                          <w:jc w:val="right"/>
                          <w:rPr>
                            <w:sz w:val="21"/>
                          </w:rPr>
                        </w:pPr>
                        <w:r>
                          <w:rPr>
                            <w:sz w:val="21"/>
                          </w:rPr>
                          <w:t>0.5%</w:t>
                        </w:r>
                      </w:p>
                    </w:tc>
                  </w:tr>
                  <w:tr>
                    <w:trPr>
                      <w:trHeight w:val="311" w:hRule="atLeast"/>
                    </w:trPr>
                    <w:tc>
                      <w:tcPr>
                        <w:tcW w:w="4230" w:type="dxa"/>
                      </w:tcPr>
                      <w:p>
                        <w:pPr>
                          <w:pStyle w:val="TableParagraph"/>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0" w:type="dxa"/>
                      </w:tcPr>
                      <w:p>
                        <w:pPr>
                          <w:pStyle w:val="TableParagraph"/>
                          <w:spacing w:before="28"/>
                          <w:ind w:right="97"/>
                          <w:jc w:val="right"/>
                          <w:rPr>
                            <w:sz w:val="21"/>
                          </w:rPr>
                        </w:pPr>
                        <w:r>
                          <w:rPr>
                            <w:sz w:val="21"/>
                          </w:rPr>
                          <w:t>60,000.00</w:t>
                        </w:r>
                      </w:p>
                    </w:tc>
                  </w:tr>
                  <w:tr>
                    <w:trPr>
                      <w:trHeight w:val="311" w:hRule="atLeast"/>
                    </w:trPr>
                    <w:tc>
                      <w:tcPr>
                        <w:tcW w:w="4230" w:type="dxa"/>
                      </w:tcPr>
                      <w:p>
                        <w:pPr>
                          <w:pStyle w:val="TableParagraph"/>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0" w:type="dxa"/>
                      </w:tcPr>
                      <w:p>
                        <w:pPr>
                          <w:pStyle w:val="TableParagraph"/>
                          <w:spacing w:before="28"/>
                          <w:ind w:right="97"/>
                          <w:jc w:val="right"/>
                          <w:rPr>
                            <w:sz w:val="21"/>
                          </w:rPr>
                        </w:pPr>
                        <w:r>
                          <w:rPr>
                            <w:sz w:val="21"/>
                          </w:rPr>
                          <w:t>11,940,000.00</w:t>
                        </w:r>
                      </w:p>
                    </w:tc>
                  </w:tr>
                  <w:tr>
                    <w:trPr>
                      <w:trHeight w:val="311" w:hRule="atLeast"/>
                    </w:trPr>
                    <w:tc>
                      <w:tcPr>
                        <w:tcW w:w="4230" w:type="dxa"/>
                      </w:tcPr>
                      <w:p>
                        <w:pPr>
                          <w:pStyle w:val="TableParagraph"/>
                          <w:ind w:left="107"/>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0" w:type="dxa"/>
                      </w:tcPr>
                      <w:p>
                        <w:pPr>
                          <w:pStyle w:val="TableParagraph"/>
                          <w:spacing w:before="28"/>
                          <w:ind w:right="96"/>
                          <w:jc w:val="right"/>
                          <w:rPr>
                            <w:sz w:val="21"/>
                          </w:rPr>
                        </w:pPr>
                        <w:r>
                          <w:rPr>
                            <w:sz w:val="21"/>
                          </w:rPr>
                          <w:t>1,000.00</w:t>
                        </w:r>
                      </w:p>
                    </w:tc>
                  </w:tr>
                  <w:tr>
                    <w:trPr>
                      <w:trHeight w:val="311" w:hRule="atLeast"/>
                    </w:trPr>
                    <w:tc>
                      <w:tcPr>
                        <w:tcW w:w="4230" w:type="dxa"/>
                      </w:tcPr>
                      <w:p>
                        <w:pPr>
                          <w:pStyle w:val="TableParagraph"/>
                          <w:ind w:left="107"/>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0" w:type="dxa"/>
                      </w:tcPr>
                      <w:p>
                        <w:pPr>
                          <w:pStyle w:val="TableParagraph"/>
                          <w:spacing w:before="28"/>
                          <w:ind w:right="97"/>
                          <w:jc w:val="right"/>
                          <w:rPr>
                            <w:sz w:val="21"/>
                          </w:rPr>
                        </w:pPr>
                        <w:r>
                          <w:rPr>
                            <w:sz w:val="21"/>
                          </w:rPr>
                          <w:t>11,939,000.00</w:t>
                        </w:r>
                      </w:p>
                    </w:tc>
                  </w:tr>
                  <w:tr>
                    <w:trPr>
                      <w:trHeight w:val="311" w:hRule="atLeast"/>
                    </w:trPr>
                    <w:tc>
                      <w:tcPr>
                        <w:tcW w:w="4230" w:type="dxa"/>
                      </w:tcPr>
                      <w:p>
                        <w:pPr>
                          <w:pStyle w:val="TableParagraph"/>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0" w:type="dxa"/>
                      </w:tcPr>
                      <w:p>
                        <w:pPr>
                          <w:pStyle w:val="TableParagraph"/>
                          <w:spacing w:before="28"/>
                          <w:ind w:right="95"/>
                          <w:jc w:val="right"/>
                          <w:rPr>
                            <w:sz w:val="21"/>
                          </w:rPr>
                        </w:pPr>
                        <w:r>
                          <w:rPr>
                            <w:sz w:val="21"/>
                          </w:rPr>
                          <w:t>1.300</w:t>
                        </w:r>
                      </w:p>
                    </w:tc>
                  </w:tr>
                  <w:tr>
                    <w:trPr>
                      <w:trHeight w:val="313" w:hRule="atLeast"/>
                    </w:trPr>
                    <w:tc>
                      <w:tcPr>
                        <w:tcW w:w="4230" w:type="dxa"/>
                      </w:tcPr>
                      <w:p>
                        <w:pPr>
                          <w:pStyle w:val="TableParagraph"/>
                          <w:spacing w:before="25"/>
                          <w:ind w:left="107"/>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0" w:type="dxa"/>
                      </w:tcPr>
                      <w:p>
                        <w:pPr>
                          <w:pStyle w:val="TableParagraph"/>
                          <w:spacing w:before="30"/>
                          <w:ind w:right="97"/>
                          <w:jc w:val="right"/>
                          <w:rPr>
                            <w:sz w:val="21"/>
                          </w:rPr>
                        </w:pPr>
                        <w:r>
                          <w:rPr>
                            <w:sz w:val="21"/>
                          </w:rPr>
                          <w:t>9,183,846.15</w:t>
                        </w:r>
                      </w:p>
                    </w:tc>
                  </w:tr>
                </w:tbl>
                <w:p>
                  <w:pPr>
                    <w:pStyle w:val="BodyText"/>
                  </w:pPr>
                </w:p>
              </w:txbxContent>
            </v:textbox>
            <w10:wrap type="none"/>
          </v:shape>
        </w:pict>
      </w:r>
      <w:r>
        <w:rPr>
          <w:w w:val="100"/>
          <w:sz w:val="21"/>
        </w:rPr>
        <w:t>若</w:t>
      </w:r>
      <w:r>
        <w:rPr>
          <w:spacing w:val="-55"/>
          <w:sz w:val="21"/>
        </w:rPr>
        <w:t> </w:t>
      </w:r>
      <w:r>
        <w:rPr>
          <w:rFonts w:ascii="Calibri" w:eastAsia="Calibri"/>
          <w:w w:val="100"/>
          <w:sz w:val="21"/>
        </w:rPr>
        <w:t>T</w:t>
      </w:r>
      <w:r>
        <w:rPr>
          <w:rFonts w:ascii="Calibri" w:eastAsia="Calibri"/>
          <w:spacing w:val="5"/>
          <w:sz w:val="21"/>
        </w:rPr>
        <w:t> </w:t>
      </w:r>
      <w:r>
        <w:rPr>
          <w:spacing w:val="-5"/>
          <w:w w:val="100"/>
          <w:sz w:val="21"/>
        </w:rPr>
        <w:t>日转入乙基金</w:t>
      </w:r>
      <w:r>
        <w:rPr>
          <w:spacing w:val="-3"/>
          <w:w w:val="100"/>
          <w:sz w:val="21"/>
        </w:rPr>
        <w:t>（</w:t>
      </w:r>
      <w:r>
        <w:rPr>
          <w:spacing w:val="-2"/>
          <w:w w:val="100"/>
          <w:sz w:val="21"/>
        </w:rPr>
        <w:t>前端收费模式</w:t>
      </w:r>
      <w:r>
        <w:rPr>
          <w:spacing w:val="-106"/>
          <w:w w:val="100"/>
          <w:sz w:val="21"/>
        </w:rPr>
        <w:t>）</w:t>
      </w:r>
      <w:r>
        <w:rPr>
          <w:spacing w:val="-5"/>
          <w:w w:val="100"/>
          <w:sz w:val="21"/>
        </w:rPr>
        <w:t>，且乙基金适用的申购费用为</w:t>
      </w:r>
      <w:r>
        <w:rPr>
          <w:spacing w:val="-55"/>
          <w:sz w:val="21"/>
        </w:rPr>
        <w:t> </w:t>
      </w:r>
      <w:r>
        <w:rPr>
          <w:rFonts w:ascii="Calibri" w:eastAsia="Calibri"/>
          <w:w w:val="100"/>
          <w:sz w:val="21"/>
        </w:rPr>
        <w:t>1</w:t>
      </w:r>
      <w:r>
        <w:rPr>
          <w:rFonts w:ascii="Calibri" w:eastAsia="Calibri"/>
          <w:spacing w:val="-3"/>
          <w:w w:val="100"/>
          <w:sz w:val="21"/>
        </w:rPr>
        <w:t>,</w:t>
      </w:r>
      <w:r>
        <w:rPr>
          <w:rFonts w:ascii="Calibri" w:eastAsia="Calibri"/>
          <w:w w:val="100"/>
          <w:sz w:val="21"/>
        </w:rPr>
        <w:t>0</w:t>
      </w:r>
      <w:r>
        <w:rPr>
          <w:rFonts w:ascii="Calibri" w:eastAsia="Calibri"/>
          <w:spacing w:val="-2"/>
          <w:w w:val="100"/>
          <w:sz w:val="21"/>
        </w:rPr>
        <w:t>0</w:t>
      </w:r>
      <w:r>
        <w:rPr>
          <w:rFonts w:ascii="Calibri" w:eastAsia="Calibri"/>
          <w:w w:val="100"/>
          <w:sz w:val="21"/>
        </w:rPr>
        <w:t>0</w:t>
      </w:r>
      <w:r>
        <w:rPr>
          <w:rFonts w:ascii="Calibri" w:eastAsia="Calibri"/>
          <w:spacing w:val="4"/>
          <w:sz w:val="21"/>
        </w:rPr>
        <w:t> </w:t>
      </w:r>
      <w:r>
        <w:rPr>
          <w:spacing w:val="-5"/>
          <w:w w:val="100"/>
          <w:sz w:val="21"/>
        </w:rPr>
        <w:t>元，乙基</w:t>
      </w:r>
      <w:r>
        <w:rPr>
          <w:spacing w:val="-8"/>
          <w:sz w:val="21"/>
        </w:rPr>
        <w:t>金前端申购费率最高档为 </w:t>
      </w:r>
      <w:r>
        <w:rPr>
          <w:rFonts w:ascii="Calibri" w:eastAsia="Calibri"/>
          <w:spacing w:val="-8"/>
          <w:sz w:val="21"/>
        </w:rPr>
        <w:t>2.0%</w:t>
      </w:r>
      <w:r>
        <w:rPr>
          <w:spacing w:val="-6"/>
          <w:sz w:val="21"/>
        </w:rPr>
        <w:t>，该日乙基金基金份额净值为 </w:t>
      </w:r>
      <w:r>
        <w:rPr>
          <w:rFonts w:ascii="Calibri" w:eastAsia="Calibri"/>
          <w:sz w:val="21"/>
        </w:rPr>
        <w:t>1.300</w:t>
      </w:r>
      <w:r>
        <w:rPr>
          <w:rFonts w:ascii="Calibri" w:eastAsia="Calibri"/>
          <w:spacing w:val="19"/>
          <w:sz w:val="21"/>
        </w:rPr>
        <w:t> </w:t>
      </w:r>
      <w:r>
        <w:rPr>
          <w:spacing w:val="-10"/>
          <w:sz w:val="21"/>
        </w:rPr>
        <w:t>元。则转出基金费用、转</w:t>
      </w:r>
      <w:r>
        <w:rPr>
          <w:spacing w:val="-5"/>
          <w:sz w:val="21"/>
        </w:rPr>
        <w:t>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pStyle w:val="ListParagraph"/>
        <w:numPr>
          <w:ilvl w:val="0"/>
          <w:numId w:val="16"/>
        </w:numPr>
        <w:tabs>
          <w:tab w:pos="1112" w:val="left" w:leader="none"/>
        </w:tabs>
        <w:spacing w:line="417" w:lineRule="auto" w:before="0" w:after="0"/>
        <w:ind w:left="160" w:right="873" w:firstLine="419"/>
        <w:jc w:val="both"/>
        <w:rPr>
          <w:sz w:val="21"/>
        </w:rPr>
      </w:pPr>
      <w:r>
        <w:rPr/>
        <w:pict>
          <v:shape style="position:absolute;margin-left:111.139999pt;margin-top:65.240021pt;width:373.4pt;height:16.6pt;mso-position-horizontal-relative:page;mso-position-vertical-relative:paragraph;z-index:25167769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1" w:hRule="atLeast"/>
                    </w:trPr>
                    <w:tc>
                      <w:tcPr>
                        <w:tcW w:w="4237" w:type="dxa"/>
                      </w:tcPr>
                      <w:p>
                        <w:pPr>
                          <w:pStyle w:val="TableParagraph"/>
                          <w:ind w:left="1676" w:right="1669"/>
                          <w:jc w:val="center"/>
                          <w:rPr>
                            <w:rFonts w:ascii="宋体" w:eastAsia="宋体" w:hint="eastAsia"/>
                            <w:sz w:val="21"/>
                          </w:rPr>
                        </w:pPr>
                        <w:r>
                          <w:rPr>
                            <w:rFonts w:ascii="宋体" w:eastAsia="宋体" w:hint="eastAsia"/>
                            <w:sz w:val="21"/>
                          </w:rPr>
                          <w:t>项目</w:t>
                        </w:r>
                      </w:p>
                    </w:tc>
                    <w:tc>
                      <w:tcPr>
                        <w:tcW w:w="3217" w:type="dxa"/>
                      </w:tcPr>
                      <w:p>
                        <w:pPr>
                          <w:pStyle w:val="TableParagraph"/>
                          <w:ind w:left="1169" w:right="1158"/>
                          <w:jc w:val="center"/>
                          <w:rPr>
                            <w:rFonts w:ascii="宋体" w:eastAsia="宋体" w:hint="eastAsia"/>
                            <w:sz w:val="21"/>
                          </w:rPr>
                        </w:pPr>
                        <w:r>
                          <w:rPr>
                            <w:rFonts w:ascii="宋体" w:eastAsia="宋体" w:hint="eastAsia"/>
                            <w:sz w:val="21"/>
                          </w:rPr>
                          <w:t>费用计算</w:t>
                        </w:r>
                      </w:p>
                    </w:tc>
                  </w:tr>
                </w:tbl>
                <w:p>
                  <w:pPr>
                    <w:pStyle w:val="BodyText"/>
                  </w:pPr>
                </w:p>
              </w:txbxContent>
            </v:textbox>
            <w10:wrap type="none"/>
          </v:shape>
        </w:pict>
      </w:r>
      <w:r>
        <w:rPr>
          <w:w w:val="100"/>
          <w:sz w:val="21"/>
        </w:rPr>
        <w:t>若</w:t>
      </w:r>
      <w:r>
        <w:rPr>
          <w:spacing w:val="-55"/>
          <w:sz w:val="21"/>
        </w:rPr>
        <w:t> </w:t>
      </w:r>
      <w:r>
        <w:rPr>
          <w:rFonts w:ascii="Calibri" w:eastAsia="Calibri"/>
          <w:w w:val="100"/>
          <w:sz w:val="21"/>
        </w:rPr>
        <w:t>T</w:t>
      </w:r>
      <w:r>
        <w:rPr>
          <w:rFonts w:ascii="Calibri" w:eastAsia="Calibri"/>
          <w:spacing w:val="5"/>
          <w:sz w:val="21"/>
        </w:rPr>
        <w:t> </w:t>
      </w:r>
      <w:r>
        <w:rPr>
          <w:spacing w:val="-5"/>
          <w:w w:val="100"/>
          <w:sz w:val="21"/>
        </w:rPr>
        <w:t>日转入丙基金</w:t>
      </w:r>
      <w:r>
        <w:rPr>
          <w:spacing w:val="-3"/>
          <w:w w:val="100"/>
          <w:sz w:val="21"/>
        </w:rPr>
        <w:t>（</w:t>
      </w:r>
      <w:r>
        <w:rPr>
          <w:spacing w:val="-2"/>
          <w:w w:val="100"/>
          <w:sz w:val="21"/>
        </w:rPr>
        <w:t>前端收费模式</w:t>
      </w:r>
      <w:r>
        <w:rPr>
          <w:spacing w:val="-106"/>
          <w:w w:val="100"/>
          <w:sz w:val="21"/>
        </w:rPr>
        <w:t>）</w:t>
      </w:r>
      <w:r>
        <w:rPr>
          <w:spacing w:val="-5"/>
          <w:w w:val="100"/>
          <w:sz w:val="21"/>
        </w:rPr>
        <w:t>，且丙基金适用的申购费用为</w:t>
      </w:r>
      <w:r>
        <w:rPr>
          <w:spacing w:val="-55"/>
          <w:sz w:val="21"/>
        </w:rPr>
        <w:t> </w:t>
      </w:r>
      <w:r>
        <w:rPr>
          <w:rFonts w:ascii="Calibri" w:eastAsia="Calibri"/>
          <w:w w:val="100"/>
          <w:sz w:val="21"/>
        </w:rPr>
        <w:t>1</w:t>
      </w:r>
      <w:r>
        <w:rPr>
          <w:rFonts w:ascii="Calibri" w:eastAsia="Calibri"/>
          <w:spacing w:val="-3"/>
          <w:w w:val="100"/>
          <w:sz w:val="21"/>
        </w:rPr>
        <w:t>,</w:t>
      </w:r>
      <w:r>
        <w:rPr>
          <w:rFonts w:ascii="Calibri" w:eastAsia="Calibri"/>
          <w:w w:val="100"/>
          <w:sz w:val="21"/>
        </w:rPr>
        <w:t>0</w:t>
      </w:r>
      <w:r>
        <w:rPr>
          <w:rFonts w:ascii="Calibri" w:eastAsia="Calibri"/>
          <w:spacing w:val="-2"/>
          <w:w w:val="100"/>
          <w:sz w:val="21"/>
        </w:rPr>
        <w:t>0</w:t>
      </w:r>
      <w:r>
        <w:rPr>
          <w:rFonts w:ascii="Calibri" w:eastAsia="Calibri"/>
          <w:w w:val="100"/>
          <w:sz w:val="21"/>
        </w:rPr>
        <w:t>0</w:t>
      </w:r>
      <w:r>
        <w:rPr>
          <w:rFonts w:ascii="Calibri" w:eastAsia="Calibri"/>
          <w:spacing w:val="4"/>
          <w:sz w:val="21"/>
        </w:rPr>
        <w:t> </w:t>
      </w:r>
      <w:r>
        <w:rPr>
          <w:spacing w:val="-5"/>
          <w:w w:val="100"/>
          <w:sz w:val="21"/>
        </w:rPr>
        <w:t>元，丙基</w:t>
      </w:r>
      <w:r>
        <w:rPr>
          <w:spacing w:val="-8"/>
          <w:sz w:val="21"/>
        </w:rPr>
        <w:t>金前端申购费率最高档为 </w:t>
      </w:r>
      <w:r>
        <w:rPr>
          <w:rFonts w:ascii="Calibri" w:eastAsia="Calibri"/>
          <w:spacing w:val="-8"/>
          <w:sz w:val="21"/>
        </w:rPr>
        <w:t>1.2%</w:t>
      </w:r>
      <w:r>
        <w:rPr>
          <w:spacing w:val="-6"/>
          <w:sz w:val="21"/>
        </w:rPr>
        <w:t>，该日丙基金基金份额净值为 </w:t>
      </w:r>
      <w:r>
        <w:rPr>
          <w:rFonts w:ascii="Calibri" w:eastAsia="Calibri"/>
          <w:sz w:val="21"/>
        </w:rPr>
        <w:t>1.300</w:t>
      </w:r>
      <w:r>
        <w:rPr>
          <w:rFonts w:ascii="Calibri" w:eastAsia="Calibri"/>
          <w:spacing w:val="19"/>
          <w:sz w:val="21"/>
        </w:rPr>
        <w:t> </w:t>
      </w:r>
      <w:r>
        <w:rPr>
          <w:spacing w:val="-10"/>
          <w:sz w:val="21"/>
        </w:rPr>
        <w:t>元。则转出基金费用、转</w:t>
      </w:r>
      <w:r>
        <w:rPr>
          <w:spacing w:val="-5"/>
          <w:sz w:val="21"/>
        </w:rPr>
        <w:t>入基金费用及份额计算如下：</w:t>
      </w:r>
    </w:p>
    <w:p>
      <w:pPr>
        <w:spacing w:after="0" w:line="417" w:lineRule="auto"/>
        <w:jc w:val="both"/>
        <w:rPr>
          <w:sz w:val="21"/>
        </w:rPr>
        <w:sectPr>
          <w:pgSz w:w="11910" w:h="16840"/>
          <w:pgMar w:header="877" w:footer="995" w:top="1420" w:bottom="1180" w:left="1640" w:right="920"/>
        </w:sectPr>
      </w:pPr>
    </w:p>
    <w:tbl>
      <w:tblPr>
        <w:tblW w:w="0" w:type="auto"/>
        <w:jc w:val="left"/>
        <w:tblInd w:w="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2" w:hRule="atLeast"/>
        </w:trPr>
        <w:tc>
          <w:tcPr>
            <w:tcW w:w="4237" w:type="dxa"/>
          </w:tcPr>
          <w:p>
            <w:pPr>
              <w:pStyle w:val="TableParagraph"/>
              <w:spacing w:before="23"/>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spacing w:before="28"/>
              <w:ind w:right="96"/>
              <w:jc w:val="right"/>
              <w:rPr>
                <w:sz w:val="21"/>
              </w:rPr>
            </w:pPr>
            <w:r>
              <w:rPr>
                <w:sz w:val="21"/>
              </w:rPr>
              <w:t>10,000,000.00</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spacing w:before="28"/>
              <w:ind w:right="95"/>
              <w:jc w:val="right"/>
              <w:rPr>
                <w:sz w:val="21"/>
              </w:rPr>
            </w:pPr>
            <w:r>
              <w:rPr>
                <w:sz w:val="21"/>
              </w:rPr>
              <w:t>1.200</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spacing w:before="28"/>
              <w:ind w:right="96"/>
              <w:jc w:val="right"/>
              <w:rPr>
                <w:sz w:val="21"/>
              </w:rPr>
            </w:pPr>
            <w:r>
              <w:rPr>
                <w:sz w:val="21"/>
              </w:rPr>
              <w:t>12,000,000.00</w:t>
            </w:r>
          </w:p>
        </w:tc>
      </w:tr>
      <w:tr>
        <w:trPr>
          <w:trHeight w:val="313" w:hRule="atLeast"/>
        </w:trPr>
        <w:tc>
          <w:tcPr>
            <w:tcW w:w="4237" w:type="dxa"/>
          </w:tcPr>
          <w:p>
            <w:pPr>
              <w:pStyle w:val="TableParagraph"/>
              <w:spacing w:before="25"/>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spacing w:before="30"/>
              <w:ind w:right="94"/>
              <w:jc w:val="right"/>
              <w:rPr>
                <w:sz w:val="21"/>
              </w:rPr>
            </w:pPr>
            <w:r>
              <w:rPr>
                <w:sz w:val="21"/>
              </w:rPr>
              <w:t>0.5%</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7" w:type="dxa"/>
          </w:tcPr>
          <w:p>
            <w:pPr>
              <w:pStyle w:val="TableParagraph"/>
              <w:spacing w:before="28"/>
              <w:ind w:right="96"/>
              <w:jc w:val="right"/>
              <w:rPr>
                <w:sz w:val="21"/>
              </w:rPr>
            </w:pPr>
            <w:r>
              <w:rPr>
                <w:sz w:val="21"/>
              </w:rPr>
              <w:t>60,000.00</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7" w:type="dxa"/>
          </w:tcPr>
          <w:p>
            <w:pPr>
              <w:pStyle w:val="TableParagraph"/>
              <w:spacing w:before="28"/>
              <w:ind w:right="96"/>
              <w:jc w:val="right"/>
              <w:rPr>
                <w:sz w:val="21"/>
              </w:rPr>
            </w:pPr>
            <w:r>
              <w:rPr>
                <w:sz w:val="21"/>
              </w:rPr>
              <w:t>11,940,000.00</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7" w:type="dxa"/>
          </w:tcPr>
          <w:p>
            <w:pPr>
              <w:pStyle w:val="TableParagraph"/>
              <w:spacing w:before="28"/>
              <w:ind w:right="95"/>
              <w:jc w:val="right"/>
              <w:rPr>
                <w:sz w:val="21"/>
              </w:rPr>
            </w:pPr>
            <w:r>
              <w:rPr>
                <w:sz w:val="21"/>
              </w:rPr>
              <w:t>0.00</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7" w:type="dxa"/>
          </w:tcPr>
          <w:p>
            <w:pPr>
              <w:pStyle w:val="TableParagraph"/>
              <w:spacing w:before="28"/>
              <w:ind w:right="96"/>
              <w:jc w:val="right"/>
              <w:rPr>
                <w:sz w:val="21"/>
              </w:rPr>
            </w:pPr>
            <w:r>
              <w:rPr>
                <w:sz w:val="21"/>
              </w:rPr>
              <w:t>11,940,000.00</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7" w:type="dxa"/>
          </w:tcPr>
          <w:p>
            <w:pPr>
              <w:pStyle w:val="TableParagraph"/>
              <w:spacing w:before="28"/>
              <w:ind w:right="95"/>
              <w:jc w:val="right"/>
              <w:rPr>
                <w:sz w:val="21"/>
              </w:rPr>
            </w:pPr>
            <w:r>
              <w:rPr>
                <w:sz w:val="21"/>
              </w:rPr>
              <w:t>1.300</w:t>
            </w:r>
          </w:p>
        </w:tc>
      </w:tr>
      <w:tr>
        <w:trPr>
          <w:trHeight w:val="314" w:hRule="atLeast"/>
        </w:trPr>
        <w:tc>
          <w:tcPr>
            <w:tcW w:w="4237" w:type="dxa"/>
          </w:tcPr>
          <w:p>
            <w:pPr>
              <w:pStyle w:val="TableParagraph"/>
              <w:spacing w:before="25"/>
              <w:ind w:left="107"/>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7" w:type="dxa"/>
          </w:tcPr>
          <w:p>
            <w:pPr>
              <w:pStyle w:val="TableParagraph"/>
              <w:spacing w:before="30"/>
              <w:ind w:right="96"/>
              <w:jc w:val="right"/>
              <w:rPr>
                <w:sz w:val="21"/>
              </w:rPr>
            </w:pPr>
            <w:r>
              <w:rPr>
                <w:sz w:val="21"/>
              </w:rPr>
              <w:t>9,184,615.38</w:t>
            </w:r>
          </w:p>
        </w:tc>
      </w:tr>
    </w:tbl>
    <w:p>
      <w:pPr>
        <w:pStyle w:val="BodyText"/>
        <w:spacing w:line="417" w:lineRule="auto" w:before="110"/>
        <w:ind w:left="160" w:right="765" w:firstLine="419"/>
      </w:pPr>
      <w:r>
        <w:rPr/>
        <w:pict>
          <v:shape style="position:absolute;margin-left:111.260002pt;margin-top:94.119987pt;width:373.2pt;height:177.65pt;mso-position-horizontal-relative:page;mso-position-vertical-relative:paragraph;z-index:25167872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5"/>
                    <w:gridCol w:w="3215"/>
                  </w:tblGrid>
                  <w:tr>
                    <w:trPr>
                      <w:trHeight w:val="311" w:hRule="atLeast"/>
                    </w:trPr>
                    <w:tc>
                      <w:tcPr>
                        <w:tcW w:w="4235" w:type="dxa"/>
                      </w:tcPr>
                      <w:p>
                        <w:pPr>
                          <w:pStyle w:val="TableParagraph"/>
                          <w:ind w:left="1676" w:right="1667"/>
                          <w:jc w:val="center"/>
                          <w:rPr>
                            <w:rFonts w:ascii="宋体" w:eastAsia="宋体" w:hint="eastAsia"/>
                            <w:sz w:val="21"/>
                          </w:rPr>
                        </w:pPr>
                        <w:r>
                          <w:rPr>
                            <w:rFonts w:ascii="宋体" w:eastAsia="宋体" w:hint="eastAsia"/>
                            <w:sz w:val="21"/>
                          </w:rPr>
                          <w:t>项目</w:t>
                        </w:r>
                      </w:p>
                    </w:tc>
                    <w:tc>
                      <w:tcPr>
                        <w:tcW w:w="3215" w:type="dxa"/>
                      </w:tcPr>
                      <w:p>
                        <w:pPr>
                          <w:pStyle w:val="TableParagraph"/>
                          <w:ind w:left="1110" w:right="1215"/>
                          <w:jc w:val="center"/>
                          <w:rPr>
                            <w:rFonts w:ascii="宋体" w:eastAsia="宋体" w:hint="eastAsia"/>
                            <w:sz w:val="21"/>
                          </w:rPr>
                        </w:pPr>
                        <w:r>
                          <w:rPr>
                            <w:rFonts w:ascii="宋体" w:eastAsia="宋体" w:hint="eastAsia"/>
                            <w:sz w:val="21"/>
                          </w:rPr>
                          <w:t>费用计算</w:t>
                        </w:r>
                      </w:p>
                    </w:tc>
                  </w:tr>
                  <w:tr>
                    <w:trPr>
                      <w:trHeight w:val="311" w:hRule="atLeast"/>
                    </w:trPr>
                    <w:tc>
                      <w:tcPr>
                        <w:tcW w:w="4235" w:type="dxa"/>
                      </w:tcPr>
                      <w:p>
                        <w:pPr>
                          <w:pStyle w:val="TableParagraph"/>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5" w:type="dxa"/>
                      </w:tcPr>
                      <w:p>
                        <w:pPr>
                          <w:pStyle w:val="TableParagraph"/>
                          <w:spacing w:before="28"/>
                          <w:ind w:right="94"/>
                          <w:jc w:val="right"/>
                          <w:rPr>
                            <w:sz w:val="21"/>
                          </w:rPr>
                        </w:pPr>
                        <w:r>
                          <w:rPr>
                            <w:sz w:val="21"/>
                          </w:rPr>
                          <w:t>1,000.00</w:t>
                        </w:r>
                      </w:p>
                    </w:tc>
                  </w:tr>
                  <w:tr>
                    <w:trPr>
                      <w:trHeight w:val="311" w:hRule="atLeast"/>
                    </w:trPr>
                    <w:tc>
                      <w:tcPr>
                        <w:tcW w:w="4235" w:type="dxa"/>
                      </w:tcPr>
                      <w:p>
                        <w:pPr>
                          <w:pStyle w:val="TableParagraph"/>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5" w:type="dxa"/>
                      </w:tcPr>
                      <w:p>
                        <w:pPr>
                          <w:pStyle w:val="TableParagraph"/>
                          <w:spacing w:before="28"/>
                          <w:ind w:right="93"/>
                          <w:jc w:val="right"/>
                          <w:rPr>
                            <w:sz w:val="21"/>
                          </w:rPr>
                        </w:pPr>
                        <w:r>
                          <w:rPr>
                            <w:sz w:val="21"/>
                          </w:rPr>
                          <w:t>1.200</w:t>
                        </w:r>
                      </w:p>
                    </w:tc>
                  </w:tr>
                  <w:tr>
                    <w:trPr>
                      <w:trHeight w:val="311" w:hRule="atLeast"/>
                    </w:trPr>
                    <w:tc>
                      <w:tcPr>
                        <w:tcW w:w="4235" w:type="dxa"/>
                      </w:tcPr>
                      <w:p>
                        <w:pPr>
                          <w:pStyle w:val="TableParagraph"/>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5" w:type="dxa"/>
                      </w:tcPr>
                      <w:p>
                        <w:pPr>
                          <w:pStyle w:val="TableParagraph"/>
                          <w:spacing w:before="28"/>
                          <w:ind w:right="94"/>
                          <w:jc w:val="right"/>
                          <w:rPr>
                            <w:sz w:val="21"/>
                          </w:rPr>
                        </w:pPr>
                        <w:r>
                          <w:rPr>
                            <w:sz w:val="21"/>
                          </w:rPr>
                          <w:t>1,200.00</w:t>
                        </w:r>
                      </w:p>
                    </w:tc>
                  </w:tr>
                  <w:tr>
                    <w:trPr>
                      <w:trHeight w:val="314" w:hRule="atLeast"/>
                    </w:trPr>
                    <w:tc>
                      <w:tcPr>
                        <w:tcW w:w="4235" w:type="dxa"/>
                      </w:tcPr>
                      <w:p>
                        <w:pPr>
                          <w:pStyle w:val="TableParagraph"/>
                          <w:spacing w:before="25"/>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5" w:type="dxa"/>
                      </w:tcPr>
                      <w:p>
                        <w:pPr>
                          <w:pStyle w:val="TableParagraph"/>
                          <w:spacing w:before="30"/>
                          <w:ind w:right="93"/>
                          <w:jc w:val="right"/>
                          <w:rPr>
                            <w:sz w:val="21"/>
                          </w:rPr>
                        </w:pPr>
                        <w:r>
                          <w:rPr>
                            <w:sz w:val="21"/>
                          </w:rPr>
                          <w:t>0.5%</w:t>
                        </w:r>
                      </w:p>
                    </w:tc>
                  </w:tr>
                  <w:tr>
                    <w:trPr>
                      <w:trHeight w:val="311" w:hRule="atLeast"/>
                    </w:trPr>
                    <w:tc>
                      <w:tcPr>
                        <w:tcW w:w="4235" w:type="dxa"/>
                      </w:tcPr>
                      <w:p>
                        <w:pPr>
                          <w:pStyle w:val="TableParagraph"/>
                          <w:spacing w:before="23"/>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5" w:type="dxa"/>
                      </w:tcPr>
                      <w:p>
                        <w:pPr>
                          <w:pStyle w:val="TableParagraph"/>
                          <w:spacing w:before="28"/>
                          <w:ind w:right="93"/>
                          <w:jc w:val="right"/>
                          <w:rPr>
                            <w:sz w:val="21"/>
                          </w:rPr>
                        </w:pPr>
                        <w:r>
                          <w:rPr>
                            <w:sz w:val="21"/>
                          </w:rPr>
                          <w:t>6.00</w:t>
                        </w:r>
                      </w:p>
                    </w:tc>
                  </w:tr>
                  <w:tr>
                    <w:trPr>
                      <w:trHeight w:val="311" w:hRule="atLeast"/>
                    </w:trPr>
                    <w:tc>
                      <w:tcPr>
                        <w:tcW w:w="4235" w:type="dxa"/>
                      </w:tcPr>
                      <w:p>
                        <w:pPr>
                          <w:pStyle w:val="TableParagraph"/>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5" w:type="dxa"/>
                      </w:tcPr>
                      <w:p>
                        <w:pPr>
                          <w:pStyle w:val="TableParagraph"/>
                          <w:spacing w:before="28"/>
                          <w:ind w:right="94"/>
                          <w:jc w:val="right"/>
                          <w:rPr>
                            <w:sz w:val="21"/>
                          </w:rPr>
                        </w:pPr>
                        <w:r>
                          <w:rPr>
                            <w:sz w:val="21"/>
                          </w:rPr>
                          <w:t>1,194.00</w:t>
                        </w:r>
                      </w:p>
                    </w:tc>
                  </w:tr>
                  <w:tr>
                    <w:trPr>
                      <w:trHeight w:val="311" w:hRule="atLeast"/>
                    </w:trPr>
                    <w:tc>
                      <w:tcPr>
                        <w:tcW w:w="4235" w:type="dxa"/>
                      </w:tcPr>
                      <w:p>
                        <w:pPr>
                          <w:pStyle w:val="TableParagraph"/>
                          <w:ind w:left="107"/>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5" w:type="dxa"/>
                      </w:tcPr>
                      <w:p>
                        <w:pPr>
                          <w:pStyle w:val="TableParagraph"/>
                          <w:spacing w:before="28"/>
                          <w:ind w:right="93"/>
                          <w:jc w:val="right"/>
                          <w:rPr>
                            <w:sz w:val="21"/>
                          </w:rPr>
                        </w:pPr>
                        <w:r>
                          <w:rPr>
                            <w:sz w:val="21"/>
                          </w:rPr>
                          <w:t>0.00</w:t>
                        </w:r>
                      </w:p>
                    </w:tc>
                  </w:tr>
                  <w:tr>
                    <w:trPr>
                      <w:trHeight w:val="311" w:hRule="atLeast"/>
                    </w:trPr>
                    <w:tc>
                      <w:tcPr>
                        <w:tcW w:w="4235" w:type="dxa"/>
                      </w:tcPr>
                      <w:p>
                        <w:pPr>
                          <w:pStyle w:val="TableParagraph"/>
                          <w:ind w:left="107"/>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5" w:type="dxa"/>
                      </w:tcPr>
                      <w:p>
                        <w:pPr>
                          <w:pStyle w:val="TableParagraph"/>
                          <w:spacing w:before="28"/>
                          <w:ind w:right="94"/>
                          <w:jc w:val="right"/>
                          <w:rPr>
                            <w:sz w:val="21"/>
                          </w:rPr>
                        </w:pPr>
                        <w:r>
                          <w:rPr>
                            <w:sz w:val="21"/>
                          </w:rPr>
                          <w:t>1,194.00</w:t>
                        </w:r>
                      </w:p>
                    </w:tc>
                  </w:tr>
                  <w:tr>
                    <w:trPr>
                      <w:trHeight w:val="311" w:hRule="atLeast"/>
                    </w:trPr>
                    <w:tc>
                      <w:tcPr>
                        <w:tcW w:w="4235" w:type="dxa"/>
                      </w:tcPr>
                      <w:p>
                        <w:pPr>
                          <w:pStyle w:val="TableParagraph"/>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5" w:type="dxa"/>
                      </w:tcPr>
                      <w:p>
                        <w:pPr>
                          <w:pStyle w:val="TableParagraph"/>
                          <w:spacing w:before="28"/>
                          <w:ind w:right="93"/>
                          <w:jc w:val="right"/>
                          <w:rPr>
                            <w:sz w:val="21"/>
                          </w:rPr>
                        </w:pPr>
                        <w:r>
                          <w:rPr>
                            <w:sz w:val="21"/>
                          </w:rPr>
                          <w:t>1.500</w:t>
                        </w:r>
                      </w:p>
                    </w:tc>
                  </w:tr>
                  <w:tr>
                    <w:trPr>
                      <w:trHeight w:val="314" w:hRule="atLeast"/>
                    </w:trPr>
                    <w:tc>
                      <w:tcPr>
                        <w:tcW w:w="4235" w:type="dxa"/>
                      </w:tcPr>
                      <w:p>
                        <w:pPr>
                          <w:pStyle w:val="TableParagraph"/>
                          <w:spacing w:before="25"/>
                          <w:ind w:left="107"/>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5" w:type="dxa"/>
                      </w:tcPr>
                      <w:p>
                        <w:pPr>
                          <w:pStyle w:val="TableParagraph"/>
                          <w:spacing w:before="30"/>
                          <w:ind w:right="94"/>
                          <w:jc w:val="right"/>
                          <w:rPr>
                            <w:sz w:val="21"/>
                          </w:rPr>
                        </w:pPr>
                        <w:r>
                          <w:rPr>
                            <w:sz w:val="21"/>
                          </w:rPr>
                          <w:t>796.00</w:t>
                        </w:r>
                      </w:p>
                    </w:tc>
                  </w:tr>
                </w:tbl>
                <w:p>
                  <w:pPr>
                    <w:pStyle w:val="BodyText"/>
                  </w:pPr>
                </w:p>
              </w:txbxContent>
            </v:textbox>
            <w10:wrap type="none"/>
          </v:shape>
        </w:pict>
      </w:r>
      <w:r>
        <w:rPr>
          <w:spacing w:val="-13"/>
        </w:rPr>
        <w:t>例三：假定投资者在 </w:t>
      </w:r>
      <w:r>
        <w:rPr>
          <w:rFonts w:ascii="Calibri" w:eastAsia="Calibri"/>
        </w:rPr>
        <w:t>2010 </w:t>
      </w:r>
      <w:r>
        <w:rPr>
          <w:spacing w:val="-24"/>
        </w:rPr>
        <w:t>年 </w:t>
      </w:r>
      <w:r>
        <w:rPr>
          <w:rFonts w:ascii="Calibri" w:eastAsia="Calibri"/>
        </w:rPr>
        <w:t>3 </w:t>
      </w:r>
      <w:r>
        <w:rPr>
          <w:spacing w:val="-25"/>
        </w:rPr>
        <w:t>月 </w:t>
      </w:r>
      <w:r>
        <w:rPr>
          <w:rFonts w:ascii="Calibri" w:eastAsia="Calibri"/>
        </w:rPr>
        <w:t>15 </w:t>
      </w:r>
      <w:r>
        <w:rPr>
          <w:spacing w:val="-7"/>
        </w:rPr>
        <w:t>日成功提交了基金转换申请，转出持有的前端收费</w:t>
      </w:r>
      <w:r>
        <w:rPr>
          <w:spacing w:val="-15"/>
        </w:rPr>
        <w:t>基金甲 </w:t>
      </w:r>
      <w:r>
        <w:rPr>
          <w:rFonts w:ascii="Calibri" w:eastAsia="Calibri"/>
        </w:rPr>
        <w:t>1,000 </w:t>
      </w:r>
      <w:r>
        <w:rPr>
          <w:spacing w:val="-7"/>
        </w:rPr>
        <w:t>份，转入后端收费基金乙，该日甲、乙基金基金份额净值分别为 </w:t>
      </w:r>
      <w:r>
        <w:rPr>
          <w:rFonts w:ascii="Calibri" w:eastAsia="Calibri"/>
        </w:rPr>
        <w:t>1.200</w:t>
      </w:r>
      <w:r>
        <w:rPr>
          <w:spacing w:val="-5"/>
        </w:rPr>
        <w:t>、</w:t>
      </w:r>
      <w:r>
        <w:rPr>
          <w:rFonts w:ascii="Calibri" w:eastAsia="Calibri"/>
        </w:rPr>
        <w:t>1.500 </w:t>
      </w:r>
      <w:r>
        <w:rPr>
          <w:spacing w:val="-2"/>
        </w:rPr>
        <w:t>元。</w:t>
      </w:r>
      <w:r>
        <w:rPr>
          <w:rFonts w:ascii="Calibri" w:eastAsia="Calibri"/>
        </w:rPr>
        <w:t>2010 </w:t>
      </w:r>
      <w:r>
        <w:rPr>
          <w:spacing w:val="-24"/>
        </w:rPr>
        <w:t>年 </w:t>
      </w:r>
      <w:r>
        <w:rPr>
          <w:rFonts w:ascii="Calibri" w:eastAsia="Calibri"/>
        </w:rPr>
        <w:t>3 </w:t>
      </w:r>
      <w:r>
        <w:rPr>
          <w:spacing w:val="-25"/>
        </w:rPr>
        <w:t>月 </w:t>
      </w:r>
      <w:r>
        <w:rPr>
          <w:rFonts w:ascii="Calibri" w:eastAsia="Calibri"/>
        </w:rPr>
        <w:t>16 </w:t>
      </w:r>
      <w:r>
        <w:rPr>
          <w:spacing w:val="-6"/>
        </w:rPr>
        <w:t>日这笔转换确认成功。甲基金适用赎回费率为 </w:t>
      </w:r>
      <w:r>
        <w:rPr>
          <w:rFonts w:ascii="Calibri" w:eastAsia="Calibri"/>
        </w:rPr>
        <w:t>0.5%</w:t>
      </w:r>
      <w:r>
        <w:rPr>
          <w:spacing w:val="-3"/>
        </w:rPr>
        <w:t>。则转出基金费用、转入基金费用及份额计算如下：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7"/>
        </w:rPr>
      </w:pPr>
    </w:p>
    <w:p>
      <w:pPr>
        <w:pStyle w:val="BodyText"/>
        <w:spacing w:line="417" w:lineRule="auto" w:before="1"/>
        <w:ind w:left="160" w:right="765" w:firstLine="419"/>
      </w:pPr>
      <w:r>
        <w:rPr/>
        <w:pict>
          <v:shape style="position:absolute;margin-left:111.379997pt;margin-top:65.299957pt;width:372.95pt;height:129.25pt;mso-position-horizontal-relative:page;mso-position-vertical-relative:paragraph;z-index:25167974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311" w:hRule="atLeast"/>
                    </w:trPr>
                    <w:tc>
                      <w:tcPr>
                        <w:tcW w:w="4232" w:type="dxa"/>
                      </w:tcPr>
                      <w:p>
                        <w:pPr>
                          <w:pStyle w:val="TableParagraph"/>
                          <w:ind w:left="1678" w:right="1666"/>
                          <w:jc w:val="center"/>
                          <w:rPr>
                            <w:rFonts w:ascii="宋体" w:eastAsia="宋体" w:hint="eastAsia"/>
                            <w:sz w:val="21"/>
                          </w:rPr>
                        </w:pPr>
                        <w:r>
                          <w:rPr>
                            <w:rFonts w:ascii="宋体" w:eastAsia="宋体" w:hint="eastAsia"/>
                            <w:sz w:val="21"/>
                          </w:rPr>
                          <w:t>项目</w:t>
                        </w:r>
                      </w:p>
                    </w:tc>
                    <w:tc>
                      <w:tcPr>
                        <w:tcW w:w="3212" w:type="dxa"/>
                      </w:tcPr>
                      <w:p>
                        <w:pPr>
                          <w:pStyle w:val="TableParagraph"/>
                          <w:ind w:left="1049" w:right="1155"/>
                          <w:jc w:val="center"/>
                          <w:rPr>
                            <w:rFonts w:ascii="宋体" w:eastAsia="宋体" w:hint="eastAsia"/>
                            <w:sz w:val="21"/>
                          </w:rPr>
                        </w:pPr>
                        <w:r>
                          <w:rPr>
                            <w:rFonts w:ascii="宋体" w:eastAsia="宋体" w:hint="eastAsia"/>
                            <w:sz w:val="21"/>
                          </w:rPr>
                          <w:t>费用计算</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赎回份额（</w:t>
                        </w:r>
                        <w:r>
                          <w:rPr>
                            <w:sz w:val="21"/>
                          </w:rPr>
                          <w:t>K</w:t>
                        </w:r>
                        <w:r>
                          <w:rPr>
                            <w:rFonts w:ascii="宋体" w:eastAsia="宋体" w:hint="eastAsia"/>
                            <w:sz w:val="21"/>
                          </w:rPr>
                          <w:t>）</w:t>
                        </w:r>
                      </w:p>
                    </w:tc>
                    <w:tc>
                      <w:tcPr>
                        <w:tcW w:w="3212" w:type="dxa"/>
                      </w:tcPr>
                      <w:p>
                        <w:pPr>
                          <w:pStyle w:val="TableParagraph"/>
                          <w:spacing w:before="28"/>
                          <w:ind w:right="95"/>
                          <w:jc w:val="right"/>
                          <w:rPr>
                            <w:sz w:val="21"/>
                          </w:rPr>
                        </w:pPr>
                        <w:r>
                          <w:rPr>
                            <w:sz w:val="21"/>
                          </w:rPr>
                          <w:t>796.00</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赎回日基金份额净值（</w:t>
                        </w:r>
                        <w:r>
                          <w:rPr>
                            <w:sz w:val="21"/>
                          </w:rPr>
                          <w:t>L</w:t>
                        </w:r>
                        <w:r>
                          <w:rPr>
                            <w:rFonts w:ascii="宋体" w:eastAsia="宋体" w:hint="eastAsia"/>
                            <w:sz w:val="21"/>
                          </w:rPr>
                          <w:t>）</w:t>
                        </w:r>
                      </w:p>
                    </w:tc>
                    <w:tc>
                      <w:tcPr>
                        <w:tcW w:w="3212" w:type="dxa"/>
                      </w:tcPr>
                      <w:p>
                        <w:pPr>
                          <w:pStyle w:val="TableParagraph"/>
                          <w:spacing w:before="28"/>
                          <w:ind w:right="95"/>
                          <w:jc w:val="right"/>
                          <w:rPr>
                            <w:sz w:val="21"/>
                          </w:rPr>
                        </w:pPr>
                        <w:r>
                          <w:rPr>
                            <w:sz w:val="21"/>
                          </w:rPr>
                          <w:t>1.300</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赎回总金额（</w:t>
                        </w:r>
                        <w:r>
                          <w:rPr>
                            <w:sz w:val="21"/>
                          </w:rPr>
                          <w:t>M=K*L</w:t>
                        </w:r>
                        <w:r>
                          <w:rPr>
                            <w:rFonts w:ascii="宋体" w:eastAsia="宋体" w:hint="eastAsia"/>
                            <w:sz w:val="21"/>
                          </w:rPr>
                          <w:t>）</w:t>
                        </w:r>
                      </w:p>
                    </w:tc>
                    <w:tc>
                      <w:tcPr>
                        <w:tcW w:w="3212" w:type="dxa"/>
                      </w:tcPr>
                      <w:p>
                        <w:pPr>
                          <w:pStyle w:val="TableParagraph"/>
                          <w:spacing w:before="28"/>
                          <w:ind w:right="97"/>
                          <w:jc w:val="right"/>
                          <w:rPr>
                            <w:sz w:val="21"/>
                          </w:rPr>
                        </w:pPr>
                        <w:r>
                          <w:rPr>
                            <w:sz w:val="21"/>
                          </w:rPr>
                          <w:t>1,034.80</w:t>
                        </w:r>
                      </w:p>
                    </w:tc>
                  </w:tr>
                  <w:tr>
                    <w:trPr>
                      <w:trHeight w:val="313" w:hRule="atLeast"/>
                    </w:trPr>
                    <w:tc>
                      <w:tcPr>
                        <w:tcW w:w="4232" w:type="dxa"/>
                      </w:tcPr>
                      <w:p>
                        <w:pPr>
                          <w:pStyle w:val="TableParagraph"/>
                          <w:spacing w:before="25"/>
                          <w:ind w:left="107"/>
                          <w:rPr>
                            <w:rFonts w:ascii="宋体" w:eastAsia="宋体" w:hint="eastAsia"/>
                            <w:sz w:val="21"/>
                          </w:rPr>
                        </w:pPr>
                        <w:r>
                          <w:rPr>
                            <w:rFonts w:ascii="宋体" w:eastAsia="宋体" w:hint="eastAsia"/>
                            <w:sz w:val="21"/>
                          </w:rPr>
                          <w:t>赎回费用（</w:t>
                        </w:r>
                        <w:r>
                          <w:rPr>
                            <w:sz w:val="21"/>
                          </w:rPr>
                          <w:t>N</w:t>
                        </w:r>
                        <w:r>
                          <w:rPr>
                            <w:rFonts w:ascii="宋体" w:eastAsia="宋体" w:hint="eastAsia"/>
                            <w:sz w:val="21"/>
                          </w:rPr>
                          <w:t>）</w:t>
                        </w:r>
                      </w:p>
                    </w:tc>
                    <w:tc>
                      <w:tcPr>
                        <w:tcW w:w="3212" w:type="dxa"/>
                      </w:tcPr>
                      <w:p>
                        <w:pPr>
                          <w:pStyle w:val="TableParagraph"/>
                          <w:spacing w:before="30"/>
                          <w:ind w:right="95"/>
                          <w:jc w:val="right"/>
                          <w:rPr>
                            <w:sz w:val="21"/>
                          </w:rPr>
                        </w:pPr>
                        <w:r>
                          <w:rPr>
                            <w:sz w:val="21"/>
                          </w:rPr>
                          <w:t>0.00</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适用后端申购费率（</w:t>
                        </w:r>
                        <w:r>
                          <w:rPr>
                            <w:sz w:val="21"/>
                          </w:rPr>
                          <w:t>O</w:t>
                        </w:r>
                        <w:r>
                          <w:rPr>
                            <w:rFonts w:ascii="宋体" w:eastAsia="宋体" w:hint="eastAsia"/>
                            <w:sz w:val="21"/>
                          </w:rPr>
                          <w:t>）</w:t>
                        </w:r>
                      </w:p>
                    </w:tc>
                    <w:tc>
                      <w:tcPr>
                        <w:tcW w:w="3212" w:type="dxa"/>
                      </w:tcPr>
                      <w:p>
                        <w:pPr>
                          <w:pStyle w:val="TableParagraph"/>
                          <w:spacing w:before="28"/>
                          <w:ind w:right="94"/>
                          <w:jc w:val="right"/>
                          <w:rPr>
                            <w:sz w:val="21"/>
                          </w:rPr>
                        </w:pPr>
                        <w:r>
                          <w:rPr>
                            <w:sz w:val="21"/>
                          </w:rPr>
                          <w:t>1.2%</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pacing w:val="-2"/>
                            <w:w w:val="100"/>
                            <w:sz w:val="21"/>
                          </w:rPr>
                          <w:t>后端申购费</w:t>
                        </w:r>
                        <w:r>
                          <w:rPr>
                            <w:rFonts w:ascii="宋体" w:eastAsia="宋体" w:hint="eastAsia"/>
                            <w:spacing w:val="-1"/>
                            <w:w w:val="100"/>
                            <w:sz w:val="21"/>
                          </w:rPr>
                          <w:t>（</w:t>
                        </w:r>
                        <w:r>
                          <w:rPr>
                            <w:spacing w:val="-2"/>
                            <w:w w:val="100"/>
                            <w:sz w:val="21"/>
                          </w:rPr>
                          <w:t>P=</w:t>
                        </w:r>
                        <w:r>
                          <w:rPr>
                            <w:w w:val="100"/>
                            <w:sz w:val="21"/>
                          </w:rPr>
                          <w:t>K*I</w:t>
                        </w:r>
                        <w:r>
                          <w:rPr>
                            <w:spacing w:val="-3"/>
                            <w:w w:val="100"/>
                            <w:sz w:val="21"/>
                          </w:rPr>
                          <w:t>*</w:t>
                        </w:r>
                        <w:r>
                          <w:rPr>
                            <w:spacing w:val="-1"/>
                            <w:w w:val="100"/>
                            <w:sz w:val="21"/>
                          </w:rPr>
                          <w:t>O/</w:t>
                        </w:r>
                        <w:r>
                          <w:rPr>
                            <w:rFonts w:ascii="宋体" w:eastAsia="宋体" w:hint="eastAsia"/>
                            <w:spacing w:val="-3"/>
                            <w:w w:val="100"/>
                            <w:sz w:val="21"/>
                          </w:rPr>
                          <w:t>（</w:t>
                        </w:r>
                        <w:r>
                          <w:rPr>
                            <w:spacing w:val="-2"/>
                            <w:w w:val="100"/>
                            <w:sz w:val="21"/>
                          </w:rPr>
                          <w:t>1</w:t>
                        </w:r>
                        <w:r>
                          <w:rPr>
                            <w:w w:val="100"/>
                            <w:sz w:val="21"/>
                          </w:rPr>
                          <w:t>+</w:t>
                        </w:r>
                        <w:r>
                          <w:rPr>
                            <w:spacing w:val="-1"/>
                            <w:w w:val="100"/>
                            <w:sz w:val="21"/>
                          </w:rPr>
                          <w:t>O</w:t>
                        </w:r>
                        <w:r>
                          <w:rPr>
                            <w:rFonts w:ascii="宋体" w:eastAsia="宋体" w:hint="eastAsia"/>
                            <w:spacing w:val="-106"/>
                            <w:w w:val="100"/>
                            <w:sz w:val="21"/>
                          </w:rPr>
                          <w:t>）</w:t>
                        </w:r>
                        <w:r>
                          <w:rPr>
                            <w:rFonts w:ascii="宋体" w:eastAsia="宋体" w:hint="eastAsia"/>
                            <w:w w:val="100"/>
                            <w:sz w:val="21"/>
                          </w:rPr>
                          <w:t>）</w:t>
                        </w:r>
                      </w:p>
                    </w:tc>
                    <w:tc>
                      <w:tcPr>
                        <w:tcW w:w="3212" w:type="dxa"/>
                      </w:tcPr>
                      <w:p>
                        <w:pPr>
                          <w:pStyle w:val="TableParagraph"/>
                          <w:spacing w:before="28"/>
                          <w:ind w:right="95"/>
                          <w:jc w:val="right"/>
                          <w:rPr>
                            <w:sz w:val="21"/>
                          </w:rPr>
                        </w:pPr>
                        <w:r>
                          <w:rPr>
                            <w:sz w:val="21"/>
                          </w:rPr>
                          <w:t>14.16</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赎回金额（</w:t>
                        </w:r>
                        <w:r>
                          <w:rPr>
                            <w:sz w:val="21"/>
                          </w:rPr>
                          <w:t>Q=M-N-P</w:t>
                        </w:r>
                        <w:r>
                          <w:rPr>
                            <w:rFonts w:ascii="宋体" w:eastAsia="宋体" w:hint="eastAsia"/>
                            <w:sz w:val="21"/>
                          </w:rPr>
                          <w:t>）</w:t>
                        </w:r>
                      </w:p>
                    </w:tc>
                    <w:tc>
                      <w:tcPr>
                        <w:tcW w:w="3212" w:type="dxa"/>
                      </w:tcPr>
                      <w:p>
                        <w:pPr>
                          <w:pStyle w:val="TableParagraph"/>
                          <w:spacing w:before="28"/>
                          <w:ind w:right="97"/>
                          <w:jc w:val="right"/>
                          <w:rPr>
                            <w:sz w:val="21"/>
                          </w:rPr>
                        </w:pPr>
                        <w:r>
                          <w:rPr>
                            <w:sz w:val="21"/>
                          </w:rPr>
                          <w:t>1,020.64</w:t>
                        </w:r>
                      </w:p>
                    </w:tc>
                  </w:tr>
                </w:tbl>
                <w:p>
                  <w:pPr>
                    <w:pStyle w:val="BodyText"/>
                  </w:pPr>
                </w:p>
              </w:txbxContent>
            </v:textbox>
            <w10:wrap type="none"/>
          </v:shape>
        </w:pict>
      </w:r>
      <w:r>
        <w:rPr>
          <w:spacing w:val="-10"/>
        </w:rPr>
        <w:t>若投资者在 </w:t>
      </w:r>
      <w:r>
        <w:rPr>
          <w:rFonts w:ascii="Calibri" w:eastAsia="Calibri"/>
        </w:rPr>
        <w:t>2011 </w:t>
      </w:r>
      <w:r>
        <w:rPr>
          <w:spacing w:val="-24"/>
        </w:rPr>
        <w:t>年 </w:t>
      </w:r>
      <w:r>
        <w:rPr>
          <w:rFonts w:ascii="Calibri" w:eastAsia="Calibri"/>
        </w:rPr>
        <w:t>1 </w:t>
      </w:r>
      <w:r>
        <w:rPr>
          <w:spacing w:val="-26"/>
        </w:rPr>
        <w:t>月 </w:t>
      </w:r>
      <w:r>
        <w:rPr>
          <w:rFonts w:ascii="Calibri" w:eastAsia="Calibri"/>
        </w:rPr>
        <w:t>1 </w:t>
      </w:r>
      <w:r>
        <w:rPr>
          <w:spacing w:val="-6"/>
        </w:rPr>
        <w:t>日赎回乙基金，则赎回时乙基金持有期在 </w:t>
      </w:r>
      <w:r>
        <w:rPr>
          <w:rFonts w:ascii="Calibri" w:eastAsia="Calibri"/>
        </w:rPr>
        <w:t>1 </w:t>
      </w:r>
      <w:r>
        <w:rPr>
          <w:spacing w:val="-3"/>
        </w:rPr>
        <w:t>年之内，适用后</w:t>
      </w:r>
      <w:r>
        <w:rPr>
          <w:spacing w:val="-9"/>
        </w:rPr>
        <w:t>端申购费率为 </w:t>
      </w:r>
      <w:r>
        <w:rPr>
          <w:rFonts w:ascii="Calibri" w:eastAsia="Calibri"/>
        </w:rPr>
        <w:t>1.2%</w:t>
      </w:r>
      <w:r>
        <w:rPr>
          <w:spacing w:val="-5"/>
        </w:rPr>
        <w:t>，此时赎回乙基金不收取赎回费，该日乙基金基金份额净值为 </w:t>
      </w:r>
      <w:r>
        <w:rPr>
          <w:rFonts w:ascii="Calibri" w:eastAsia="Calibri"/>
        </w:rPr>
        <w:t>1.300 </w:t>
      </w:r>
      <w:r>
        <w:rPr/>
        <w:t>元。</w:t>
      </w:r>
      <w:r>
        <w:rPr>
          <w:spacing w:val="-3"/>
        </w:rPr>
        <w:t>则赎回金额计算如下：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pPr>
    </w:p>
    <w:p>
      <w:pPr>
        <w:pStyle w:val="BodyText"/>
        <w:spacing w:line="417" w:lineRule="auto"/>
        <w:ind w:left="160" w:right="765" w:firstLine="419"/>
      </w:pPr>
      <w:r>
        <w:rPr>
          <w:spacing w:val="-6"/>
        </w:rPr>
        <w:t>例四：假定投资者在 </w:t>
      </w:r>
      <w:r>
        <w:rPr>
          <w:rFonts w:ascii="Calibri" w:eastAsia="Calibri"/>
        </w:rPr>
        <w:t>T </w:t>
      </w:r>
      <w:r>
        <w:rPr>
          <w:spacing w:val="-6"/>
        </w:rPr>
        <w:t>日转出前端收费基金甲 </w:t>
      </w:r>
      <w:r>
        <w:rPr>
          <w:rFonts w:ascii="Calibri" w:eastAsia="Calibri"/>
        </w:rPr>
        <w:t>1,000 </w:t>
      </w:r>
      <w:r>
        <w:rPr>
          <w:spacing w:val="-3"/>
        </w:rPr>
        <w:t>份，转入不收取申购费用基金乙。</w:t>
      </w:r>
      <w:r>
        <w:rPr>
          <w:rFonts w:ascii="Calibri" w:eastAsia="Calibri"/>
          <w:spacing w:val="-3"/>
        </w:rPr>
        <w:t>T </w:t>
      </w:r>
      <w:r>
        <w:rPr>
          <w:spacing w:val="-10"/>
        </w:rPr>
        <w:t>日甲、乙基金基金份额净值分别为 </w:t>
      </w:r>
      <w:r>
        <w:rPr>
          <w:rFonts w:ascii="Calibri" w:eastAsia="Calibri"/>
        </w:rPr>
        <w:t>1.300</w:t>
      </w:r>
      <w:r>
        <w:rPr>
          <w:spacing w:val="-27"/>
        </w:rPr>
        <w:t>、</w:t>
      </w:r>
      <w:r>
        <w:rPr>
          <w:rFonts w:ascii="Calibri" w:eastAsia="Calibri"/>
        </w:rPr>
        <w:t>1.500 </w:t>
      </w:r>
      <w:r>
        <w:rPr>
          <w:spacing w:val="-11"/>
        </w:rPr>
        <w:t>元。甲基金赎回费率为 </w:t>
      </w:r>
      <w:r>
        <w:rPr>
          <w:rFonts w:ascii="Calibri" w:eastAsia="Calibri"/>
        </w:rPr>
        <w:t>0.5%</w:t>
      </w:r>
      <w:r>
        <w:rPr>
          <w:spacing w:val="-7"/>
        </w:rPr>
        <w:t>。则转出基金</w:t>
      </w:r>
      <w:r>
        <w:rPr>
          <w:spacing w:val="-5"/>
        </w:rPr>
        <w:t>费用、转入基金费用及份额计算如下：</w:t>
      </w:r>
    </w:p>
    <w:p>
      <w:pPr>
        <w:spacing w:after="0" w:line="417" w:lineRule="auto"/>
        <w:sectPr>
          <w:pgSz w:w="11910" w:h="16840"/>
          <w:pgMar w:header="877" w:footer="995" w:top="1420" w:bottom="1180" w:left="1640" w:right="920"/>
        </w:sectPr>
      </w:pPr>
    </w:p>
    <w:tbl>
      <w:tblPr>
        <w:tblW w:w="0" w:type="auto"/>
        <w:jc w:val="left"/>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2" w:hRule="atLeast"/>
        </w:trPr>
        <w:tc>
          <w:tcPr>
            <w:tcW w:w="4244" w:type="dxa"/>
          </w:tcPr>
          <w:p>
            <w:pPr>
              <w:pStyle w:val="TableParagraph"/>
              <w:spacing w:before="23"/>
              <w:ind w:left="1681" w:right="1671"/>
              <w:jc w:val="center"/>
              <w:rPr>
                <w:rFonts w:ascii="宋体" w:eastAsia="宋体" w:hint="eastAsia"/>
                <w:sz w:val="21"/>
              </w:rPr>
            </w:pPr>
            <w:r>
              <w:rPr>
                <w:rFonts w:ascii="宋体" w:eastAsia="宋体" w:hint="eastAsia"/>
                <w:sz w:val="21"/>
              </w:rPr>
              <w:t>项目</w:t>
            </w:r>
          </w:p>
        </w:tc>
        <w:tc>
          <w:tcPr>
            <w:tcW w:w="3224" w:type="dxa"/>
          </w:tcPr>
          <w:p>
            <w:pPr>
              <w:pStyle w:val="TableParagraph"/>
              <w:spacing w:before="23"/>
              <w:ind w:left="1169" w:right="1160"/>
              <w:jc w:val="center"/>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4" w:type="dxa"/>
          </w:tcPr>
          <w:p>
            <w:pPr>
              <w:pStyle w:val="TableParagraph"/>
              <w:spacing w:before="28"/>
              <w:ind w:right="97"/>
              <w:jc w:val="right"/>
              <w:rPr>
                <w:sz w:val="21"/>
              </w:rPr>
            </w:pPr>
            <w:r>
              <w:rPr>
                <w:sz w:val="21"/>
              </w:rPr>
              <w:t>1,000.00</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4" w:type="dxa"/>
          </w:tcPr>
          <w:p>
            <w:pPr>
              <w:pStyle w:val="TableParagraph"/>
              <w:spacing w:before="28"/>
              <w:ind w:right="95"/>
              <w:jc w:val="right"/>
              <w:rPr>
                <w:sz w:val="21"/>
              </w:rPr>
            </w:pPr>
            <w:r>
              <w:rPr>
                <w:sz w:val="21"/>
              </w:rPr>
              <w:t>1.300</w:t>
            </w:r>
          </w:p>
        </w:tc>
      </w:tr>
      <w:tr>
        <w:trPr>
          <w:trHeight w:val="313" w:hRule="atLeast"/>
        </w:trPr>
        <w:tc>
          <w:tcPr>
            <w:tcW w:w="4244" w:type="dxa"/>
          </w:tcPr>
          <w:p>
            <w:pPr>
              <w:pStyle w:val="TableParagraph"/>
              <w:spacing w:before="25"/>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4" w:type="dxa"/>
          </w:tcPr>
          <w:p>
            <w:pPr>
              <w:pStyle w:val="TableParagraph"/>
              <w:spacing w:before="30"/>
              <w:ind w:right="97"/>
              <w:jc w:val="right"/>
              <w:rPr>
                <w:sz w:val="21"/>
              </w:rPr>
            </w:pPr>
            <w:r>
              <w:rPr>
                <w:sz w:val="21"/>
              </w:rPr>
              <w:t>1,300.00</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4" w:type="dxa"/>
          </w:tcPr>
          <w:p>
            <w:pPr>
              <w:pStyle w:val="TableParagraph"/>
              <w:spacing w:before="28"/>
              <w:ind w:right="94"/>
              <w:jc w:val="right"/>
              <w:rPr>
                <w:sz w:val="21"/>
              </w:rPr>
            </w:pPr>
            <w:r>
              <w:rPr>
                <w:sz w:val="21"/>
              </w:rPr>
              <w:t>0.5%</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4" w:type="dxa"/>
          </w:tcPr>
          <w:p>
            <w:pPr>
              <w:pStyle w:val="TableParagraph"/>
              <w:spacing w:before="28"/>
              <w:ind w:right="95"/>
              <w:jc w:val="right"/>
              <w:rPr>
                <w:sz w:val="21"/>
              </w:rPr>
            </w:pPr>
            <w:r>
              <w:rPr>
                <w:sz w:val="21"/>
              </w:rPr>
              <w:t>6.50</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4" w:type="dxa"/>
          </w:tcPr>
          <w:p>
            <w:pPr>
              <w:pStyle w:val="TableParagraph"/>
              <w:spacing w:before="28"/>
              <w:ind w:right="97"/>
              <w:jc w:val="right"/>
              <w:rPr>
                <w:sz w:val="21"/>
              </w:rPr>
            </w:pPr>
            <w:r>
              <w:rPr>
                <w:sz w:val="21"/>
              </w:rPr>
              <w:t>1,293.50</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24" w:type="dxa"/>
          </w:tcPr>
          <w:p>
            <w:pPr>
              <w:pStyle w:val="TableParagraph"/>
              <w:spacing w:before="28"/>
              <w:ind w:right="95"/>
              <w:jc w:val="right"/>
              <w:rPr>
                <w:sz w:val="21"/>
              </w:rPr>
            </w:pPr>
            <w:r>
              <w:rPr>
                <w:sz w:val="21"/>
              </w:rPr>
              <w:t>0.00</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24" w:type="dxa"/>
          </w:tcPr>
          <w:p>
            <w:pPr>
              <w:pStyle w:val="TableParagraph"/>
              <w:spacing w:before="28"/>
              <w:ind w:right="97"/>
              <w:jc w:val="right"/>
              <w:rPr>
                <w:sz w:val="21"/>
              </w:rPr>
            </w:pPr>
            <w:r>
              <w:rPr>
                <w:sz w:val="21"/>
              </w:rPr>
              <w:t>1,293.50</w:t>
            </w:r>
          </w:p>
        </w:tc>
      </w:tr>
      <w:tr>
        <w:trPr>
          <w:trHeight w:val="314" w:hRule="atLeast"/>
        </w:trPr>
        <w:tc>
          <w:tcPr>
            <w:tcW w:w="4244" w:type="dxa"/>
          </w:tcPr>
          <w:p>
            <w:pPr>
              <w:pStyle w:val="TableParagraph"/>
              <w:spacing w:before="25"/>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24" w:type="dxa"/>
          </w:tcPr>
          <w:p>
            <w:pPr>
              <w:pStyle w:val="TableParagraph"/>
              <w:spacing w:before="30"/>
              <w:ind w:right="95"/>
              <w:jc w:val="right"/>
              <w:rPr>
                <w:sz w:val="21"/>
              </w:rPr>
            </w:pPr>
            <w:r>
              <w:rPr>
                <w:sz w:val="21"/>
              </w:rPr>
              <w:t>1.500</w:t>
            </w:r>
          </w:p>
        </w:tc>
      </w:tr>
      <w:tr>
        <w:trPr>
          <w:trHeight w:val="312" w:hRule="atLeast"/>
        </w:trPr>
        <w:tc>
          <w:tcPr>
            <w:tcW w:w="4244" w:type="dxa"/>
          </w:tcPr>
          <w:p>
            <w:pPr>
              <w:pStyle w:val="TableParagraph"/>
              <w:spacing w:before="23"/>
              <w:ind w:left="107"/>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24" w:type="dxa"/>
          </w:tcPr>
          <w:p>
            <w:pPr>
              <w:pStyle w:val="TableParagraph"/>
              <w:spacing w:before="28"/>
              <w:ind w:right="95"/>
              <w:jc w:val="right"/>
              <w:rPr>
                <w:sz w:val="21"/>
              </w:rPr>
            </w:pPr>
            <w:r>
              <w:rPr>
                <w:sz w:val="21"/>
              </w:rPr>
              <w:t>862.33</w:t>
            </w:r>
          </w:p>
        </w:tc>
      </w:tr>
    </w:tbl>
    <w:p>
      <w:pPr>
        <w:pStyle w:val="BodyText"/>
        <w:spacing w:line="417" w:lineRule="auto" w:before="109"/>
        <w:ind w:left="160" w:right="871" w:firstLine="419"/>
        <w:jc w:val="both"/>
      </w:pPr>
      <w:r>
        <w:rPr>
          <w:spacing w:val="2"/>
          <w:w w:val="100"/>
        </w:rPr>
        <w:t>例五：假定投资者在</w:t>
      </w:r>
      <w:r>
        <w:rPr>
          <w:rFonts w:ascii="Calibri" w:eastAsia="Calibri"/>
          <w:w w:val="100"/>
        </w:rPr>
        <w:t>T</w:t>
      </w:r>
      <w:r>
        <w:rPr>
          <w:rFonts w:ascii="Calibri" w:eastAsia="Calibri"/>
        </w:rPr>
        <w:t> </w:t>
      </w:r>
      <w:r>
        <w:rPr>
          <w:spacing w:val="-2"/>
          <w:w w:val="100"/>
        </w:rPr>
        <w:t>日转出</w:t>
      </w:r>
      <w:r>
        <w:rPr>
          <w:spacing w:val="-55"/>
        </w:rPr>
        <w:t> </w:t>
      </w:r>
      <w:r>
        <w:rPr>
          <w:rFonts w:ascii="Calibri" w:eastAsia="Calibri"/>
          <w:w w:val="100"/>
        </w:rPr>
        <w:t>10</w:t>
      </w:r>
      <w:r>
        <w:rPr>
          <w:rFonts w:ascii="Calibri" w:eastAsia="Calibri"/>
          <w:spacing w:val="-3"/>
          <w:w w:val="100"/>
        </w:rPr>
        <w:t>,</w:t>
      </w:r>
      <w:r>
        <w:rPr>
          <w:rFonts w:ascii="Calibri" w:eastAsia="Calibri"/>
          <w:spacing w:val="-2"/>
          <w:w w:val="100"/>
        </w:rPr>
        <w:t>0</w:t>
      </w:r>
      <w:r>
        <w:rPr>
          <w:rFonts w:ascii="Calibri" w:eastAsia="Calibri"/>
          <w:w w:val="100"/>
        </w:rPr>
        <w:t>00</w:t>
      </w:r>
      <w:r>
        <w:rPr>
          <w:rFonts w:ascii="Calibri" w:eastAsia="Calibri"/>
          <w:spacing w:val="-3"/>
          <w:w w:val="100"/>
        </w:rPr>
        <w:t>,</w:t>
      </w:r>
      <w:r>
        <w:rPr>
          <w:rFonts w:ascii="Calibri" w:eastAsia="Calibri"/>
          <w:spacing w:val="-2"/>
          <w:w w:val="100"/>
        </w:rPr>
        <w:t>0</w:t>
      </w:r>
      <w:r>
        <w:rPr>
          <w:rFonts w:ascii="Calibri" w:eastAsia="Calibri"/>
          <w:w w:val="100"/>
        </w:rPr>
        <w:t>00</w:t>
      </w:r>
      <w:r>
        <w:rPr>
          <w:rFonts w:ascii="Calibri" w:eastAsia="Calibri"/>
        </w:rPr>
        <w:t> </w:t>
      </w:r>
      <w:r>
        <w:rPr>
          <w:spacing w:val="-3"/>
          <w:w w:val="100"/>
        </w:rPr>
        <w:t>份甲基金基金份额（前端收费模式</w:t>
      </w:r>
      <w:r>
        <w:rPr>
          <w:spacing w:val="-108"/>
          <w:w w:val="100"/>
        </w:rPr>
        <w:t>）</w:t>
      </w:r>
      <w:r>
        <w:rPr>
          <w:spacing w:val="-1"/>
          <w:w w:val="100"/>
        </w:rPr>
        <w:t>，甲基金</w:t>
      </w:r>
      <w:r>
        <w:rPr>
          <w:spacing w:val="-8"/>
        </w:rPr>
        <w:t>申购费率适用固定费用，该日甲基金基金份额净值为 </w:t>
      </w:r>
      <w:r>
        <w:rPr>
          <w:rFonts w:ascii="Calibri" w:eastAsia="Calibri"/>
        </w:rPr>
        <w:t>1.200 </w:t>
      </w:r>
      <w:r>
        <w:rPr>
          <w:spacing w:val="-7"/>
        </w:rPr>
        <w:t>元。甲基金前端申购费率最高档</w:t>
      </w:r>
      <w:r>
        <w:rPr>
          <w:spacing w:val="-30"/>
        </w:rPr>
        <w:t>为 </w:t>
      </w:r>
      <w:r>
        <w:rPr>
          <w:rFonts w:ascii="Calibri" w:eastAsia="Calibri"/>
        </w:rPr>
        <w:t>1.2%</w:t>
      </w:r>
      <w:r>
        <w:rPr>
          <w:spacing w:val="-11"/>
        </w:rPr>
        <w:t>，赎回费率为 </w:t>
      </w:r>
      <w:r>
        <w:rPr>
          <w:rFonts w:ascii="Calibri" w:eastAsia="Calibri"/>
        </w:rPr>
        <w:t>0.5%</w:t>
      </w:r>
      <w:r>
        <w:rPr/>
        <w:t>。</w:t>
      </w:r>
    </w:p>
    <w:p>
      <w:pPr>
        <w:pStyle w:val="ListParagraph"/>
        <w:numPr>
          <w:ilvl w:val="0"/>
          <w:numId w:val="17"/>
        </w:numPr>
        <w:tabs>
          <w:tab w:pos="1112" w:val="left" w:leader="none"/>
        </w:tabs>
        <w:spacing w:line="417" w:lineRule="auto" w:before="0" w:after="0"/>
        <w:ind w:left="160" w:right="873" w:firstLine="419"/>
        <w:jc w:val="both"/>
        <w:rPr>
          <w:sz w:val="21"/>
        </w:rPr>
      </w:pPr>
      <w:r>
        <w:rPr/>
        <w:pict>
          <v:shape style="position:absolute;margin-left:110.540001pt;margin-top:65.219986pt;width:374.6pt;height:193.75pt;mso-position-horizontal-relative:page;mso-position-vertical-relative:paragraph;z-index:25168076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6"/>
                    <w:gridCol w:w="3212"/>
                  </w:tblGrid>
                  <w:tr>
                    <w:trPr>
                      <w:trHeight w:val="311" w:hRule="atLeast"/>
                    </w:trPr>
                    <w:tc>
                      <w:tcPr>
                        <w:tcW w:w="4266" w:type="dxa"/>
                      </w:tcPr>
                      <w:p>
                        <w:pPr>
                          <w:pStyle w:val="TableParagraph"/>
                          <w:ind w:left="1901" w:right="1894"/>
                          <w:jc w:val="center"/>
                          <w:rPr>
                            <w:rFonts w:ascii="宋体" w:eastAsia="宋体" w:hint="eastAsia"/>
                            <w:sz w:val="21"/>
                          </w:rPr>
                        </w:pPr>
                        <w:r>
                          <w:rPr>
                            <w:rFonts w:ascii="宋体" w:eastAsia="宋体" w:hint="eastAsia"/>
                            <w:sz w:val="21"/>
                          </w:rPr>
                          <w:t>项目</w:t>
                        </w:r>
                      </w:p>
                    </w:tc>
                    <w:tc>
                      <w:tcPr>
                        <w:tcW w:w="3212" w:type="dxa"/>
                      </w:tcPr>
                      <w:p>
                        <w:pPr>
                          <w:pStyle w:val="TableParagraph"/>
                          <w:ind w:left="1108" w:right="1098"/>
                          <w:jc w:val="center"/>
                          <w:rPr>
                            <w:rFonts w:ascii="宋体" w:eastAsia="宋体" w:hint="eastAsia"/>
                            <w:sz w:val="21"/>
                          </w:rPr>
                        </w:pPr>
                        <w:r>
                          <w:rPr>
                            <w:rFonts w:ascii="宋体" w:eastAsia="宋体" w:hint="eastAsia"/>
                            <w:sz w:val="21"/>
                          </w:rPr>
                          <w:t>费用计算</w:t>
                        </w:r>
                      </w:p>
                    </w:tc>
                  </w:tr>
                  <w:tr>
                    <w:trPr>
                      <w:trHeight w:val="312" w:hRule="atLeast"/>
                    </w:trPr>
                    <w:tc>
                      <w:tcPr>
                        <w:tcW w:w="4266" w:type="dxa"/>
                      </w:tcPr>
                      <w:p>
                        <w:pPr>
                          <w:pStyle w:val="TableParagraph"/>
                          <w:spacing w:before="23"/>
                          <w:ind w:left="105"/>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2" w:type="dxa"/>
                      </w:tcPr>
                      <w:p>
                        <w:pPr>
                          <w:pStyle w:val="TableParagraph"/>
                          <w:spacing w:before="28"/>
                          <w:ind w:right="96"/>
                          <w:jc w:val="right"/>
                          <w:rPr>
                            <w:sz w:val="21"/>
                          </w:rPr>
                        </w:pPr>
                        <w:r>
                          <w:rPr>
                            <w:sz w:val="21"/>
                          </w:rPr>
                          <w:t>10,000,000.00</w:t>
                        </w:r>
                      </w:p>
                    </w:tc>
                  </w:tr>
                  <w:tr>
                    <w:trPr>
                      <w:trHeight w:val="311" w:hRule="atLeast"/>
                    </w:trPr>
                    <w:tc>
                      <w:tcPr>
                        <w:tcW w:w="4266" w:type="dxa"/>
                      </w:tcPr>
                      <w:p>
                        <w:pPr>
                          <w:pStyle w:val="TableParagraph"/>
                          <w:ind w:left="105"/>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2" w:type="dxa"/>
                      </w:tcPr>
                      <w:p>
                        <w:pPr>
                          <w:pStyle w:val="TableParagraph"/>
                          <w:spacing w:before="28"/>
                          <w:ind w:right="95"/>
                          <w:jc w:val="right"/>
                          <w:rPr>
                            <w:sz w:val="21"/>
                          </w:rPr>
                        </w:pPr>
                        <w:r>
                          <w:rPr>
                            <w:sz w:val="21"/>
                          </w:rPr>
                          <w:t>1.200</w:t>
                        </w:r>
                      </w:p>
                    </w:tc>
                  </w:tr>
                  <w:tr>
                    <w:trPr>
                      <w:trHeight w:val="313" w:hRule="atLeast"/>
                    </w:trPr>
                    <w:tc>
                      <w:tcPr>
                        <w:tcW w:w="4266" w:type="dxa"/>
                      </w:tcPr>
                      <w:p>
                        <w:pPr>
                          <w:pStyle w:val="TableParagraph"/>
                          <w:spacing w:before="25"/>
                          <w:ind w:left="105"/>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2" w:type="dxa"/>
                      </w:tcPr>
                      <w:p>
                        <w:pPr>
                          <w:pStyle w:val="TableParagraph"/>
                          <w:spacing w:before="30"/>
                          <w:ind w:right="96"/>
                          <w:jc w:val="right"/>
                          <w:rPr>
                            <w:sz w:val="21"/>
                          </w:rPr>
                        </w:pPr>
                        <w:r>
                          <w:rPr>
                            <w:sz w:val="21"/>
                          </w:rPr>
                          <w:t>12,000,000.00</w:t>
                        </w:r>
                      </w:p>
                    </w:tc>
                  </w:tr>
                  <w:tr>
                    <w:trPr>
                      <w:trHeight w:val="311" w:hRule="atLeast"/>
                    </w:trPr>
                    <w:tc>
                      <w:tcPr>
                        <w:tcW w:w="4266" w:type="dxa"/>
                      </w:tcPr>
                      <w:p>
                        <w:pPr>
                          <w:pStyle w:val="TableParagraph"/>
                          <w:ind w:left="105"/>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2" w:type="dxa"/>
                      </w:tcPr>
                      <w:p>
                        <w:pPr>
                          <w:pStyle w:val="TableParagraph"/>
                          <w:spacing w:before="28"/>
                          <w:ind w:right="94"/>
                          <w:jc w:val="right"/>
                          <w:rPr>
                            <w:sz w:val="21"/>
                          </w:rPr>
                        </w:pPr>
                        <w:r>
                          <w:rPr>
                            <w:sz w:val="21"/>
                          </w:rPr>
                          <w:t>0.5%</w:t>
                        </w:r>
                      </w:p>
                    </w:tc>
                  </w:tr>
                  <w:tr>
                    <w:trPr>
                      <w:trHeight w:val="311" w:hRule="atLeast"/>
                    </w:trPr>
                    <w:tc>
                      <w:tcPr>
                        <w:tcW w:w="4266" w:type="dxa"/>
                      </w:tcPr>
                      <w:p>
                        <w:pPr>
                          <w:pStyle w:val="TableParagraph"/>
                          <w:ind w:left="105"/>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2" w:type="dxa"/>
                      </w:tcPr>
                      <w:p>
                        <w:pPr>
                          <w:pStyle w:val="TableParagraph"/>
                          <w:spacing w:before="28"/>
                          <w:ind w:right="96"/>
                          <w:jc w:val="right"/>
                          <w:rPr>
                            <w:sz w:val="21"/>
                          </w:rPr>
                        </w:pPr>
                        <w:r>
                          <w:rPr>
                            <w:sz w:val="21"/>
                          </w:rPr>
                          <w:t>60,000.00</w:t>
                        </w:r>
                      </w:p>
                    </w:tc>
                  </w:tr>
                  <w:tr>
                    <w:trPr>
                      <w:trHeight w:val="311" w:hRule="atLeast"/>
                    </w:trPr>
                    <w:tc>
                      <w:tcPr>
                        <w:tcW w:w="4266" w:type="dxa"/>
                      </w:tcPr>
                      <w:p>
                        <w:pPr>
                          <w:pStyle w:val="TableParagraph"/>
                          <w:ind w:left="105"/>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2" w:type="dxa"/>
                      </w:tcPr>
                      <w:p>
                        <w:pPr>
                          <w:pStyle w:val="TableParagraph"/>
                          <w:spacing w:before="28"/>
                          <w:ind w:right="96"/>
                          <w:jc w:val="right"/>
                          <w:rPr>
                            <w:sz w:val="21"/>
                          </w:rPr>
                        </w:pPr>
                        <w:r>
                          <w:rPr>
                            <w:sz w:val="21"/>
                          </w:rPr>
                          <w:t>11,940,000.00</w:t>
                        </w:r>
                      </w:p>
                    </w:tc>
                  </w:tr>
                  <w:tr>
                    <w:trPr>
                      <w:trHeight w:val="311" w:hRule="atLeast"/>
                    </w:trPr>
                    <w:tc>
                      <w:tcPr>
                        <w:tcW w:w="4266" w:type="dxa"/>
                      </w:tcPr>
                      <w:p>
                        <w:pPr>
                          <w:pStyle w:val="TableParagraph"/>
                          <w:ind w:left="105"/>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12" w:type="dxa"/>
                      </w:tcPr>
                      <w:p>
                        <w:pPr>
                          <w:pStyle w:val="TableParagraph"/>
                          <w:spacing w:before="28"/>
                          <w:ind w:right="95"/>
                          <w:jc w:val="right"/>
                          <w:rPr>
                            <w:sz w:val="21"/>
                          </w:rPr>
                        </w:pPr>
                        <w:r>
                          <w:rPr>
                            <w:sz w:val="21"/>
                          </w:rPr>
                          <w:t>1.5%-1.2%=0.3%</w:t>
                        </w:r>
                      </w:p>
                    </w:tc>
                  </w:tr>
                  <w:tr>
                    <w:trPr>
                      <w:trHeight w:val="311" w:hRule="atLeast"/>
                    </w:trPr>
                    <w:tc>
                      <w:tcPr>
                        <w:tcW w:w="4266" w:type="dxa"/>
                      </w:tcPr>
                      <w:p>
                        <w:pPr>
                          <w:pStyle w:val="TableParagraph"/>
                          <w:ind w:left="105"/>
                          <w:rPr>
                            <w:rFonts w:ascii="宋体" w:eastAsia="宋体" w:hint="eastAsia"/>
                            <w:sz w:val="21"/>
                          </w:rPr>
                        </w:pPr>
                        <w:r>
                          <w:rPr>
                            <w:rFonts w:ascii="宋体" w:eastAsia="宋体" w:hint="eastAsia"/>
                            <w:spacing w:val="-2"/>
                            <w:w w:val="100"/>
                            <w:sz w:val="21"/>
                          </w:rPr>
                          <w:t>净转入金额</w:t>
                        </w:r>
                        <w:r>
                          <w:rPr>
                            <w:rFonts w:ascii="宋体" w:eastAsia="宋体" w:hint="eastAsia"/>
                            <w:spacing w:val="-1"/>
                            <w:w w:val="100"/>
                            <w:sz w:val="21"/>
                          </w:rPr>
                          <w:t>（</w:t>
                        </w:r>
                        <w:r>
                          <w:rPr>
                            <w:spacing w:val="-2"/>
                            <w:w w:val="100"/>
                            <w:sz w:val="21"/>
                          </w:rPr>
                          <w:t>H</w:t>
                        </w:r>
                        <w:r>
                          <w:rPr>
                            <w:w w:val="100"/>
                            <w:sz w:val="21"/>
                          </w:rPr>
                          <w:t>=</w:t>
                        </w:r>
                        <w:r>
                          <w:rPr>
                            <w:spacing w:val="-8"/>
                            <w:w w:val="100"/>
                            <w:sz w:val="21"/>
                          </w:rPr>
                          <w:t>F</w:t>
                        </w:r>
                        <w:r>
                          <w:rPr>
                            <w:w w:val="100"/>
                            <w:sz w:val="21"/>
                          </w:rPr>
                          <w:t>/</w:t>
                        </w:r>
                        <w:r>
                          <w:rPr>
                            <w:rFonts w:ascii="宋体" w:eastAsia="宋体" w:hint="eastAsia"/>
                            <w:spacing w:val="-3"/>
                            <w:w w:val="100"/>
                            <w:sz w:val="21"/>
                          </w:rPr>
                          <w:t>（</w:t>
                        </w:r>
                        <w:r>
                          <w:rPr>
                            <w:w w:val="100"/>
                            <w:sz w:val="21"/>
                          </w:rPr>
                          <w:t>1</w:t>
                        </w:r>
                        <w:r>
                          <w:rPr>
                            <w:spacing w:val="-2"/>
                            <w:w w:val="100"/>
                            <w:sz w:val="21"/>
                          </w:rPr>
                          <w:t>+</w:t>
                        </w:r>
                        <w:r>
                          <w:rPr>
                            <w:spacing w:val="1"/>
                            <w:w w:val="100"/>
                            <w:sz w:val="21"/>
                          </w:rPr>
                          <w:t>G</w:t>
                        </w:r>
                        <w:r>
                          <w:rPr>
                            <w:rFonts w:ascii="宋体" w:eastAsia="宋体" w:hint="eastAsia"/>
                            <w:spacing w:val="-108"/>
                            <w:w w:val="100"/>
                            <w:sz w:val="21"/>
                          </w:rPr>
                          <w:t>）</w:t>
                        </w:r>
                        <w:r>
                          <w:rPr>
                            <w:rFonts w:ascii="宋体" w:eastAsia="宋体" w:hint="eastAsia"/>
                            <w:w w:val="100"/>
                            <w:sz w:val="21"/>
                          </w:rPr>
                          <w:t>）</w:t>
                        </w:r>
                      </w:p>
                    </w:tc>
                    <w:tc>
                      <w:tcPr>
                        <w:tcW w:w="3212" w:type="dxa"/>
                      </w:tcPr>
                      <w:p>
                        <w:pPr>
                          <w:pStyle w:val="TableParagraph"/>
                          <w:spacing w:before="28"/>
                          <w:ind w:right="96"/>
                          <w:jc w:val="right"/>
                          <w:rPr>
                            <w:sz w:val="21"/>
                          </w:rPr>
                        </w:pPr>
                        <w:r>
                          <w:rPr>
                            <w:sz w:val="21"/>
                          </w:rPr>
                          <w:t>11,904,287.14</w:t>
                        </w:r>
                      </w:p>
                    </w:tc>
                  </w:tr>
                  <w:tr>
                    <w:trPr>
                      <w:trHeight w:val="314" w:hRule="atLeast"/>
                    </w:trPr>
                    <w:tc>
                      <w:tcPr>
                        <w:tcW w:w="4266" w:type="dxa"/>
                      </w:tcPr>
                      <w:p>
                        <w:pPr>
                          <w:pStyle w:val="TableParagraph"/>
                          <w:spacing w:before="25"/>
                          <w:ind w:left="105"/>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12" w:type="dxa"/>
                      </w:tcPr>
                      <w:p>
                        <w:pPr>
                          <w:pStyle w:val="TableParagraph"/>
                          <w:spacing w:before="30"/>
                          <w:ind w:right="96"/>
                          <w:jc w:val="right"/>
                          <w:rPr>
                            <w:sz w:val="21"/>
                          </w:rPr>
                        </w:pPr>
                        <w:r>
                          <w:rPr>
                            <w:sz w:val="21"/>
                          </w:rPr>
                          <w:t>35,712.86</w:t>
                        </w:r>
                      </w:p>
                    </w:tc>
                  </w:tr>
                  <w:tr>
                    <w:trPr>
                      <w:trHeight w:val="311" w:hRule="atLeast"/>
                    </w:trPr>
                    <w:tc>
                      <w:tcPr>
                        <w:tcW w:w="4266" w:type="dxa"/>
                      </w:tcPr>
                      <w:p>
                        <w:pPr>
                          <w:pStyle w:val="TableParagraph"/>
                          <w:ind w:left="105"/>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12" w:type="dxa"/>
                      </w:tcPr>
                      <w:p>
                        <w:pPr>
                          <w:pStyle w:val="TableParagraph"/>
                          <w:spacing w:before="28"/>
                          <w:ind w:right="95"/>
                          <w:jc w:val="right"/>
                          <w:rPr>
                            <w:sz w:val="21"/>
                          </w:rPr>
                        </w:pPr>
                        <w:r>
                          <w:rPr>
                            <w:sz w:val="21"/>
                          </w:rPr>
                          <w:t>1.300</w:t>
                        </w:r>
                      </w:p>
                    </w:tc>
                  </w:tr>
                  <w:tr>
                    <w:trPr>
                      <w:trHeight w:val="312" w:hRule="atLeast"/>
                    </w:trPr>
                    <w:tc>
                      <w:tcPr>
                        <w:tcW w:w="4266" w:type="dxa"/>
                      </w:tcPr>
                      <w:p>
                        <w:pPr>
                          <w:pStyle w:val="TableParagraph"/>
                          <w:spacing w:before="23"/>
                          <w:ind w:left="105"/>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12" w:type="dxa"/>
                      </w:tcPr>
                      <w:p>
                        <w:pPr>
                          <w:pStyle w:val="TableParagraph"/>
                          <w:spacing w:before="28"/>
                          <w:ind w:right="96"/>
                          <w:jc w:val="right"/>
                          <w:rPr>
                            <w:sz w:val="21"/>
                          </w:rPr>
                        </w:pPr>
                        <w:r>
                          <w:rPr>
                            <w:sz w:val="21"/>
                          </w:rPr>
                          <w:t>9,157,143.95</w:t>
                        </w:r>
                      </w:p>
                    </w:tc>
                  </w:tr>
                </w:tbl>
                <w:p>
                  <w:pPr>
                    <w:pStyle w:val="BodyText"/>
                  </w:pPr>
                </w:p>
              </w:txbxContent>
            </v:textbox>
            <w10:wrap type="none"/>
          </v:shape>
        </w:pict>
      </w:r>
      <w:r>
        <w:rPr>
          <w:spacing w:val="-18"/>
          <w:sz w:val="21"/>
        </w:rPr>
        <w:t>若 </w:t>
      </w:r>
      <w:r>
        <w:rPr>
          <w:rFonts w:ascii="Calibri" w:eastAsia="Calibri"/>
          <w:sz w:val="21"/>
        </w:rPr>
        <w:t>T</w:t>
      </w:r>
      <w:r>
        <w:rPr>
          <w:rFonts w:ascii="Calibri" w:eastAsia="Calibri"/>
          <w:spacing w:val="21"/>
          <w:sz w:val="21"/>
        </w:rPr>
        <w:t> </w:t>
      </w:r>
      <w:r>
        <w:rPr>
          <w:spacing w:val="-7"/>
          <w:sz w:val="21"/>
        </w:rPr>
        <w:t>日转入乙基金</w:t>
      </w:r>
      <w:r>
        <w:rPr>
          <w:spacing w:val="-3"/>
          <w:sz w:val="21"/>
        </w:rPr>
        <w:t>（</w:t>
      </w:r>
      <w:r>
        <w:rPr>
          <w:spacing w:val="-2"/>
          <w:sz w:val="21"/>
        </w:rPr>
        <w:t>前端收费模式</w:t>
      </w:r>
      <w:r>
        <w:rPr>
          <w:spacing w:val="-67"/>
          <w:sz w:val="21"/>
        </w:rPr>
        <w:t>）</w:t>
      </w:r>
      <w:r>
        <w:rPr>
          <w:spacing w:val="-12"/>
          <w:sz w:val="21"/>
        </w:rPr>
        <w:t>，且乙基金申购费率适用比例费率，乙基金前</w:t>
      </w:r>
      <w:r>
        <w:rPr>
          <w:spacing w:val="-10"/>
          <w:sz w:val="21"/>
        </w:rPr>
        <w:t>端申购费率最高档为 </w:t>
      </w:r>
      <w:r>
        <w:rPr>
          <w:rFonts w:ascii="Calibri" w:eastAsia="Calibri"/>
          <w:spacing w:val="-8"/>
          <w:sz w:val="21"/>
        </w:rPr>
        <w:t>1.5%</w:t>
      </w:r>
      <w:r>
        <w:rPr>
          <w:spacing w:val="-7"/>
          <w:sz w:val="21"/>
        </w:rPr>
        <w:t>，该日乙基金基金份额净值为 </w:t>
      </w:r>
      <w:r>
        <w:rPr>
          <w:rFonts w:ascii="Calibri" w:eastAsia="Calibri"/>
          <w:sz w:val="21"/>
        </w:rPr>
        <w:t>1.300</w:t>
      </w:r>
      <w:r>
        <w:rPr>
          <w:rFonts w:ascii="Calibri" w:eastAsia="Calibri"/>
          <w:spacing w:val="19"/>
          <w:sz w:val="21"/>
        </w:rPr>
        <w:t> </w:t>
      </w:r>
      <w:r>
        <w:rPr>
          <w:spacing w:val="-10"/>
          <w:sz w:val="21"/>
        </w:rPr>
        <w:t>元。则转出基金费用、转入基</w:t>
      </w:r>
      <w:r>
        <w:rPr>
          <w:spacing w:val="-5"/>
          <w:sz w:val="21"/>
        </w:rPr>
        <w:t>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2"/>
        </w:rPr>
      </w:pPr>
    </w:p>
    <w:p>
      <w:pPr>
        <w:pStyle w:val="ListParagraph"/>
        <w:numPr>
          <w:ilvl w:val="0"/>
          <w:numId w:val="17"/>
        </w:numPr>
        <w:tabs>
          <w:tab w:pos="1112" w:val="left" w:leader="none"/>
        </w:tabs>
        <w:spacing w:line="417" w:lineRule="auto" w:before="1" w:after="0"/>
        <w:ind w:left="160" w:right="873" w:firstLine="419"/>
        <w:jc w:val="both"/>
        <w:rPr>
          <w:sz w:val="21"/>
        </w:rPr>
      </w:pPr>
      <w:r>
        <w:rPr/>
        <w:pict>
          <v:shape style="position:absolute;margin-left:110.779999pt;margin-top:65.270027pt;width:374.15pt;height:113.2pt;mso-position-horizontal-relative:page;mso-position-vertical-relative:paragraph;z-index:25168179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1" w:hRule="atLeast"/>
                    </w:trPr>
                    <w:tc>
                      <w:tcPr>
                        <w:tcW w:w="4244" w:type="dxa"/>
                      </w:tcPr>
                      <w:p>
                        <w:pPr>
                          <w:pStyle w:val="TableParagraph"/>
                          <w:ind w:left="1681" w:right="1671"/>
                          <w:jc w:val="center"/>
                          <w:rPr>
                            <w:rFonts w:ascii="宋体" w:eastAsia="宋体" w:hint="eastAsia"/>
                            <w:sz w:val="21"/>
                          </w:rPr>
                        </w:pPr>
                        <w:r>
                          <w:rPr>
                            <w:rFonts w:ascii="宋体" w:eastAsia="宋体" w:hint="eastAsia"/>
                            <w:sz w:val="21"/>
                          </w:rPr>
                          <w:t>项目</w:t>
                        </w:r>
                      </w:p>
                    </w:tc>
                    <w:tc>
                      <w:tcPr>
                        <w:tcW w:w="3224" w:type="dxa"/>
                      </w:tcPr>
                      <w:p>
                        <w:pPr>
                          <w:pStyle w:val="TableParagraph"/>
                          <w:ind w:left="1171" w:right="1157"/>
                          <w:jc w:val="center"/>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4" w:type="dxa"/>
                      </w:tcPr>
                      <w:p>
                        <w:pPr>
                          <w:pStyle w:val="TableParagraph"/>
                          <w:spacing w:before="28"/>
                          <w:ind w:right="94"/>
                          <w:jc w:val="right"/>
                          <w:rPr>
                            <w:sz w:val="21"/>
                          </w:rPr>
                        </w:pPr>
                        <w:r>
                          <w:rPr>
                            <w:sz w:val="21"/>
                          </w:rPr>
                          <w:t>10,000,000.00</w:t>
                        </w:r>
                      </w:p>
                    </w:tc>
                  </w:tr>
                  <w:tr>
                    <w:trPr>
                      <w:trHeight w:val="314" w:hRule="atLeast"/>
                    </w:trPr>
                    <w:tc>
                      <w:tcPr>
                        <w:tcW w:w="4244" w:type="dxa"/>
                      </w:tcPr>
                      <w:p>
                        <w:pPr>
                          <w:pStyle w:val="TableParagraph"/>
                          <w:spacing w:before="25"/>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4" w:type="dxa"/>
                      </w:tcPr>
                      <w:p>
                        <w:pPr>
                          <w:pStyle w:val="TableParagraph"/>
                          <w:spacing w:before="30"/>
                          <w:ind w:right="92"/>
                          <w:jc w:val="right"/>
                          <w:rPr>
                            <w:sz w:val="21"/>
                          </w:rPr>
                        </w:pPr>
                        <w:r>
                          <w:rPr>
                            <w:sz w:val="21"/>
                          </w:rPr>
                          <w:t>1.200</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4" w:type="dxa"/>
                      </w:tcPr>
                      <w:p>
                        <w:pPr>
                          <w:pStyle w:val="TableParagraph"/>
                          <w:spacing w:before="28"/>
                          <w:ind w:right="94"/>
                          <w:jc w:val="right"/>
                          <w:rPr>
                            <w:sz w:val="21"/>
                          </w:rPr>
                        </w:pPr>
                        <w:r>
                          <w:rPr>
                            <w:sz w:val="21"/>
                          </w:rPr>
                          <w:t>12,000,000.00</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4" w:type="dxa"/>
                      </w:tcPr>
                      <w:p>
                        <w:pPr>
                          <w:pStyle w:val="TableParagraph"/>
                          <w:spacing w:before="28"/>
                          <w:ind w:right="92"/>
                          <w:jc w:val="right"/>
                          <w:rPr>
                            <w:sz w:val="21"/>
                          </w:rPr>
                        </w:pPr>
                        <w:r>
                          <w:rPr>
                            <w:sz w:val="21"/>
                          </w:rPr>
                          <w:t>0.5%</w:t>
                        </w:r>
                      </w:p>
                    </w:tc>
                  </w:tr>
                  <w:tr>
                    <w:trPr>
                      <w:trHeight w:val="311" w:hRule="atLeast"/>
                    </w:trPr>
                    <w:tc>
                      <w:tcPr>
                        <w:tcW w:w="4244" w:type="dxa"/>
                      </w:tcPr>
                      <w:p>
                        <w:pPr>
                          <w:pStyle w:val="TableParagraph"/>
                          <w:spacing w:before="23"/>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4" w:type="dxa"/>
                      </w:tcPr>
                      <w:p>
                        <w:pPr>
                          <w:pStyle w:val="TableParagraph"/>
                          <w:spacing w:before="28"/>
                          <w:ind w:right="93"/>
                          <w:jc w:val="right"/>
                          <w:rPr>
                            <w:sz w:val="21"/>
                          </w:rPr>
                        </w:pPr>
                        <w:r>
                          <w:rPr>
                            <w:sz w:val="21"/>
                          </w:rPr>
                          <w:t>60,000.00</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4" w:type="dxa"/>
                      </w:tcPr>
                      <w:p>
                        <w:pPr>
                          <w:pStyle w:val="TableParagraph"/>
                          <w:spacing w:before="28"/>
                          <w:ind w:right="94"/>
                          <w:jc w:val="right"/>
                          <w:rPr>
                            <w:sz w:val="21"/>
                          </w:rPr>
                        </w:pPr>
                        <w:r>
                          <w:rPr>
                            <w:sz w:val="21"/>
                          </w:rPr>
                          <w:t>11,940,000.00</w:t>
                        </w:r>
                      </w:p>
                    </w:tc>
                  </w:tr>
                </w:tbl>
                <w:p>
                  <w:pPr>
                    <w:pStyle w:val="BodyText"/>
                  </w:pPr>
                </w:p>
              </w:txbxContent>
            </v:textbox>
            <w10:wrap type="none"/>
          </v:shape>
        </w:pict>
      </w:r>
      <w:r>
        <w:rPr>
          <w:spacing w:val="-18"/>
          <w:sz w:val="21"/>
        </w:rPr>
        <w:t>若 </w:t>
      </w:r>
      <w:r>
        <w:rPr>
          <w:rFonts w:ascii="Calibri" w:eastAsia="Calibri"/>
          <w:sz w:val="21"/>
        </w:rPr>
        <w:t>T</w:t>
      </w:r>
      <w:r>
        <w:rPr>
          <w:rFonts w:ascii="Calibri" w:eastAsia="Calibri"/>
          <w:spacing w:val="21"/>
          <w:sz w:val="21"/>
        </w:rPr>
        <w:t> </w:t>
      </w:r>
      <w:r>
        <w:rPr>
          <w:spacing w:val="-7"/>
          <w:sz w:val="21"/>
        </w:rPr>
        <w:t>日转入丙基金</w:t>
      </w:r>
      <w:r>
        <w:rPr>
          <w:spacing w:val="-3"/>
          <w:sz w:val="21"/>
        </w:rPr>
        <w:t>（</w:t>
      </w:r>
      <w:r>
        <w:rPr>
          <w:spacing w:val="-2"/>
          <w:sz w:val="21"/>
        </w:rPr>
        <w:t>前端收费模式</w:t>
      </w:r>
      <w:r>
        <w:rPr>
          <w:spacing w:val="-67"/>
          <w:sz w:val="21"/>
        </w:rPr>
        <w:t>）</w:t>
      </w:r>
      <w:r>
        <w:rPr>
          <w:spacing w:val="-12"/>
          <w:sz w:val="21"/>
        </w:rPr>
        <w:t>，且丙基金申购费率适用比例费率，丙基金前</w:t>
      </w:r>
      <w:r>
        <w:rPr>
          <w:spacing w:val="-10"/>
          <w:sz w:val="21"/>
        </w:rPr>
        <w:t>端申购费率最高档为 </w:t>
      </w:r>
      <w:r>
        <w:rPr>
          <w:rFonts w:ascii="Calibri" w:eastAsia="Calibri"/>
          <w:spacing w:val="-8"/>
          <w:sz w:val="21"/>
        </w:rPr>
        <w:t>1.0%</w:t>
      </w:r>
      <w:r>
        <w:rPr>
          <w:spacing w:val="-7"/>
          <w:sz w:val="21"/>
        </w:rPr>
        <w:t>，该日丙基金基金份额净值为 </w:t>
      </w:r>
      <w:r>
        <w:rPr>
          <w:rFonts w:ascii="Calibri" w:eastAsia="Calibri"/>
          <w:sz w:val="21"/>
        </w:rPr>
        <w:t>1.300</w:t>
      </w:r>
      <w:r>
        <w:rPr>
          <w:rFonts w:ascii="Calibri" w:eastAsia="Calibri"/>
          <w:spacing w:val="19"/>
          <w:sz w:val="21"/>
        </w:rPr>
        <w:t> </w:t>
      </w:r>
      <w:r>
        <w:rPr>
          <w:spacing w:val="-10"/>
          <w:sz w:val="21"/>
        </w:rPr>
        <w:t>元。则转出基金费用、转入基</w:t>
      </w:r>
      <w:r>
        <w:rPr>
          <w:spacing w:val="-5"/>
          <w:sz w:val="21"/>
        </w:rPr>
        <w:t>金费用及份额计算如下：</w:t>
      </w:r>
    </w:p>
    <w:p>
      <w:pPr>
        <w:spacing w:after="0" w:line="417" w:lineRule="auto"/>
        <w:jc w:val="both"/>
        <w:rPr>
          <w:sz w:val="21"/>
        </w:rPr>
        <w:sectPr>
          <w:pgSz w:w="11910" w:h="16840"/>
          <w:pgMar w:header="877" w:footer="995" w:top="1420" w:bottom="1180" w:left="1640" w:right="920"/>
        </w:sectPr>
      </w:pPr>
    </w:p>
    <w:tbl>
      <w:tblPr>
        <w:tblW w:w="0" w:type="auto"/>
        <w:jc w:val="left"/>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2" w:hRule="atLeast"/>
        </w:trPr>
        <w:tc>
          <w:tcPr>
            <w:tcW w:w="4244" w:type="dxa"/>
          </w:tcPr>
          <w:p>
            <w:pPr>
              <w:pStyle w:val="TableParagraph"/>
              <w:spacing w:before="23"/>
              <w:ind w:left="107"/>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24" w:type="dxa"/>
          </w:tcPr>
          <w:p>
            <w:pPr>
              <w:pStyle w:val="TableParagraph"/>
              <w:spacing w:before="28"/>
              <w:ind w:right="92"/>
              <w:jc w:val="right"/>
              <w:rPr>
                <w:sz w:val="21"/>
              </w:rPr>
            </w:pPr>
            <w:r>
              <w:rPr>
                <w:sz w:val="21"/>
              </w:rPr>
              <w:t>0.00%</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pacing w:val="-2"/>
                <w:w w:val="100"/>
                <w:sz w:val="21"/>
              </w:rPr>
              <w:t>净转入金额</w:t>
            </w:r>
            <w:r>
              <w:rPr>
                <w:rFonts w:ascii="宋体" w:eastAsia="宋体" w:hint="eastAsia"/>
                <w:spacing w:val="-1"/>
                <w:w w:val="100"/>
                <w:sz w:val="21"/>
              </w:rPr>
              <w:t>（</w:t>
            </w:r>
            <w:r>
              <w:rPr>
                <w:spacing w:val="-2"/>
                <w:w w:val="100"/>
                <w:sz w:val="21"/>
              </w:rPr>
              <w:t>H</w:t>
            </w:r>
            <w:r>
              <w:rPr>
                <w:w w:val="100"/>
                <w:sz w:val="21"/>
              </w:rPr>
              <w:t>=</w:t>
            </w:r>
            <w:r>
              <w:rPr>
                <w:spacing w:val="-8"/>
                <w:w w:val="100"/>
                <w:sz w:val="21"/>
              </w:rPr>
              <w:t>F</w:t>
            </w:r>
            <w:r>
              <w:rPr>
                <w:w w:val="100"/>
                <w:sz w:val="21"/>
              </w:rPr>
              <w:t>/</w:t>
            </w:r>
            <w:r>
              <w:rPr>
                <w:rFonts w:ascii="宋体" w:eastAsia="宋体" w:hint="eastAsia"/>
                <w:spacing w:val="-3"/>
                <w:w w:val="100"/>
                <w:sz w:val="21"/>
              </w:rPr>
              <w:t>（</w:t>
            </w:r>
            <w:r>
              <w:rPr>
                <w:w w:val="100"/>
                <w:sz w:val="21"/>
              </w:rPr>
              <w:t>1</w:t>
            </w:r>
            <w:r>
              <w:rPr>
                <w:spacing w:val="-2"/>
                <w:w w:val="100"/>
                <w:sz w:val="21"/>
              </w:rPr>
              <w:t>+</w:t>
            </w:r>
            <w:r>
              <w:rPr>
                <w:spacing w:val="1"/>
                <w:w w:val="100"/>
                <w:sz w:val="21"/>
              </w:rPr>
              <w:t>G</w:t>
            </w:r>
            <w:r>
              <w:rPr>
                <w:rFonts w:ascii="宋体" w:eastAsia="宋体" w:hint="eastAsia"/>
                <w:spacing w:val="-108"/>
                <w:w w:val="100"/>
                <w:sz w:val="21"/>
              </w:rPr>
              <w:t>）</w:t>
            </w:r>
            <w:r>
              <w:rPr>
                <w:rFonts w:ascii="宋体" w:eastAsia="宋体" w:hint="eastAsia"/>
                <w:w w:val="100"/>
                <w:sz w:val="21"/>
              </w:rPr>
              <w:t>）</w:t>
            </w:r>
          </w:p>
        </w:tc>
        <w:tc>
          <w:tcPr>
            <w:tcW w:w="3224" w:type="dxa"/>
          </w:tcPr>
          <w:p>
            <w:pPr>
              <w:pStyle w:val="TableParagraph"/>
              <w:spacing w:before="28"/>
              <w:ind w:right="94"/>
              <w:jc w:val="right"/>
              <w:rPr>
                <w:sz w:val="21"/>
              </w:rPr>
            </w:pPr>
            <w:r>
              <w:rPr>
                <w:sz w:val="21"/>
              </w:rPr>
              <w:t>11,940,000.00</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24" w:type="dxa"/>
          </w:tcPr>
          <w:p>
            <w:pPr>
              <w:pStyle w:val="TableParagraph"/>
              <w:spacing w:before="28"/>
              <w:ind w:right="92"/>
              <w:jc w:val="right"/>
              <w:rPr>
                <w:sz w:val="21"/>
              </w:rPr>
            </w:pPr>
            <w:r>
              <w:rPr>
                <w:sz w:val="21"/>
              </w:rPr>
              <w:t>0.00</w:t>
            </w:r>
          </w:p>
        </w:tc>
      </w:tr>
      <w:tr>
        <w:trPr>
          <w:trHeight w:val="313" w:hRule="atLeast"/>
        </w:trPr>
        <w:tc>
          <w:tcPr>
            <w:tcW w:w="4244" w:type="dxa"/>
          </w:tcPr>
          <w:p>
            <w:pPr>
              <w:pStyle w:val="TableParagraph"/>
              <w:spacing w:before="25"/>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24" w:type="dxa"/>
          </w:tcPr>
          <w:p>
            <w:pPr>
              <w:pStyle w:val="TableParagraph"/>
              <w:spacing w:before="30"/>
              <w:ind w:right="92"/>
              <w:jc w:val="right"/>
              <w:rPr>
                <w:sz w:val="21"/>
              </w:rPr>
            </w:pPr>
            <w:r>
              <w:rPr>
                <w:sz w:val="21"/>
              </w:rPr>
              <w:t>1.300</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24" w:type="dxa"/>
          </w:tcPr>
          <w:p>
            <w:pPr>
              <w:pStyle w:val="TableParagraph"/>
              <w:spacing w:before="28"/>
              <w:ind w:right="94"/>
              <w:jc w:val="right"/>
              <w:rPr>
                <w:sz w:val="21"/>
              </w:rPr>
            </w:pPr>
            <w:r>
              <w:rPr>
                <w:sz w:val="21"/>
              </w:rPr>
              <w:t>9,184,615.38</w:t>
            </w:r>
          </w:p>
        </w:tc>
      </w:tr>
    </w:tbl>
    <w:p>
      <w:pPr>
        <w:pStyle w:val="BodyText"/>
        <w:spacing w:line="417" w:lineRule="auto" w:before="109"/>
        <w:ind w:left="160" w:right="873" w:firstLine="419"/>
        <w:jc w:val="both"/>
      </w:pPr>
      <w:r>
        <w:rPr>
          <w:spacing w:val="2"/>
          <w:w w:val="100"/>
        </w:rPr>
        <w:t>例六：假定投资者在</w:t>
      </w:r>
      <w:r>
        <w:rPr>
          <w:rFonts w:ascii="Calibri" w:eastAsia="Calibri"/>
          <w:w w:val="100"/>
        </w:rPr>
        <w:t>T</w:t>
      </w:r>
      <w:r>
        <w:rPr>
          <w:rFonts w:ascii="Calibri" w:eastAsia="Calibri"/>
        </w:rPr>
        <w:t> </w:t>
      </w:r>
      <w:r>
        <w:rPr>
          <w:spacing w:val="-2"/>
          <w:w w:val="100"/>
        </w:rPr>
        <w:t>日转出</w:t>
      </w:r>
      <w:r>
        <w:rPr>
          <w:spacing w:val="-55"/>
        </w:rPr>
        <w:t> </w:t>
      </w:r>
      <w:r>
        <w:rPr>
          <w:rFonts w:ascii="Calibri" w:eastAsia="Calibri"/>
          <w:w w:val="100"/>
        </w:rPr>
        <w:t>10</w:t>
      </w:r>
      <w:r>
        <w:rPr>
          <w:rFonts w:ascii="Calibri" w:eastAsia="Calibri"/>
          <w:spacing w:val="-3"/>
          <w:w w:val="100"/>
        </w:rPr>
        <w:t>,</w:t>
      </w:r>
      <w:r>
        <w:rPr>
          <w:rFonts w:ascii="Calibri" w:eastAsia="Calibri"/>
          <w:spacing w:val="-2"/>
          <w:w w:val="100"/>
        </w:rPr>
        <w:t>0</w:t>
      </w:r>
      <w:r>
        <w:rPr>
          <w:rFonts w:ascii="Calibri" w:eastAsia="Calibri"/>
          <w:w w:val="100"/>
        </w:rPr>
        <w:t>00</w:t>
      </w:r>
      <w:r>
        <w:rPr>
          <w:rFonts w:ascii="Calibri" w:eastAsia="Calibri"/>
          <w:spacing w:val="-3"/>
          <w:w w:val="100"/>
        </w:rPr>
        <w:t>,</w:t>
      </w:r>
      <w:r>
        <w:rPr>
          <w:rFonts w:ascii="Calibri" w:eastAsia="Calibri"/>
          <w:spacing w:val="-2"/>
          <w:w w:val="100"/>
        </w:rPr>
        <w:t>0</w:t>
      </w:r>
      <w:r>
        <w:rPr>
          <w:rFonts w:ascii="Calibri" w:eastAsia="Calibri"/>
          <w:w w:val="100"/>
        </w:rPr>
        <w:t>00</w:t>
      </w:r>
      <w:r>
        <w:rPr>
          <w:rFonts w:ascii="Calibri" w:eastAsia="Calibri"/>
        </w:rPr>
        <w:t> </w:t>
      </w:r>
      <w:r>
        <w:rPr>
          <w:spacing w:val="-3"/>
          <w:w w:val="100"/>
        </w:rPr>
        <w:t>份甲基金基金份额（前端收费模式</w:t>
      </w:r>
      <w:r>
        <w:rPr>
          <w:spacing w:val="-108"/>
          <w:w w:val="100"/>
        </w:rPr>
        <w:t>）</w:t>
      </w:r>
      <w:r>
        <w:rPr>
          <w:spacing w:val="-1"/>
          <w:w w:val="100"/>
        </w:rPr>
        <w:t>，该日甲</w:t>
      </w:r>
      <w:r>
        <w:rPr>
          <w:spacing w:val="-8"/>
        </w:rPr>
        <w:t>基金基金份额净值为 </w:t>
      </w:r>
      <w:r>
        <w:rPr>
          <w:rFonts w:ascii="Calibri" w:eastAsia="Calibri"/>
        </w:rPr>
        <w:t>1.200 </w:t>
      </w:r>
      <w:r>
        <w:rPr>
          <w:spacing w:val="-8"/>
        </w:rPr>
        <w:t>元。甲基金赎回费率为 </w:t>
      </w:r>
      <w:r>
        <w:rPr>
          <w:rFonts w:ascii="Calibri" w:eastAsia="Calibri"/>
        </w:rPr>
        <w:t>0.5%</w:t>
      </w:r>
      <w:r>
        <w:rPr/>
        <w:t>。</w:t>
      </w:r>
    </w:p>
    <w:p>
      <w:pPr>
        <w:pStyle w:val="ListParagraph"/>
        <w:numPr>
          <w:ilvl w:val="0"/>
          <w:numId w:val="18"/>
        </w:numPr>
        <w:tabs>
          <w:tab w:pos="1110" w:val="left" w:leader="none"/>
        </w:tabs>
        <w:spacing w:line="417" w:lineRule="auto" w:before="0" w:after="0"/>
        <w:ind w:left="160" w:right="874" w:firstLine="419"/>
        <w:jc w:val="both"/>
        <w:rPr>
          <w:sz w:val="21"/>
        </w:rPr>
      </w:pPr>
      <w:r>
        <w:rPr/>
        <w:pict>
          <v:shape style="position:absolute;margin-left:111.019997pt;margin-top:65.249985pt;width:373.65pt;height:177.65pt;mso-position-horizontal-relative:page;mso-position-vertical-relative:paragraph;z-index:25168281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9"/>
                    <w:gridCol w:w="3219"/>
                  </w:tblGrid>
                  <w:tr>
                    <w:trPr>
                      <w:trHeight w:val="311" w:hRule="atLeast"/>
                    </w:trPr>
                    <w:tc>
                      <w:tcPr>
                        <w:tcW w:w="4239" w:type="dxa"/>
                      </w:tcPr>
                      <w:p>
                        <w:pPr>
                          <w:pStyle w:val="TableParagraph"/>
                          <w:ind w:left="1889" w:right="1879"/>
                          <w:jc w:val="center"/>
                          <w:rPr>
                            <w:rFonts w:ascii="宋体" w:eastAsia="宋体" w:hint="eastAsia"/>
                            <w:sz w:val="21"/>
                          </w:rPr>
                        </w:pPr>
                        <w:r>
                          <w:rPr>
                            <w:rFonts w:ascii="宋体" w:eastAsia="宋体" w:hint="eastAsia"/>
                            <w:sz w:val="21"/>
                          </w:rPr>
                          <w:t>项目</w:t>
                        </w:r>
                      </w:p>
                    </w:tc>
                    <w:tc>
                      <w:tcPr>
                        <w:tcW w:w="3219" w:type="dxa"/>
                      </w:tcPr>
                      <w:p>
                        <w:pPr>
                          <w:pStyle w:val="TableParagraph"/>
                          <w:ind w:left="1169" w:right="1160"/>
                          <w:jc w:val="center"/>
                          <w:rPr>
                            <w:rFonts w:ascii="宋体" w:eastAsia="宋体" w:hint="eastAsia"/>
                            <w:sz w:val="21"/>
                          </w:rPr>
                        </w:pPr>
                        <w:r>
                          <w:rPr>
                            <w:rFonts w:ascii="宋体" w:eastAsia="宋体" w:hint="eastAsia"/>
                            <w:sz w:val="21"/>
                          </w:rPr>
                          <w:t>费用计算</w:t>
                        </w:r>
                      </w:p>
                    </w:tc>
                  </w:tr>
                  <w:tr>
                    <w:trPr>
                      <w:trHeight w:val="311" w:hRule="atLeast"/>
                    </w:trPr>
                    <w:tc>
                      <w:tcPr>
                        <w:tcW w:w="4239" w:type="dxa"/>
                      </w:tcPr>
                      <w:p>
                        <w:pPr>
                          <w:pStyle w:val="TableParagraph"/>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9" w:type="dxa"/>
                      </w:tcPr>
                      <w:p>
                        <w:pPr>
                          <w:pStyle w:val="TableParagraph"/>
                          <w:spacing w:before="28"/>
                          <w:ind w:right="96"/>
                          <w:jc w:val="right"/>
                          <w:rPr>
                            <w:sz w:val="21"/>
                          </w:rPr>
                        </w:pPr>
                        <w:r>
                          <w:rPr>
                            <w:sz w:val="21"/>
                          </w:rPr>
                          <w:t>10,000,000.00</w:t>
                        </w:r>
                      </w:p>
                    </w:tc>
                  </w:tr>
                  <w:tr>
                    <w:trPr>
                      <w:trHeight w:val="311" w:hRule="atLeast"/>
                    </w:trPr>
                    <w:tc>
                      <w:tcPr>
                        <w:tcW w:w="4239" w:type="dxa"/>
                      </w:tcPr>
                      <w:p>
                        <w:pPr>
                          <w:pStyle w:val="TableParagraph"/>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9" w:type="dxa"/>
                      </w:tcPr>
                      <w:p>
                        <w:pPr>
                          <w:pStyle w:val="TableParagraph"/>
                          <w:spacing w:before="28"/>
                          <w:ind w:right="94"/>
                          <w:jc w:val="right"/>
                          <w:rPr>
                            <w:sz w:val="21"/>
                          </w:rPr>
                        </w:pPr>
                        <w:r>
                          <w:rPr>
                            <w:sz w:val="21"/>
                          </w:rPr>
                          <w:t>1.200</w:t>
                        </w:r>
                      </w:p>
                    </w:tc>
                  </w:tr>
                  <w:tr>
                    <w:trPr>
                      <w:trHeight w:val="313" w:hRule="atLeast"/>
                    </w:trPr>
                    <w:tc>
                      <w:tcPr>
                        <w:tcW w:w="4239" w:type="dxa"/>
                      </w:tcPr>
                      <w:p>
                        <w:pPr>
                          <w:pStyle w:val="TableParagraph"/>
                          <w:spacing w:before="25"/>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9" w:type="dxa"/>
                      </w:tcPr>
                      <w:p>
                        <w:pPr>
                          <w:pStyle w:val="TableParagraph"/>
                          <w:spacing w:before="30"/>
                          <w:ind w:right="96"/>
                          <w:jc w:val="right"/>
                          <w:rPr>
                            <w:sz w:val="21"/>
                          </w:rPr>
                        </w:pPr>
                        <w:r>
                          <w:rPr>
                            <w:sz w:val="21"/>
                          </w:rPr>
                          <w:t>12,000,000.00</w:t>
                        </w:r>
                      </w:p>
                    </w:tc>
                  </w:tr>
                  <w:tr>
                    <w:trPr>
                      <w:trHeight w:val="311" w:hRule="atLeast"/>
                    </w:trPr>
                    <w:tc>
                      <w:tcPr>
                        <w:tcW w:w="4239" w:type="dxa"/>
                      </w:tcPr>
                      <w:p>
                        <w:pPr>
                          <w:pStyle w:val="TableParagraph"/>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9" w:type="dxa"/>
                      </w:tcPr>
                      <w:p>
                        <w:pPr>
                          <w:pStyle w:val="TableParagraph"/>
                          <w:spacing w:before="28"/>
                          <w:ind w:right="94"/>
                          <w:jc w:val="right"/>
                          <w:rPr>
                            <w:sz w:val="21"/>
                          </w:rPr>
                        </w:pPr>
                        <w:r>
                          <w:rPr>
                            <w:sz w:val="21"/>
                          </w:rPr>
                          <w:t>0.5%</w:t>
                        </w:r>
                      </w:p>
                    </w:tc>
                  </w:tr>
                  <w:tr>
                    <w:trPr>
                      <w:trHeight w:val="311" w:hRule="atLeast"/>
                    </w:trPr>
                    <w:tc>
                      <w:tcPr>
                        <w:tcW w:w="4239" w:type="dxa"/>
                      </w:tcPr>
                      <w:p>
                        <w:pPr>
                          <w:pStyle w:val="TableParagraph"/>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9" w:type="dxa"/>
                      </w:tcPr>
                      <w:p>
                        <w:pPr>
                          <w:pStyle w:val="TableParagraph"/>
                          <w:spacing w:before="28"/>
                          <w:ind w:right="95"/>
                          <w:jc w:val="right"/>
                          <w:rPr>
                            <w:sz w:val="21"/>
                          </w:rPr>
                        </w:pPr>
                        <w:r>
                          <w:rPr>
                            <w:sz w:val="21"/>
                          </w:rPr>
                          <w:t>60,000.00</w:t>
                        </w:r>
                      </w:p>
                    </w:tc>
                  </w:tr>
                  <w:tr>
                    <w:trPr>
                      <w:trHeight w:val="311" w:hRule="atLeast"/>
                    </w:trPr>
                    <w:tc>
                      <w:tcPr>
                        <w:tcW w:w="4239" w:type="dxa"/>
                      </w:tcPr>
                      <w:p>
                        <w:pPr>
                          <w:pStyle w:val="TableParagraph"/>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9" w:type="dxa"/>
                      </w:tcPr>
                      <w:p>
                        <w:pPr>
                          <w:pStyle w:val="TableParagraph"/>
                          <w:spacing w:before="28"/>
                          <w:ind w:right="96"/>
                          <w:jc w:val="right"/>
                          <w:rPr>
                            <w:sz w:val="21"/>
                          </w:rPr>
                        </w:pPr>
                        <w:r>
                          <w:rPr>
                            <w:sz w:val="21"/>
                          </w:rPr>
                          <w:t>11,940,000.00</w:t>
                        </w:r>
                      </w:p>
                    </w:tc>
                  </w:tr>
                  <w:tr>
                    <w:trPr>
                      <w:trHeight w:val="311" w:hRule="atLeast"/>
                    </w:trPr>
                    <w:tc>
                      <w:tcPr>
                        <w:tcW w:w="4239" w:type="dxa"/>
                      </w:tcPr>
                      <w:p>
                        <w:pPr>
                          <w:pStyle w:val="TableParagraph"/>
                          <w:ind w:left="107"/>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9" w:type="dxa"/>
                      </w:tcPr>
                      <w:p>
                        <w:pPr>
                          <w:pStyle w:val="TableParagraph"/>
                          <w:spacing w:before="28"/>
                          <w:ind w:right="96"/>
                          <w:jc w:val="right"/>
                          <w:rPr>
                            <w:sz w:val="21"/>
                          </w:rPr>
                        </w:pPr>
                        <w:r>
                          <w:rPr>
                            <w:sz w:val="21"/>
                          </w:rPr>
                          <w:t>1,000-500=500.00</w:t>
                        </w:r>
                      </w:p>
                    </w:tc>
                  </w:tr>
                  <w:tr>
                    <w:trPr>
                      <w:trHeight w:val="312" w:hRule="atLeast"/>
                    </w:trPr>
                    <w:tc>
                      <w:tcPr>
                        <w:tcW w:w="4239" w:type="dxa"/>
                      </w:tcPr>
                      <w:p>
                        <w:pPr>
                          <w:pStyle w:val="TableParagraph"/>
                          <w:spacing w:before="23"/>
                          <w:ind w:left="107"/>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9" w:type="dxa"/>
                      </w:tcPr>
                      <w:p>
                        <w:pPr>
                          <w:pStyle w:val="TableParagraph"/>
                          <w:spacing w:before="28"/>
                          <w:ind w:right="96"/>
                          <w:jc w:val="right"/>
                          <w:rPr>
                            <w:sz w:val="21"/>
                          </w:rPr>
                        </w:pPr>
                        <w:r>
                          <w:rPr>
                            <w:sz w:val="21"/>
                          </w:rPr>
                          <w:t>11,939,500.00</w:t>
                        </w:r>
                      </w:p>
                    </w:tc>
                  </w:tr>
                  <w:tr>
                    <w:trPr>
                      <w:trHeight w:val="313" w:hRule="atLeast"/>
                    </w:trPr>
                    <w:tc>
                      <w:tcPr>
                        <w:tcW w:w="4239" w:type="dxa"/>
                      </w:tcPr>
                      <w:p>
                        <w:pPr>
                          <w:pStyle w:val="TableParagraph"/>
                          <w:spacing w:before="25"/>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9" w:type="dxa"/>
                      </w:tcPr>
                      <w:p>
                        <w:pPr>
                          <w:pStyle w:val="TableParagraph"/>
                          <w:spacing w:before="30"/>
                          <w:ind w:right="94"/>
                          <w:jc w:val="right"/>
                          <w:rPr>
                            <w:sz w:val="21"/>
                          </w:rPr>
                        </w:pPr>
                        <w:r>
                          <w:rPr>
                            <w:sz w:val="21"/>
                          </w:rPr>
                          <w:t>1.300</w:t>
                        </w:r>
                      </w:p>
                    </w:tc>
                  </w:tr>
                  <w:tr>
                    <w:trPr>
                      <w:trHeight w:val="311" w:hRule="atLeast"/>
                    </w:trPr>
                    <w:tc>
                      <w:tcPr>
                        <w:tcW w:w="4239" w:type="dxa"/>
                      </w:tcPr>
                      <w:p>
                        <w:pPr>
                          <w:pStyle w:val="TableParagraph"/>
                          <w:ind w:left="107"/>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9" w:type="dxa"/>
                      </w:tcPr>
                      <w:p>
                        <w:pPr>
                          <w:pStyle w:val="TableParagraph"/>
                          <w:spacing w:before="28"/>
                          <w:ind w:right="96"/>
                          <w:jc w:val="right"/>
                          <w:rPr>
                            <w:sz w:val="21"/>
                          </w:rPr>
                        </w:pPr>
                        <w:r>
                          <w:rPr>
                            <w:sz w:val="21"/>
                          </w:rPr>
                          <w:t>9,184,230.77</w:t>
                        </w:r>
                      </w:p>
                    </w:tc>
                  </w:tr>
                </w:tbl>
                <w:p>
                  <w:pPr>
                    <w:pStyle w:val="BodyText"/>
                  </w:pPr>
                </w:p>
              </w:txbxContent>
            </v:textbox>
            <w10:wrap type="none"/>
          </v:shape>
        </w:pict>
      </w:r>
      <w:r>
        <w:rPr>
          <w:spacing w:val="-24"/>
          <w:sz w:val="21"/>
        </w:rPr>
        <w:t>若 </w:t>
      </w:r>
      <w:r>
        <w:rPr>
          <w:rFonts w:ascii="Calibri" w:eastAsia="Calibri"/>
          <w:sz w:val="21"/>
        </w:rPr>
        <w:t>T</w:t>
      </w:r>
      <w:r>
        <w:rPr>
          <w:rFonts w:ascii="Calibri" w:eastAsia="Calibri"/>
          <w:spacing w:val="14"/>
          <w:sz w:val="21"/>
        </w:rPr>
        <w:t> </w:t>
      </w:r>
      <w:r>
        <w:rPr>
          <w:spacing w:val="-7"/>
          <w:sz w:val="21"/>
        </w:rPr>
        <w:t>日转入乙基金</w:t>
      </w:r>
      <w:r>
        <w:rPr>
          <w:spacing w:val="-3"/>
          <w:sz w:val="21"/>
        </w:rPr>
        <w:t>（</w:t>
      </w:r>
      <w:r>
        <w:rPr>
          <w:spacing w:val="-2"/>
          <w:sz w:val="21"/>
        </w:rPr>
        <w:t>前端收费模式</w:t>
      </w:r>
      <w:r>
        <w:rPr>
          <w:spacing w:val="-67"/>
          <w:sz w:val="21"/>
        </w:rPr>
        <w:t>）</w:t>
      </w:r>
      <w:r>
        <w:rPr>
          <w:spacing w:val="-13"/>
          <w:sz w:val="21"/>
        </w:rPr>
        <w:t>，甲基金适用的申购费用为 </w:t>
      </w:r>
      <w:r>
        <w:rPr>
          <w:rFonts w:ascii="Calibri" w:eastAsia="Calibri"/>
          <w:sz w:val="21"/>
        </w:rPr>
        <w:t>500</w:t>
      </w:r>
      <w:r>
        <w:rPr>
          <w:rFonts w:ascii="Calibri" w:eastAsia="Calibri"/>
          <w:spacing w:val="15"/>
          <w:sz w:val="21"/>
        </w:rPr>
        <w:t> </w:t>
      </w:r>
      <w:r>
        <w:rPr>
          <w:spacing w:val="-6"/>
          <w:sz w:val="21"/>
        </w:rPr>
        <w:t>元，乙基金适</w:t>
      </w:r>
      <w:r>
        <w:rPr>
          <w:spacing w:val="-10"/>
          <w:sz w:val="21"/>
        </w:rPr>
        <w:t>用的申购费用为 </w:t>
      </w:r>
      <w:r>
        <w:rPr>
          <w:rFonts w:ascii="Calibri" w:eastAsia="Calibri"/>
          <w:sz w:val="21"/>
        </w:rPr>
        <w:t>1,000</w:t>
      </w:r>
      <w:r>
        <w:rPr>
          <w:rFonts w:ascii="Calibri" w:eastAsia="Calibri"/>
          <w:spacing w:val="12"/>
          <w:sz w:val="21"/>
        </w:rPr>
        <w:t> </w:t>
      </w:r>
      <w:r>
        <w:rPr>
          <w:spacing w:val="-6"/>
          <w:sz w:val="21"/>
        </w:rPr>
        <w:t>元，该日乙基金基金份额净值为 </w:t>
      </w:r>
      <w:r>
        <w:rPr>
          <w:rFonts w:ascii="Calibri" w:eastAsia="Calibri"/>
          <w:sz w:val="21"/>
        </w:rPr>
        <w:t>1.300</w:t>
      </w:r>
      <w:r>
        <w:rPr>
          <w:rFonts w:ascii="Calibri" w:eastAsia="Calibri"/>
          <w:spacing w:val="15"/>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pStyle w:val="ListParagraph"/>
        <w:numPr>
          <w:ilvl w:val="0"/>
          <w:numId w:val="18"/>
        </w:numPr>
        <w:tabs>
          <w:tab w:pos="1112" w:val="left" w:leader="none"/>
        </w:tabs>
        <w:spacing w:line="417" w:lineRule="auto" w:before="0" w:after="0"/>
        <w:ind w:left="160" w:right="873" w:firstLine="419"/>
        <w:jc w:val="both"/>
        <w:rPr>
          <w:sz w:val="21"/>
        </w:rPr>
      </w:pPr>
      <w:r>
        <w:rPr/>
        <w:pict>
          <v:shape style="position:absolute;margin-left:111.379997pt;margin-top:65.220009pt;width:372.8pt;height:177.65pt;mso-position-horizontal-relative:page;mso-position-vertical-relative:paragraph;z-index:2516838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09"/>
                  </w:tblGrid>
                  <w:tr>
                    <w:trPr>
                      <w:trHeight w:val="311" w:hRule="atLeast"/>
                    </w:trPr>
                    <w:tc>
                      <w:tcPr>
                        <w:tcW w:w="4232" w:type="dxa"/>
                      </w:tcPr>
                      <w:p>
                        <w:pPr>
                          <w:pStyle w:val="TableParagraph"/>
                          <w:ind w:left="1673" w:right="1666"/>
                          <w:jc w:val="center"/>
                          <w:rPr>
                            <w:rFonts w:ascii="宋体" w:eastAsia="宋体" w:hint="eastAsia"/>
                            <w:sz w:val="21"/>
                          </w:rPr>
                        </w:pPr>
                        <w:r>
                          <w:rPr>
                            <w:rFonts w:ascii="宋体" w:eastAsia="宋体" w:hint="eastAsia"/>
                            <w:sz w:val="21"/>
                          </w:rPr>
                          <w:t>项目</w:t>
                        </w:r>
                      </w:p>
                    </w:tc>
                    <w:tc>
                      <w:tcPr>
                        <w:tcW w:w="3209" w:type="dxa"/>
                      </w:tcPr>
                      <w:p>
                        <w:pPr>
                          <w:pStyle w:val="TableParagraph"/>
                          <w:ind w:left="1166" w:right="1152"/>
                          <w:jc w:val="center"/>
                          <w:rPr>
                            <w:rFonts w:ascii="宋体" w:eastAsia="宋体" w:hint="eastAsia"/>
                            <w:sz w:val="21"/>
                          </w:rPr>
                        </w:pPr>
                        <w:r>
                          <w:rPr>
                            <w:rFonts w:ascii="宋体" w:eastAsia="宋体" w:hint="eastAsia"/>
                            <w:sz w:val="21"/>
                          </w:rPr>
                          <w:t>费用计算</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9" w:type="dxa"/>
                      </w:tcPr>
                      <w:p>
                        <w:pPr>
                          <w:pStyle w:val="TableParagraph"/>
                          <w:spacing w:before="28"/>
                          <w:ind w:right="93"/>
                          <w:jc w:val="right"/>
                          <w:rPr>
                            <w:sz w:val="21"/>
                          </w:rPr>
                        </w:pPr>
                        <w:r>
                          <w:rPr>
                            <w:sz w:val="21"/>
                          </w:rPr>
                          <w:t>10,000,000.00</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9" w:type="dxa"/>
                      </w:tcPr>
                      <w:p>
                        <w:pPr>
                          <w:pStyle w:val="TableParagraph"/>
                          <w:spacing w:before="28"/>
                          <w:ind w:right="92"/>
                          <w:jc w:val="right"/>
                          <w:rPr>
                            <w:sz w:val="21"/>
                          </w:rPr>
                        </w:pPr>
                        <w:r>
                          <w:rPr>
                            <w:sz w:val="21"/>
                          </w:rPr>
                          <w:t>1.200</w:t>
                        </w:r>
                      </w:p>
                    </w:tc>
                  </w:tr>
                  <w:tr>
                    <w:trPr>
                      <w:trHeight w:val="314" w:hRule="atLeast"/>
                    </w:trPr>
                    <w:tc>
                      <w:tcPr>
                        <w:tcW w:w="4232" w:type="dxa"/>
                      </w:tcPr>
                      <w:p>
                        <w:pPr>
                          <w:pStyle w:val="TableParagraph"/>
                          <w:spacing w:before="25"/>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9" w:type="dxa"/>
                      </w:tcPr>
                      <w:p>
                        <w:pPr>
                          <w:pStyle w:val="TableParagraph"/>
                          <w:spacing w:before="31"/>
                          <w:ind w:right="93"/>
                          <w:jc w:val="right"/>
                          <w:rPr>
                            <w:sz w:val="21"/>
                          </w:rPr>
                        </w:pPr>
                        <w:r>
                          <w:rPr>
                            <w:sz w:val="21"/>
                          </w:rPr>
                          <w:t>12,000,000.00</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9" w:type="dxa"/>
                      </w:tcPr>
                      <w:p>
                        <w:pPr>
                          <w:pStyle w:val="TableParagraph"/>
                          <w:spacing w:before="28"/>
                          <w:ind w:right="91"/>
                          <w:jc w:val="right"/>
                          <w:rPr>
                            <w:sz w:val="21"/>
                          </w:rPr>
                        </w:pPr>
                        <w:r>
                          <w:rPr>
                            <w:sz w:val="21"/>
                          </w:rPr>
                          <w:t>0.5%</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09" w:type="dxa"/>
                      </w:tcPr>
                      <w:p>
                        <w:pPr>
                          <w:pStyle w:val="TableParagraph"/>
                          <w:spacing w:before="28"/>
                          <w:ind w:right="93"/>
                          <w:jc w:val="right"/>
                          <w:rPr>
                            <w:sz w:val="21"/>
                          </w:rPr>
                        </w:pPr>
                        <w:r>
                          <w:rPr>
                            <w:sz w:val="21"/>
                          </w:rPr>
                          <w:t>60,000.00</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09" w:type="dxa"/>
                      </w:tcPr>
                      <w:p>
                        <w:pPr>
                          <w:pStyle w:val="TableParagraph"/>
                          <w:spacing w:before="28"/>
                          <w:ind w:right="93"/>
                          <w:jc w:val="right"/>
                          <w:rPr>
                            <w:sz w:val="21"/>
                          </w:rPr>
                        </w:pPr>
                        <w:r>
                          <w:rPr>
                            <w:sz w:val="21"/>
                          </w:rPr>
                          <w:t>11,940,000.00</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09" w:type="dxa"/>
                      </w:tcPr>
                      <w:p>
                        <w:pPr>
                          <w:pStyle w:val="TableParagraph"/>
                          <w:spacing w:before="28"/>
                          <w:ind w:right="92"/>
                          <w:jc w:val="right"/>
                          <w:rPr>
                            <w:sz w:val="21"/>
                          </w:rPr>
                        </w:pPr>
                        <w:r>
                          <w:rPr>
                            <w:sz w:val="21"/>
                          </w:rPr>
                          <w:t>0.00</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09" w:type="dxa"/>
                      </w:tcPr>
                      <w:p>
                        <w:pPr>
                          <w:pStyle w:val="TableParagraph"/>
                          <w:spacing w:before="28"/>
                          <w:ind w:right="93"/>
                          <w:jc w:val="right"/>
                          <w:rPr>
                            <w:sz w:val="21"/>
                          </w:rPr>
                        </w:pPr>
                        <w:r>
                          <w:rPr>
                            <w:sz w:val="21"/>
                          </w:rPr>
                          <w:t>11,940,000.00</w:t>
                        </w:r>
                      </w:p>
                    </w:tc>
                  </w:tr>
                  <w:tr>
                    <w:trPr>
                      <w:trHeight w:val="313" w:hRule="atLeast"/>
                    </w:trPr>
                    <w:tc>
                      <w:tcPr>
                        <w:tcW w:w="4232" w:type="dxa"/>
                      </w:tcPr>
                      <w:p>
                        <w:pPr>
                          <w:pStyle w:val="TableParagraph"/>
                          <w:spacing w:before="25"/>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09" w:type="dxa"/>
                      </w:tcPr>
                      <w:p>
                        <w:pPr>
                          <w:pStyle w:val="TableParagraph"/>
                          <w:spacing w:before="30"/>
                          <w:ind w:right="92"/>
                          <w:jc w:val="right"/>
                          <w:rPr>
                            <w:sz w:val="21"/>
                          </w:rPr>
                        </w:pPr>
                        <w:r>
                          <w:rPr>
                            <w:sz w:val="21"/>
                          </w:rPr>
                          <w:t>1.300</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09" w:type="dxa"/>
                      </w:tcPr>
                      <w:p>
                        <w:pPr>
                          <w:pStyle w:val="TableParagraph"/>
                          <w:spacing w:before="28"/>
                          <w:ind w:right="93"/>
                          <w:jc w:val="right"/>
                          <w:rPr>
                            <w:sz w:val="21"/>
                          </w:rPr>
                        </w:pPr>
                        <w:r>
                          <w:rPr>
                            <w:sz w:val="21"/>
                          </w:rPr>
                          <w:t>9,184,615.38</w:t>
                        </w:r>
                      </w:p>
                    </w:tc>
                  </w:tr>
                </w:tbl>
                <w:p>
                  <w:pPr>
                    <w:pStyle w:val="BodyText"/>
                  </w:pPr>
                </w:p>
              </w:txbxContent>
            </v:textbox>
            <w10:wrap type="none"/>
          </v:shape>
        </w:pict>
      </w:r>
      <w:r>
        <w:rPr>
          <w:w w:val="100"/>
          <w:sz w:val="21"/>
        </w:rPr>
        <w:t>若</w:t>
      </w:r>
      <w:r>
        <w:rPr>
          <w:spacing w:val="-55"/>
          <w:sz w:val="21"/>
        </w:rPr>
        <w:t> </w:t>
      </w:r>
      <w:r>
        <w:rPr>
          <w:rFonts w:ascii="Calibri" w:eastAsia="Calibri"/>
          <w:w w:val="100"/>
          <w:sz w:val="21"/>
        </w:rPr>
        <w:t>T</w:t>
      </w:r>
      <w:r>
        <w:rPr>
          <w:rFonts w:ascii="Calibri" w:eastAsia="Calibri"/>
          <w:spacing w:val="5"/>
          <w:sz w:val="21"/>
        </w:rPr>
        <w:t> </w:t>
      </w:r>
      <w:r>
        <w:rPr>
          <w:spacing w:val="-5"/>
          <w:w w:val="100"/>
          <w:sz w:val="21"/>
        </w:rPr>
        <w:t>日转入丙基金</w:t>
      </w:r>
      <w:r>
        <w:rPr>
          <w:spacing w:val="-3"/>
          <w:w w:val="100"/>
          <w:sz w:val="21"/>
        </w:rPr>
        <w:t>（</w:t>
      </w:r>
      <w:r>
        <w:rPr>
          <w:spacing w:val="-2"/>
          <w:w w:val="100"/>
          <w:sz w:val="21"/>
        </w:rPr>
        <w:t>前端收费模式</w:t>
      </w:r>
      <w:r>
        <w:rPr>
          <w:spacing w:val="-106"/>
          <w:w w:val="100"/>
          <w:sz w:val="21"/>
        </w:rPr>
        <w:t>）</w:t>
      </w:r>
      <w:r>
        <w:rPr>
          <w:spacing w:val="-5"/>
          <w:w w:val="100"/>
          <w:sz w:val="21"/>
        </w:rPr>
        <w:t>，甲基金适用的申购费用为</w:t>
      </w:r>
      <w:r>
        <w:rPr>
          <w:spacing w:val="-53"/>
          <w:sz w:val="21"/>
        </w:rPr>
        <w:t> </w:t>
      </w:r>
      <w:r>
        <w:rPr>
          <w:rFonts w:ascii="Calibri" w:eastAsia="Calibri"/>
          <w:w w:val="100"/>
          <w:sz w:val="21"/>
        </w:rPr>
        <w:t>1</w:t>
      </w:r>
      <w:r>
        <w:rPr>
          <w:rFonts w:ascii="Calibri" w:eastAsia="Calibri"/>
          <w:spacing w:val="-3"/>
          <w:w w:val="100"/>
          <w:sz w:val="21"/>
        </w:rPr>
        <w:t>,</w:t>
      </w:r>
      <w:r>
        <w:rPr>
          <w:rFonts w:ascii="Calibri" w:eastAsia="Calibri"/>
          <w:spacing w:val="-2"/>
          <w:w w:val="100"/>
          <w:sz w:val="21"/>
        </w:rPr>
        <w:t>0</w:t>
      </w:r>
      <w:r>
        <w:rPr>
          <w:rFonts w:ascii="Calibri" w:eastAsia="Calibri"/>
          <w:w w:val="100"/>
          <w:sz w:val="21"/>
        </w:rPr>
        <w:t>00</w:t>
      </w:r>
      <w:r>
        <w:rPr>
          <w:rFonts w:ascii="Calibri" w:eastAsia="Calibri"/>
          <w:spacing w:val="4"/>
          <w:sz w:val="21"/>
        </w:rPr>
        <w:t> </w:t>
      </w:r>
      <w:r>
        <w:rPr>
          <w:spacing w:val="-5"/>
          <w:w w:val="100"/>
          <w:sz w:val="21"/>
        </w:rPr>
        <w:t>元，丙基金</w:t>
      </w:r>
      <w:r>
        <w:rPr>
          <w:spacing w:val="-9"/>
          <w:sz w:val="21"/>
        </w:rPr>
        <w:t>适用的申购费用为 </w:t>
      </w:r>
      <w:r>
        <w:rPr>
          <w:rFonts w:ascii="Calibri" w:eastAsia="Calibri"/>
          <w:sz w:val="21"/>
        </w:rPr>
        <w:t>500</w:t>
      </w:r>
      <w:r>
        <w:rPr>
          <w:rFonts w:ascii="Calibri" w:eastAsia="Calibri"/>
          <w:spacing w:val="13"/>
          <w:sz w:val="21"/>
        </w:rPr>
        <w:t> </w:t>
      </w:r>
      <w:r>
        <w:rPr>
          <w:spacing w:val="-8"/>
          <w:sz w:val="21"/>
        </w:rPr>
        <w:t>元，该日丙基金基金份额净值为 </w:t>
      </w:r>
      <w:r>
        <w:rPr>
          <w:rFonts w:ascii="Calibri" w:eastAsia="Calibri"/>
          <w:sz w:val="21"/>
        </w:rPr>
        <w:t>1.300</w:t>
      </w:r>
      <w:r>
        <w:rPr>
          <w:rFonts w:ascii="Calibri" w:eastAsia="Calibri"/>
          <w:spacing w:val="16"/>
          <w:sz w:val="21"/>
        </w:rPr>
        <w:t> </w:t>
      </w:r>
      <w:r>
        <w:rPr>
          <w:spacing w:val="-8"/>
          <w:sz w:val="21"/>
        </w:rPr>
        <w:t>元。则转出基金费用、转入基</w:t>
      </w:r>
      <w:r>
        <w:rPr>
          <w:spacing w:val="-5"/>
          <w:sz w:val="21"/>
        </w:rPr>
        <w:t>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pStyle w:val="BodyText"/>
        <w:ind w:left="580"/>
      </w:pPr>
      <w:r>
        <w:rPr>
          <w:spacing w:val="-13"/>
        </w:rPr>
        <w:t>例七：假定投资者在 </w:t>
      </w:r>
      <w:r>
        <w:rPr>
          <w:rFonts w:ascii="Calibri" w:eastAsia="Calibri"/>
        </w:rPr>
        <w:t>2010</w:t>
      </w:r>
      <w:r>
        <w:rPr>
          <w:rFonts w:ascii="Calibri" w:eastAsia="Calibri"/>
          <w:spacing w:val="11"/>
        </w:rPr>
        <w:t> </w:t>
      </w:r>
      <w:r>
        <w:rPr>
          <w:spacing w:val="-23"/>
        </w:rPr>
        <w:t>年 </w:t>
      </w:r>
      <w:r>
        <w:rPr>
          <w:rFonts w:ascii="Calibri" w:eastAsia="Calibri"/>
        </w:rPr>
        <w:t>3</w:t>
      </w:r>
      <w:r>
        <w:rPr>
          <w:rFonts w:ascii="Calibri" w:eastAsia="Calibri"/>
          <w:spacing w:val="9"/>
        </w:rPr>
        <w:t> </w:t>
      </w:r>
      <w:r>
        <w:rPr>
          <w:spacing w:val="-24"/>
        </w:rPr>
        <w:t>月 </w:t>
      </w:r>
      <w:r>
        <w:rPr>
          <w:rFonts w:ascii="Calibri" w:eastAsia="Calibri"/>
        </w:rPr>
        <w:t>15</w:t>
      </w:r>
      <w:r>
        <w:rPr>
          <w:rFonts w:ascii="Calibri" w:eastAsia="Calibri"/>
          <w:spacing w:val="9"/>
        </w:rPr>
        <w:t> </w:t>
      </w:r>
      <w:r>
        <w:rPr>
          <w:spacing w:val="-7"/>
        </w:rPr>
        <w:t>日成功提交了基金转换申请，转出持有的前端收费</w:t>
      </w:r>
    </w:p>
    <w:p>
      <w:pPr>
        <w:pStyle w:val="BodyText"/>
        <w:spacing w:before="7"/>
        <w:rPr>
          <w:sz w:val="15"/>
        </w:rPr>
      </w:pPr>
    </w:p>
    <w:p>
      <w:pPr>
        <w:pStyle w:val="BodyText"/>
        <w:spacing w:line="417" w:lineRule="auto"/>
        <w:ind w:left="160" w:right="871"/>
      </w:pPr>
      <w:r>
        <w:rPr>
          <w:spacing w:val="2"/>
        </w:rPr>
        <w:t>基金甲 </w:t>
      </w:r>
      <w:r>
        <w:rPr>
          <w:rFonts w:ascii="Calibri" w:eastAsia="Calibri"/>
        </w:rPr>
        <w:t>10,000,000</w:t>
      </w:r>
      <w:r>
        <w:rPr>
          <w:rFonts w:ascii="Calibri" w:eastAsia="Calibri"/>
          <w:spacing w:val="27"/>
        </w:rPr>
        <w:t> </w:t>
      </w:r>
      <w:r>
        <w:rPr>
          <w:spacing w:val="-3"/>
        </w:rPr>
        <w:t>份，转入后端收费基金乙，甲基金申购费率适用固定费用，该日甲、乙</w:t>
      </w:r>
      <w:r>
        <w:rPr>
          <w:spacing w:val="-7"/>
        </w:rPr>
        <w:t>基金基金份额净值分别为 </w:t>
      </w:r>
      <w:r>
        <w:rPr>
          <w:rFonts w:ascii="Calibri" w:eastAsia="Calibri"/>
        </w:rPr>
        <w:t>1.200</w:t>
      </w:r>
      <w:r>
        <w:rPr>
          <w:spacing w:val="-24"/>
        </w:rPr>
        <w:t>、</w:t>
      </w:r>
      <w:r>
        <w:rPr>
          <w:rFonts w:ascii="Calibri" w:eastAsia="Calibri"/>
        </w:rPr>
        <w:t>1.500</w:t>
      </w:r>
      <w:r>
        <w:rPr>
          <w:rFonts w:ascii="Calibri" w:eastAsia="Calibri"/>
          <w:spacing w:val="10"/>
        </w:rPr>
        <w:t> </w:t>
      </w:r>
      <w:r>
        <w:rPr>
          <w:spacing w:val="-12"/>
        </w:rPr>
        <w:t>元。</w:t>
      </w:r>
      <w:r>
        <w:rPr>
          <w:rFonts w:ascii="Calibri" w:eastAsia="Calibri"/>
        </w:rPr>
        <w:t>2010</w:t>
      </w:r>
      <w:r>
        <w:rPr>
          <w:rFonts w:ascii="Calibri" w:eastAsia="Calibri"/>
          <w:spacing w:val="9"/>
        </w:rPr>
        <w:t> </w:t>
      </w:r>
      <w:r>
        <w:rPr>
          <w:spacing w:val="-26"/>
        </w:rPr>
        <w:t>年 </w:t>
      </w:r>
      <w:r>
        <w:rPr>
          <w:rFonts w:ascii="Calibri" w:eastAsia="Calibri"/>
        </w:rPr>
        <w:t>3</w:t>
      </w:r>
      <w:r>
        <w:rPr>
          <w:rFonts w:ascii="Calibri" w:eastAsia="Calibri"/>
          <w:spacing w:val="10"/>
        </w:rPr>
        <w:t> </w:t>
      </w:r>
      <w:r>
        <w:rPr>
          <w:spacing w:val="-25"/>
        </w:rPr>
        <w:t>月 </w:t>
      </w:r>
      <w:r>
        <w:rPr>
          <w:rFonts w:ascii="Calibri" w:eastAsia="Calibri"/>
        </w:rPr>
        <w:t>16</w:t>
      </w:r>
      <w:r>
        <w:rPr>
          <w:rFonts w:ascii="Calibri" w:eastAsia="Calibri"/>
          <w:spacing w:val="10"/>
        </w:rPr>
        <w:t> </w:t>
      </w:r>
      <w:r>
        <w:rPr>
          <w:spacing w:val="-5"/>
        </w:rPr>
        <w:t>日这笔转换确认成功。甲基金适</w:t>
      </w:r>
    </w:p>
    <w:p>
      <w:pPr>
        <w:spacing w:after="0" w:line="417" w:lineRule="auto"/>
        <w:sectPr>
          <w:pgSz w:w="11910" w:h="16840"/>
          <w:pgMar w:header="877" w:footer="995" w:top="1420" w:bottom="1180" w:left="1640" w:right="920"/>
        </w:sectPr>
      </w:pPr>
    </w:p>
    <w:p>
      <w:pPr>
        <w:pStyle w:val="BodyText"/>
        <w:spacing w:before="110"/>
        <w:ind w:left="160"/>
      </w:pPr>
      <w:r>
        <w:rPr/>
        <w:t>用赎回费率为 </w:t>
      </w:r>
      <w:r>
        <w:rPr>
          <w:rFonts w:ascii="Calibri" w:eastAsia="Calibri"/>
        </w:rPr>
        <w:t>0.5%</w:t>
      </w:r>
      <w:r>
        <w:rPr/>
        <w:t>。则转出基金费用、转入基金费用及份额计算如下：</w:t>
      </w:r>
    </w:p>
    <w:p>
      <w:pPr>
        <w:pStyle w:val="BodyText"/>
        <w:spacing w:before="9"/>
        <w:rPr>
          <w:sz w:val="7"/>
        </w:rPr>
      </w:pPr>
    </w:p>
    <w:tbl>
      <w:tblPr>
        <w:tblW w:w="0" w:type="auto"/>
        <w:jc w:val="left"/>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5"/>
        <w:gridCol w:w="3215"/>
      </w:tblGrid>
      <w:tr>
        <w:trPr>
          <w:trHeight w:val="405" w:hRule="atLeast"/>
        </w:trPr>
        <w:tc>
          <w:tcPr>
            <w:tcW w:w="4235" w:type="dxa"/>
          </w:tcPr>
          <w:p>
            <w:pPr>
              <w:pStyle w:val="TableParagraph"/>
              <w:spacing w:before="68"/>
              <w:ind w:left="1887" w:right="1456"/>
              <w:jc w:val="center"/>
              <w:rPr>
                <w:rFonts w:ascii="宋体" w:eastAsia="宋体" w:hint="eastAsia"/>
                <w:sz w:val="21"/>
              </w:rPr>
            </w:pPr>
            <w:r>
              <w:rPr>
                <w:rFonts w:ascii="宋体" w:eastAsia="宋体" w:hint="eastAsia"/>
                <w:sz w:val="21"/>
              </w:rPr>
              <w:t>项目</w:t>
            </w:r>
          </w:p>
        </w:tc>
        <w:tc>
          <w:tcPr>
            <w:tcW w:w="3215" w:type="dxa"/>
          </w:tcPr>
          <w:p>
            <w:pPr>
              <w:pStyle w:val="TableParagraph"/>
              <w:spacing w:before="68"/>
              <w:ind w:left="1336"/>
              <w:rPr>
                <w:rFonts w:ascii="宋体" w:eastAsia="宋体" w:hint="eastAsia"/>
                <w:sz w:val="21"/>
              </w:rPr>
            </w:pPr>
            <w:r>
              <w:rPr>
                <w:rFonts w:ascii="宋体" w:eastAsia="宋体" w:hint="eastAsia"/>
                <w:sz w:val="21"/>
              </w:rPr>
              <w:t>费用计算</w:t>
            </w:r>
          </w:p>
        </w:tc>
      </w:tr>
      <w:tr>
        <w:trPr>
          <w:trHeight w:val="311" w:hRule="atLeast"/>
        </w:trPr>
        <w:tc>
          <w:tcPr>
            <w:tcW w:w="4235" w:type="dxa"/>
          </w:tcPr>
          <w:p>
            <w:pPr>
              <w:pStyle w:val="TableParagraph"/>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5" w:type="dxa"/>
          </w:tcPr>
          <w:p>
            <w:pPr>
              <w:pStyle w:val="TableParagraph"/>
              <w:spacing w:before="28"/>
              <w:ind w:right="95"/>
              <w:jc w:val="right"/>
              <w:rPr>
                <w:sz w:val="21"/>
              </w:rPr>
            </w:pPr>
            <w:r>
              <w:rPr>
                <w:sz w:val="21"/>
              </w:rPr>
              <w:t>10,000,000.00</w:t>
            </w:r>
          </w:p>
        </w:tc>
      </w:tr>
      <w:tr>
        <w:trPr>
          <w:trHeight w:val="311" w:hRule="atLeast"/>
        </w:trPr>
        <w:tc>
          <w:tcPr>
            <w:tcW w:w="4235" w:type="dxa"/>
          </w:tcPr>
          <w:p>
            <w:pPr>
              <w:pStyle w:val="TableParagraph"/>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5" w:type="dxa"/>
          </w:tcPr>
          <w:p>
            <w:pPr>
              <w:pStyle w:val="TableParagraph"/>
              <w:spacing w:before="28"/>
              <w:ind w:right="93"/>
              <w:jc w:val="right"/>
              <w:rPr>
                <w:sz w:val="21"/>
              </w:rPr>
            </w:pPr>
            <w:r>
              <w:rPr>
                <w:sz w:val="21"/>
              </w:rPr>
              <w:t>1.200</w:t>
            </w:r>
          </w:p>
        </w:tc>
      </w:tr>
      <w:tr>
        <w:trPr>
          <w:trHeight w:val="314" w:hRule="atLeast"/>
        </w:trPr>
        <w:tc>
          <w:tcPr>
            <w:tcW w:w="4235" w:type="dxa"/>
          </w:tcPr>
          <w:p>
            <w:pPr>
              <w:pStyle w:val="TableParagraph"/>
              <w:spacing w:before="25"/>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5" w:type="dxa"/>
          </w:tcPr>
          <w:p>
            <w:pPr>
              <w:pStyle w:val="TableParagraph"/>
              <w:spacing w:before="30"/>
              <w:ind w:right="95"/>
              <w:jc w:val="right"/>
              <w:rPr>
                <w:sz w:val="21"/>
              </w:rPr>
            </w:pPr>
            <w:r>
              <w:rPr>
                <w:sz w:val="21"/>
              </w:rPr>
              <w:t>12,000,000.00</w:t>
            </w:r>
          </w:p>
        </w:tc>
      </w:tr>
      <w:tr>
        <w:trPr>
          <w:trHeight w:val="311" w:hRule="atLeast"/>
        </w:trPr>
        <w:tc>
          <w:tcPr>
            <w:tcW w:w="4235" w:type="dxa"/>
          </w:tcPr>
          <w:p>
            <w:pPr>
              <w:pStyle w:val="TableParagraph"/>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5" w:type="dxa"/>
          </w:tcPr>
          <w:p>
            <w:pPr>
              <w:pStyle w:val="TableParagraph"/>
              <w:spacing w:before="28"/>
              <w:ind w:right="93"/>
              <w:jc w:val="right"/>
              <w:rPr>
                <w:sz w:val="21"/>
              </w:rPr>
            </w:pPr>
            <w:r>
              <w:rPr>
                <w:sz w:val="21"/>
              </w:rPr>
              <w:t>0.5%</w:t>
            </w:r>
          </w:p>
        </w:tc>
      </w:tr>
      <w:tr>
        <w:trPr>
          <w:trHeight w:val="311" w:hRule="atLeast"/>
        </w:trPr>
        <w:tc>
          <w:tcPr>
            <w:tcW w:w="4235" w:type="dxa"/>
          </w:tcPr>
          <w:p>
            <w:pPr>
              <w:pStyle w:val="TableParagraph"/>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5" w:type="dxa"/>
          </w:tcPr>
          <w:p>
            <w:pPr>
              <w:pStyle w:val="TableParagraph"/>
              <w:spacing w:before="28"/>
              <w:ind w:right="95"/>
              <w:jc w:val="right"/>
              <w:rPr>
                <w:sz w:val="21"/>
              </w:rPr>
            </w:pPr>
            <w:r>
              <w:rPr>
                <w:sz w:val="21"/>
              </w:rPr>
              <w:t>60,000.00</w:t>
            </w:r>
          </w:p>
        </w:tc>
      </w:tr>
      <w:tr>
        <w:trPr>
          <w:trHeight w:val="311" w:hRule="atLeast"/>
        </w:trPr>
        <w:tc>
          <w:tcPr>
            <w:tcW w:w="4235" w:type="dxa"/>
          </w:tcPr>
          <w:p>
            <w:pPr>
              <w:pStyle w:val="TableParagraph"/>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5" w:type="dxa"/>
          </w:tcPr>
          <w:p>
            <w:pPr>
              <w:pStyle w:val="TableParagraph"/>
              <w:spacing w:before="28"/>
              <w:ind w:right="95"/>
              <w:jc w:val="right"/>
              <w:rPr>
                <w:sz w:val="21"/>
              </w:rPr>
            </w:pPr>
            <w:r>
              <w:rPr>
                <w:sz w:val="21"/>
              </w:rPr>
              <w:t>11,940,000.00</w:t>
            </w:r>
          </w:p>
        </w:tc>
      </w:tr>
      <w:tr>
        <w:trPr>
          <w:trHeight w:val="311" w:hRule="atLeast"/>
        </w:trPr>
        <w:tc>
          <w:tcPr>
            <w:tcW w:w="4235" w:type="dxa"/>
          </w:tcPr>
          <w:p>
            <w:pPr>
              <w:pStyle w:val="TableParagraph"/>
              <w:ind w:left="107"/>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5" w:type="dxa"/>
          </w:tcPr>
          <w:p>
            <w:pPr>
              <w:pStyle w:val="TableParagraph"/>
              <w:spacing w:before="28"/>
              <w:ind w:right="93"/>
              <w:jc w:val="right"/>
              <w:rPr>
                <w:sz w:val="21"/>
              </w:rPr>
            </w:pPr>
            <w:r>
              <w:rPr>
                <w:sz w:val="21"/>
              </w:rPr>
              <w:t>0.00</w:t>
            </w:r>
          </w:p>
        </w:tc>
      </w:tr>
      <w:tr>
        <w:trPr>
          <w:trHeight w:val="309" w:hRule="atLeast"/>
        </w:trPr>
        <w:tc>
          <w:tcPr>
            <w:tcW w:w="4235" w:type="dxa"/>
            <w:tcBorders>
              <w:bottom w:val="single" w:sz="6" w:space="0" w:color="000000"/>
            </w:tcBorders>
          </w:tcPr>
          <w:p>
            <w:pPr>
              <w:pStyle w:val="TableParagraph"/>
              <w:spacing w:line="267" w:lineRule="exact"/>
              <w:ind w:left="107"/>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5" w:type="dxa"/>
            <w:tcBorders>
              <w:bottom w:val="single" w:sz="6" w:space="0" w:color="000000"/>
            </w:tcBorders>
          </w:tcPr>
          <w:p>
            <w:pPr>
              <w:pStyle w:val="TableParagraph"/>
              <w:spacing w:before="28"/>
              <w:ind w:right="95"/>
              <w:jc w:val="right"/>
              <w:rPr>
                <w:sz w:val="21"/>
              </w:rPr>
            </w:pPr>
            <w:r>
              <w:rPr>
                <w:sz w:val="21"/>
              </w:rPr>
              <w:t>11,940,000.00</w:t>
            </w:r>
          </w:p>
        </w:tc>
      </w:tr>
      <w:tr>
        <w:trPr>
          <w:trHeight w:val="311" w:hRule="atLeast"/>
        </w:trPr>
        <w:tc>
          <w:tcPr>
            <w:tcW w:w="4235" w:type="dxa"/>
            <w:tcBorders>
              <w:top w:val="single" w:sz="6" w:space="0" w:color="000000"/>
            </w:tcBorders>
          </w:tcPr>
          <w:p>
            <w:pPr>
              <w:pStyle w:val="TableParagraph"/>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5" w:type="dxa"/>
            <w:tcBorders>
              <w:top w:val="single" w:sz="6" w:space="0" w:color="000000"/>
            </w:tcBorders>
          </w:tcPr>
          <w:p>
            <w:pPr>
              <w:pStyle w:val="TableParagraph"/>
              <w:spacing w:before="28"/>
              <w:ind w:right="93"/>
              <w:jc w:val="right"/>
              <w:rPr>
                <w:sz w:val="21"/>
              </w:rPr>
            </w:pPr>
            <w:r>
              <w:rPr>
                <w:sz w:val="21"/>
              </w:rPr>
              <w:t>1.500</w:t>
            </w:r>
          </w:p>
        </w:tc>
      </w:tr>
      <w:tr>
        <w:trPr>
          <w:trHeight w:val="311" w:hRule="atLeast"/>
        </w:trPr>
        <w:tc>
          <w:tcPr>
            <w:tcW w:w="4235" w:type="dxa"/>
          </w:tcPr>
          <w:p>
            <w:pPr>
              <w:pStyle w:val="TableParagraph"/>
              <w:ind w:left="107"/>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5" w:type="dxa"/>
          </w:tcPr>
          <w:p>
            <w:pPr>
              <w:pStyle w:val="TableParagraph"/>
              <w:spacing w:before="28"/>
              <w:ind w:right="95"/>
              <w:jc w:val="right"/>
              <w:rPr>
                <w:sz w:val="21"/>
              </w:rPr>
            </w:pPr>
            <w:r>
              <w:rPr>
                <w:sz w:val="21"/>
              </w:rPr>
              <w:t>7,960,000.00</w:t>
            </w:r>
          </w:p>
        </w:tc>
      </w:tr>
    </w:tbl>
    <w:p>
      <w:pPr>
        <w:pStyle w:val="BodyText"/>
        <w:spacing w:line="417" w:lineRule="auto" w:before="100"/>
        <w:ind w:left="160" w:right="765" w:firstLine="419"/>
      </w:pPr>
      <w:r>
        <w:rPr/>
        <w:pict>
          <v:shape style="position:absolute;margin-left:111.379997pt;margin-top:70.220039pt;width:372.95pt;height:133.950pt;mso-position-horizontal-relative:page;mso-position-vertical-relative:paragraph;z-index:25168486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405" w:hRule="atLeast"/>
                    </w:trPr>
                    <w:tc>
                      <w:tcPr>
                        <w:tcW w:w="4232" w:type="dxa"/>
                      </w:tcPr>
                      <w:p>
                        <w:pPr>
                          <w:pStyle w:val="TableParagraph"/>
                          <w:spacing w:before="68"/>
                          <w:ind w:left="1884" w:right="1454"/>
                          <w:jc w:val="center"/>
                          <w:rPr>
                            <w:rFonts w:ascii="宋体" w:eastAsia="宋体" w:hint="eastAsia"/>
                            <w:sz w:val="21"/>
                          </w:rPr>
                        </w:pPr>
                        <w:r>
                          <w:rPr>
                            <w:rFonts w:ascii="宋体" w:eastAsia="宋体" w:hint="eastAsia"/>
                            <w:sz w:val="21"/>
                          </w:rPr>
                          <w:t>项目</w:t>
                        </w:r>
                      </w:p>
                    </w:tc>
                    <w:tc>
                      <w:tcPr>
                        <w:tcW w:w="3212" w:type="dxa"/>
                      </w:tcPr>
                      <w:p>
                        <w:pPr>
                          <w:pStyle w:val="TableParagraph"/>
                          <w:spacing w:before="68"/>
                          <w:ind w:left="1334"/>
                          <w:rPr>
                            <w:rFonts w:ascii="宋体" w:eastAsia="宋体" w:hint="eastAsia"/>
                            <w:sz w:val="21"/>
                          </w:rPr>
                        </w:pPr>
                        <w:r>
                          <w:rPr>
                            <w:rFonts w:ascii="宋体" w:eastAsia="宋体" w:hint="eastAsia"/>
                            <w:sz w:val="21"/>
                          </w:rPr>
                          <w:t>费用计算</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赎回份额（</w:t>
                        </w:r>
                        <w:r>
                          <w:rPr>
                            <w:sz w:val="21"/>
                          </w:rPr>
                          <w:t>K</w:t>
                        </w:r>
                        <w:r>
                          <w:rPr>
                            <w:rFonts w:ascii="宋体" w:eastAsia="宋体" w:hint="eastAsia"/>
                            <w:sz w:val="21"/>
                          </w:rPr>
                          <w:t>）</w:t>
                        </w:r>
                      </w:p>
                    </w:tc>
                    <w:tc>
                      <w:tcPr>
                        <w:tcW w:w="3212" w:type="dxa"/>
                      </w:tcPr>
                      <w:p>
                        <w:pPr>
                          <w:pStyle w:val="TableParagraph"/>
                          <w:spacing w:before="28"/>
                          <w:ind w:right="96"/>
                          <w:jc w:val="right"/>
                          <w:rPr>
                            <w:sz w:val="21"/>
                          </w:rPr>
                        </w:pPr>
                        <w:r>
                          <w:rPr>
                            <w:sz w:val="21"/>
                          </w:rPr>
                          <w:t>7,960,000.00</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赎回日基金份额净值（</w:t>
                        </w:r>
                        <w:r>
                          <w:rPr>
                            <w:sz w:val="21"/>
                          </w:rPr>
                          <w:t>L</w:t>
                        </w:r>
                        <w:r>
                          <w:rPr>
                            <w:rFonts w:ascii="宋体" w:eastAsia="宋体" w:hint="eastAsia"/>
                            <w:sz w:val="21"/>
                          </w:rPr>
                          <w:t>）</w:t>
                        </w:r>
                      </w:p>
                    </w:tc>
                    <w:tc>
                      <w:tcPr>
                        <w:tcW w:w="3212" w:type="dxa"/>
                      </w:tcPr>
                      <w:p>
                        <w:pPr>
                          <w:pStyle w:val="TableParagraph"/>
                          <w:spacing w:before="28"/>
                          <w:ind w:right="95"/>
                          <w:jc w:val="right"/>
                          <w:rPr>
                            <w:sz w:val="21"/>
                          </w:rPr>
                        </w:pPr>
                        <w:r>
                          <w:rPr>
                            <w:sz w:val="21"/>
                          </w:rPr>
                          <w:t>1.300</w:t>
                        </w:r>
                      </w:p>
                    </w:tc>
                  </w:tr>
                  <w:tr>
                    <w:trPr>
                      <w:trHeight w:val="314" w:hRule="atLeast"/>
                    </w:trPr>
                    <w:tc>
                      <w:tcPr>
                        <w:tcW w:w="4232" w:type="dxa"/>
                      </w:tcPr>
                      <w:p>
                        <w:pPr>
                          <w:pStyle w:val="TableParagraph"/>
                          <w:spacing w:before="25"/>
                          <w:ind w:left="107"/>
                          <w:rPr>
                            <w:rFonts w:ascii="宋体" w:eastAsia="宋体" w:hint="eastAsia"/>
                            <w:sz w:val="21"/>
                          </w:rPr>
                        </w:pPr>
                        <w:r>
                          <w:rPr>
                            <w:rFonts w:ascii="宋体" w:eastAsia="宋体" w:hint="eastAsia"/>
                            <w:sz w:val="21"/>
                          </w:rPr>
                          <w:t>赎回总金额（</w:t>
                        </w:r>
                        <w:r>
                          <w:rPr>
                            <w:sz w:val="21"/>
                          </w:rPr>
                          <w:t>M=K*L</w:t>
                        </w:r>
                        <w:r>
                          <w:rPr>
                            <w:rFonts w:ascii="宋体" w:eastAsia="宋体" w:hint="eastAsia"/>
                            <w:sz w:val="21"/>
                          </w:rPr>
                          <w:t>）</w:t>
                        </w:r>
                      </w:p>
                    </w:tc>
                    <w:tc>
                      <w:tcPr>
                        <w:tcW w:w="3212" w:type="dxa"/>
                      </w:tcPr>
                      <w:p>
                        <w:pPr>
                          <w:pStyle w:val="TableParagraph"/>
                          <w:spacing w:before="30"/>
                          <w:ind w:right="96"/>
                          <w:jc w:val="right"/>
                          <w:rPr>
                            <w:sz w:val="21"/>
                          </w:rPr>
                        </w:pPr>
                        <w:r>
                          <w:rPr>
                            <w:sz w:val="21"/>
                          </w:rPr>
                          <w:t>10,348,000.00</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赎回费用（</w:t>
                        </w:r>
                        <w:r>
                          <w:rPr>
                            <w:sz w:val="21"/>
                          </w:rPr>
                          <w:t>N</w:t>
                        </w:r>
                        <w:r>
                          <w:rPr>
                            <w:rFonts w:ascii="宋体" w:eastAsia="宋体" w:hint="eastAsia"/>
                            <w:sz w:val="21"/>
                          </w:rPr>
                          <w:t>）</w:t>
                        </w:r>
                      </w:p>
                    </w:tc>
                    <w:tc>
                      <w:tcPr>
                        <w:tcW w:w="3212" w:type="dxa"/>
                      </w:tcPr>
                      <w:p>
                        <w:pPr>
                          <w:pStyle w:val="TableParagraph"/>
                          <w:spacing w:before="28"/>
                          <w:ind w:right="95"/>
                          <w:jc w:val="right"/>
                          <w:rPr>
                            <w:sz w:val="21"/>
                          </w:rPr>
                        </w:pPr>
                        <w:r>
                          <w:rPr>
                            <w:sz w:val="21"/>
                          </w:rPr>
                          <w:t>0.00</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适用后端申购费率（</w:t>
                        </w:r>
                        <w:r>
                          <w:rPr>
                            <w:sz w:val="21"/>
                          </w:rPr>
                          <w:t>O</w:t>
                        </w:r>
                        <w:r>
                          <w:rPr>
                            <w:rFonts w:ascii="宋体" w:eastAsia="宋体" w:hint="eastAsia"/>
                            <w:sz w:val="21"/>
                          </w:rPr>
                          <w:t>）</w:t>
                        </w:r>
                      </w:p>
                    </w:tc>
                    <w:tc>
                      <w:tcPr>
                        <w:tcW w:w="3212" w:type="dxa"/>
                      </w:tcPr>
                      <w:p>
                        <w:pPr>
                          <w:pStyle w:val="TableParagraph"/>
                          <w:spacing w:before="28"/>
                          <w:ind w:right="94"/>
                          <w:jc w:val="right"/>
                          <w:rPr>
                            <w:sz w:val="21"/>
                          </w:rPr>
                        </w:pPr>
                        <w:r>
                          <w:rPr>
                            <w:sz w:val="21"/>
                          </w:rPr>
                          <w:t>1.2%</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pacing w:val="-2"/>
                            <w:w w:val="100"/>
                            <w:sz w:val="21"/>
                          </w:rPr>
                          <w:t>后端申购费</w:t>
                        </w:r>
                        <w:r>
                          <w:rPr>
                            <w:rFonts w:ascii="宋体" w:eastAsia="宋体" w:hint="eastAsia"/>
                            <w:spacing w:val="-1"/>
                            <w:w w:val="100"/>
                            <w:sz w:val="21"/>
                          </w:rPr>
                          <w:t>（</w:t>
                        </w:r>
                        <w:r>
                          <w:rPr>
                            <w:spacing w:val="-2"/>
                            <w:w w:val="100"/>
                            <w:sz w:val="21"/>
                          </w:rPr>
                          <w:t>P=</w:t>
                        </w:r>
                        <w:r>
                          <w:rPr>
                            <w:w w:val="100"/>
                            <w:sz w:val="21"/>
                          </w:rPr>
                          <w:t>K*I</w:t>
                        </w:r>
                        <w:r>
                          <w:rPr>
                            <w:spacing w:val="-3"/>
                            <w:w w:val="100"/>
                            <w:sz w:val="21"/>
                          </w:rPr>
                          <w:t>*</w:t>
                        </w:r>
                        <w:r>
                          <w:rPr>
                            <w:spacing w:val="-1"/>
                            <w:w w:val="100"/>
                            <w:sz w:val="21"/>
                          </w:rPr>
                          <w:t>O/</w:t>
                        </w:r>
                        <w:r>
                          <w:rPr>
                            <w:rFonts w:ascii="宋体" w:eastAsia="宋体" w:hint="eastAsia"/>
                            <w:spacing w:val="-3"/>
                            <w:w w:val="100"/>
                            <w:sz w:val="21"/>
                          </w:rPr>
                          <w:t>（</w:t>
                        </w:r>
                        <w:r>
                          <w:rPr>
                            <w:spacing w:val="-2"/>
                            <w:w w:val="100"/>
                            <w:sz w:val="21"/>
                          </w:rPr>
                          <w:t>1</w:t>
                        </w:r>
                        <w:r>
                          <w:rPr>
                            <w:w w:val="100"/>
                            <w:sz w:val="21"/>
                          </w:rPr>
                          <w:t>+</w:t>
                        </w:r>
                        <w:r>
                          <w:rPr>
                            <w:spacing w:val="-1"/>
                            <w:w w:val="100"/>
                            <w:sz w:val="21"/>
                          </w:rPr>
                          <w:t>O</w:t>
                        </w:r>
                        <w:r>
                          <w:rPr>
                            <w:rFonts w:ascii="宋体" w:eastAsia="宋体" w:hint="eastAsia"/>
                            <w:spacing w:val="-106"/>
                            <w:w w:val="100"/>
                            <w:sz w:val="21"/>
                          </w:rPr>
                          <w:t>）</w:t>
                        </w:r>
                        <w:r>
                          <w:rPr>
                            <w:rFonts w:ascii="宋体" w:eastAsia="宋体" w:hint="eastAsia"/>
                            <w:w w:val="100"/>
                            <w:sz w:val="21"/>
                          </w:rPr>
                          <w:t>）</w:t>
                        </w:r>
                      </w:p>
                    </w:tc>
                    <w:tc>
                      <w:tcPr>
                        <w:tcW w:w="3212" w:type="dxa"/>
                      </w:tcPr>
                      <w:p>
                        <w:pPr>
                          <w:pStyle w:val="TableParagraph"/>
                          <w:spacing w:before="28"/>
                          <w:ind w:right="96"/>
                          <w:jc w:val="right"/>
                          <w:rPr>
                            <w:sz w:val="21"/>
                          </w:rPr>
                        </w:pPr>
                        <w:r>
                          <w:rPr>
                            <w:sz w:val="21"/>
                          </w:rPr>
                          <w:t>141,581.03</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赎回金额（</w:t>
                        </w:r>
                        <w:r>
                          <w:rPr>
                            <w:sz w:val="21"/>
                          </w:rPr>
                          <w:t>Q=M-N-P</w:t>
                        </w:r>
                        <w:r>
                          <w:rPr>
                            <w:rFonts w:ascii="宋体" w:eastAsia="宋体" w:hint="eastAsia"/>
                            <w:sz w:val="21"/>
                          </w:rPr>
                          <w:t>）</w:t>
                        </w:r>
                      </w:p>
                    </w:tc>
                    <w:tc>
                      <w:tcPr>
                        <w:tcW w:w="3212" w:type="dxa"/>
                      </w:tcPr>
                      <w:p>
                        <w:pPr>
                          <w:pStyle w:val="TableParagraph"/>
                          <w:spacing w:before="28"/>
                          <w:ind w:right="96"/>
                          <w:jc w:val="right"/>
                          <w:rPr>
                            <w:sz w:val="21"/>
                          </w:rPr>
                        </w:pPr>
                        <w:r>
                          <w:rPr>
                            <w:sz w:val="21"/>
                          </w:rPr>
                          <w:t>10,206,418.97</w:t>
                        </w:r>
                      </w:p>
                    </w:tc>
                  </w:tr>
                </w:tbl>
                <w:p>
                  <w:pPr>
                    <w:pStyle w:val="BodyText"/>
                  </w:pPr>
                </w:p>
              </w:txbxContent>
            </v:textbox>
            <w10:wrap type="none"/>
          </v:shape>
        </w:pict>
      </w:r>
      <w:r>
        <w:rPr>
          <w:spacing w:val="-10"/>
        </w:rPr>
        <w:t>若投资者在 </w:t>
      </w:r>
      <w:r>
        <w:rPr>
          <w:rFonts w:ascii="Calibri" w:eastAsia="Calibri"/>
        </w:rPr>
        <w:t>2011 </w:t>
      </w:r>
      <w:r>
        <w:rPr>
          <w:spacing w:val="-24"/>
        </w:rPr>
        <w:t>年 </w:t>
      </w:r>
      <w:r>
        <w:rPr>
          <w:rFonts w:ascii="Calibri" w:eastAsia="Calibri"/>
        </w:rPr>
        <w:t>1 </w:t>
      </w:r>
      <w:r>
        <w:rPr>
          <w:spacing w:val="-26"/>
        </w:rPr>
        <w:t>月 </w:t>
      </w:r>
      <w:r>
        <w:rPr>
          <w:rFonts w:ascii="Calibri" w:eastAsia="Calibri"/>
        </w:rPr>
        <w:t>1 </w:t>
      </w:r>
      <w:r>
        <w:rPr>
          <w:spacing w:val="-6"/>
        </w:rPr>
        <w:t>日赎回乙基金，则赎回时乙基金持有期在 </w:t>
      </w:r>
      <w:r>
        <w:rPr>
          <w:rFonts w:ascii="Calibri" w:eastAsia="Calibri"/>
        </w:rPr>
        <w:t>1 </w:t>
      </w:r>
      <w:r>
        <w:rPr>
          <w:spacing w:val="-3"/>
        </w:rPr>
        <w:t>年之内，适用后</w:t>
      </w:r>
      <w:r>
        <w:rPr>
          <w:spacing w:val="-9"/>
        </w:rPr>
        <w:t>端申购费率为 </w:t>
      </w:r>
      <w:r>
        <w:rPr>
          <w:rFonts w:ascii="Calibri" w:eastAsia="Calibri"/>
        </w:rPr>
        <w:t>1.2%</w:t>
      </w:r>
      <w:r>
        <w:rPr>
          <w:spacing w:val="-5"/>
        </w:rPr>
        <w:t>，此时赎回乙基金不收取赎回费，该日乙基金基金份额净值为 </w:t>
      </w:r>
      <w:r>
        <w:rPr>
          <w:rFonts w:ascii="Calibri" w:eastAsia="Calibri"/>
        </w:rPr>
        <w:t>1.300 </w:t>
      </w:r>
      <w:r>
        <w:rPr/>
        <w:t>元。</w:t>
      </w:r>
      <w:r>
        <w:rPr>
          <w:spacing w:val="-3"/>
        </w:rPr>
        <w:t>则赎回金额计算如下：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9"/>
        </w:rPr>
      </w:pPr>
    </w:p>
    <w:p>
      <w:pPr>
        <w:pStyle w:val="BodyText"/>
        <w:spacing w:line="417" w:lineRule="auto"/>
        <w:ind w:left="160" w:right="770" w:firstLine="419"/>
      </w:pPr>
      <w:r>
        <w:rPr/>
        <w:pict>
          <v:shape style="position:absolute;margin-left:110.779999pt;margin-top:65.220024pt;width:374.15pt;height:177.65pt;mso-position-horizontal-relative:page;mso-position-vertical-relative:paragraph;z-index:25168588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4" w:hRule="atLeast"/>
                    </w:trPr>
                    <w:tc>
                      <w:tcPr>
                        <w:tcW w:w="4244" w:type="dxa"/>
                      </w:tcPr>
                      <w:p>
                        <w:pPr>
                          <w:pStyle w:val="TableParagraph"/>
                          <w:spacing w:before="25"/>
                          <w:ind w:left="1681" w:right="1671"/>
                          <w:jc w:val="center"/>
                          <w:rPr>
                            <w:rFonts w:ascii="宋体" w:eastAsia="宋体" w:hint="eastAsia"/>
                            <w:sz w:val="21"/>
                          </w:rPr>
                        </w:pPr>
                        <w:r>
                          <w:rPr>
                            <w:rFonts w:ascii="宋体" w:eastAsia="宋体" w:hint="eastAsia"/>
                            <w:sz w:val="21"/>
                          </w:rPr>
                          <w:t>项目</w:t>
                        </w:r>
                      </w:p>
                    </w:tc>
                    <w:tc>
                      <w:tcPr>
                        <w:tcW w:w="3224" w:type="dxa"/>
                      </w:tcPr>
                      <w:p>
                        <w:pPr>
                          <w:pStyle w:val="TableParagraph"/>
                          <w:spacing w:before="25"/>
                          <w:ind w:left="1169" w:right="1160"/>
                          <w:jc w:val="center"/>
                          <w:rPr>
                            <w:rFonts w:ascii="宋体" w:eastAsia="宋体" w:hint="eastAsia"/>
                            <w:sz w:val="21"/>
                          </w:rPr>
                        </w:pPr>
                        <w:r>
                          <w:rPr>
                            <w:rFonts w:ascii="宋体" w:eastAsia="宋体" w:hint="eastAsia"/>
                            <w:sz w:val="21"/>
                          </w:rPr>
                          <w:t>费用计算</w:t>
                        </w:r>
                      </w:p>
                    </w:tc>
                  </w:tr>
                  <w:tr>
                    <w:trPr>
                      <w:trHeight w:val="312" w:hRule="atLeast"/>
                    </w:trPr>
                    <w:tc>
                      <w:tcPr>
                        <w:tcW w:w="4244" w:type="dxa"/>
                      </w:tcPr>
                      <w:p>
                        <w:pPr>
                          <w:pStyle w:val="TableParagraph"/>
                          <w:spacing w:before="23"/>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4" w:type="dxa"/>
                      </w:tcPr>
                      <w:p>
                        <w:pPr>
                          <w:pStyle w:val="TableParagraph"/>
                          <w:spacing w:before="28"/>
                          <w:ind w:right="96"/>
                          <w:jc w:val="right"/>
                          <w:rPr>
                            <w:sz w:val="21"/>
                          </w:rPr>
                        </w:pPr>
                        <w:r>
                          <w:rPr>
                            <w:sz w:val="21"/>
                          </w:rPr>
                          <w:t>10,000,000.00</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4" w:type="dxa"/>
                      </w:tcPr>
                      <w:p>
                        <w:pPr>
                          <w:pStyle w:val="TableParagraph"/>
                          <w:spacing w:before="28"/>
                          <w:ind w:right="95"/>
                          <w:jc w:val="right"/>
                          <w:rPr>
                            <w:sz w:val="21"/>
                          </w:rPr>
                        </w:pPr>
                        <w:r>
                          <w:rPr>
                            <w:sz w:val="21"/>
                          </w:rPr>
                          <w:t>1.300</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4" w:type="dxa"/>
                      </w:tcPr>
                      <w:p>
                        <w:pPr>
                          <w:pStyle w:val="TableParagraph"/>
                          <w:spacing w:before="28"/>
                          <w:ind w:right="96"/>
                          <w:jc w:val="right"/>
                          <w:rPr>
                            <w:sz w:val="21"/>
                          </w:rPr>
                        </w:pPr>
                        <w:r>
                          <w:rPr>
                            <w:sz w:val="21"/>
                          </w:rPr>
                          <w:t>13,000,000.00</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4" w:type="dxa"/>
                      </w:tcPr>
                      <w:p>
                        <w:pPr>
                          <w:pStyle w:val="TableParagraph"/>
                          <w:spacing w:before="28"/>
                          <w:ind w:right="94"/>
                          <w:jc w:val="right"/>
                          <w:rPr>
                            <w:sz w:val="21"/>
                          </w:rPr>
                        </w:pPr>
                        <w:r>
                          <w:rPr>
                            <w:sz w:val="21"/>
                          </w:rPr>
                          <w:t>0.5%</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4" w:type="dxa"/>
                      </w:tcPr>
                      <w:p>
                        <w:pPr>
                          <w:pStyle w:val="TableParagraph"/>
                          <w:spacing w:before="28"/>
                          <w:ind w:right="96"/>
                          <w:jc w:val="right"/>
                          <w:rPr>
                            <w:sz w:val="21"/>
                          </w:rPr>
                        </w:pPr>
                        <w:r>
                          <w:rPr>
                            <w:sz w:val="21"/>
                          </w:rPr>
                          <w:t>65,000.00</w:t>
                        </w:r>
                      </w:p>
                    </w:tc>
                  </w:tr>
                  <w:tr>
                    <w:trPr>
                      <w:trHeight w:val="314" w:hRule="atLeast"/>
                    </w:trPr>
                    <w:tc>
                      <w:tcPr>
                        <w:tcW w:w="4244" w:type="dxa"/>
                      </w:tcPr>
                      <w:p>
                        <w:pPr>
                          <w:pStyle w:val="TableParagraph"/>
                          <w:spacing w:before="25"/>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4" w:type="dxa"/>
                      </w:tcPr>
                      <w:p>
                        <w:pPr>
                          <w:pStyle w:val="TableParagraph"/>
                          <w:spacing w:before="30"/>
                          <w:ind w:right="96"/>
                          <w:jc w:val="right"/>
                          <w:rPr>
                            <w:sz w:val="21"/>
                          </w:rPr>
                        </w:pPr>
                        <w:r>
                          <w:rPr>
                            <w:sz w:val="21"/>
                          </w:rPr>
                          <w:t>12,935,000.00</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24" w:type="dxa"/>
                      </w:tcPr>
                      <w:p>
                        <w:pPr>
                          <w:pStyle w:val="TableParagraph"/>
                          <w:spacing w:before="28"/>
                          <w:ind w:right="95"/>
                          <w:jc w:val="right"/>
                          <w:rPr>
                            <w:sz w:val="21"/>
                          </w:rPr>
                        </w:pPr>
                        <w:r>
                          <w:rPr>
                            <w:sz w:val="21"/>
                          </w:rPr>
                          <w:t>0.00</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24" w:type="dxa"/>
                      </w:tcPr>
                      <w:p>
                        <w:pPr>
                          <w:pStyle w:val="TableParagraph"/>
                          <w:spacing w:before="28"/>
                          <w:ind w:right="96"/>
                          <w:jc w:val="right"/>
                          <w:rPr>
                            <w:sz w:val="21"/>
                          </w:rPr>
                        </w:pPr>
                        <w:r>
                          <w:rPr>
                            <w:sz w:val="21"/>
                          </w:rPr>
                          <w:t>12,935,000.00</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24" w:type="dxa"/>
                      </w:tcPr>
                      <w:p>
                        <w:pPr>
                          <w:pStyle w:val="TableParagraph"/>
                          <w:spacing w:before="28"/>
                          <w:ind w:right="95"/>
                          <w:jc w:val="right"/>
                          <w:rPr>
                            <w:sz w:val="21"/>
                          </w:rPr>
                        </w:pPr>
                        <w:r>
                          <w:rPr>
                            <w:sz w:val="21"/>
                          </w:rPr>
                          <w:t>1.500</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24" w:type="dxa"/>
                      </w:tcPr>
                      <w:p>
                        <w:pPr>
                          <w:pStyle w:val="TableParagraph"/>
                          <w:spacing w:before="28"/>
                          <w:ind w:right="96"/>
                          <w:jc w:val="right"/>
                          <w:rPr>
                            <w:sz w:val="21"/>
                          </w:rPr>
                        </w:pPr>
                        <w:r>
                          <w:rPr>
                            <w:sz w:val="21"/>
                          </w:rPr>
                          <w:t>8,623,333.33</w:t>
                        </w:r>
                      </w:p>
                    </w:tc>
                  </w:tr>
                </w:tbl>
                <w:p>
                  <w:pPr>
                    <w:pStyle w:val="BodyText"/>
                  </w:pPr>
                </w:p>
              </w:txbxContent>
            </v:textbox>
            <w10:wrap type="none"/>
          </v:shape>
        </w:pict>
      </w:r>
      <w:r>
        <w:rPr>
          <w:spacing w:val="-13"/>
        </w:rPr>
        <w:t>例八：假定投资者在 </w:t>
      </w:r>
      <w:r>
        <w:rPr>
          <w:rFonts w:ascii="Calibri" w:eastAsia="Calibri"/>
        </w:rPr>
        <w:t>T </w:t>
      </w:r>
      <w:r>
        <w:rPr>
          <w:spacing w:val="-8"/>
        </w:rPr>
        <w:t>日转出前端收费基金甲 </w:t>
      </w:r>
      <w:r>
        <w:rPr>
          <w:rFonts w:ascii="Calibri" w:eastAsia="Calibri"/>
        </w:rPr>
        <w:t>10,000,000 </w:t>
      </w:r>
      <w:r>
        <w:rPr>
          <w:spacing w:val="-9"/>
        </w:rPr>
        <w:t>份，转入不收取申购费用基金</w:t>
      </w:r>
      <w:r>
        <w:rPr>
          <w:spacing w:val="-5"/>
        </w:rPr>
        <w:t>乙，甲基金申购费率适用固定费用。</w:t>
      </w:r>
      <w:r>
        <w:rPr>
          <w:rFonts w:ascii="Calibri" w:eastAsia="Calibri"/>
        </w:rPr>
        <w:t>T </w:t>
      </w:r>
      <w:r>
        <w:rPr>
          <w:spacing w:val="-5"/>
        </w:rPr>
        <w:t>日甲、乙基金基金份额净值分别为 </w:t>
      </w:r>
      <w:r>
        <w:rPr>
          <w:rFonts w:ascii="Calibri" w:eastAsia="Calibri"/>
        </w:rPr>
        <w:t>1.300</w:t>
      </w:r>
      <w:r>
        <w:rPr/>
        <w:t>、</w:t>
      </w:r>
      <w:r>
        <w:rPr>
          <w:rFonts w:ascii="Calibri" w:eastAsia="Calibri"/>
        </w:rPr>
        <w:t>1.500 </w:t>
      </w:r>
      <w:r>
        <w:rPr>
          <w:spacing w:val="-3"/>
        </w:rPr>
        <w:t>元。</w:t>
      </w:r>
      <w:r>
        <w:rPr>
          <w:spacing w:val="-9"/>
        </w:rPr>
        <w:t>甲基金赎回费率为 </w:t>
      </w:r>
      <w:r>
        <w:rPr>
          <w:rFonts w:ascii="Calibri" w:eastAsia="Calibri"/>
        </w:rPr>
        <w:t>0.5%</w:t>
      </w:r>
      <w:r>
        <w:rPr>
          <w:spacing w:val="-3"/>
        </w:rPr>
        <w:t>。则转出基金费用、转入基金费用及份额计算如下：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70"/>
        <w:ind w:left="580"/>
      </w:pPr>
      <w:r>
        <w:rPr>
          <w:spacing w:val="-15"/>
          <w:w w:val="100"/>
        </w:rPr>
        <w:t>例九：假定投资者在</w:t>
      </w:r>
      <w:r>
        <w:rPr>
          <w:spacing w:val="-64"/>
        </w:rPr>
        <w:t> </w:t>
      </w:r>
      <w:r>
        <w:rPr>
          <w:rFonts w:ascii="Calibri" w:eastAsia="Calibri"/>
          <w:w w:val="100"/>
        </w:rPr>
        <w:t>T</w:t>
      </w:r>
      <w:r>
        <w:rPr>
          <w:rFonts w:ascii="Calibri" w:eastAsia="Calibri"/>
          <w:spacing w:val="-9"/>
        </w:rPr>
        <w:t> </w:t>
      </w:r>
      <w:r>
        <w:rPr>
          <w:spacing w:val="-2"/>
          <w:w w:val="100"/>
        </w:rPr>
        <w:t>日转出</w:t>
      </w:r>
      <w:r>
        <w:rPr>
          <w:spacing w:val="-65"/>
        </w:rPr>
        <w:t> </w:t>
      </w:r>
      <w:r>
        <w:rPr>
          <w:rFonts w:ascii="Calibri" w:eastAsia="Calibri"/>
          <w:w w:val="100"/>
        </w:rPr>
        <w:t>1</w:t>
      </w:r>
      <w:r>
        <w:rPr>
          <w:rFonts w:ascii="Calibri" w:eastAsia="Calibri"/>
          <w:spacing w:val="-3"/>
          <w:w w:val="100"/>
        </w:rPr>
        <w:t>,</w:t>
      </w:r>
      <w:r>
        <w:rPr>
          <w:rFonts w:ascii="Calibri" w:eastAsia="Calibri"/>
          <w:w w:val="100"/>
        </w:rPr>
        <w:t>0</w:t>
      </w:r>
      <w:r>
        <w:rPr>
          <w:rFonts w:ascii="Calibri" w:eastAsia="Calibri"/>
          <w:spacing w:val="-2"/>
          <w:w w:val="100"/>
        </w:rPr>
        <w:t>0</w:t>
      </w:r>
      <w:r>
        <w:rPr>
          <w:rFonts w:ascii="Calibri" w:eastAsia="Calibri"/>
          <w:w w:val="100"/>
        </w:rPr>
        <w:t>0</w:t>
      </w:r>
      <w:r>
        <w:rPr>
          <w:rFonts w:ascii="Calibri" w:eastAsia="Calibri"/>
          <w:spacing w:val="-6"/>
        </w:rPr>
        <w:t> </w:t>
      </w:r>
      <w:r>
        <w:rPr>
          <w:spacing w:val="-10"/>
          <w:w w:val="100"/>
        </w:rPr>
        <w:t>份持有期为半年的甲基金基金份额</w:t>
      </w:r>
      <w:r>
        <w:rPr>
          <w:w w:val="100"/>
        </w:rPr>
        <w:t>（</w:t>
      </w:r>
      <w:r>
        <w:rPr>
          <w:spacing w:val="-3"/>
          <w:w w:val="100"/>
        </w:rPr>
        <w:t>后端收费模式</w:t>
      </w:r>
      <w:r>
        <w:rPr>
          <w:spacing w:val="-106"/>
          <w:w w:val="100"/>
        </w:rPr>
        <w:t>）</w:t>
      </w:r>
      <w:r>
        <w:rPr>
          <w:w w:val="100"/>
        </w:rPr>
        <w:t>，</w:t>
      </w:r>
    </w:p>
    <w:p>
      <w:pPr>
        <w:spacing w:after="0"/>
        <w:sectPr>
          <w:pgSz w:w="11910" w:h="16840"/>
          <w:pgMar w:header="877" w:footer="995" w:top="1420" w:bottom="1180" w:left="1640" w:right="920"/>
        </w:sectPr>
      </w:pPr>
    </w:p>
    <w:p>
      <w:pPr>
        <w:pStyle w:val="BodyText"/>
        <w:spacing w:line="417" w:lineRule="auto" w:before="110"/>
        <w:ind w:left="160" w:right="874"/>
      </w:pPr>
      <w:r>
        <w:rPr>
          <w:spacing w:val="-6"/>
        </w:rPr>
        <w:t>转出时适用甲基金后端申购费率为 </w:t>
      </w:r>
      <w:r>
        <w:rPr>
          <w:rFonts w:ascii="Calibri" w:eastAsia="Calibri"/>
          <w:spacing w:val="-11"/>
        </w:rPr>
        <w:t>1.8%</w:t>
      </w:r>
      <w:r>
        <w:rPr>
          <w:spacing w:val="-7"/>
        </w:rPr>
        <w:t>，该日甲基金基金份额净值为 </w:t>
      </w:r>
      <w:r>
        <w:rPr>
          <w:rFonts w:ascii="Calibri" w:eastAsia="Calibri"/>
        </w:rPr>
        <w:t>1.200 </w:t>
      </w:r>
      <w:r>
        <w:rPr>
          <w:spacing w:val="-10"/>
        </w:rPr>
        <w:t>元。甲基金前端</w:t>
      </w:r>
      <w:r>
        <w:rPr>
          <w:spacing w:val="-11"/>
        </w:rPr>
        <w:t>申购费率最高档为 </w:t>
      </w:r>
      <w:r>
        <w:rPr>
          <w:rFonts w:ascii="Calibri" w:eastAsia="Calibri"/>
        </w:rPr>
        <w:t>1.5%</w:t>
      </w:r>
      <w:r>
        <w:rPr>
          <w:spacing w:val="-9"/>
        </w:rPr>
        <w:t>，赎回费率为 </w:t>
      </w:r>
      <w:r>
        <w:rPr>
          <w:rFonts w:ascii="Calibri" w:eastAsia="Calibri"/>
        </w:rPr>
        <w:t>0.5%</w:t>
      </w:r>
      <w:r>
        <w:rPr>
          <w:spacing w:val="-7"/>
        </w:rPr>
        <w:t>。申购日甲基金基金份额净值为 </w:t>
      </w:r>
      <w:r>
        <w:rPr>
          <w:rFonts w:ascii="Calibri" w:eastAsia="Calibri"/>
        </w:rPr>
        <w:t>1.100 </w:t>
      </w:r>
      <w:r>
        <w:rPr/>
        <w:t>元。</w:t>
      </w:r>
    </w:p>
    <w:p>
      <w:pPr>
        <w:pStyle w:val="ListParagraph"/>
        <w:numPr>
          <w:ilvl w:val="0"/>
          <w:numId w:val="19"/>
        </w:numPr>
        <w:tabs>
          <w:tab w:pos="1112" w:val="left" w:leader="none"/>
        </w:tabs>
        <w:spacing w:line="417" w:lineRule="auto" w:before="0" w:after="0"/>
        <w:ind w:left="160" w:right="871" w:firstLine="419"/>
        <w:jc w:val="left"/>
        <w:rPr>
          <w:sz w:val="21"/>
        </w:rPr>
      </w:pPr>
      <w:r>
        <w:rPr/>
        <w:pict>
          <v:shape style="position:absolute;margin-left:111.139999pt;margin-top:41.819996pt;width:373.4pt;height:258.2pt;mso-position-horizontal-relative:page;mso-position-vertical-relative:paragraph;z-index:25168691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1" w:hRule="atLeast"/>
                    </w:trPr>
                    <w:tc>
                      <w:tcPr>
                        <w:tcW w:w="4237" w:type="dxa"/>
                      </w:tcPr>
                      <w:p>
                        <w:pPr>
                          <w:pStyle w:val="TableParagraph"/>
                          <w:ind w:left="1681" w:right="1669"/>
                          <w:jc w:val="center"/>
                          <w:rPr>
                            <w:rFonts w:ascii="宋体" w:eastAsia="宋体" w:hint="eastAsia"/>
                            <w:sz w:val="21"/>
                          </w:rPr>
                        </w:pPr>
                        <w:r>
                          <w:rPr>
                            <w:rFonts w:ascii="宋体" w:eastAsia="宋体" w:hint="eastAsia"/>
                            <w:sz w:val="21"/>
                          </w:rPr>
                          <w:t>项目</w:t>
                        </w:r>
                      </w:p>
                    </w:tc>
                    <w:tc>
                      <w:tcPr>
                        <w:tcW w:w="3217" w:type="dxa"/>
                      </w:tcPr>
                      <w:p>
                        <w:pPr>
                          <w:pStyle w:val="TableParagraph"/>
                          <w:ind w:left="1169" w:right="1158"/>
                          <w:jc w:val="center"/>
                          <w:rPr>
                            <w:rFonts w:ascii="宋体" w:eastAsia="宋体" w:hint="eastAsia"/>
                            <w:sz w:val="21"/>
                          </w:rPr>
                        </w:pPr>
                        <w:r>
                          <w:rPr>
                            <w:rFonts w:ascii="宋体" w:eastAsia="宋体" w:hint="eastAsia"/>
                            <w:sz w:val="21"/>
                          </w:rPr>
                          <w:t>费用计算</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spacing w:before="28"/>
                          <w:ind w:right="96"/>
                          <w:jc w:val="right"/>
                          <w:rPr>
                            <w:sz w:val="21"/>
                          </w:rPr>
                        </w:pPr>
                        <w:r>
                          <w:rPr>
                            <w:sz w:val="21"/>
                          </w:rPr>
                          <w:t>1,000.00</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spacing w:before="28"/>
                          <w:ind w:right="95"/>
                          <w:jc w:val="right"/>
                          <w:rPr>
                            <w:sz w:val="21"/>
                          </w:rPr>
                        </w:pPr>
                        <w:r>
                          <w:rPr>
                            <w:sz w:val="21"/>
                          </w:rPr>
                          <w:t>1.200</w:t>
                        </w:r>
                      </w:p>
                    </w:tc>
                  </w:tr>
                  <w:tr>
                    <w:trPr>
                      <w:trHeight w:val="314" w:hRule="atLeast"/>
                    </w:trPr>
                    <w:tc>
                      <w:tcPr>
                        <w:tcW w:w="4237" w:type="dxa"/>
                      </w:tcPr>
                      <w:p>
                        <w:pPr>
                          <w:pStyle w:val="TableParagraph"/>
                          <w:spacing w:before="25"/>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spacing w:before="30"/>
                          <w:ind w:right="96"/>
                          <w:jc w:val="right"/>
                          <w:rPr>
                            <w:sz w:val="21"/>
                          </w:rPr>
                        </w:pPr>
                        <w:r>
                          <w:rPr>
                            <w:sz w:val="21"/>
                          </w:rPr>
                          <w:t>1,200.00</w:t>
                        </w:r>
                      </w:p>
                    </w:tc>
                  </w:tr>
                  <w:tr>
                    <w:trPr>
                      <w:trHeight w:val="312" w:hRule="atLeast"/>
                    </w:trPr>
                    <w:tc>
                      <w:tcPr>
                        <w:tcW w:w="4237" w:type="dxa"/>
                      </w:tcPr>
                      <w:p>
                        <w:pPr>
                          <w:pStyle w:val="TableParagraph"/>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spacing w:before="28"/>
                          <w:ind w:right="94"/>
                          <w:jc w:val="right"/>
                          <w:rPr>
                            <w:sz w:val="21"/>
                          </w:rPr>
                        </w:pPr>
                        <w:r>
                          <w:rPr>
                            <w:sz w:val="21"/>
                          </w:rPr>
                          <w:t>0.5%</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17" w:type="dxa"/>
                      </w:tcPr>
                      <w:p>
                        <w:pPr>
                          <w:pStyle w:val="TableParagraph"/>
                          <w:spacing w:before="28"/>
                          <w:ind w:right="95"/>
                          <w:jc w:val="right"/>
                          <w:rPr>
                            <w:sz w:val="21"/>
                          </w:rPr>
                        </w:pPr>
                        <w:r>
                          <w:rPr>
                            <w:sz w:val="21"/>
                          </w:rPr>
                          <w:t>6.00</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17" w:type="dxa"/>
                      </w:tcPr>
                      <w:p>
                        <w:pPr>
                          <w:pStyle w:val="TableParagraph"/>
                          <w:spacing w:before="28"/>
                          <w:ind w:right="95"/>
                          <w:jc w:val="right"/>
                          <w:rPr>
                            <w:sz w:val="21"/>
                          </w:rPr>
                        </w:pPr>
                        <w:r>
                          <w:rPr>
                            <w:sz w:val="21"/>
                          </w:rPr>
                          <w:t>1.100</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17" w:type="dxa"/>
                      </w:tcPr>
                      <w:p>
                        <w:pPr>
                          <w:pStyle w:val="TableParagraph"/>
                          <w:spacing w:before="28"/>
                          <w:ind w:right="94"/>
                          <w:jc w:val="right"/>
                          <w:rPr>
                            <w:sz w:val="21"/>
                          </w:rPr>
                        </w:pPr>
                        <w:r>
                          <w:rPr>
                            <w:sz w:val="21"/>
                          </w:rPr>
                          <w:t>1.8%</w:t>
                        </w:r>
                      </w:p>
                    </w:tc>
                  </w:tr>
                  <w:tr>
                    <w:trPr>
                      <w:trHeight w:val="311" w:hRule="atLeast"/>
                    </w:trPr>
                    <w:tc>
                      <w:tcPr>
                        <w:tcW w:w="4237" w:type="dxa"/>
                      </w:tcPr>
                      <w:p>
                        <w:pPr>
                          <w:pStyle w:val="TableParagraph"/>
                          <w:ind w:left="107"/>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1"/>
                            <w:w w:val="100"/>
                            <w:sz w:val="21"/>
                          </w:rPr>
                          <w:t>（</w:t>
                        </w:r>
                        <w:r>
                          <w:rPr>
                            <w:spacing w:val="-2"/>
                            <w:w w:val="100"/>
                            <w:sz w:val="21"/>
                          </w:rPr>
                          <w:t>H</w:t>
                        </w:r>
                        <w:r>
                          <w:rPr>
                            <w:w w:val="100"/>
                            <w:sz w:val="21"/>
                          </w:rPr>
                          <w:t>=</w:t>
                        </w:r>
                        <w:r>
                          <w:rPr>
                            <w:spacing w:val="-2"/>
                            <w:w w:val="100"/>
                            <w:sz w:val="21"/>
                          </w:rPr>
                          <w:t>A</w:t>
                        </w:r>
                        <w:r>
                          <w:rPr>
                            <w:w w:val="100"/>
                            <w:sz w:val="21"/>
                          </w:rPr>
                          <w:t>×</w:t>
                        </w:r>
                        <w:r>
                          <w:rPr>
                            <w:spacing w:val="-1"/>
                            <w:w w:val="100"/>
                            <w:sz w:val="21"/>
                          </w:rPr>
                          <w:t>F</w:t>
                        </w:r>
                        <w:r>
                          <w:rPr>
                            <w:spacing w:val="-2"/>
                            <w:w w:val="100"/>
                            <w:sz w:val="21"/>
                          </w:rPr>
                          <w:t>×</w:t>
                        </w:r>
                        <w:r>
                          <w:rPr>
                            <w:w w:val="100"/>
                            <w:sz w:val="21"/>
                          </w:rPr>
                          <w:t>G/</w:t>
                        </w:r>
                        <w:r>
                          <w:rPr>
                            <w:rFonts w:ascii="宋体" w:hAnsi="宋体" w:eastAsia="宋体" w:hint="eastAsia"/>
                            <w:spacing w:val="-3"/>
                            <w:w w:val="100"/>
                            <w:sz w:val="21"/>
                          </w:rPr>
                          <w:t>（</w:t>
                        </w:r>
                        <w:r>
                          <w:rPr>
                            <w:spacing w:val="-2"/>
                            <w:w w:val="100"/>
                            <w:sz w:val="21"/>
                          </w:rPr>
                          <w:t>1</w:t>
                        </w:r>
                        <w:r>
                          <w:rPr>
                            <w:w w:val="100"/>
                            <w:sz w:val="21"/>
                          </w:rPr>
                          <w:t>+</w:t>
                        </w:r>
                        <w:r>
                          <w:rPr>
                            <w:spacing w:val="1"/>
                            <w:w w:val="100"/>
                            <w:sz w:val="21"/>
                          </w:rPr>
                          <w:t>G</w:t>
                        </w:r>
                        <w:r>
                          <w:rPr>
                            <w:rFonts w:ascii="宋体" w:hAnsi="宋体" w:eastAsia="宋体" w:hint="eastAsia"/>
                            <w:spacing w:val="-108"/>
                            <w:w w:val="100"/>
                            <w:sz w:val="21"/>
                          </w:rPr>
                          <w:t>））</w:t>
                        </w:r>
                      </w:p>
                    </w:tc>
                    <w:tc>
                      <w:tcPr>
                        <w:tcW w:w="3217" w:type="dxa"/>
                      </w:tcPr>
                      <w:p>
                        <w:pPr>
                          <w:pStyle w:val="TableParagraph"/>
                          <w:spacing w:before="28"/>
                          <w:ind w:right="95"/>
                          <w:jc w:val="right"/>
                          <w:rPr>
                            <w:sz w:val="21"/>
                          </w:rPr>
                        </w:pPr>
                        <w:r>
                          <w:rPr>
                            <w:sz w:val="21"/>
                          </w:rPr>
                          <w:t>19.45</w:t>
                        </w:r>
                      </w:p>
                    </w:tc>
                  </w:tr>
                  <w:tr>
                    <w:trPr>
                      <w:trHeight w:val="314" w:hRule="atLeast"/>
                    </w:trPr>
                    <w:tc>
                      <w:tcPr>
                        <w:tcW w:w="4237" w:type="dxa"/>
                      </w:tcPr>
                      <w:p>
                        <w:pPr>
                          <w:pStyle w:val="TableParagraph"/>
                          <w:spacing w:before="25"/>
                          <w:ind w:left="107"/>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17" w:type="dxa"/>
                      </w:tcPr>
                      <w:p>
                        <w:pPr>
                          <w:pStyle w:val="TableParagraph"/>
                          <w:spacing w:before="30"/>
                          <w:ind w:right="95"/>
                          <w:jc w:val="right"/>
                          <w:rPr>
                            <w:sz w:val="21"/>
                          </w:rPr>
                        </w:pPr>
                        <w:r>
                          <w:rPr>
                            <w:sz w:val="21"/>
                          </w:rPr>
                          <w:t>25.45</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17" w:type="dxa"/>
                      </w:tcPr>
                      <w:p>
                        <w:pPr>
                          <w:pStyle w:val="TableParagraph"/>
                          <w:spacing w:before="28"/>
                          <w:ind w:right="96"/>
                          <w:jc w:val="right"/>
                          <w:rPr>
                            <w:sz w:val="21"/>
                          </w:rPr>
                        </w:pPr>
                        <w:r>
                          <w:rPr>
                            <w:sz w:val="21"/>
                          </w:rPr>
                          <w:t>1,174.55</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转入时收取申购费率（</w:t>
                        </w:r>
                        <w:r>
                          <w:rPr>
                            <w:sz w:val="21"/>
                          </w:rPr>
                          <w:t>K</w:t>
                        </w:r>
                        <w:r>
                          <w:rPr>
                            <w:rFonts w:ascii="宋体" w:eastAsia="宋体" w:hint="eastAsia"/>
                            <w:sz w:val="21"/>
                          </w:rPr>
                          <w:t>）</w:t>
                        </w:r>
                      </w:p>
                    </w:tc>
                    <w:tc>
                      <w:tcPr>
                        <w:tcW w:w="3217" w:type="dxa"/>
                      </w:tcPr>
                      <w:p>
                        <w:pPr>
                          <w:pStyle w:val="TableParagraph"/>
                          <w:spacing w:before="28"/>
                          <w:ind w:right="95"/>
                          <w:jc w:val="right"/>
                          <w:rPr>
                            <w:sz w:val="21"/>
                          </w:rPr>
                        </w:pPr>
                        <w:r>
                          <w:rPr>
                            <w:sz w:val="21"/>
                          </w:rPr>
                          <w:t>2.0%-1.5%=0.5%</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pacing w:val="-2"/>
                            <w:w w:val="100"/>
                            <w:sz w:val="21"/>
                          </w:rPr>
                          <w:t>净转入金额</w:t>
                        </w:r>
                        <w:r>
                          <w:rPr>
                            <w:rFonts w:ascii="宋体" w:eastAsia="宋体" w:hint="eastAsia"/>
                            <w:spacing w:val="-1"/>
                            <w:w w:val="100"/>
                            <w:sz w:val="21"/>
                          </w:rPr>
                          <w:t>（</w:t>
                        </w:r>
                        <w:r>
                          <w:rPr>
                            <w:spacing w:val="-3"/>
                            <w:w w:val="100"/>
                            <w:sz w:val="21"/>
                          </w:rPr>
                          <w:t>L</w:t>
                        </w:r>
                        <w:r>
                          <w:rPr>
                            <w:w w:val="100"/>
                            <w:sz w:val="21"/>
                          </w:rPr>
                          <w:t>=J/</w:t>
                        </w:r>
                        <w:r>
                          <w:rPr>
                            <w:rFonts w:ascii="宋体" w:eastAsia="宋体" w:hint="eastAsia"/>
                            <w:spacing w:val="-3"/>
                            <w:w w:val="100"/>
                            <w:sz w:val="21"/>
                          </w:rPr>
                          <w:t>（</w:t>
                        </w:r>
                        <w:r>
                          <w:rPr>
                            <w:w w:val="100"/>
                            <w:sz w:val="21"/>
                          </w:rPr>
                          <w:t>1</w:t>
                        </w:r>
                        <w:r>
                          <w:rPr>
                            <w:spacing w:val="-2"/>
                            <w:w w:val="100"/>
                            <w:sz w:val="21"/>
                          </w:rPr>
                          <w:t>+</w:t>
                        </w:r>
                        <w:r>
                          <w:rPr>
                            <w:w w:val="100"/>
                            <w:sz w:val="21"/>
                          </w:rPr>
                          <w:t>K</w:t>
                        </w:r>
                        <w:r>
                          <w:rPr>
                            <w:rFonts w:ascii="宋体" w:eastAsia="宋体" w:hint="eastAsia"/>
                            <w:spacing w:val="-108"/>
                            <w:w w:val="100"/>
                            <w:sz w:val="21"/>
                          </w:rPr>
                          <w:t>）</w:t>
                        </w:r>
                        <w:r>
                          <w:rPr>
                            <w:rFonts w:ascii="宋体" w:eastAsia="宋体" w:hint="eastAsia"/>
                            <w:w w:val="100"/>
                            <w:sz w:val="21"/>
                          </w:rPr>
                          <w:t>）</w:t>
                        </w:r>
                      </w:p>
                    </w:tc>
                    <w:tc>
                      <w:tcPr>
                        <w:tcW w:w="3217" w:type="dxa"/>
                      </w:tcPr>
                      <w:p>
                        <w:pPr>
                          <w:pStyle w:val="TableParagraph"/>
                          <w:spacing w:before="28"/>
                          <w:ind w:right="96"/>
                          <w:jc w:val="right"/>
                          <w:rPr>
                            <w:sz w:val="21"/>
                          </w:rPr>
                        </w:pPr>
                        <w:r>
                          <w:rPr>
                            <w:sz w:val="21"/>
                          </w:rPr>
                          <w:t>1,168.71</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转入基金费用（</w:t>
                        </w:r>
                        <w:r>
                          <w:rPr>
                            <w:sz w:val="21"/>
                          </w:rPr>
                          <w:t>M=J-L</w:t>
                        </w:r>
                        <w:r>
                          <w:rPr>
                            <w:rFonts w:ascii="宋体" w:eastAsia="宋体" w:hint="eastAsia"/>
                            <w:sz w:val="21"/>
                          </w:rPr>
                          <w:t>）</w:t>
                        </w:r>
                      </w:p>
                    </w:tc>
                    <w:tc>
                      <w:tcPr>
                        <w:tcW w:w="3217" w:type="dxa"/>
                      </w:tcPr>
                      <w:p>
                        <w:pPr>
                          <w:pStyle w:val="TableParagraph"/>
                          <w:spacing w:before="28"/>
                          <w:ind w:right="95"/>
                          <w:jc w:val="right"/>
                          <w:rPr>
                            <w:sz w:val="21"/>
                          </w:rPr>
                        </w:pPr>
                        <w:r>
                          <w:rPr>
                            <w:sz w:val="21"/>
                          </w:rPr>
                          <w:t>5.84</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N</w:t>
                        </w:r>
                        <w:r>
                          <w:rPr>
                            <w:rFonts w:ascii="宋体" w:eastAsia="宋体" w:hint="eastAsia"/>
                            <w:sz w:val="21"/>
                          </w:rPr>
                          <w:t>）</w:t>
                        </w:r>
                      </w:p>
                    </w:tc>
                    <w:tc>
                      <w:tcPr>
                        <w:tcW w:w="3217" w:type="dxa"/>
                      </w:tcPr>
                      <w:p>
                        <w:pPr>
                          <w:pStyle w:val="TableParagraph"/>
                          <w:spacing w:before="28"/>
                          <w:ind w:right="95"/>
                          <w:jc w:val="right"/>
                          <w:rPr>
                            <w:sz w:val="21"/>
                          </w:rPr>
                        </w:pPr>
                        <w:r>
                          <w:rPr>
                            <w:sz w:val="21"/>
                          </w:rPr>
                          <w:t>1.300</w:t>
                        </w:r>
                      </w:p>
                    </w:tc>
                  </w:tr>
                  <w:tr>
                    <w:trPr>
                      <w:trHeight w:val="314" w:hRule="atLeast"/>
                    </w:trPr>
                    <w:tc>
                      <w:tcPr>
                        <w:tcW w:w="4237" w:type="dxa"/>
                      </w:tcPr>
                      <w:p>
                        <w:pPr>
                          <w:pStyle w:val="TableParagraph"/>
                          <w:spacing w:before="25"/>
                          <w:ind w:left="107"/>
                          <w:rPr>
                            <w:rFonts w:ascii="宋体" w:eastAsia="宋体" w:hint="eastAsia"/>
                            <w:sz w:val="21"/>
                          </w:rPr>
                        </w:pPr>
                        <w:r>
                          <w:rPr>
                            <w:rFonts w:ascii="宋体" w:eastAsia="宋体" w:hint="eastAsia"/>
                            <w:sz w:val="21"/>
                          </w:rPr>
                          <w:t>转入基金份额（</w:t>
                        </w:r>
                        <w:r>
                          <w:rPr>
                            <w:sz w:val="21"/>
                          </w:rPr>
                          <w:t>O=L/N</w:t>
                        </w:r>
                        <w:r>
                          <w:rPr>
                            <w:rFonts w:ascii="宋体" w:eastAsia="宋体" w:hint="eastAsia"/>
                            <w:sz w:val="21"/>
                          </w:rPr>
                          <w:t>）</w:t>
                        </w:r>
                      </w:p>
                    </w:tc>
                    <w:tc>
                      <w:tcPr>
                        <w:tcW w:w="3217" w:type="dxa"/>
                      </w:tcPr>
                      <w:p>
                        <w:pPr>
                          <w:pStyle w:val="TableParagraph"/>
                          <w:spacing w:before="30"/>
                          <w:ind w:right="95"/>
                          <w:jc w:val="right"/>
                          <w:rPr>
                            <w:sz w:val="21"/>
                          </w:rPr>
                        </w:pPr>
                        <w:r>
                          <w:rPr>
                            <w:sz w:val="21"/>
                          </w:rPr>
                          <w:t>899.01</w:t>
                        </w:r>
                      </w:p>
                    </w:tc>
                  </w:tr>
                </w:tbl>
                <w:p>
                  <w:pPr>
                    <w:pStyle w:val="BodyText"/>
                  </w:pPr>
                </w:p>
              </w:txbxContent>
            </v:textbox>
            <w10:wrap type="none"/>
          </v:shape>
        </w:pict>
      </w:r>
      <w:r>
        <w:rPr>
          <w:spacing w:val="-33"/>
          <w:sz w:val="21"/>
        </w:rPr>
        <w:t>若 </w:t>
      </w:r>
      <w:r>
        <w:rPr>
          <w:rFonts w:ascii="Calibri" w:eastAsia="Calibri"/>
          <w:sz w:val="21"/>
        </w:rPr>
        <w:t>T</w:t>
      </w:r>
      <w:r>
        <w:rPr>
          <w:rFonts w:ascii="Calibri" w:eastAsia="Calibri"/>
          <w:spacing w:val="-5"/>
          <w:sz w:val="21"/>
        </w:rPr>
        <w:t> </w:t>
      </w:r>
      <w:r>
        <w:rPr>
          <w:spacing w:val="-21"/>
          <w:sz w:val="21"/>
        </w:rPr>
        <w:t>日转入乙基金</w:t>
      </w:r>
      <w:r>
        <w:rPr>
          <w:sz w:val="21"/>
        </w:rPr>
        <w:t>（</w:t>
      </w:r>
      <w:r>
        <w:rPr>
          <w:spacing w:val="-3"/>
          <w:sz w:val="21"/>
        </w:rPr>
        <w:t>前端收费模式</w:t>
      </w:r>
      <w:r>
        <w:rPr>
          <w:spacing w:val="-106"/>
          <w:sz w:val="21"/>
        </w:rPr>
        <w:t>），</w:t>
      </w:r>
      <w:r>
        <w:rPr>
          <w:spacing w:val="-3"/>
          <w:sz w:val="21"/>
        </w:rPr>
        <w:t>且乙基金适用的前端申购费率最高档为</w:t>
      </w:r>
      <w:r>
        <w:rPr>
          <w:rFonts w:ascii="Calibri" w:eastAsia="Calibri"/>
          <w:spacing w:val="-3"/>
          <w:sz w:val="21"/>
        </w:rPr>
        <w:t>2.0%</w:t>
      </w:r>
      <w:r>
        <w:rPr>
          <w:spacing w:val="-7"/>
          <w:sz w:val="21"/>
        </w:rPr>
        <w:t>，该日乙基金基金份额净值为 </w:t>
      </w:r>
      <w:r>
        <w:rPr>
          <w:rFonts w:ascii="Calibri" w:eastAsia="Calibri"/>
          <w:sz w:val="21"/>
        </w:rPr>
        <w:t>1.300</w:t>
      </w:r>
      <w:r>
        <w:rPr>
          <w:rFonts w:ascii="Calibri" w:eastAsia="Calibri"/>
          <w:spacing w:val="12"/>
          <w:sz w:val="21"/>
        </w:rPr>
        <w:t> </w:t>
      </w:r>
      <w:r>
        <w:rPr>
          <w:spacing w:val="-3"/>
          <w:sz w:val="21"/>
        </w:rPr>
        <w:t>元。则转出基金费用、转入基金费用及份额计算如</w:t>
      </w:r>
      <w:r>
        <w:rPr>
          <w:spacing w:val="-2"/>
          <w:sz w:val="21"/>
        </w:rPr>
        <w:t>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2"/>
        <w:rPr>
          <w:sz w:val="28"/>
        </w:rPr>
      </w:pPr>
    </w:p>
    <w:p>
      <w:pPr>
        <w:pStyle w:val="ListParagraph"/>
        <w:numPr>
          <w:ilvl w:val="0"/>
          <w:numId w:val="19"/>
        </w:numPr>
        <w:tabs>
          <w:tab w:pos="1112" w:val="left" w:leader="none"/>
        </w:tabs>
        <w:spacing w:line="417" w:lineRule="auto" w:before="0" w:after="0"/>
        <w:ind w:left="160" w:right="871" w:firstLine="419"/>
        <w:jc w:val="left"/>
        <w:rPr>
          <w:sz w:val="21"/>
        </w:rPr>
      </w:pPr>
      <w:r>
        <w:rPr/>
        <w:pict>
          <v:shape style="position:absolute;margin-left:111.739998pt;margin-top:41.820015pt;width:372.2pt;height:258.1500pt;mso-position-horizontal-relative:page;mso-position-vertical-relative:paragraph;z-index:25168793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25"/>
                    <w:gridCol w:w="3205"/>
                  </w:tblGrid>
                  <w:tr>
                    <w:trPr>
                      <w:trHeight w:val="311" w:hRule="atLeast"/>
                    </w:trPr>
                    <w:tc>
                      <w:tcPr>
                        <w:tcW w:w="4225" w:type="dxa"/>
                      </w:tcPr>
                      <w:p>
                        <w:pPr>
                          <w:pStyle w:val="TableParagraph"/>
                          <w:ind w:left="1880" w:right="1875"/>
                          <w:jc w:val="center"/>
                          <w:rPr>
                            <w:rFonts w:ascii="宋体" w:eastAsia="宋体" w:hint="eastAsia"/>
                            <w:sz w:val="21"/>
                          </w:rPr>
                        </w:pPr>
                        <w:r>
                          <w:rPr>
                            <w:rFonts w:ascii="宋体" w:eastAsia="宋体" w:hint="eastAsia"/>
                            <w:sz w:val="21"/>
                          </w:rPr>
                          <w:t>项目</w:t>
                        </w:r>
                      </w:p>
                    </w:tc>
                    <w:tc>
                      <w:tcPr>
                        <w:tcW w:w="3205" w:type="dxa"/>
                      </w:tcPr>
                      <w:p>
                        <w:pPr>
                          <w:pStyle w:val="TableParagraph"/>
                          <w:ind w:left="1164" w:right="1151"/>
                          <w:jc w:val="center"/>
                          <w:rPr>
                            <w:rFonts w:ascii="宋体" w:eastAsia="宋体" w:hint="eastAsia"/>
                            <w:sz w:val="21"/>
                          </w:rPr>
                        </w:pPr>
                        <w:r>
                          <w:rPr>
                            <w:rFonts w:ascii="宋体" w:eastAsia="宋体" w:hint="eastAsia"/>
                            <w:sz w:val="21"/>
                          </w:rPr>
                          <w:t>费用计算</w:t>
                        </w:r>
                      </w:p>
                    </w:tc>
                  </w:tr>
                  <w:tr>
                    <w:trPr>
                      <w:trHeight w:val="311" w:hRule="atLeast"/>
                    </w:trPr>
                    <w:tc>
                      <w:tcPr>
                        <w:tcW w:w="4225" w:type="dxa"/>
                      </w:tcPr>
                      <w:p>
                        <w:pPr>
                          <w:pStyle w:val="TableParagraph"/>
                          <w:ind w:left="105"/>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5" w:type="dxa"/>
                      </w:tcPr>
                      <w:p>
                        <w:pPr>
                          <w:pStyle w:val="TableParagraph"/>
                          <w:spacing w:before="28"/>
                          <w:ind w:right="95"/>
                          <w:jc w:val="right"/>
                          <w:rPr>
                            <w:sz w:val="21"/>
                          </w:rPr>
                        </w:pPr>
                        <w:r>
                          <w:rPr>
                            <w:sz w:val="21"/>
                          </w:rPr>
                          <w:t>1,000.00</w:t>
                        </w:r>
                      </w:p>
                    </w:tc>
                  </w:tr>
                  <w:tr>
                    <w:trPr>
                      <w:trHeight w:val="311" w:hRule="atLeast"/>
                    </w:trPr>
                    <w:tc>
                      <w:tcPr>
                        <w:tcW w:w="4225" w:type="dxa"/>
                      </w:tcPr>
                      <w:p>
                        <w:pPr>
                          <w:pStyle w:val="TableParagraph"/>
                          <w:ind w:left="105"/>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5" w:type="dxa"/>
                      </w:tcPr>
                      <w:p>
                        <w:pPr>
                          <w:pStyle w:val="TableParagraph"/>
                          <w:spacing w:before="28"/>
                          <w:ind w:right="93"/>
                          <w:jc w:val="right"/>
                          <w:rPr>
                            <w:sz w:val="21"/>
                          </w:rPr>
                        </w:pPr>
                        <w:r>
                          <w:rPr>
                            <w:sz w:val="21"/>
                          </w:rPr>
                          <w:t>1.200</w:t>
                        </w:r>
                      </w:p>
                    </w:tc>
                  </w:tr>
                  <w:tr>
                    <w:trPr>
                      <w:trHeight w:val="311" w:hRule="atLeast"/>
                    </w:trPr>
                    <w:tc>
                      <w:tcPr>
                        <w:tcW w:w="4225" w:type="dxa"/>
                      </w:tcPr>
                      <w:p>
                        <w:pPr>
                          <w:pStyle w:val="TableParagraph"/>
                          <w:ind w:left="105"/>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5" w:type="dxa"/>
                      </w:tcPr>
                      <w:p>
                        <w:pPr>
                          <w:pStyle w:val="TableParagraph"/>
                          <w:spacing w:before="28"/>
                          <w:ind w:right="95"/>
                          <w:jc w:val="right"/>
                          <w:rPr>
                            <w:sz w:val="21"/>
                          </w:rPr>
                        </w:pPr>
                        <w:r>
                          <w:rPr>
                            <w:sz w:val="21"/>
                          </w:rPr>
                          <w:t>1,200.00</w:t>
                        </w:r>
                      </w:p>
                    </w:tc>
                  </w:tr>
                  <w:tr>
                    <w:trPr>
                      <w:trHeight w:val="314" w:hRule="atLeast"/>
                    </w:trPr>
                    <w:tc>
                      <w:tcPr>
                        <w:tcW w:w="4225" w:type="dxa"/>
                      </w:tcPr>
                      <w:p>
                        <w:pPr>
                          <w:pStyle w:val="TableParagraph"/>
                          <w:spacing w:before="25"/>
                          <w:ind w:left="105"/>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5" w:type="dxa"/>
                      </w:tcPr>
                      <w:p>
                        <w:pPr>
                          <w:pStyle w:val="TableParagraph"/>
                          <w:spacing w:before="30"/>
                          <w:ind w:right="92"/>
                          <w:jc w:val="right"/>
                          <w:rPr>
                            <w:sz w:val="21"/>
                          </w:rPr>
                        </w:pPr>
                        <w:r>
                          <w:rPr>
                            <w:sz w:val="21"/>
                          </w:rPr>
                          <w:t>0.5%</w:t>
                        </w:r>
                      </w:p>
                    </w:tc>
                  </w:tr>
                  <w:tr>
                    <w:trPr>
                      <w:trHeight w:val="311" w:hRule="atLeast"/>
                    </w:trPr>
                    <w:tc>
                      <w:tcPr>
                        <w:tcW w:w="4225" w:type="dxa"/>
                      </w:tcPr>
                      <w:p>
                        <w:pPr>
                          <w:pStyle w:val="TableParagraph"/>
                          <w:ind w:left="105"/>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05" w:type="dxa"/>
                      </w:tcPr>
                      <w:p>
                        <w:pPr>
                          <w:pStyle w:val="TableParagraph"/>
                          <w:spacing w:before="28"/>
                          <w:ind w:right="93"/>
                          <w:jc w:val="right"/>
                          <w:rPr>
                            <w:sz w:val="21"/>
                          </w:rPr>
                        </w:pPr>
                        <w:r>
                          <w:rPr>
                            <w:sz w:val="21"/>
                          </w:rPr>
                          <w:t>6.00</w:t>
                        </w:r>
                      </w:p>
                    </w:tc>
                  </w:tr>
                  <w:tr>
                    <w:trPr>
                      <w:trHeight w:val="312" w:hRule="atLeast"/>
                    </w:trPr>
                    <w:tc>
                      <w:tcPr>
                        <w:tcW w:w="4225" w:type="dxa"/>
                      </w:tcPr>
                      <w:p>
                        <w:pPr>
                          <w:pStyle w:val="TableParagraph"/>
                          <w:spacing w:before="23"/>
                          <w:ind w:left="105"/>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05" w:type="dxa"/>
                      </w:tcPr>
                      <w:p>
                        <w:pPr>
                          <w:pStyle w:val="TableParagraph"/>
                          <w:spacing w:before="28"/>
                          <w:ind w:right="93"/>
                          <w:jc w:val="right"/>
                          <w:rPr>
                            <w:sz w:val="21"/>
                          </w:rPr>
                        </w:pPr>
                        <w:r>
                          <w:rPr>
                            <w:sz w:val="21"/>
                          </w:rPr>
                          <w:t>1.100</w:t>
                        </w:r>
                      </w:p>
                    </w:tc>
                  </w:tr>
                  <w:tr>
                    <w:trPr>
                      <w:trHeight w:val="311" w:hRule="atLeast"/>
                    </w:trPr>
                    <w:tc>
                      <w:tcPr>
                        <w:tcW w:w="4225" w:type="dxa"/>
                      </w:tcPr>
                      <w:p>
                        <w:pPr>
                          <w:pStyle w:val="TableParagraph"/>
                          <w:ind w:left="105"/>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05" w:type="dxa"/>
                      </w:tcPr>
                      <w:p>
                        <w:pPr>
                          <w:pStyle w:val="TableParagraph"/>
                          <w:spacing w:before="28"/>
                          <w:ind w:right="92"/>
                          <w:jc w:val="right"/>
                          <w:rPr>
                            <w:sz w:val="21"/>
                          </w:rPr>
                        </w:pPr>
                        <w:r>
                          <w:rPr>
                            <w:sz w:val="21"/>
                          </w:rPr>
                          <w:t>1.8%</w:t>
                        </w:r>
                      </w:p>
                    </w:tc>
                  </w:tr>
                  <w:tr>
                    <w:trPr>
                      <w:trHeight w:val="311" w:hRule="atLeast"/>
                    </w:trPr>
                    <w:tc>
                      <w:tcPr>
                        <w:tcW w:w="4225" w:type="dxa"/>
                      </w:tcPr>
                      <w:p>
                        <w:pPr>
                          <w:pStyle w:val="TableParagraph"/>
                          <w:ind w:left="105"/>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1"/>
                            <w:w w:val="100"/>
                            <w:sz w:val="21"/>
                          </w:rPr>
                          <w:t>（</w:t>
                        </w:r>
                        <w:r>
                          <w:rPr>
                            <w:spacing w:val="-2"/>
                            <w:w w:val="100"/>
                            <w:sz w:val="21"/>
                          </w:rPr>
                          <w:t>H</w:t>
                        </w:r>
                        <w:r>
                          <w:rPr>
                            <w:w w:val="100"/>
                            <w:sz w:val="21"/>
                          </w:rPr>
                          <w:t>=</w:t>
                        </w:r>
                        <w:r>
                          <w:rPr>
                            <w:spacing w:val="-2"/>
                            <w:w w:val="100"/>
                            <w:sz w:val="21"/>
                          </w:rPr>
                          <w:t>A</w:t>
                        </w:r>
                        <w:r>
                          <w:rPr>
                            <w:w w:val="100"/>
                            <w:sz w:val="21"/>
                          </w:rPr>
                          <w:t>×</w:t>
                        </w:r>
                        <w:r>
                          <w:rPr>
                            <w:spacing w:val="-1"/>
                            <w:w w:val="100"/>
                            <w:sz w:val="21"/>
                          </w:rPr>
                          <w:t>F</w:t>
                        </w:r>
                        <w:r>
                          <w:rPr>
                            <w:spacing w:val="-2"/>
                            <w:w w:val="100"/>
                            <w:sz w:val="21"/>
                          </w:rPr>
                          <w:t>×</w:t>
                        </w:r>
                        <w:r>
                          <w:rPr>
                            <w:w w:val="100"/>
                            <w:sz w:val="21"/>
                          </w:rPr>
                          <w:t>G/</w:t>
                        </w:r>
                        <w:r>
                          <w:rPr>
                            <w:rFonts w:ascii="宋体" w:hAnsi="宋体" w:eastAsia="宋体" w:hint="eastAsia"/>
                            <w:spacing w:val="-3"/>
                            <w:w w:val="100"/>
                            <w:sz w:val="21"/>
                          </w:rPr>
                          <w:t>（</w:t>
                        </w:r>
                        <w:r>
                          <w:rPr>
                            <w:spacing w:val="-2"/>
                            <w:w w:val="100"/>
                            <w:sz w:val="21"/>
                          </w:rPr>
                          <w:t>1</w:t>
                        </w:r>
                        <w:r>
                          <w:rPr>
                            <w:w w:val="100"/>
                            <w:sz w:val="21"/>
                          </w:rPr>
                          <w:t>+</w:t>
                        </w:r>
                        <w:r>
                          <w:rPr>
                            <w:spacing w:val="1"/>
                            <w:w w:val="100"/>
                            <w:sz w:val="21"/>
                          </w:rPr>
                          <w:t>G</w:t>
                        </w:r>
                        <w:r>
                          <w:rPr>
                            <w:rFonts w:ascii="宋体" w:hAnsi="宋体" w:eastAsia="宋体" w:hint="eastAsia"/>
                            <w:spacing w:val="-108"/>
                            <w:w w:val="100"/>
                            <w:sz w:val="21"/>
                          </w:rPr>
                          <w:t>））</w:t>
                        </w:r>
                      </w:p>
                    </w:tc>
                    <w:tc>
                      <w:tcPr>
                        <w:tcW w:w="3205" w:type="dxa"/>
                      </w:tcPr>
                      <w:p>
                        <w:pPr>
                          <w:pStyle w:val="TableParagraph"/>
                          <w:spacing w:before="28"/>
                          <w:ind w:right="93"/>
                          <w:jc w:val="right"/>
                          <w:rPr>
                            <w:sz w:val="21"/>
                          </w:rPr>
                        </w:pPr>
                        <w:r>
                          <w:rPr>
                            <w:sz w:val="21"/>
                          </w:rPr>
                          <w:t>19.45</w:t>
                        </w:r>
                      </w:p>
                    </w:tc>
                  </w:tr>
                  <w:tr>
                    <w:trPr>
                      <w:trHeight w:val="311" w:hRule="atLeast"/>
                    </w:trPr>
                    <w:tc>
                      <w:tcPr>
                        <w:tcW w:w="4225" w:type="dxa"/>
                      </w:tcPr>
                      <w:p>
                        <w:pPr>
                          <w:pStyle w:val="TableParagraph"/>
                          <w:ind w:left="105"/>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05" w:type="dxa"/>
                      </w:tcPr>
                      <w:p>
                        <w:pPr>
                          <w:pStyle w:val="TableParagraph"/>
                          <w:spacing w:before="28"/>
                          <w:ind w:right="93"/>
                          <w:jc w:val="right"/>
                          <w:rPr>
                            <w:sz w:val="21"/>
                          </w:rPr>
                        </w:pPr>
                        <w:r>
                          <w:rPr>
                            <w:sz w:val="21"/>
                          </w:rPr>
                          <w:t>25.45</w:t>
                        </w:r>
                      </w:p>
                    </w:tc>
                  </w:tr>
                  <w:tr>
                    <w:trPr>
                      <w:trHeight w:val="314" w:hRule="atLeast"/>
                    </w:trPr>
                    <w:tc>
                      <w:tcPr>
                        <w:tcW w:w="4225" w:type="dxa"/>
                      </w:tcPr>
                      <w:p>
                        <w:pPr>
                          <w:pStyle w:val="TableParagraph"/>
                          <w:spacing w:before="25"/>
                          <w:ind w:left="105"/>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05" w:type="dxa"/>
                      </w:tcPr>
                      <w:p>
                        <w:pPr>
                          <w:pStyle w:val="TableParagraph"/>
                          <w:spacing w:before="30"/>
                          <w:ind w:right="95"/>
                          <w:jc w:val="right"/>
                          <w:rPr>
                            <w:sz w:val="21"/>
                          </w:rPr>
                        </w:pPr>
                        <w:r>
                          <w:rPr>
                            <w:sz w:val="21"/>
                          </w:rPr>
                          <w:t>1,174.55</w:t>
                        </w:r>
                      </w:p>
                    </w:tc>
                  </w:tr>
                  <w:tr>
                    <w:trPr>
                      <w:trHeight w:val="311" w:hRule="atLeast"/>
                    </w:trPr>
                    <w:tc>
                      <w:tcPr>
                        <w:tcW w:w="4225" w:type="dxa"/>
                      </w:tcPr>
                      <w:p>
                        <w:pPr>
                          <w:pStyle w:val="TableParagraph"/>
                          <w:ind w:left="105"/>
                          <w:rPr>
                            <w:rFonts w:ascii="宋体" w:eastAsia="宋体" w:hint="eastAsia"/>
                            <w:sz w:val="21"/>
                          </w:rPr>
                        </w:pPr>
                        <w:r>
                          <w:rPr>
                            <w:rFonts w:ascii="宋体" w:eastAsia="宋体" w:hint="eastAsia"/>
                            <w:sz w:val="21"/>
                          </w:rPr>
                          <w:t>转入时收取申购费率（</w:t>
                        </w:r>
                        <w:r>
                          <w:rPr>
                            <w:sz w:val="21"/>
                          </w:rPr>
                          <w:t>K</w:t>
                        </w:r>
                        <w:r>
                          <w:rPr>
                            <w:rFonts w:ascii="宋体" w:eastAsia="宋体" w:hint="eastAsia"/>
                            <w:sz w:val="21"/>
                          </w:rPr>
                          <w:t>）</w:t>
                        </w:r>
                      </w:p>
                    </w:tc>
                    <w:tc>
                      <w:tcPr>
                        <w:tcW w:w="3205" w:type="dxa"/>
                      </w:tcPr>
                      <w:p>
                        <w:pPr>
                          <w:pStyle w:val="TableParagraph"/>
                          <w:spacing w:before="28"/>
                          <w:ind w:right="92"/>
                          <w:jc w:val="right"/>
                          <w:rPr>
                            <w:sz w:val="21"/>
                          </w:rPr>
                        </w:pPr>
                        <w:r>
                          <w:rPr>
                            <w:sz w:val="21"/>
                          </w:rPr>
                          <w:t>0.00%</w:t>
                        </w:r>
                      </w:p>
                    </w:tc>
                  </w:tr>
                  <w:tr>
                    <w:trPr>
                      <w:trHeight w:val="311" w:hRule="atLeast"/>
                    </w:trPr>
                    <w:tc>
                      <w:tcPr>
                        <w:tcW w:w="4225" w:type="dxa"/>
                      </w:tcPr>
                      <w:p>
                        <w:pPr>
                          <w:pStyle w:val="TableParagraph"/>
                          <w:ind w:left="105"/>
                          <w:rPr>
                            <w:rFonts w:ascii="宋体" w:eastAsia="宋体" w:hint="eastAsia"/>
                            <w:sz w:val="21"/>
                          </w:rPr>
                        </w:pPr>
                        <w:r>
                          <w:rPr>
                            <w:rFonts w:ascii="宋体" w:eastAsia="宋体" w:hint="eastAsia"/>
                            <w:spacing w:val="-2"/>
                            <w:w w:val="100"/>
                            <w:sz w:val="21"/>
                          </w:rPr>
                          <w:t>净转入金额</w:t>
                        </w:r>
                        <w:r>
                          <w:rPr>
                            <w:rFonts w:ascii="宋体" w:eastAsia="宋体" w:hint="eastAsia"/>
                            <w:spacing w:val="-1"/>
                            <w:w w:val="100"/>
                            <w:sz w:val="21"/>
                          </w:rPr>
                          <w:t>（</w:t>
                        </w:r>
                        <w:r>
                          <w:rPr>
                            <w:spacing w:val="-3"/>
                            <w:w w:val="100"/>
                            <w:sz w:val="21"/>
                          </w:rPr>
                          <w:t>L</w:t>
                        </w:r>
                        <w:r>
                          <w:rPr>
                            <w:w w:val="100"/>
                            <w:sz w:val="21"/>
                          </w:rPr>
                          <w:t>=J/</w:t>
                        </w:r>
                        <w:r>
                          <w:rPr>
                            <w:rFonts w:ascii="宋体" w:eastAsia="宋体" w:hint="eastAsia"/>
                            <w:spacing w:val="-3"/>
                            <w:w w:val="100"/>
                            <w:sz w:val="21"/>
                          </w:rPr>
                          <w:t>（</w:t>
                        </w:r>
                        <w:r>
                          <w:rPr>
                            <w:w w:val="100"/>
                            <w:sz w:val="21"/>
                          </w:rPr>
                          <w:t>1</w:t>
                        </w:r>
                        <w:r>
                          <w:rPr>
                            <w:spacing w:val="-2"/>
                            <w:w w:val="100"/>
                            <w:sz w:val="21"/>
                          </w:rPr>
                          <w:t>+</w:t>
                        </w:r>
                        <w:r>
                          <w:rPr>
                            <w:w w:val="100"/>
                            <w:sz w:val="21"/>
                          </w:rPr>
                          <w:t>K</w:t>
                        </w:r>
                        <w:r>
                          <w:rPr>
                            <w:rFonts w:ascii="宋体" w:eastAsia="宋体" w:hint="eastAsia"/>
                            <w:spacing w:val="-108"/>
                            <w:w w:val="100"/>
                            <w:sz w:val="21"/>
                          </w:rPr>
                          <w:t>）</w:t>
                        </w:r>
                        <w:r>
                          <w:rPr>
                            <w:rFonts w:ascii="宋体" w:eastAsia="宋体" w:hint="eastAsia"/>
                            <w:w w:val="100"/>
                            <w:sz w:val="21"/>
                          </w:rPr>
                          <w:t>）</w:t>
                        </w:r>
                      </w:p>
                    </w:tc>
                    <w:tc>
                      <w:tcPr>
                        <w:tcW w:w="3205" w:type="dxa"/>
                      </w:tcPr>
                      <w:p>
                        <w:pPr>
                          <w:pStyle w:val="TableParagraph"/>
                          <w:spacing w:before="28"/>
                          <w:ind w:right="95"/>
                          <w:jc w:val="right"/>
                          <w:rPr>
                            <w:sz w:val="21"/>
                          </w:rPr>
                        </w:pPr>
                        <w:r>
                          <w:rPr>
                            <w:sz w:val="21"/>
                          </w:rPr>
                          <w:t>1,174.55</w:t>
                        </w:r>
                      </w:p>
                    </w:tc>
                  </w:tr>
                  <w:tr>
                    <w:trPr>
                      <w:trHeight w:val="311" w:hRule="atLeast"/>
                    </w:trPr>
                    <w:tc>
                      <w:tcPr>
                        <w:tcW w:w="4225" w:type="dxa"/>
                      </w:tcPr>
                      <w:p>
                        <w:pPr>
                          <w:pStyle w:val="TableParagraph"/>
                          <w:ind w:left="105"/>
                          <w:rPr>
                            <w:rFonts w:ascii="宋体" w:eastAsia="宋体" w:hint="eastAsia"/>
                            <w:sz w:val="21"/>
                          </w:rPr>
                        </w:pPr>
                        <w:r>
                          <w:rPr>
                            <w:rFonts w:ascii="宋体" w:eastAsia="宋体" w:hint="eastAsia"/>
                            <w:sz w:val="21"/>
                          </w:rPr>
                          <w:t>转入基金费用（</w:t>
                        </w:r>
                        <w:r>
                          <w:rPr>
                            <w:sz w:val="21"/>
                          </w:rPr>
                          <w:t>M=J-L</w:t>
                        </w:r>
                        <w:r>
                          <w:rPr>
                            <w:rFonts w:ascii="宋体" w:eastAsia="宋体" w:hint="eastAsia"/>
                            <w:sz w:val="21"/>
                          </w:rPr>
                          <w:t>）</w:t>
                        </w:r>
                      </w:p>
                    </w:tc>
                    <w:tc>
                      <w:tcPr>
                        <w:tcW w:w="3205" w:type="dxa"/>
                      </w:tcPr>
                      <w:p>
                        <w:pPr>
                          <w:pStyle w:val="TableParagraph"/>
                          <w:spacing w:before="28"/>
                          <w:ind w:right="93"/>
                          <w:jc w:val="right"/>
                          <w:rPr>
                            <w:sz w:val="21"/>
                          </w:rPr>
                        </w:pPr>
                        <w:r>
                          <w:rPr>
                            <w:sz w:val="21"/>
                          </w:rPr>
                          <w:t>0.00</w:t>
                        </w:r>
                      </w:p>
                    </w:tc>
                  </w:tr>
                  <w:tr>
                    <w:trPr>
                      <w:trHeight w:val="311" w:hRule="atLeast"/>
                    </w:trPr>
                    <w:tc>
                      <w:tcPr>
                        <w:tcW w:w="4225" w:type="dxa"/>
                      </w:tcPr>
                      <w:p>
                        <w:pPr>
                          <w:pStyle w:val="TableParagraph"/>
                          <w:ind w:left="105"/>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N</w:t>
                        </w:r>
                        <w:r>
                          <w:rPr>
                            <w:rFonts w:ascii="宋体" w:eastAsia="宋体" w:hint="eastAsia"/>
                            <w:sz w:val="21"/>
                          </w:rPr>
                          <w:t>）</w:t>
                        </w:r>
                      </w:p>
                    </w:tc>
                    <w:tc>
                      <w:tcPr>
                        <w:tcW w:w="3205" w:type="dxa"/>
                      </w:tcPr>
                      <w:p>
                        <w:pPr>
                          <w:pStyle w:val="TableParagraph"/>
                          <w:spacing w:before="28"/>
                          <w:ind w:right="93"/>
                          <w:jc w:val="right"/>
                          <w:rPr>
                            <w:sz w:val="21"/>
                          </w:rPr>
                        </w:pPr>
                        <w:r>
                          <w:rPr>
                            <w:sz w:val="21"/>
                          </w:rPr>
                          <w:t>1.300</w:t>
                        </w:r>
                      </w:p>
                    </w:tc>
                  </w:tr>
                  <w:tr>
                    <w:trPr>
                      <w:trHeight w:val="313" w:hRule="atLeast"/>
                    </w:trPr>
                    <w:tc>
                      <w:tcPr>
                        <w:tcW w:w="4225" w:type="dxa"/>
                      </w:tcPr>
                      <w:p>
                        <w:pPr>
                          <w:pStyle w:val="TableParagraph"/>
                          <w:ind w:left="105"/>
                          <w:rPr>
                            <w:rFonts w:ascii="宋体" w:eastAsia="宋体" w:hint="eastAsia"/>
                            <w:sz w:val="21"/>
                          </w:rPr>
                        </w:pPr>
                        <w:r>
                          <w:rPr>
                            <w:rFonts w:ascii="宋体" w:eastAsia="宋体" w:hint="eastAsia"/>
                            <w:sz w:val="21"/>
                          </w:rPr>
                          <w:t>转入基金份额（</w:t>
                        </w:r>
                        <w:r>
                          <w:rPr>
                            <w:sz w:val="21"/>
                          </w:rPr>
                          <w:t>O=L/N</w:t>
                        </w:r>
                        <w:r>
                          <w:rPr>
                            <w:rFonts w:ascii="宋体" w:eastAsia="宋体" w:hint="eastAsia"/>
                            <w:sz w:val="21"/>
                          </w:rPr>
                          <w:t>）</w:t>
                        </w:r>
                      </w:p>
                    </w:tc>
                    <w:tc>
                      <w:tcPr>
                        <w:tcW w:w="3205" w:type="dxa"/>
                      </w:tcPr>
                      <w:p>
                        <w:pPr>
                          <w:pStyle w:val="TableParagraph"/>
                          <w:spacing w:before="28"/>
                          <w:ind w:right="93"/>
                          <w:jc w:val="right"/>
                          <w:rPr>
                            <w:sz w:val="21"/>
                          </w:rPr>
                        </w:pPr>
                        <w:r>
                          <w:rPr>
                            <w:sz w:val="21"/>
                          </w:rPr>
                          <w:t>903.50</w:t>
                        </w:r>
                      </w:p>
                    </w:tc>
                  </w:tr>
                </w:tbl>
                <w:p>
                  <w:pPr>
                    <w:pStyle w:val="BodyText"/>
                  </w:pPr>
                </w:p>
              </w:txbxContent>
            </v:textbox>
            <w10:wrap type="none"/>
          </v:shape>
        </w:pict>
      </w:r>
      <w:r>
        <w:rPr>
          <w:spacing w:val="-33"/>
          <w:sz w:val="21"/>
        </w:rPr>
        <w:t>若 </w:t>
      </w:r>
      <w:r>
        <w:rPr>
          <w:rFonts w:ascii="Calibri" w:eastAsia="Calibri"/>
          <w:sz w:val="21"/>
        </w:rPr>
        <w:t>T</w:t>
      </w:r>
      <w:r>
        <w:rPr>
          <w:rFonts w:ascii="Calibri" w:eastAsia="Calibri"/>
          <w:spacing w:val="-5"/>
          <w:sz w:val="21"/>
        </w:rPr>
        <w:t> </w:t>
      </w:r>
      <w:r>
        <w:rPr>
          <w:spacing w:val="-21"/>
          <w:sz w:val="21"/>
        </w:rPr>
        <w:t>日转入丙基金</w:t>
      </w:r>
      <w:r>
        <w:rPr>
          <w:sz w:val="21"/>
        </w:rPr>
        <w:t>（</w:t>
      </w:r>
      <w:r>
        <w:rPr>
          <w:spacing w:val="-3"/>
          <w:sz w:val="21"/>
        </w:rPr>
        <w:t>前端收费模式</w:t>
      </w:r>
      <w:r>
        <w:rPr>
          <w:spacing w:val="-106"/>
          <w:sz w:val="21"/>
        </w:rPr>
        <w:t>），</w:t>
      </w:r>
      <w:r>
        <w:rPr>
          <w:spacing w:val="-3"/>
          <w:sz w:val="21"/>
        </w:rPr>
        <w:t>且丙基金适用的前端申购费率最高档为</w:t>
      </w:r>
      <w:r>
        <w:rPr>
          <w:rFonts w:ascii="Calibri" w:eastAsia="Calibri"/>
          <w:spacing w:val="-3"/>
          <w:sz w:val="21"/>
        </w:rPr>
        <w:t>1.2%</w:t>
      </w:r>
      <w:r>
        <w:rPr>
          <w:spacing w:val="-7"/>
          <w:sz w:val="21"/>
        </w:rPr>
        <w:t>，该日丙基金基金份额净值为 </w:t>
      </w:r>
      <w:r>
        <w:rPr>
          <w:rFonts w:ascii="Calibri" w:eastAsia="Calibri"/>
          <w:sz w:val="21"/>
        </w:rPr>
        <w:t>1.300</w:t>
      </w:r>
      <w:r>
        <w:rPr>
          <w:rFonts w:ascii="Calibri" w:eastAsia="Calibri"/>
          <w:spacing w:val="12"/>
          <w:sz w:val="21"/>
        </w:rPr>
        <w:t> </w:t>
      </w:r>
      <w:r>
        <w:rPr>
          <w:spacing w:val="-3"/>
          <w:sz w:val="21"/>
        </w:rPr>
        <w:t>元。则转出基金费用、转入基金费用及份额计算如</w:t>
      </w:r>
      <w:r>
        <w:rPr>
          <w:spacing w:val="-2"/>
          <w:sz w:val="21"/>
        </w:rPr>
        <w:t>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2"/>
        <w:rPr>
          <w:sz w:val="28"/>
        </w:rPr>
      </w:pPr>
    </w:p>
    <w:p>
      <w:pPr>
        <w:pStyle w:val="BodyText"/>
        <w:ind w:left="580"/>
      </w:pPr>
      <w:r>
        <w:rPr/>
        <w:t>例十：假定投资者在 </w:t>
      </w:r>
      <w:r>
        <w:rPr>
          <w:rFonts w:ascii="Calibri" w:eastAsia="Calibri"/>
        </w:rPr>
        <w:t>T </w:t>
      </w:r>
      <w:r>
        <w:rPr/>
        <w:t>日转出 </w:t>
      </w:r>
      <w:r>
        <w:rPr>
          <w:rFonts w:ascii="Calibri" w:eastAsia="Calibri"/>
        </w:rPr>
        <w:t>10,000,000 </w:t>
      </w:r>
      <w:r>
        <w:rPr/>
        <w:t>份持有期为半年的甲基金基金份额（后端收费</w:t>
      </w:r>
    </w:p>
    <w:p>
      <w:pPr>
        <w:spacing w:after="0"/>
        <w:sectPr>
          <w:pgSz w:w="11910" w:h="16840"/>
          <w:pgMar w:header="877" w:footer="995" w:top="1420" w:bottom="1180" w:left="1640" w:right="920"/>
        </w:sectPr>
      </w:pPr>
    </w:p>
    <w:p>
      <w:pPr>
        <w:pStyle w:val="BodyText"/>
        <w:spacing w:line="417" w:lineRule="auto" w:before="110"/>
        <w:ind w:left="160" w:right="872"/>
        <w:jc w:val="both"/>
      </w:pPr>
      <w:r>
        <w:rPr>
          <w:w w:val="100"/>
        </w:rPr>
        <w:t>模式</w:t>
      </w:r>
      <w:r>
        <w:rPr>
          <w:spacing w:val="-108"/>
          <w:w w:val="100"/>
        </w:rPr>
        <w:t>）</w:t>
      </w:r>
      <w:r>
        <w:rPr>
          <w:spacing w:val="-3"/>
          <w:w w:val="100"/>
        </w:rPr>
        <w:t>，转出时适用甲基金后端申购费率为</w:t>
      </w:r>
      <w:r>
        <w:rPr>
          <w:spacing w:val="-53"/>
        </w:rPr>
        <w:t> </w:t>
      </w:r>
      <w:r>
        <w:rPr>
          <w:rFonts w:ascii="Calibri" w:eastAsia="Calibri"/>
          <w:w w:val="100"/>
        </w:rPr>
        <w:t>1</w:t>
      </w:r>
      <w:r>
        <w:rPr>
          <w:rFonts w:ascii="Calibri" w:eastAsia="Calibri"/>
          <w:spacing w:val="-3"/>
          <w:w w:val="100"/>
        </w:rPr>
        <w:t>.</w:t>
      </w:r>
      <w:r>
        <w:rPr>
          <w:rFonts w:ascii="Calibri" w:eastAsia="Calibri"/>
          <w:w w:val="100"/>
        </w:rPr>
        <w:t>8</w:t>
      </w:r>
      <w:r>
        <w:rPr>
          <w:rFonts w:ascii="Calibri" w:eastAsia="Calibri"/>
          <w:spacing w:val="-2"/>
          <w:w w:val="100"/>
        </w:rPr>
        <w:t>%</w:t>
      </w:r>
      <w:r>
        <w:rPr>
          <w:spacing w:val="-3"/>
          <w:w w:val="100"/>
        </w:rPr>
        <w:t>，该日甲基金基金份额净值为</w:t>
      </w:r>
      <w:r>
        <w:rPr>
          <w:spacing w:val="-52"/>
        </w:rPr>
        <w:t> </w:t>
      </w:r>
      <w:r>
        <w:rPr>
          <w:rFonts w:ascii="Calibri" w:eastAsia="Calibri"/>
          <w:w w:val="100"/>
        </w:rPr>
        <w:t>1</w:t>
      </w:r>
      <w:r>
        <w:rPr>
          <w:rFonts w:ascii="Calibri" w:eastAsia="Calibri"/>
          <w:spacing w:val="-1"/>
          <w:w w:val="100"/>
        </w:rPr>
        <w:t>.</w:t>
      </w:r>
      <w:r>
        <w:rPr>
          <w:rFonts w:ascii="Calibri" w:eastAsia="Calibri"/>
          <w:spacing w:val="-2"/>
          <w:w w:val="100"/>
        </w:rPr>
        <w:t>2</w:t>
      </w:r>
      <w:r>
        <w:rPr>
          <w:rFonts w:ascii="Calibri" w:eastAsia="Calibri"/>
          <w:w w:val="100"/>
        </w:rPr>
        <w:t>00</w:t>
      </w:r>
      <w:r>
        <w:rPr>
          <w:rFonts w:ascii="Calibri" w:eastAsia="Calibri"/>
          <w:spacing w:val="6"/>
        </w:rPr>
        <w:t> </w:t>
      </w:r>
      <w:r>
        <w:rPr>
          <w:spacing w:val="-2"/>
          <w:w w:val="100"/>
        </w:rPr>
        <w:t>元。甲</w:t>
      </w:r>
      <w:r>
        <w:rPr>
          <w:spacing w:val="-4"/>
        </w:rPr>
        <w:t>基金前端申购费率最高档为 </w:t>
      </w:r>
      <w:r>
        <w:rPr>
          <w:rFonts w:ascii="Calibri" w:eastAsia="Calibri"/>
        </w:rPr>
        <w:t>1.5%</w:t>
      </w:r>
      <w:r>
        <w:rPr>
          <w:spacing w:val="-3"/>
        </w:rPr>
        <w:t>，赎回费率为 </w:t>
      </w:r>
      <w:r>
        <w:rPr>
          <w:rFonts w:ascii="Calibri" w:eastAsia="Calibri"/>
        </w:rPr>
        <w:t>0.5%</w:t>
      </w:r>
      <w:r>
        <w:rPr>
          <w:spacing w:val="-4"/>
        </w:rPr>
        <w:t>。申购日甲基金基金份额净值为 </w:t>
      </w:r>
      <w:r>
        <w:rPr>
          <w:rFonts w:ascii="Calibri" w:eastAsia="Calibri"/>
        </w:rPr>
        <w:t>1.100 </w:t>
      </w:r>
      <w:r>
        <w:rPr/>
        <w:t>元。</w:t>
      </w:r>
    </w:p>
    <w:p>
      <w:pPr>
        <w:pStyle w:val="ListParagraph"/>
        <w:numPr>
          <w:ilvl w:val="0"/>
          <w:numId w:val="20"/>
        </w:numPr>
        <w:tabs>
          <w:tab w:pos="1112" w:val="left" w:leader="none"/>
        </w:tabs>
        <w:spacing w:line="417" w:lineRule="auto" w:before="0" w:after="0"/>
        <w:ind w:left="160" w:right="873" w:firstLine="419"/>
        <w:jc w:val="both"/>
        <w:rPr>
          <w:sz w:val="21"/>
        </w:rPr>
      </w:pPr>
      <w:r>
        <w:rPr/>
        <w:pict>
          <v:shape style="position:absolute;margin-left:111.5pt;margin-top:65.219963pt;width:372.6pt;height:242.1pt;mso-position-horizontal-relative:page;mso-position-vertical-relative:paragraph;z-index:25168896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0"/>
                    <w:gridCol w:w="3207"/>
                  </w:tblGrid>
                  <w:tr>
                    <w:trPr>
                      <w:trHeight w:val="311" w:hRule="atLeast"/>
                    </w:trPr>
                    <w:tc>
                      <w:tcPr>
                        <w:tcW w:w="4230" w:type="dxa"/>
                      </w:tcPr>
                      <w:p>
                        <w:pPr>
                          <w:pStyle w:val="TableParagraph"/>
                          <w:ind w:left="1884" w:right="1875"/>
                          <w:jc w:val="center"/>
                          <w:rPr>
                            <w:rFonts w:ascii="宋体" w:eastAsia="宋体" w:hint="eastAsia"/>
                            <w:sz w:val="21"/>
                          </w:rPr>
                        </w:pPr>
                        <w:r>
                          <w:rPr>
                            <w:rFonts w:ascii="宋体" w:eastAsia="宋体" w:hint="eastAsia"/>
                            <w:sz w:val="21"/>
                          </w:rPr>
                          <w:t>项目</w:t>
                        </w:r>
                      </w:p>
                    </w:tc>
                    <w:tc>
                      <w:tcPr>
                        <w:tcW w:w="3207" w:type="dxa"/>
                      </w:tcPr>
                      <w:p>
                        <w:pPr>
                          <w:pStyle w:val="TableParagraph"/>
                          <w:ind w:left="1164" w:right="1153"/>
                          <w:jc w:val="center"/>
                          <w:rPr>
                            <w:rFonts w:ascii="宋体" w:eastAsia="宋体" w:hint="eastAsia"/>
                            <w:sz w:val="21"/>
                          </w:rPr>
                        </w:pPr>
                        <w:r>
                          <w:rPr>
                            <w:rFonts w:ascii="宋体" w:eastAsia="宋体" w:hint="eastAsia"/>
                            <w:sz w:val="21"/>
                          </w:rPr>
                          <w:t>费用计算</w:t>
                        </w:r>
                      </w:p>
                    </w:tc>
                  </w:tr>
                  <w:tr>
                    <w:trPr>
                      <w:trHeight w:val="311" w:hRule="atLeast"/>
                    </w:trPr>
                    <w:tc>
                      <w:tcPr>
                        <w:tcW w:w="4230" w:type="dxa"/>
                      </w:tcPr>
                      <w:p>
                        <w:pPr>
                          <w:pStyle w:val="TableParagraph"/>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7" w:type="dxa"/>
                      </w:tcPr>
                      <w:p>
                        <w:pPr>
                          <w:pStyle w:val="TableParagraph"/>
                          <w:spacing w:before="28"/>
                          <w:ind w:right="94"/>
                          <w:jc w:val="right"/>
                          <w:rPr>
                            <w:sz w:val="21"/>
                          </w:rPr>
                        </w:pPr>
                        <w:r>
                          <w:rPr>
                            <w:sz w:val="21"/>
                          </w:rPr>
                          <w:t>10,000,000.00</w:t>
                        </w:r>
                      </w:p>
                    </w:tc>
                  </w:tr>
                  <w:tr>
                    <w:trPr>
                      <w:trHeight w:val="312" w:hRule="atLeast"/>
                    </w:trPr>
                    <w:tc>
                      <w:tcPr>
                        <w:tcW w:w="4230" w:type="dxa"/>
                      </w:tcPr>
                      <w:p>
                        <w:pPr>
                          <w:pStyle w:val="TableParagraph"/>
                          <w:spacing w:before="23"/>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7" w:type="dxa"/>
                      </w:tcPr>
                      <w:p>
                        <w:pPr>
                          <w:pStyle w:val="TableParagraph"/>
                          <w:spacing w:before="28"/>
                          <w:ind w:right="92"/>
                          <w:jc w:val="right"/>
                          <w:rPr>
                            <w:sz w:val="21"/>
                          </w:rPr>
                        </w:pPr>
                        <w:r>
                          <w:rPr>
                            <w:sz w:val="21"/>
                          </w:rPr>
                          <w:t>1.200</w:t>
                        </w:r>
                      </w:p>
                    </w:tc>
                  </w:tr>
                  <w:tr>
                    <w:trPr>
                      <w:trHeight w:val="314" w:hRule="atLeast"/>
                    </w:trPr>
                    <w:tc>
                      <w:tcPr>
                        <w:tcW w:w="4230" w:type="dxa"/>
                      </w:tcPr>
                      <w:p>
                        <w:pPr>
                          <w:pStyle w:val="TableParagraph"/>
                          <w:spacing w:before="25"/>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7" w:type="dxa"/>
                      </w:tcPr>
                      <w:p>
                        <w:pPr>
                          <w:pStyle w:val="TableParagraph"/>
                          <w:spacing w:before="30"/>
                          <w:ind w:right="94"/>
                          <w:jc w:val="right"/>
                          <w:rPr>
                            <w:sz w:val="21"/>
                          </w:rPr>
                        </w:pPr>
                        <w:r>
                          <w:rPr>
                            <w:sz w:val="21"/>
                          </w:rPr>
                          <w:t>12,000,000.00</w:t>
                        </w:r>
                      </w:p>
                    </w:tc>
                  </w:tr>
                  <w:tr>
                    <w:trPr>
                      <w:trHeight w:val="311" w:hRule="atLeast"/>
                    </w:trPr>
                    <w:tc>
                      <w:tcPr>
                        <w:tcW w:w="4230" w:type="dxa"/>
                      </w:tcPr>
                      <w:p>
                        <w:pPr>
                          <w:pStyle w:val="TableParagraph"/>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7" w:type="dxa"/>
                      </w:tcPr>
                      <w:p>
                        <w:pPr>
                          <w:pStyle w:val="TableParagraph"/>
                          <w:spacing w:before="28"/>
                          <w:ind w:right="92"/>
                          <w:jc w:val="right"/>
                          <w:rPr>
                            <w:sz w:val="21"/>
                          </w:rPr>
                        </w:pPr>
                        <w:r>
                          <w:rPr>
                            <w:sz w:val="21"/>
                          </w:rPr>
                          <w:t>0.5%</w:t>
                        </w:r>
                      </w:p>
                    </w:tc>
                  </w:tr>
                  <w:tr>
                    <w:trPr>
                      <w:trHeight w:val="311" w:hRule="atLeast"/>
                    </w:trPr>
                    <w:tc>
                      <w:tcPr>
                        <w:tcW w:w="4230" w:type="dxa"/>
                      </w:tcPr>
                      <w:p>
                        <w:pPr>
                          <w:pStyle w:val="TableParagraph"/>
                          <w:ind w:left="107"/>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07" w:type="dxa"/>
                      </w:tcPr>
                      <w:p>
                        <w:pPr>
                          <w:pStyle w:val="TableParagraph"/>
                          <w:spacing w:before="28"/>
                          <w:ind w:right="94"/>
                          <w:jc w:val="right"/>
                          <w:rPr>
                            <w:sz w:val="21"/>
                          </w:rPr>
                        </w:pPr>
                        <w:r>
                          <w:rPr>
                            <w:sz w:val="21"/>
                          </w:rPr>
                          <w:t>60,000.00</w:t>
                        </w:r>
                      </w:p>
                    </w:tc>
                  </w:tr>
                  <w:tr>
                    <w:trPr>
                      <w:trHeight w:val="311" w:hRule="atLeast"/>
                    </w:trPr>
                    <w:tc>
                      <w:tcPr>
                        <w:tcW w:w="4230" w:type="dxa"/>
                      </w:tcPr>
                      <w:p>
                        <w:pPr>
                          <w:pStyle w:val="TableParagraph"/>
                          <w:ind w:left="107"/>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07" w:type="dxa"/>
                      </w:tcPr>
                      <w:p>
                        <w:pPr>
                          <w:pStyle w:val="TableParagraph"/>
                          <w:spacing w:before="28"/>
                          <w:ind w:right="92"/>
                          <w:jc w:val="right"/>
                          <w:rPr>
                            <w:sz w:val="21"/>
                          </w:rPr>
                        </w:pPr>
                        <w:r>
                          <w:rPr>
                            <w:sz w:val="21"/>
                          </w:rPr>
                          <w:t>1.100</w:t>
                        </w:r>
                      </w:p>
                    </w:tc>
                  </w:tr>
                  <w:tr>
                    <w:trPr>
                      <w:trHeight w:val="311" w:hRule="atLeast"/>
                    </w:trPr>
                    <w:tc>
                      <w:tcPr>
                        <w:tcW w:w="4230" w:type="dxa"/>
                      </w:tcPr>
                      <w:p>
                        <w:pPr>
                          <w:pStyle w:val="TableParagraph"/>
                          <w:ind w:left="107"/>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07" w:type="dxa"/>
                      </w:tcPr>
                      <w:p>
                        <w:pPr>
                          <w:pStyle w:val="TableParagraph"/>
                          <w:spacing w:before="28"/>
                          <w:ind w:right="92"/>
                          <w:jc w:val="right"/>
                          <w:rPr>
                            <w:sz w:val="21"/>
                          </w:rPr>
                        </w:pPr>
                        <w:r>
                          <w:rPr>
                            <w:sz w:val="21"/>
                          </w:rPr>
                          <w:t>1.8%</w:t>
                        </w:r>
                      </w:p>
                    </w:tc>
                  </w:tr>
                  <w:tr>
                    <w:trPr>
                      <w:trHeight w:val="311" w:hRule="atLeast"/>
                    </w:trPr>
                    <w:tc>
                      <w:tcPr>
                        <w:tcW w:w="4230" w:type="dxa"/>
                      </w:tcPr>
                      <w:p>
                        <w:pPr>
                          <w:pStyle w:val="TableParagraph"/>
                          <w:ind w:left="107"/>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1"/>
                            <w:w w:val="100"/>
                            <w:sz w:val="21"/>
                          </w:rPr>
                          <w:t>（</w:t>
                        </w:r>
                        <w:r>
                          <w:rPr>
                            <w:spacing w:val="-2"/>
                            <w:w w:val="100"/>
                            <w:sz w:val="21"/>
                          </w:rPr>
                          <w:t>H</w:t>
                        </w:r>
                        <w:r>
                          <w:rPr>
                            <w:w w:val="100"/>
                            <w:sz w:val="21"/>
                          </w:rPr>
                          <w:t>=</w:t>
                        </w:r>
                        <w:r>
                          <w:rPr>
                            <w:spacing w:val="-2"/>
                            <w:w w:val="100"/>
                            <w:sz w:val="21"/>
                          </w:rPr>
                          <w:t>A</w:t>
                        </w:r>
                        <w:r>
                          <w:rPr>
                            <w:w w:val="100"/>
                            <w:sz w:val="21"/>
                          </w:rPr>
                          <w:t>×</w:t>
                        </w:r>
                        <w:r>
                          <w:rPr>
                            <w:spacing w:val="-1"/>
                            <w:w w:val="100"/>
                            <w:sz w:val="21"/>
                          </w:rPr>
                          <w:t>F</w:t>
                        </w:r>
                        <w:r>
                          <w:rPr>
                            <w:spacing w:val="-2"/>
                            <w:w w:val="100"/>
                            <w:sz w:val="21"/>
                          </w:rPr>
                          <w:t>×</w:t>
                        </w:r>
                        <w:r>
                          <w:rPr>
                            <w:w w:val="100"/>
                            <w:sz w:val="21"/>
                          </w:rPr>
                          <w:t>G/</w:t>
                        </w:r>
                        <w:r>
                          <w:rPr>
                            <w:rFonts w:ascii="宋体" w:hAnsi="宋体" w:eastAsia="宋体" w:hint="eastAsia"/>
                            <w:spacing w:val="-3"/>
                            <w:w w:val="100"/>
                            <w:sz w:val="21"/>
                          </w:rPr>
                          <w:t>（</w:t>
                        </w:r>
                        <w:r>
                          <w:rPr>
                            <w:spacing w:val="-2"/>
                            <w:w w:val="100"/>
                            <w:sz w:val="21"/>
                          </w:rPr>
                          <w:t>1</w:t>
                        </w:r>
                        <w:r>
                          <w:rPr>
                            <w:w w:val="100"/>
                            <w:sz w:val="21"/>
                          </w:rPr>
                          <w:t>+</w:t>
                        </w:r>
                        <w:r>
                          <w:rPr>
                            <w:spacing w:val="1"/>
                            <w:w w:val="100"/>
                            <w:sz w:val="21"/>
                          </w:rPr>
                          <w:t>G</w:t>
                        </w:r>
                        <w:r>
                          <w:rPr>
                            <w:rFonts w:ascii="宋体" w:hAnsi="宋体" w:eastAsia="宋体" w:hint="eastAsia"/>
                            <w:spacing w:val="-108"/>
                            <w:w w:val="100"/>
                            <w:sz w:val="21"/>
                          </w:rPr>
                          <w:t>））</w:t>
                        </w:r>
                      </w:p>
                    </w:tc>
                    <w:tc>
                      <w:tcPr>
                        <w:tcW w:w="3207" w:type="dxa"/>
                      </w:tcPr>
                      <w:p>
                        <w:pPr>
                          <w:pStyle w:val="TableParagraph"/>
                          <w:spacing w:before="28"/>
                          <w:ind w:right="94"/>
                          <w:jc w:val="right"/>
                          <w:rPr>
                            <w:sz w:val="21"/>
                          </w:rPr>
                        </w:pPr>
                        <w:r>
                          <w:rPr>
                            <w:sz w:val="21"/>
                          </w:rPr>
                          <w:t>194,499.02</w:t>
                        </w:r>
                      </w:p>
                    </w:tc>
                  </w:tr>
                  <w:tr>
                    <w:trPr>
                      <w:trHeight w:val="313" w:hRule="atLeast"/>
                    </w:trPr>
                    <w:tc>
                      <w:tcPr>
                        <w:tcW w:w="4230" w:type="dxa"/>
                      </w:tcPr>
                      <w:p>
                        <w:pPr>
                          <w:pStyle w:val="TableParagraph"/>
                          <w:spacing w:before="25"/>
                          <w:ind w:left="107"/>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07" w:type="dxa"/>
                      </w:tcPr>
                      <w:p>
                        <w:pPr>
                          <w:pStyle w:val="TableParagraph"/>
                          <w:spacing w:before="30"/>
                          <w:ind w:right="94"/>
                          <w:jc w:val="right"/>
                          <w:rPr>
                            <w:sz w:val="21"/>
                          </w:rPr>
                        </w:pPr>
                        <w:r>
                          <w:rPr>
                            <w:sz w:val="21"/>
                          </w:rPr>
                          <w:t>254,499.02</w:t>
                        </w:r>
                      </w:p>
                    </w:tc>
                  </w:tr>
                  <w:tr>
                    <w:trPr>
                      <w:trHeight w:val="311" w:hRule="atLeast"/>
                    </w:trPr>
                    <w:tc>
                      <w:tcPr>
                        <w:tcW w:w="4230" w:type="dxa"/>
                      </w:tcPr>
                      <w:p>
                        <w:pPr>
                          <w:pStyle w:val="TableParagraph"/>
                          <w:ind w:left="107"/>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07" w:type="dxa"/>
                      </w:tcPr>
                      <w:p>
                        <w:pPr>
                          <w:pStyle w:val="TableParagraph"/>
                          <w:spacing w:before="28"/>
                          <w:ind w:right="94"/>
                          <w:jc w:val="right"/>
                          <w:rPr>
                            <w:sz w:val="21"/>
                          </w:rPr>
                        </w:pPr>
                        <w:r>
                          <w:rPr>
                            <w:sz w:val="21"/>
                          </w:rPr>
                          <w:t>11,745,500.98</w:t>
                        </w:r>
                      </w:p>
                    </w:tc>
                  </w:tr>
                  <w:tr>
                    <w:trPr>
                      <w:trHeight w:val="311" w:hRule="atLeast"/>
                    </w:trPr>
                    <w:tc>
                      <w:tcPr>
                        <w:tcW w:w="4230" w:type="dxa"/>
                      </w:tcPr>
                      <w:p>
                        <w:pPr>
                          <w:pStyle w:val="TableParagraph"/>
                          <w:ind w:left="107"/>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07" w:type="dxa"/>
                      </w:tcPr>
                      <w:p>
                        <w:pPr>
                          <w:pStyle w:val="TableParagraph"/>
                          <w:spacing w:before="28"/>
                          <w:ind w:right="93"/>
                          <w:jc w:val="right"/>
                          <w:rPr>
                            <w:sz w:val="21"/>
                          </w:rPr>
                        </w:pPr>
                        <w:r>
                          <w:rPr>
                            <w:sz w:val="21"/>
                          </w:rPr>
                          <w:t>1,000.00</w:t>
                        </w:r>
                      </w:p>
                    </w:tc>
                  </w:tr>
                  <w:tr>
                    <w:trPr>
                      <w:trHeight w:val="312" w:hRule="atLeast"/>
                    </w:trPr>
                    <w:tc>
                      <w:tcPr>
                        <w:tcW w:w="4230" w:type="dxa"/>
                      </w:tcPr>
                      <w:p>
                        <w:pPr>
                          <w:pStyle w:val="TableParagraph"/>
                          <w:spacing w:before="23"/>
                          <w:ind w:left="107"/>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07" w:type="dxa"/>
                      </w:tcPr>
                      <w:p>
                        <w:pPr>
                          <w:pStyle w:val="TableParagraph"/>
                          <w:spacing w:before="28"/>
                          <w:ind w:right="94"/>
                          <w:jc w:val="right"/>
                          <w:rPr>
                            <w:sz w:val="21"/>
                          </w:rPr>
                        </w:pPr>
                        <w:r>
                          <w:rPr>
                            <w:sz w:val="21"/>
                          </w:rPr>
                          <w:t>11,744,500.98</w:t>
                        </w:r>
                      </w:p>
                    </w:tc>
                  </w:tr>
                  <w:tr>
                    <w:trPr>
                      <w:trHeight w:val="311" w:hRule="atLeast"/>
                    </w:trPr>
                    <w:tc>
                      <w:tcPr>
                        <w:tcW w:w="4230" w:type="dxa"/>
                      </w:tcPr>
                      <w:p>
                        <w:pPr>
                          <w:pStyle w:val="TableParagraph"/>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07" w:type="dxa"/>
                      </w:tcPr>
                      <w:p>
                        <w:pPr>
                          <w:pStyle w:val="TableParagraph"/>
                          <w:spacing w:before="28"/>
                          <w:ind w:right="92"/>
                          <w:jc w:val="right"/>
                          <w:rPr>
                            <w:sz w:val="21"/>
                          </w:rPr>
                        </w:pPr>
                        <w:r>
                          <w:rPr>
                            <w:sz w:val="21"/>
                          </w:rPr>
                          <w:t>1.300</w:t>
                        </w:r>
                      </w:p>
                    </w:tc>
                  </w:tr>
                  <w:tr>
                    <w:trPr>
                      <w:trHeight w:val="314" w:hRule="atLeast"/>
                    </w:trPr>
                    <w:tc>
                      <w:tcPr>
                        <w:tcW w:w="4230" w:type="dxa"/>
                      </w:tcPr>
                      <w:p>
                        <w:pPr>
                          <w:pStyle w:val="TableParagraph"/>
                          <w:ind w:left="107"/>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07" w:type="dxa"/>
                      </w:tcPr>
                      <w:p>
                        <w:pPr>
                          <w:pStyle w:val="TableParagraph"/>
                          <w:spacing w:before="28"/>
                          <w:ind w:right="94"/>
                          <w:jc w:val="right"/>
                          <w:rPr>
                            <w:sz w:val="21"/>
                          </w:rPr>
                        </w:pPr>
                        <w:r>
                          <w:rPr>
                            <w:sz w:val="21"/>
                          </w:rPr>
                          <w:t>9,034,231.52</w:t>
                        </w:r>
                      </w:p>
                    </w:tc>
                  </w:tr>
                </w:tbl>
                <w:p>
                  <w:pPr>
                    <w:pStyle w:val="BodyText"/>
                  </w:pPr>
                </w:p>
              </w:txbxContent>
            </v:textbox>
            <w10:wrap type="none"/>
          </v:shape>
        </w:pict>
      </w:r>
      <w:r>
        <w:rPr>
          <w:w w:val="100"/>
          <w:sz w:val="21"/>
        </w:rPr>
        <w:t>若</w:t>
      </w:r>
      <w:r>
        <w:rPr>
          <w:spacing w:val="-55"/>
          <w:sz w:val="21"/>
        </w:rPr>
        <w:t> </w:t>
      </w:r>
      <w:r>
        <w:rPr>
          <w:rFonts w:ascii="Calibri" w:eastAsia="Calibri"/>
          <w:w w:val="100"/>
          <w:sz w:val="21"/>
        </w:rPr>
        <w:t>T</w:t>
      </w:r>
      <w:r>
        <w:rPr>
          <w:rFonts w:ascii="Calibri" w:eastAsia="Calibri"/>
          <w:spacing w:val="5"/>
          <w:sz w:val="21"/>
        </w:rPr>
        <w:t> </w:t>
      </w:r>
      <w:r>
        <w:rPr>
          <w:spacing w:val="-5"/>
          <w:w w:val="100"/>
          <w:sz w:val="21"/>
        </w:rPr>
        <w:t>日转入乙基金</w:t>
      </w:r>
      <w:r>
        <w:rPr>
          <w:spacing w:val="-3"/>
          <w:w w:val="100"/>
          <w:sz w:val="21"/>
        </w:rPr>
        <w:t>（</w:t>
      </w:r>
      <w:r>
        <w:rPr>
          <w:spacing w:val="-2"/>
          <w:w w:val="100"/>
          <w:sz w:val="21"/>
        </w:rPr>
        <w:t>前端收费模式</w:t>
      </w:r>
      <w:r>
        <w:rPr>
          <w:spacing w:val="-106"/>
          <w:w w:val="100"/>
          <w:sz w:val="21"/>
        </w:rPr>
        <w:t>）</w:t>
      </w:r>
      <w:r>
        <w:rPr>
          <w:spacing w:val="-5"/>
          <w:w w:val="100"/>
          <w:sz w:val="21"/>
        </w:rPr>
        <w:t>，且乙基金适用的申购费用为</w:t>
      </w:r>
      <w:r>
        <w:rPr>
          <w:spacing w:val="-55"/>
          <w:sz w:val="21"/>
        </w:rPr>
        <w:t> </w:t>
      </w:r>
      <w:r>
        <w:rPr>
          <w:rFonts w:ascii="Calibri" w:eastAsia="Calibri"/>
          <w:w w:val="100"/>
          <w:sz w:val="21"/>
        </w:rPr>
        <w:t>1</w:t>
      </w:r>
      <w:r>
        <w:rPr>
          <w:rFonts w:ascii="Calibri" w:eastAsia="Calibri"/>
          <w:spacing w:val="-3"/>
          <w:w w:val="100"/>
          <w:sz w:val="21"/>
        </w:rPr>
        <w:t>,</w:t>
      </w:r>
      <w:r>
        <w:rPr>
          <w:rFonts w:ascii="Calibri" w:eastAsia="Calibri"/>
          <w:w w:val="100"/>
          <w:sz w:val="21"/>
        </w:rPr>
        <w:t>0</w:t>
      </w:r>
      <w:r>
        <w:rPr>
          <w:rFonts w:ascii="Calibri" w:eastAsia="Calibri"/>
          <w:spacing w:val="-2"/>
          <w:w w:val="100"/>
          <w:sz w:val="21"/>
        </w:rPr>
        <w:t>0</w:t>
      </w:r>
      <w:r>
        <w:rPr>
          <w:rFonts w:ascii="Calibri" w:eastAsia="Calibri"/>
          <w:w w:val="100"/>
          <w:sz w:val="21"/>
        </w:rPr>
        <w:t>0</w:t>
      </w:r>
      <w:r>
        <w:rPr>
          <w:rFonts w:ascii="Calibri" w:eastAsia="Calibri"/>
          <w:spacing w:val="4"/>
          <w:sz w:val="21"/>
        </w:rPr>
        <w:t> </w:t>
      </w:r>
      <w:r>
        <w:rPr>
          <w:spacing w:val="-5"/>
          <w:w w:val="100"/>
          <w:sz w:val="21"/>
        </w:rPr>
        <w:t>元，乙基</w:t>
      </w:r>
      <w:r>
        <w:rPr>
          <w:spacing w:val="-8"/>
          <w:sz w:val="21"/>
        </w:rPr>
        <w:t>金前端申购费率最高档为 </w:t>
      </w:r>
      <w:r>
        <w:rPr>
          <w:rFonts w:ascii="Calibri" w:eastAsia="Calibri"/>
          <w:spacing w:val="-8"/>
          <w:sz w:val="21"/>
        </w:rPr>
        <w:t>2.0%</w:t>
      </w:r>
      <w:r>
        <w:rPr>
          <w:spacing w:val="-6"/>
          <w:sz w:val="21"/>
        </w:rPr>
        <w:t>，该日乙基金基金份额净值为 </w:t>
      </w:r>
      <w:r>
        <w:rPr>
          <w:rFonts w:ascii="Calibri" w:eastAsia="Calibri"/>
          <w:sz w:val="21"/>
        </w:rPr>
        <w:t>1.300</w:t>
      </w:r>
      <w:r>
        <w:rPr>
          <w:rFonts w:ascii="Calibri" w:eastAsia="Calibri"/>
          <w:spacing w:val="19"/>
          <w:sz w:val="21"/>
        </w:rPr>
        <w:t> </w:t>
      </w:r>
      <w:r>
        <w:rPr>
          <w:spacing w:val="-10"/>
          <w:sz w:val="21"/>
        </w:rPr>
        <w:t>元。则转出基金费用、转</w:t>
      </w:r>
      <w:r>
        <w:rPr>
          <w:spacing w:val="-5"/>
          <w:sz w:val="21"/>
        </w:rPr>
        <w:t>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7"/>
        </w:rPr>
      </w:pPr>
    </w:p>
    <w:p>
      <w:pPr>
        <w:pStyle w:val="ListParagraph"/>
        <w:numPr>
          <w:ilvl w:val="0"/>
          <w:numId w:val="20"/>
        </w:numPr>
        <w:tabs>
          <w:tab w:pos="1112" w:val="left" w:leader="none"/>
        </w:tabs>
        <w:spacing w:line="417" w:lineRule="auto" w:before="0" w:after="0"/>
        <w:ind w:left="160" w:right="873" w:firstLine="419"/>
        <w:jc w:val="both"/>
        <w:rPr>
          <w:sz w:val="21"/>
        </w:rPr>
      </w:pPr>
      <w:r>
        <w:rPr/>
        <w:pict>
          <v:shape style="position:absolute;margin-left:111.139999pt;margin-top:65.219955pt;width:373.4pt;height:242pt;mso-position-horizontal-relative:page;mso-position-vertical-relative:paragraph;z-index:25168998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1" w:hRule="atLeast"/>
                    </w:trPr>
                    <w:tc>
                      <w:tcPr>
                        <w:tcW w:w="4237" w:type="dxa"/>
                      </w:tcPr>
                      <w:p>
                        <w:pPr>
                          <w:pStyle w:val="TableParagraph"/>
                          <w:ind w:left="1676" w:right="1669"/>
                          <w:jc w:val="center"/>
                          <w:rPr>
                            <w:rFonts w:ascii="宋体" w:eastAsia="宋体" w:hint="eastAsia"/>
                            <w:sz w:val="21"/>
                          </w:rPr>
                        </w:pPr>
                        <w:r>
                          <w:rPr>
                            <w:rFonts w:ascii="宋体" w:eastAsia="宋体" w:hint="eastAsia"/>
                            <w:sz w:val="21"/>
                          </w:rPr>
                          <w:t>项目</w:t>
                        </w:r>
                      </w:p>
                    </w:tc>
                    <w:tc>
                      <w:tcPr>
                        <w:tcW w:w="3217" w:type="dxa"/>
                      </w:tcPr>
                      <w:p>
                        <w:pPr>
                          <w:pStyle w:val="TableParagraph"/>
                          <w:ind w:left="1169" w:right="1158"/>
                          <w:jc w:val="center"/>
                          <w:rPr>
                            <w:rFonts w:ascii="宋体" w:eastAsia="宋体" w:hint="eastAsia"/>
                            <w:sz w:val="21"/>
                          </w:rPr>
                        </w:pPr>
                        <w:r>
                          <w:rPr>
                            <w:rFonts w:ascii="宋体" w:eastAsia="宋体" w:hint="eastAsia"/>
                            <w:sz w:val="21"/>
                          </w:rPr>
                          <w:t>费用计算</w:t>
                        </w:r>
                      </w:p>
                    </w:tc>
                  </w:tr>
                  <w:tr>
                    <w:trPr>
                      <w:trHeight w:val="311" w:hRule="atLeast"/>
                    </w:trPr>
                    <w:tc>
                      <w:tcPr>
                        <w:tcW w:w="4237" w:type="dxa"/>
                      </w:tcPr>
                      <w:p>
                        <w:pPr>
                          <w:pStyle w:val="TableParagraph"/>
                          <w:ind w:left="105"/>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spacing w:before="28"/>
                          <w:ind w:right="96"/>
                          <w:jc w:val="right"/>
                          <w:rPr>
                            <w:sz w:val="21"/>
                          </w:rPr>
                        </w:pPr>
                        <w:r>
                          <w:rPr>
                            <w:sz w:val="21"/>
                          </w:rPr>
                          <w:t>10,000,000.00</w:t>
                        </w:r>
                      </w:p>
                    </w:tc>
                  </w:tr>
                  <w:tr>
                    <w:trPr>
                      <w:trHeight w:val="312" w:hRule="atLeast"/>
                    </w:trPr>
                    <w:tc>
                      <w:tcPr>
                        <w:tcW w:w="4237" w:type="dxa"/>
                      </w:tcPr>
                      <w:p>
                        <w:pPr>
                          <w:pStyle w:val="TableParagraph"/>
                          <w:ind w:left="105"/>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spacing w:before="28"/>
                          <w:ind w:right="95"/>
                          <w:jc w:val="right"/>
                          <w:rPr>
                            <w:sz w:val="21"/>
                          </w:rPr>
                        </w:pPr>
                        <w:r>
                          <w:rPr>
                            <w:sz w:val="21"/>
                          </w:rPr>
                          <w:t>1.200</w:t>
                        </w:r>
                      </w:p>
                    </w:tc>
                  </w:tr>
                  <w:tr>
                    <w:trPr>
                      <w:trHeight w:val="311" w:hRule="atLeast"/>
                    </w:trPr>
                    <w:tc>
                      <w:tcPr>
                        <w:tcW w:w="4237" w:type="dxa"/>
                      </w:tcPr>
                      <w:p>
                        <w:pPr>
                          <w:pStyle w:val="TableParagraph"/>
                          <w:ind w:left="105"/>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spacing w:before="28"/>
                          <w:ind w:right="96"/>
                          <w:jc w:val="right"/>
                          <w:rPr>
                            <w:sz w:val="21"/>
                          </w:rPr>
                        </w:pPr>
                        <w:r>
                          <w:rPr>
                            <w:sz w:val="21"/>
                          </w:rPr>
                          <w:t>12,000,000.00</w:t>
                        </w:r>
                      </w:p>
                    </w:tc>
                  </w:tr>
                  <w:tr>
                    <w:trPr>
                      <w:trHeight w:val="311" w:hRule="atLeast"/>
                    </w:trPr>
                    <w:tc>
                      <w:tcPr>
                        <w:tcW w:w="4237" w:type="dxa"/>
                      </w:tcPr>
                      <w:p>
                        <w:pPr>
                          <w:pStyle w:val="TableParagraph"/>
                          <w:ind w:left="105"/>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spacing w:before="28"/>
                          <w:ind w:right="94"/>
                          <w:jc w:val="right"/>
                          <w:rPr>
                            <w:sz w:val="21"/>
                          </w:rPr>
                        </w:pPr>
                        <w:r>
                          <w:rPr>
                            <w:sz w:val="21"/>
                          </w:rPr>
                          <w:t>0.5%</w:t>
                        </w:r>
                      </w:p>
                    </w:tc>
                  </w:tr>
                  <w:tr>
                    <w:trPr>
                      <w:trHeight w:val="314" w:hRule="atLeast"/>
                    </w:trPr>
                    <w:tc>
                      <w:tcPr>
                        <w:tcW w:w="4237" w:type="dxa"/>
                      </w:tcPr>
                      <w:p>
                        <w:pPr>
                          <w:pStyle w:val="TableParagraph"/>
                          <w:spacing w:before="25"/>
                          <w:ind w:left="105"/>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17" w:type="dxa"/>
                      </w:tcPr>
                      <w:p>
                        <w:pPr>
                          <w:pStyle w:val="TableParagraph"/>
                          <w:spacing w:before="30"/>
                          <w:ind w:right="96"/>
                          <w:jc w:val="right"/>
                          <w:rPr>
                            <w:sz w:val="21"/>
                          </w:rPr>
                        </w:pPr>
                        <w:r>
                          <w:rPr>
                            <w:sz w:val="21"/>
                          </w:rPr>
                          <w:t>60,000.00</w:t>
                        </w:r>
                      </w:p>
                    </w:tc>
                  </w:tr>
                  <w:tr>
                    <w:trPr>
                      <w:trHeight w:val="311" w:hRule="atLeast"/>
                    </w:trPr>
                    <w:tc>
                      <w:tcPr>
                        <w:tcW w:w="4237" w:type="dxa"/>
                      </w:tcPr>
                      <w:p>
                        <w:pPr>
                          <w:pStyle w:val="TableParagraph"/>
                          <w:ind w:left="105"/>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17" w:type="dxa"/>
                      </w:tcPr>
                      <w:p>
                        <w:pPr>
                          <w:pStyle w:val="TableParagraph"/>
                          <w:spacing w:before="28"/>
                          <w:ind w:right="95"/>
                          <w:jc w:val="right"/>
                          <w:rPr>
                            <w:sz w:val="21"/>
                          </w:rPr>
                        </w:pPr>
                        <w:r>
                          <w:rPr>
                            <w:sz w:val="21"/>
                          </w:rPr>
                          <w:t>1.100</w:t>
                        </w:r>
                      </w:p>
                    </w:tc>
                  </w:tr>
                  <w:tr>
                    <w:trPr>
                      <w:trHeight w:val="311" w:hRule="atLeast"/>
                    </w:trPr>
                    <w:tc>
                      <w:tcPr>
                        <w:tcW w:w="4237" w:type="dxa"/>
                      </w:tcPr>
                      <w:p>
                        <w:pPr>
                          <w:pStyle w:val="TableParagraph"/>
                          <w:ind w:left="105"/>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17" w:type="dxa"/>
                      </w:tcPr>
                      <w:p>
                        <w:pPr>
                          <w:pStyle w:val="TableParagraph"/>
                          <w:spacing w:before="28"/>
                          <w:ind w:right="94"/>
                          <w:jc w:val="right"/>
                          <w:rPr>
                            <w:sz w:val="21"/>
                          </w:rPr>
                        </w:pPr>
                        <w:r>
                          <w:rPr>
                            <w:sz w:val="21"/>
                          </w:rPr>
                          <w:t>1.8%</w:t>
                        </w:r>
                      </w:p>
                    </w:tc>
                  </w:tr>
                  <w:tr>
                    <w:trPr>
                      <w:trHeight w:val="311" w:hRule="atLeast"/>
                    </w:trPr>
                    <w:tc>
                      <w:tcPr>
                        <w:tcW w:w="4237" w:type="dxa"/>
                      </w:tcPr>
                      <w:p>
                        <w:pPr>
                          <w:pStyle w:val="TableParagraph"/>
                          <w:ind w:left="105"/>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1"/>
                            <w:w w:val="100"/>
                            <w:sz w:val="21"/>
                          </w:rPr>
                          <w:t>（</w:t>
                        </w:r>
                        <w:r>
                          <w:rPr>
                            <w:spacing w:val="-2"/>
                            <w:w w:val="100"/>
                            <w:sz w:val="21"/>
                          </w:rPr>
                          <w:t>H</w:t>
                        </w:r>
                        <w:r>
                          <w:rPr>
                            <w:w w:val="100"/>
                            <w:sz w:val="21"/>
                          </w:rPr>
                          <w:t>=</w:t>
                        </w:r>
                        <w:r>
                          <w:rPr>
                            <w:spacing w:val="-2"/>
                            <w:w w:val="100"/>
                            <w:sz w:val="21"/>
                          </w:rPr>
                          <w:t>A</w:t>
                        </w:r>
                        <w:r>
                          <w:rPr>
                            <w:w w:val="100"/>
                            <w:sz w:val="21"/>
                          </w:rPr>
                          <w:t>×</w:t>
                        </w:r>
                        <w:r>
                          <w:rPr>
                            <w:spacing w:val="-1"/>
                            <w:w w:val="100"/>
                            <w:sz w:val="21"/>
                          </w:rPr>
                          <w:t>F</w:t>
                        </w:r>
                        <w:r>
                          <w:rPr>
                            <w:spacing w:val="-2"/>
                            <w:w w:val="100"/>
                            <w:sz w:val="21"/>
                          </w:rPr>
                          <w:t>×</w:t>
                        </w:r>
                        <w:r>
                          <w:rPr>
                            <w:w w:val="100"/>
                            <w:sz w:val="21"/>
                          </w:rPr>
                          <w:t>G/</w:t>
                        </w:r>
                        <w:r>
                          <w:rPr>
                            <w:rFonts w:ascii="宋体" w:hAnsi="宋体" w:eastAsia="宋体" w:hint="eastAsia"/>
                            <w:spacing w:val="-3"/>
                            <w:w w:val="100"/>
                            <w:sz w:val="21"/>
                          </w:rPr>
                          <w:t>（</w:t>
                        </w:r>
                        <w:r>
                          <w:rPr>
                            <w:spacing w:val="-2"/>
                            <w:w w:val="100"/>
                            <w:sz w:val="21"/>
                          </w:rPr>
                          <w:t>1</w:t>
                        </w:r>
                        <w:r>
                          <w:rPr>
                            <w:w w:val="100"/>
                            <w:sz w:val="21"/>
                          </w:rPr>
                          <w:t>+</w:t>
                        </w:r>
                        <w:r>
                          <w:rPr>
                            <w:spacing w:val="1"/>
                            <w:w w:val="100"/>
                            <w:sz w:val="21"/>
                          </w:rPr>
                          <w:t>G</w:t>
                        </w:r>
                        <w:r>
                          <w:rPr>
                            <w:rFonts w:ascii="宋体" w:hAnsi="宋体" w:eastAsia="宋体" w:hint="eastAsia"/>
                            <w:spacing w:val="-108"/>
                            <w:w w:val="100"/>
                            <w:sz w:val="21"/>
                          </w:rPr>
                          <w:t>））</w:t>
                        </w:r>
                      </w:p>
                    </w:tc>
                    <w:tc>
                      <w:tcPr>
                        <w:tcW w:w="3217" w:type="dxa"/>
                      </w:tcPr>
                      <w:p>
                        <w:pPr>
                          <w:pStyle w:val="TableParagraph"/>
                          <w:spacing w:before="28"/>
                          <w:ind w:right="97"/>
                          <w:jc w:val="right"/>
                          <w:rPr>
                            <w:sz w:val="21"/>
                          </w:rPr>
                        </w:pPr>
                        <w:r>
                          <w:rPr>
                            <w:sz w:val="21"/>
                          </w:rPr>
                          <w:t>194,499.02</w:t>
                        </w:r>
                      </w:p>
                    </w:tc>
                  </w:tr>
                  <w:tr>
                    <w:trPr>
                      <w:trHeight w:val="311" w:hRule="atLeast"/>
                    </w:trPr>
                    <w:tc>
                      <w:tcPr>
                        <w:tcW w:w="4237" w:type="dxa"/>
                      </w:tcPr>
                      <w:p>
                        <w:pPr>
                          <w:pStyle w:val="TableParagraph"/>
                          <w:ind w:left="105"/>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17" w:type="dxa"/>
                      </w:tcPr>
                      <w:p>
                        <w:pPr>
                          <w:pStyle w:val="TableParagraph"/>
                          <w:spacing w:before="28"/>
                          <w:ind w:right="97"/>
                          <w:jc w:val="right"/>
                          <w:rPr>
                            <w:sz w:val="21"/>
                          </w:rPr>
                        </w:pPr>
                        <w:r>
                          <w:rPr>
                            <w:sz w:val="21"/>
                          </w:rPr>
                          <w:t>254,499.02</w:t>
                        </w:r>
                      </w:p>
                    </w:tc>
                  </w:tr>
                  <w:tr>
                    <w:trPr>
                      <w:trHeight w:val="311" w:hRule="atLeast"/>
                    </w:trPr>
                    <w:tc>
                      <w:tcPr>
                        <w:tcW w:w="4237" w:type="dxa"/>
                      </w:tcPr>
                      <w:p>
                        <w:pPr>
                          <w:pStyle w:val="TableParagraph"/>
                          <w:ind w:left="105"/>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17" w:type="dxa"/>
                      </w:tcPr>
                      <w:p>
                        <w:pPr>
                          <w:pStyle w:val="TableParagraph"/>
                          <w:spacing w:before="28"/>
                          <w:ind w:right="96"/>
                          <w:jc w:val="right"/>
                          <w:rPr>
                            <w:sz w:val="21"/>
                          </w:rPr>
                        </w:pPr>
                        <w:r>
                          <w:rPr>
                            <w:sz w:val="21"/>
                          </w:rPr>
                          <w:t>11,745,500.98</w:t>
                        </w:r>
                      </w:p>
                    </w:tc>
                  </w:tr>
                  <w:tr>
                    <w:trPr>
                      <w:trHeight w:val="313" w:hRule="atLeast"/>
                    </w:trPr>
                    <w:tc>
                      <w:tcPr>
                        <w:tcW w:w="4237" w:type="dxa"/>
                      </w:tcPr>
                      <w:p>
                        <w:pPr>
                          <w:pStyle w:val="TableParagraph"/>
                          <w:spacing w:before="25"/>
                          <w:ind w:left="105"/>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17" w:type="dxa"/>
                      </w:tcPr>
                      <w:p>
                        <w:pPr>
                          <w:pStyle w:val="TableParagraph"/>
                          <w:spacing w:before="30"/>
                          <w:ind w:right="95"/>
                          <w:jc w:val="right"/>
                          <w:rPr>
                            <w:sz w:val="21"/>
                          </w:rPr>
                        </w:pPr>
                        <w:r>
                          <w:rPr>
                            <w:sz w:val="21"/>
                          </w:rPr>
                          <w:t>0.00</w:t>
                        </w:r>
                      </w:p>
                    </w:tc>
                  </w:tr>
                  <w:tr>
                    <w:trPr>
                      <w:trHeight w:val="311" w:hRule="atLeast"/>
                    </w:trPr>
                    <w:tc>
                      <w:tcPr>
                        <w:tcW w:w="4237" w:type="dxa"/>
                      </w:tcPr>
                      <w:p>
                        <w:pPr>
                          <w:pStyle w:val="TableParagraph"/>
                          <w:ind w:left="105"/>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17" w:type="dxa"/>
                      </w:tcPr>
                      <w:p>
                        <w:pPr>
                          <w:pStyle w:val="TableParagraph"/>
                          <w:spacing w:before="28"/>
                          <w:ind w:right="96"/>
                          <w:jc w:val="right"/>
                          <w:rPr>
                            <w:sz w:val="21"/>
                          </w:rPr>
                        </w:pPr>
                        <w:r>
                          <w:rPr>
                            <w:sz w:val="21"/>
                          </w:rPr>
                          <w:t>11,745,500.98</w:t>
                        </w:r>
                      </w:p>
                    </w:tc>
                  </w:tr>
                  <w:tr>
                    <w:trPr>
                      <w:trHeight w:val="312" w:hRule="atLeast"/>
                    </w:trPr>
                    <w:tc>
                      <w:tcPr>
                        <w:tcW w:w="4237" w:type="dxa"/>
                      </w:tcPr>
                      <w:p>
                        <w:pPr>
                          <w:pStyle w:val="TableParagraph"/>
                          <w:spacing w:before="23"/>
                          <w:ind w:left="105"/>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17" w:type="dxa"/>
                      </w:tcPr>
                      <w:p>
                        <w:pPr>
                          <w:pStyle w:val="TableParagraph"/>
                          <w:spacing w:before="28"/>
                          <w:ind w:right="95"/>
                          <w:jc w:val="right"/>
                          <w:rPr>
                            <w:sz w:val="21"/>
                          </w:rPr>
                        </w:pPr>
                        <w:r>
                          <w:rPr>
                            <w:sz w:val="21"/>
                          </w:rPr>
                          <w:t>1.300</w:t>
                        </w:r>
                      </w:p>
                    </w:tc>
                  </w:tr>
                  <w:tr>
                    <w:trPr>
                      <w:trHeight w:val="311" w:hRule="atLeast"/>
                    </w:trPr>
                    <w:tc>
                      <w:tcPr>
                        <w:tcW w:w="4237" w:type="dxa"/>
                      </w:tcPr>
                      <w:p>
                        <w:pPr>
                          <w:pStyle w:val="TableParagraph"/>
                          <w:ind w:left="105"/>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17" w:type="dxa"/>
                      </w:tcPr>
                      <w:p>
                        <w:pPr>
                          <w:pStyle w:val="TableParagraph"/>
                          <w:spacing w:before="28"/>
                          <w:ind w:right="96"/>
                          <w:jc w:val="right"/>
                          <w:rPr>
                            <w:sz w:val="21"/>
                          </w:rPr>
                        </w:pPr>
                        <w:r>
                          <w:rPr>
                            <w:sz w:val="21"/>
                          </w:rPr>
                          <w:t>9,035,000.75</w:t>
                        </w:r>
                      </w:p>
                    </w:tc>
                  </w:tr>
                </w:tbl>
                <w:p>
                  <w:pPr>
                    <w:pStyle w:val="BodyText"/>
                  </w:pPr>
                </w:p>
              </w:txbxContent>
            </v:textbox>
            <w10:wrap type="none"/>
          </v:shape>
        </w:pict>
      </w:r>
      <w:r>
        <w:rPr>
          <w:w w:val="100"/>
          <w:sz w:val="21"/>
        </w:rPr>
        <w:t>若</w:t>
      </w:r>
      <w:r>
        <w:rPr>
          <w:spacing w:val="-55"/>
          <w:sz w:val="21"/>
        </w:rPr>
        <w:t> </w:t>
      </w:r>
      <w:r>
        <w:rPr>
          <w:rFonts w:ascii="Calibri" w:eastAsia="Calibri"/>
          <w:w w:val="100"/>
          <w:sz w:val="21"/>
        </w:rPr>
        <w:t>T</w:t>
      </w:r>
      <w:r>
        <w:rPr>
          <w:rFonts w:ascii="Calibri" w:eastAsia="Calibri"/>
          <w:spacing w:val="5"/>
          <w:sz w:val="21"/>
        </w:rPr>
        <w:t> </w:t>
      </w:r>
      <w:r>
        <w:rPr>
          <w:spacing w:val="-5"/>
          <w:w w:val="100"/>
          <w:sz w:val="21"/>
        </w:rPr>
        <w:t>日转入丙基金</w:t>
      </w:r>
      <w:r>
        <w:rPr>
          <w:spacing w:val="-3"/>
          <w:w w:val="100"/>
          <w:sz w:val="21"/>
        </w:rPr>
        <w:t>（</w:t>
      </w:r>
      <w:r>
        <w:rPr>
          <w:spacing w:val="-2"/>
          <w:w w:val="100"/>
          <w:sz w:val="21"/>
        </w:rPr>
        <w:t>前端收费模式</w:t>
      </w:r>
      <w:r>
        <w:rPr>
          <w:spacing w:val="-106"/>
          <w:w w:val="100"/>
          <w:sz w:val="21"/>
        </w:rPr>
        <w:t>）</w:t>
      </w:r>
      <w:r>
        <w:rPr>
          <w:spacing w:val="-5"/>
          <w:w w:val="100"/>
          <w:sz w:val="21"/>
        </w:rPr>
        <w:t>，且丙基金适用的申购费用为</w:t>
      </w:r>
      <w:r>
        <w:rPr>
          <w:spacing w:val="-55"/>
          <w:sz w:val="21"/>
        </w:rPr>
        <w:t> </w:t>
      </w:r>
      <w:r>
        <w:rPr>
          <w:rFonts w:ascii="Calibri" w:eastAsia="Calibri"/>
          <w:w w:val="100"/>
          <w:sz w:val="21"/>
        </w:rPr>
        <w:t>1</w:t>
      </w:r>
      <w:r>
        <w:rPr>
          <w:rFonts w:ascii="Calibri" w:eastAsia="Calibri"/>
          <w:spacing w:val="-3"/>
          <w:w w:val="100"/>
          <w:sz w:val="21"/>
        </w:rPr>
        <w:t>,</w:t>
      </w:r>
      <w:r>
        <w:rPr>
          <w:rFonts w:ascii="Calibri" w:eastAsia="Calibri"/>
          <w:w w:val="100"/>
          <w:sz w:val="21"/>
        </w:rPr>
        <w:t>0</w:t>
      </w:r>
      <w:r>
        <w:rPr>
          <w:rFonts w:ascii="Calibri" w:eastAsia="Calibri"/>
          <w:spacing w:val="-2"/>
          <w:w w:val="100"/>
          <w:sz w:val="21"/>
        </w:rPr>
        <w:t>0</w:t>
      </w:r>
      <w:r>
        <w:rPr>
          <w:rFonts w:ascii="Calibri" w:eastAsia="Calibri"/>
          <w:w w:val="100"/>
          <w:sz w:val="21"/>
        </w:rPr>
        <w:t>0</w:t>
      </w:r>
      <w:r>
        <w:rPr>
          <w:rFonts w:ascii="Calibri" w:eastAsia="Calibri"/>
          <w:spacing w:val="4"/>
          <w:sz w:val="21"/>
        </w:rPr>
        <w:t> </w:t>
      </w:r>
      <w:r>
        <w:rPr>
          <w:spacing w:val="-5"/>
          <w:w w:val="100"/>
          <w:sz w:val="21"/>
        </w:rPr>
        <w:t>元，丙基</w:t>
      </w:r>
      <w:r>
        <w:rPr>
          <w:spacing w:val="-8"/>
          <w:sz w:val="21"/>
        </w:rPr>
        <w:t>金前端申购费率最高档为 </w:t>
      </w:r>
      <w:r>
        <w:rPr>
          <w:rFonts w:ascii="Calibri" w:eastAsia="Calibri"/>
          <w:spacing w:val="-8"/>
          <w:sz w:val="21"/>
        </w:rPr>
        <w:t>1.2%</w:t>
      </w:r>
      <w:r>
        <w:rPr>
          <w:spacing w:val="-6"/>
          <w:sz w:val="21"/>
        </w:rPr>
        <w:t>，该日丙基金基金份额净值为 </w:t>
      </w:r>
      <w:r>
        <w:rPr>
          <w:rFonts w:ascii="Calibri" w:eastAsia="Calibri"/>
          <w:sz w:val="21"/>
        </w:rPr>
        <w:t>1.300</w:t>
      </w:r>
      <w:r>
        <w:rPr>
          <w:rFonts w:ascii="Calibri" w:eastAsia="Calibri"/>
          <w:spacing w:val="19"/>
          <w:sz w:val="21"/>
        </w:rPr>
        <w:t> </w:t>
      </w:r>
      <w:r>
        <w:rPr>
          <w:spacing w:val="-10"/>
          <w:sz w:val="21"/>
        </w:rPr>
        <w:t>元。则转出基金费用、转</w:t>
      </w:r>
      <w:r>
        <w:rPr>
          <w:spacing w:val="-5"/>
          <w:sz w:val="21"/>
        </w:rPr>
        <w:t>入基金费用及份额计算如下：</w:t>
      </w:r>
    </w:p>
    <w:p>
      <w:pPr>
        <w:spacing w:after="0" w:line="417" w:lineRule="auto"/>
        <w:jc w:val="both"/>
        <w:rPr>
          <w:sz w:val="21"/>
        </w:rPr>
        <w:sectPr>
          <w:pgSz w:w="11910" w:h="16840"/>
          <w:pgMar w:header="877" w:footer="995" w:top="1420" w:bottom="1180" w:left="1640" w:right="920"/>
        </w:sectPr>
      </w:pPr>
    </w:p>
    <w:p>
      <w:pPr>
        <w:pStyle w:val="BodyText"/>
        <w:spacing w:before="110"/>
        <w:ind w:left="580"/>
        <w:jc w:val="both"/>
        <w:rPr>
          <w:rFonts w:ascii="Calibri" w:eastAsia="Calibri"/>
        </w:rPr>
      </w:pPr>
      <w:r>
        <w:rPr/>
        <w:t>例十一：假定投资者在 </w:t>
      </w:r>
      <w:r>
        <w:rPr>
          <w:rFonts w:ascii="Calibri" w:eastAsia="Calibri"/>
        </w:rPr>
        <w:t>2010 </w:t>
      </w:r>
      <w:r>
        <w:rPr/>
        <w:t>年 </w:t>
      </w:r>
      <w:r>
        <w:rPr>
          <w:rFonts w:ascii="Calibri" w:eastAsia="Calibri"/>
        </w:rPr>
        <w:t>3 </w:t>
      </w:r>
      <w:r>
        <w:rPr/>
        <w:t>月 </w:t>
      </w:r>
      <w:r>
        <w:rPr>
          <w:rFonts w:ascii="Calibri" w:eastAsia="Calibri"/>
        </w:rPr>
        <w:t>15 </w:t>
      </w:r>
      <w:r>
        <w:rPr/>
        <w:t>日成功提交了基金转换申请，转出持有期为 </w:t>
      </w:r>
      <w:r>
        <w:rPr>
          <w:rFonts w:ascii="Calibri" w:eastAsia="Calibri"/>
        </w:rPr>
        <w:t>3</w:t>
      </w:r>
    </w:p>
    <w:p>
      <w:pPr>
        <w:pStyle w:val="BodyText"/>
        <w:spacing w:before="3"/>
        <w:rPr>
          <w:rFonts w:ascii="Calibri"/>
          <w:sz w:val="16"/>
        </w:rPr>
      </w:pPr>
    </w:p>
    <w:p>
      <w:pPr>
        <w:pStyle w:val="BodyText"/>
        <w:spacing w:line="417" w:lineRule="auto"/>
        <w:ind w:left="160" w:right="873"/>
        <w:jc w:val="both"/>
      </w:pPr>
      <w:r>
        <w:rPr/>
        <w:pict>
          <v:shape style="position:absolute;margin-left:111.139999pt;margin-top:88.620018pt;width:373.4pt;height:246.8pt;mso-position-horizontal-relative:page;mso-position-vertical-relative:paragraph;z-index:25169100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405" w:hRule="atLeast"/>
                    </w:trPr>
                    <w:tc>
                      <w:tcPr>
                        <w:tcW w:w="4237" w:type="dxa"/>
                      </w:tcPr>
                      <w:p>
                        <w:pPr>
                          <w:pStyle w:val="TableParagraph"/>
                          <w:spacing w:before="68"/>
                          <w:ind w:left="1887" w:right="1458"/>
                          <w:jc w:val="center"/>
                          <w:rPr>
                            <w:rFonts w:ascii="宋体" w:eastAsia="宋体" w:hint="eastAsia"/>
                            <w:sz w:val="21"/>
                          </w:rPr>
                        </w:pPr>
                        <w:r>
                          <w:rPr>
                            <w:rFonts w:ascii="宋体" w:eastAsia="宋体" w:hint="eastAsia"/>
                            <w:sz w:val="21"/>
                          </w:rPr>
                          <w:t>项目</w:t>
                        </w:r>
                      </w:p>
                    </w:tc>
                    <w:tc>
                      <w:tcPr>
                        <w:tcW w:w="3217" w:type="dxa"/>
                      </w:tcPr>
                      <w:p>
                        <w:pPr>
                          <w:pStyle w:val="TableParagraph"/>
                          <w:spacing w:before="68"/>
                          <w:ind w:left="1396"/>
                          <w:rPr>
                            <w:rFonts w:ascii="宋体" w:eastAsia="宋体" w:hint="eastAsia"/>
                            <w:sz w:val="21"/>
                          </w:rPr>
                        </w:pPr>
                        <w:r>
                          <w:rPr>
                            <w:rFonts w:ascii="宋体" w:eastAsia="宋体" w:hint="eastAsia"/>
                            <w:sz w:val="21"/>
                          </w:rPr>
                          <w:t>费用计算</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spacing w:before="28"/>
                          <w:ind w:right="96"/>
                          <w:jc w:val="right"/>
                          <w:rPr>
                            <w:sz w:val="21"/>
                          </w:rPr>
                        </w:pPr>
                        <w:r>
                          <w:rPr>
                            <w:sz w:val="21"/>
                          </w:rPr>
                          <w:t>1,000.00</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spacing w:before="28"/>
                          <w:ind w:right="95"/>
                          <w:jc w:val="right"/>
                          <w:rPr>
                            <w:sz w:val="21"/>
                          </w:rPr>
                        </w:pPr>
                        <w:r>
                          <w:rPr>
                            <w:sz w:val="21"/>
                          </w:rPr>
                          <w:t>1.300</w:t>
                        </w:r>
                      </w:p>
                    </w:tc>
                  </w:tr>
                  <w:tr>
                    <w:trPr>
                      <w:trHeight w:val="314" w:hRule="atLeast"/>
                    </w:trPr>
                    <w:tc>
                      <w:tcPr>
                        <w:tcW w:w="4237" w:type="dxa"/>
                      </w:tcPr>
                      <w:p>
                        <w:pPr>
                          <w:pStyle w:val="TableParagraph"/>
                          <w:spacing w:before="25"/>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spacing w:before="31"/>
                          <w:ind w:right="96"/>
                          <w:jc w:val="right"/>
                          <w:rPr>
                            <w:sz w:val="21"/>
                          </w:rPr>
                        </w:pPr>
                        <w:r>
                          <w:rPr>
                            <w:sz w:val="21"/>
                          </w:rPr>
                          <w:t>1,300.00</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spacing w:before="28"/>
                          <w:ind w:right="94"/>
                          <w:jc w:val="right"/>
                          <w:rPr>
                            <w:sz w:val="21"/>
                          </w:rPr>
                        </w:pPr>
                        <w:r>
                          <w:rPr>
                            <w:sz w:val="21"/>
                          </w:rPr>
                          <w:t>0.5%</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17" w:type="dxa"/>
                      </w:tcPr>
                      <w:p>
                        <w:pPr>
                          <w:pStyle w:val="TableParagraph"/>
                          <w:spacing w:before="28"/>
                          <w:ind w:right="95"/>
                          <w:jc w:val="right"/>
                          <w:rPr>
                            <w:sz w:val="21"/>
                          </w:rPr>
                        </w:pPr>
                        <w:r>
                          <w:rPr>
                            <w:sz w:val="21"/>
                          </w:rPr>
                          <w:t>6.50</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17" w:type="dxa"/>
                      </w:tcPr>
                      <w:p>
                        <w:pPr>
                          <w:pStyle w:val="TableParagraph"/>
                          <w:spacing w:before="28"/>
                          <w:ind w:right="95"/>
                          <w:jc w:val="right"/>
                          <w:rPr>
                            <w:sz w:val="21"/>
                          </w:rPr>
                        </w:pPr>
                        <w:r>
                          <w:rPr>
                            <w:sz w:val="21"/>
                          </w:rPr>
                          <w:t>1.100</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17" w:type="dxa"/>
                      </w:tcPr>
                      <w:p>
                        <w:pPr>
                          <w:pStyle w:val="TableParagraph"/>
                          <w:spacing w:before="28"/>
                          <w:ind w:right="94"/>
                          <w:jc w:val="right"/>
                          <w:rPr>
                            <w:sz w:val="21"/>
                          </w:rPr>
                        </w:pPr>
                        <w:r>
                          <w:rPr>
                            <w:sz w:val="21"/>
                          </w:rPr>
                          <w:t>1.0%</w:t>
                        </w:r>
                      </w:p>
                    </w:tc>
                  </w:tr>
                  <w:tr>
                    <w:trPr>
                      <w:trHeight w:val="311" w:hRule="atLeast"/>
                    </w:trPr>
                    <w:tc>
                      <w:tcPr>
                        <w:tcW w:w="4237" w:type="dxa"/>
                      </w:tcPr>
                      <w:p>
                        <w:pPr>
                          <w:pStyle w:val="TableParagraph"/>
                          <w:ind w:left="107"/>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1"/>
                            <w:w w:val="100"/>
                            <w:sz w:val="21"/>
                          </w:rPr>
                          <w:t>（</w:t>
                        </w:r>
                        <w:r>
                          <w:rPr>
                            <w:spacing w:val="-2"/>
                            <w:w w:val="100"/>
                            <w:sz w:val="21"/>
                          </w:rPr>
                          <w:t>H</w:t>
                        </w:r>
                        <w:r>
                          <w:rPr>
                            <w:w w:val="100"/>
                            <w:sz w:val="21"/>
                          </w:rPr>
                          <w:t>=</w:t>
                        </w:r>
                        <w:r>
                          <w:rPr>
                            <w:spacing w:val="-2"/>
                            <w:w w:val="100"/>
                            <w:sz w:val="21"/>
                          </w:rPr>
                          <w:t>A</w:t>
                        </w:r>
                        <w:r>
                          <w:rPr>
                            <w:rFonts w:ascii="宋体" w:hAnsi="宋体" w:eastAsia="宋体" w:hint="eastAsia"/>
                            <w:w w:val="100"/>
                            <w:sz w:val="21"/>
                          </w:rPr>
                          <w:t>×</w:t>
                        </w:r>
                        <w:r>
                          <w:rPr>
                            <w:spacing w:val="-2"/>
                            <w:w w:val="100"/>
                            <w:sz w:val="21"/>
                          </w:rPr>
                          <w:t>F</w:t>
                        </w:r>
                        <w:r>
                          <w:rPr>
                            <w:rFonts w:ascii="宋体" w:hAnsi="宋体" w:eastAsia="宋体" w:hint="eastAsia"/>
                            <w:spacing w:val="-3"/>
                            <w:w w:val="100"/>
                            <w:sz w:val="21"/>
                          </w:rPr>
                          <w:t>×</w:t>
                        </w:r>
                        <w:r>
                          <w:rPr>
                            <w:spacing w:val="1"/>
                            <w:w w:val="100"/>
                            <w:sz w:val="21"/>
                          </w:rPr>
                          <w:t>G</w:t>
                        </w:r>
                        <w:r>
                          <w:rPr>
                            <w:spacing w:val="-3"/>
                            <w:w w:val="100"/>
                            <w:sz w:val="21"/>
                          </w:rPr>
                          <w:t>/</w:t>
                        </w:r>
                        <w:r>
                          <w:rPr>
                            <w:rFonts w:ascii="宋体" w:hAnsi="宋体" w:eastAsia="宋体" w:hint="eastAsia"/>
                            <w:w w:val="100"/>
                            <w:sz w:val="21"/>
                          </w:rPr>
                          <w:t>（</w:t>
                        </w:r>
                        <w:r>
                          <w:rPr>
                            <w:spacing w:val="-2"/>
                            <w:w w:val="100"/>
                            <w:sz w:val="21"/>
                          </w:rPr>
                          <w:t>1</w:t>
                        </w:r>
                        <w:r>
                          <w:rPr>
                            <w:w w:val="100"/>
                            <w:sz w:val="21"/>
                          </w:rPr>
                          <w:t>+</w:t>
                        </w:r>
                        <w:r>
                          <w:rPr>
                            <w:spacing w:val="-1"/>
                            <w:w w:val="100"/>
                            <w:sz w:val="21"/>
                          </w:rPr>
                          <w:t>G</w:t>
                        </w:r>
                        <w:r>
                          <w:rPr>
                            <w:rFonts w:ascii="宋体" w:hAnsi="宋体" w:eastAsia="宋体" w:hint="eastAsia"/>
                            <w:spacing w:val="-106"/>
                            <w:w w:val="100"/>
                            <w:sz w:val="21"/>
                          </w:rPr>
                          <w:t>））</w:t>
                        </w:r>
                      </w:p>
                    </w:tc>
                    <w:tc>
                      <w:tcPr>
                        <w:tcW w:w="3217" w:type="dxa"/>
                      </w:tcPr>
                      <w:p>
                        <w:pPr>
                          <w:pStyle w:val="TableParagraph"/>
                          <w:spacing w:before="28"/>
                          <w:ind w:right="95"/>
                          <w:jc w:val="right"/>
                          <w:rPr>
                            <w:sz w:val="21"/>
                          </w:rPr>
                        </w:pPr>
                        <w:r>
                          <w:rPr>
                            <w:sz w:val="21"/>
                          </w:rPr>
                          <w:t>10.89</w:t>
                        </w:r>
                      </w:p>
                    </w:tc>
                  </w:tr>
                  <w:tr>
                    <w:trPr>
                      <w:trHeight w:val="313" w:hRule="atLeast"/>
                    </w:trPr>
                    <w:tc>
                      <w:tcPr>
                        <w:tcW w:w="4237" w:type="dxa"/>
                      </w:tcPr>
                      <w:p>
                        <w:pPr>
                          <w:pStyle w:val="TableParagraph"/>
                          <w:spacing w:before="25"/>
                          <w:ind w:left="107"/>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17" w:type="dxa"/>
                      </w:tcPr>
                      <w:p>
                        <w:pPr>
                          <w:pStyle w:val="TableParagraph"/>
                          <w:spacing w:before="30"/>
                          <w:ind w:right="95"/>
                          <w:jc w:val="right"/>
                          <w:rPr>
                            <w:sz w:val="21"/>
                          </w:rPr>
                        </w:pPr>
                        <w:r>
                          <w:rPr>
                            <w:sz w:val="21"/>
                          </w:rPr>
                          <w:t>17.39</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17" w:type="dxa"/>
                      </w:tcPr>
                      <w:p>
                        <w:pPr>
                          <w:pStyle w:val="TableParagraph"/>
                          <w:spacing w:before="28"/>
                          <w:ind w:right="96"/>
                          <w:jc w:val="right"/>
                          <w:rPr>
                            <w:sz w:val="21"/>
                          </w:rPr>
                        </w:pPr>
                        <w:r>
                          <w:rPr>
                            <w:sz w:val="21"/>
                          </w:rPr>
                          <w:t>1,282.61</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17" w:type="dxa"/>
                      </w:tcPr>
                      <w:p>
                        <w:pPr>
                          <w:pStyle w:val="TableParagraph"/>
                          <w:spacing w:before="28"/>
                          <w:ind w:right="95"/>
                          <w:jc w:val="right"/>
                          <w:rPr>
                            <w:sz w:val="21"/>
                          </w:rPr>
                        </w:pPr>
                        <w:r>
                          <w:rPr>
                            <w:sz w:val="21"/>
                          </w:rPr>
                          <w:t>0.00</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17" w:type="dxa"/>
                      </w:tcPr>
                      <w:p>
                        <w:pPr>
                          <w:pStyle w:val="TableParagraph"/>
                          <w:spacing w:before="28"/>
                          <w:ind w:right="96"/>
                          <w:jc w:val="right"/>
                          <w:rPr>
                            <w:sz w:val="21"/>
                          </w:rPr>
                        </w:pPr>
                        <w:r>
                          <w:rPr>
                            <w:sz w:val="21"/>
                          </w:rPr>
                          <w:t>1,282.61</w:t>
                        </w:r>
                      </w:p>
                    </w:tc>
                  </w:tr>
                  <w:tr>
                    <w:trPr>
                      <w:trHeight w:val="312" w:hRule="atLeast"/>
                    </w:trPr>
                    <w:tc>
                      <w:tcPr>
                        <w:tcW w:w="4237" w:type="dxa"/>
                      </w:tcPr>
                      <w:p>
                        <w:pPr>
                          <w:pStyle w:val="TableParagraph"/>
                          <w:spacing w:before="23"/>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17" w:type="dxa"/>
                      </w:tcPr>
                      <w:p>
                        <w:pPr>
                          <w:pStyle w:val="TableParagraph"/>
                          <w:spacing w:before="28"/>
                          <w:ind w:right="95"/>
                          <w:jc w:val="right"/>
                          <w:rPr>
                            <w:sz w:val="21"/>
                          </w:rPr>
                        </w:pPr>
                        <w:r>
                          <w:rPr>
                            <w:sz w:val="21"/>
                          </w:rPr>
                          <w:t>1.500</w:t>
                        </w:r>
                      </w:p>
                    </w:tc>
                  </w:tr>
                  <w:tr>
                    <w:trPr>
                      <w:trHeight w:val="314" w:hRule="atLeast"/>
                    </w:trPr>
                    <w:tc>
                      <w:tcPr>
                        <w:tcW w:w="4237" w:type="dxa"/>
                      </w:tcPr>
                      <w:p>
                        <w:pPr>
                          <w:pStyle w:val="TableParagraph"/>
                          <w:ind w:left="107"/>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17" w:type="dxa"/>
                      </w:tcPr>
                      <w:p>
                        <w:pPr>
                          <w:pStyle w:val="TableParagraph"/>
                          <w:spacing w:before="28"/>
                          <w:ind w:right="95"/>
                          <w:jc w:val="right"/>
                          <w:rPr>
                            <w:sz w:val="21"/>
                          </w:rPr>
                        </w:pPr>
                        <w:r>
                          <w:rPr>
                            <w:sz w:val="21"/>
                          </w:rPr>
                          <w:t>855.07</w:t>
                        </w:r>
                      </w:p>
                    </w:tc>
                  </w:tr>
                </w:tbl>
                <w:p>
                  <w:pPr>
                    <w:pStyle w:val="BodyText"/>
                  </w:pPr>
                </w:p>
              </w:txbxContent>
            </v:textbox>
            <w10:wrap type="none"/>
          </v:shape>
        </w:pict>
      </w:r>
      <w:r>
        <w:rPr>
          <w:spacing w:val="2"/>
        </w:rPr>
        <w:t>年的后端收费基金甲 </w:t>
      </w:r>
      <w:r>
        <w:rPr>
          <w:rFonts w:ascii="Calibri" w:eastAsia="Calibri"/>
        </w:rPr>
        <w:t>1,000 </w:t>
      </w:r>
      <w:r>
        <w:rPr/>
        <w:t>份，转入后端收费基金乙，转出时适用甲基金后端申购费率为</w:t>
      </w:r>
      <w:r>
        <w:rPr>
          <w:rFonts w:ascii="Calibri" w:eastAsia="Calibri"/>
          <w:spacing w:val="-4"/>
        </w:rPr>
        <w:t>1.0%</w:t>
      </w:r>
      <w:r>
        <w:rPr>
          <w:spacing w:val="-9"/>
        </w:rPr>
        <w:t>，该日甲、乙基金基金份额净值分别为 </w:t>
      </w:r>
      <w:r>
        <w:rPr>
          <w:rFonts w:ascii="Calibri" w:eastAsia="Calibri"/>
        </w:rPr>
        <w:t>1.300</w:t>
      </w:r>
      <w:r>
        <w:rPr>
          <w:spacing w:val="-17"/>
        </w:rPr>
        <w:t>、</w:t>
      </w:r>
      <w:r>
        <w:rPr>
          <w:rFonts w:ascii="Calibri" w:eastAsia="Calibri"/>
        </w:rPr>
        <w:t>1.500 </w:t>
      </w:r>
      <w:r>
        <w:rPr>
          <w:spacing w:val="-10"/>
        </w:rPr>
        <w:t>元。</w:t>
      </w:r>
      <w:r>
        <w:rPr>
          <w:rFonts w:ascii="Calibri" w:eastAsia="Calibri"/>
        </w:rPr>
        <w:t>2010 </w:t>
      </w:r>
      <w:r>
        <w:rPr>
          <w:spacing w:val="-26"/>
        </w:rPr>
        <w:t>年 </w:t>
      </w:r>
      <w:r>
        <w:rPr>
          <w:rFonts w:ascii="Calibri" w:eastAsia="Calibri"/>
        </w:rPr>
        <w:t>3 </w:t>
      </w:r>
      <w:r>
        <w:rPr>
          <w:spacing w:val="-25"/>
        </w:rPr>
        <w:t>月 </w:t>
      </w:r>
      <w:r>
        <w:rPr>
          <w:rFonts w:ascii="Calibri" w:eastAsia="Calibri"/>
        </w:rPr>
        <w:t>16 </w:t>
      </w:r>
      <w:r>
        <w:rPr>
          <w:spacing w:val="-2"/>
        </w:rPr>
        <w:t>日这笔转换确</w:t>
      </w:r>
      <w:r>
        <w:rPr>
          <w:spacing w:val="-15"/>
        </w:rPr>
        <w:t>认成功。申购当日甲基金基金份额净值为 </w:t>
      </w:r>
      <w:r>
        <w:rPr>
          <w:rFonts w:ascii="Calibri" w:eastAsia="Calibri"/>
        </w:rPr>
        <w:t>1.100 </w:t>
      </w:r>
      <w:r>
        <w:rPr>
          <w:spacing w:val="-19"/>
        </w:rPr>
        <w:t>元，适用赎回费率为 </w:t>
      </w:r>
      <w:r>
        <w:rPr>
          <w:rFonts w:ascii="Calibri" w:eastAsia="Calibri"/>
        </w:rPr>
        <w:t>0.5%</w:t>
      </w:r>
      <w:r>
        <w:rPr>
          <w:spacing w:val="-16"/>
        </w:rPr>
        <w:t>。则转出基金费用、</w:t>
      </w:r>
      <w:r>
        <w:rPr>
          <w:spacing w:val="-7"/>
        </w:rPr>
        <w:t>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5"/>
        </w:rPr>
      </w:pPr>
    </w:p>
    <w:p>
      <w:pPr>
        <w:pStyle w:val="BodyText"/>
        <w:spacing w:line="417" w:lineRule="auto"/>
        <w:ind w:left="160" w:right="871" w:firstLine="419"/>
        <w:jc w:val="both"/>
      </w:pPr>
      <w:r>
        <w:rPr/>
        <w:pict>
          <v:shape style="position:absolute;margin-left:110.540001pt;margin-top:65.219986pt;width:374.6pt;height:150.050pt;mso-position-horizontal-relative:page;mso-position-vertical-relative:paragraph;z-index:25169203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9"/>
                    <w:gridCol w:w="3229"/>
                  </w:tblGrid>
                  <w:tr>
                    <w:trPr>
                      <w:trHeight w:val="405" w:hRule="atLeast"/>
                    </w:trPr>
                    <w:tc>
                      <w:tcPr>
                        <w:tcW w:w="4249" w:type="dxa"/>
                      </w:tcPr>
                      <w:p>
                        <w:pPr>
                          <w:pStyle w:val="TableParagraph"/>
                          <w:spacing w:before="68"/>
                          <w:ind w:left="2103" w:right="1676"/>
                          <w:jc w:val="center"/>
                          <w:rPr>
                            <w:rFonts w:ascii="宋体" w:eastAsia="宋体" w:hint="eastAsia"/>
                            <w:sz w:val="21"/>
                          </w:rPr>
                        </w:pPr>
                        <w:r>
                          <w:rPr>
                            <w:rFonts w:ascii="宋体" w:eastAsia="宋体" w:hint="eastAsia"/>
                            <w:sz w:val="21"/>
                          </w:rPr>
                          <w:t>项目</w:t>
                        </w:r>
                      </w:p>
                    </w:tc>
                    <w:tc>
                      <w:tcPr>
                        <w:tcW w:w="3229" w:type="dxa"/>
                      </w:tcPr>
                      <w:p>
                        <w:pPr>
                          <w:pStyle w:val="TableParagraph"/>
                          <w:spacing w:before="68"/>
                          <w:ind w:left="1403"/>
                          <w:rPr>
                            <w:rFonts w:ascii="宋体" w:eastAsia="宋体" w:hint="eastAsia"/>
                            <w:sz w:val="21"/>
                          </w:rPr>
                        </w:pPr>
                        <w:r>
                          <w:rPr>
                            <w:rFonts w:ascii="宋体" w:eastAsia="宋体" w:hint="eastAsia"/>
                            <w:sz w:val="21"/>
                          </w:rPr>
                          <w:t>费用计算</w:t>
                        </w:r>
                      </w:p>
                    </w:tc>
                  </w:tr>
                  <w:tr>
                    <w:trPr>
                      <w:trHeight w:val="311" w:hRule="atLeast"/>
                    </w:trPr>
                    <w:tc>
                      <w:tcPr>
                        <w:tcW w:w="4249" w:type="dxa"/>
                      </w:tcPr>
                      <w:p>
                        <w:pPr>
                          <w:pStyle w:val="TableParagraph"/>
                          <w:ind w:left="107"/>
                          <w:rPr>
                            <w:rFonts w:ascii="宋体" w:eastAsia="宋体" w:hint="eastAsia"/>
                            <w:sz w:val="21"/>
                          </w:rPr>
                        </w:pPr>
                        <w:r>
                          <w:rPr>
                            <w:rFonts w:ascii="宋体" w:eastAsia="宋体" w:hint="eastAsia"/>
                            <w:sz w:val="21"/>
                          </w:rPr>
                          <w:t>赎回份额（</w:t>
                        </w:r>
                        <w:r>
                          <w:rPr>
                            <w:sz w:val="21"/>
                          </w:rPr>
                          <w:t>O</w:t>
                        </w:r>
                        <w:r>
                          <w:rPr>
                            <w:rFonts w:ascii="宋体" w:eastAsia="宋体" w:hint="eastAsia"/>
                            <w:sz w:val="21"/>
                          </w:rPr>
                          <w:t>）</w:t>
                        </w:r>
                      </w:p>
                    </w:tc>
                    <w:tc>
                      <w:tcPr>
                        <w:tcW w:w="3229" w:type="dxa"/>
                      </w:tcPr>
                      <w:p>
                        <w:pPr>
                          <w:pStyle w:val="TableParagraph"/>
                          <w:spacing w:before="28"/>
                          <w:ind w:right="95"/>
                          <w:jc w:val="right"/>
                          <w:rPr>
                            <w:sz w:val="21"/>
                          </w:rPr>
                        </w:pPr>
                        <w:r>
                          <w:rPr>
                            <w:sz w:val="21"/>
                          </w:rPr>
                          <w:t>855.07</w:t>
                        </w:r>
                      </w:p>
                    </w:tc>
                  </w:tr>
                  <w:tr>
                    <w:trPr>
                      <w:trHeight w:val="311" w:hRule="atLeast"/>
                    </w:trPr>
                    <w:tc>
                      <w:tcPr>
                        <w:tcW w:w="4249" w:type="dxa"/>
                      </w:tcPr>
                      <w:p>
                        <w:pPr>
                          <w:pStyle w:val="TableParagraph"/>
                          <w:ind w:left="107"/>
                          <w:rPr>
                            <w:rFonts w:ascii="宋体" w:eastAsia="宋体" w:hint="eastAsia"/>
                            <w:sz w:val="21"/>
                          </w:rPr>
                        </w:pPr>
                        <w:r>
                          <w:rPr>
                            <w:rFonts w:ascii="宋体" w:eastAsia="宋体" w:hint="eastAsia"/>
                            <w:sz w:val="21"/>
                          </w:rPr>
                          <w:t>赎回日基金份额净值（</w:t>
                        </w:r>
                        <w:r>
                          <w:rPr>
                            <w:sz w:val="21"/>
                          </w:rPr>
                          <w:t>P</w:t>
                        </w:r>
                        <w:r>
                          <w:rPr>
                            <w:rFonts w:ascii="宋体" w:eastAsia="宋体" w:hint="eastAsia"/>
                            <w:sz w:val="21"/>
                          </w:rPr>
                          <w:t>）</w:t>
                        </w:r>
                      </w:p>
                    </w:tc>
                    <w:tc>
                      <w:tcPr>
                        <w:tcW w:w="3229" w:type="dxa"/>
                      </w:tcPr>
                      <w:p>
                        <w:pPr>
                          <w:pStyle w:val="TableParagraph"/>
                          <w:spacing w:before="28"/>
                          <w:ind w:right="95"/>
                          <w:jc w:val="right"/>
                          <w:rPr>
                            <w:sz w:val="21"/>
                          </w:rPr>
                        </w:pPr>
                        <w:r>
                          <w:rPr>
                            <w:sz w:val="21"/>
                          </w:rPr>
                          <w:t>1.300</w:t>
                        </w:r>
                      </w:p>
                    </w:tc>
                  </w:tr>
                  <w:tr>
                    <w:trPr>
                      <w:trHeight w:val="312" w:hRule="atLeast"/>
                    </w:trPr>
                    <w:tc>
                      <w:tcPr>
                        <w:tcW w:w="4249" w:type="dxa"/>
                      </w:tcPr>
                      <w:p>
                        <w:pPr>
                          <w:pStyle w:val="TableParagraph"/>
                          <w:ind w:left="107"/>
                          <w:rPr>
                            <w:rFonts w:ascii="宋体" w:eastAsia="宋体" w:hint="eastAsia"/>
                            <w:sz w:val="21"/>
                          </w:rPr>
                        </w:pPr>
                        <w:r>
                          <w:rPr>
                            <w:rFonts w:ascii="宋体" w:eastAsia="宋体" w:hint="eastAsia"/>
                            <w:sz w:val="21"/>
                          </w:rPr>
                          <w:t>赎回总金额（</w:t>
                        </w:r>
                        <w:r>
                          <w:rPr>
                            <w:sz w:val="21"/>
                          </w:rPr>
                          <w:t>Q=O*P</w:t>
                        </w:r>
                        <w:r>
                          <w:rPr>
                            <w:rFonts w:ascii="宋体" w:eastAsia="宋体" w:hint="eastAsia"/>
                            <w:sz w:val="21"/>
                          </w:rPr>
                          <w:t>）</w:t>
                        </w:r>
                      </w:p>
                    </w:tc>
                    <w:tc>
                      <w:tcPr>
                        <w:tcW w:w="3229" w:type="dxa"/>
                      </w:tcPr>
                      <w:p>
                        <w:pPr>
                          <w:pStyle w:val="TableParagraph"/>
                          <w:spacing w:before="28"/>
                          <w:ind w:right="96"/>
                          <w:jc w:val="right"/>
                          <w:rPr>
                            <w:sz w:val="21"/>
                          </w:rPr>
                        </w:pPr>
                        <w:r>
                          <w:rPr>
                            <w:sz w:val="21"/>
                          </w:rPr>
                          <w:t>1,111.59</w:t>
                        </w:r>
                      </w:p>
                    </w:tc>
                  </w:tr>
                  <w:tr>
                    <w:trPr>
                      <w:trHeight w:val="311" w:hRule="atLeast"/>
                    </w:trPr>
                    <w:tc>
                      <w:tcPr>
                        <w:tcW w:w="4249" w:type="dxa"/>
                      </w:tcPr>
                      <w:p>
                        <w:pPr>
                          <w:pStyle w:val="TableParagraph"/>
                          <w:ind w:left="107"/>
                          <w:rPr>
                            <w:rFonts w:ascii="宋体" w:eastAsia="宋体" w:hint="eastAsia"/>
                            <w:sz w:val="21"/>
                          </w:rPr>
                        </w:pPr>
                        <w:r>
                          <w:rPr>
                            <w:rFonts w:ascii="宋体" w:eastAsia="宋体" w:hint="eastAsia"/>
                            <w:sz w:val="21"/>
                          </w:rPr>
                          <w:t>赎回费率（</w:t>
                        </w:r>
                        <w:r>
                          <w:rPr>
                            <w:sz w:val="21"/>
                          </w:rPr>
                          <w:t>R</w:t>
                        </w:r>
                        <w:r>
                          <w:rPr>
                            <w:rFonts w:ascii="宋体" w:eastAsia="宋体" w:hint="eastAsia"/>
                            <w:sz w:val="21"/>
                          </w:rPr>
                          <w:t>）</w:t>
                        </w:r>
                      </w:p>
                    </w:tc>
                    <w:tc>
                      <w:tcPr>
                        <w:tcW w:w="3229" w:type="dxa"/>
                      </w:tcPr>
                      <w:p>
                        <w:pPr>
                          <w:pStyle w:val="TableParagraph"/>
                          <w:spacing w:before="28"/>
                          <w:ind w:right="94"/>
                          <w:jc w:val="right"/>
                          <w:rPr>
                            <w:sz w:val="21"/>
                          </w:rPr>
                        </w:pPr>
                        <w:r>
                          <w:rPr>
                            <w:sz w:val="21"/>
                          </w:rPr>
                          <w:t>0.5%</w:t>
                        </w:r>
                      </w:p>
                    </w:tc>
                  </w:tr>
                  <w:tr>
                    <w:trPr>
                      <w:trHeight w:val="314" w:hRule="atLeast"/>
                    </w:trPr>
                    <w:tc>
                      <w:tcPr>
                        <w:tcW w:w="4249" w:type="dxa"/>
                      </w:tcPr>
                      <w:p>
                        <w:pPr>
                          <w:pStyle w:val="TableParagraph"/>
                          <w:spacing w:before="25"/>
                          <w:ind w:left="107"/>
                          <w:rPr>
                            <w:rFonts w:ascii="宋体" w:eastAsia="宋体" w:hint="eastAsia"/>
                            <w:sz w:val="21"/>
                          </w:rPr>
                        </w:pPr>
                        <w:r>
                          <w:rPr>
                            <w:rFonts w:ascii="宋体" w:eastAsia="宋体" w:hint="eastAsia"/>
                            <w:sz w:val="21"/>
                          </w:rPr>
                          <w:t>赎回费（</w:t>
                        </w:r>
                        <w:r>
                          <w:rPr>
                            <w:sz w:val="21"/>
                          </w:rPr>
                          <w:t>S=Q*R</w:t>
                        </w:r>
                        <w:r>
                          <w:rPr>
                            <w:rFonts w:ascii="宋体" w:eastAsia="宋体" w:hint="eastAsia"/>
                            <w:sz w:val="21"/>
                          </w:rPr>
                          <w:t>）</w:t>
                        </w:r>
                      </w:p>
                    </w:tc>
                    <w:tc>
                      <w:tcPr>
                        <w:tcW w:w="3229" w:type="dxa"/>
                      </w:tcPr>
                      <w:p>
                        <w:pPr>
                          <w:pStyle w:val="TableParagraph"/>
                          <w:spacing w:before="30"/>
                          <w:ind w:right="95"/>
                          <w:jc w:val="right"/>
                          <w:rPr>
                            <w:sz w:val="21"/>
                          </w:rPr>
                        </w:pPr>
                        <w:r>
                          <w:rPr>
                            <w:sz w:val="21"/>
                          </w:rPr>
                          <w:t>5.56</w:t>
                        </w:r>
                      </w:p>
                    </w:tc>
                  </w:tr>
                  <w:tr>
                    <w:trPr>
                      <w:trHeight w:val="311" w:hRule="atLeast"/>
                    </w:trPr>
                    <w:tc>
                      <w:tcPr>
                        <w:tcW w:w="4249" w:type="dxa"/>
                      </w:tcPr>
                      <w:p>
                        <w:pPr>
                          <w:pStyle w:val="TableParagraph"/>
                          <w:ind w:left="107"/>
                          <w:rPr>
                            <w:rFonts w:ascii="宋体" w:eastAsia="宋体" w:hint="eastAsia"/>
                            <w:sz w:val="21"/>
                          </w:rPr>
                        </w:pPr>
                        <w:r>
                          <w:rPr>
                            <w:rFonts w:ascii="宋体" w:eastAsia="宋体" w:hint="eastAsia"/>
                            <w:sz w:val="21"/>
                          </w:rPr>
                          <w:t>适用后端申购费率（</w:t>
                        </w:r>
                        <w:r>
                          <w:rPr>
                            <w:sz w:val="21"/>
                          </w:rPr>
                          <w:t>T</w:t>
                        </w:r>
                        <w:r>
                          <w:rPr>
                            <w:rFonts w:ascii="宋体" w:eastAsia="宋体" w:hint="eastAsia"/>
                            <w:sz w:val="21"/>
                          </w:rPr>
                          <w:t>）</w:t>
                        </w:r>
                      </w:p>
                    </w:tc>
                    <w:tc>
                      <w:tcPr>
                        <w:tcW w:w="3229" w:type="dxa"/>
                      </w:tcPr>
                      <w:p>
                        <w:pPr>
                          <w:pStyle w:val="TableParagraph"/>
                          <w:spacing w:before="28"/>
                          <w:ind w:right="94"/>
                          <w:jc w:val="right"/>
                          <w:rPr>
                            <w:sz w:val="21"/>
                          </w:rPr>
                        </w:pPr>
                        <w:r>
                          <w:rPr>
                            <w:sz w:val="21"/>
                          </w:rPr>
                          <w:t>1.2%</w:t>
                        </w:r>
                      </w:p>
                    </w:tc>
                  </w:tr>
                  <w:tr>
                    <w:trPr>
                      <w:trHeight w:val="311" w:hRule="atLeast"/>
                    </w:trPr>
                    <w:tc>
                      <w:tcPr>
                        <w:tcW w:w="4249" w:type="dxa"/>
                      </w:tcPr>
                      <w:p>
                        <w:pPr>
                          <w:pStyle w:val="TableParagraph"/>
                          <w:ind w:left="107"/>
                          <w:rPr>
                            <w:rFonts w:ascii="宋体" w:eastAsia="宋体" w:hint="eastAsia"/>
                            <w:sz w:val="21"/>
                          </w:rPr>
                        </w:pPr>
                        <w:r>
                          <w:rPr>
                            <w:rFonts w:ascii="宋体" w:eastAsia="宋体" w:hint="eastAsia"/>
                            <w:spacing w:val="-2"/>
                            <w:w w:val="100"/>
                            <w:sz w:val="21"/>
                          </w:rPr>
                          <w:t>后端申购费</w:t>
                        </w:r>
                        <w:r>
                          <w:rPr>
                            <w:rFonts w:ascii="宋体" w:eastAsia="宋体" w:hint="eastAsia"/>
                            <w:spacing w:val="-1"/>
                            <w:w w:val="100"/>
                            <w:sz w:val="21"/>
                          </w:rPr>
                          <w:t>（</w:t>
                        </w:r>
                        <w:r>
                          <w:rPr>
                            <w:spacing w:val="-2"/>
                            <w:w w:val="100"/>
                            <w:sz w:val="21"/>
                          </w:rPr>
                          <w:t>U</w:t>
                        </w:r>
                        <w:r>
                          <w:rPr>
                            <w:w w:val="100"/>
                            <w:sz w:val="21"/>
                          </w:rPr>
                          <w:t>=</w:t>
                        </w:r>
                        <w:r>
                          <w:rPr>
                            <w:spacing w:val="-3"/>
                            <w:w w:val="100"/>
                            <w:sz w:val="21"/>
                          </w:rPr>
                          <w:t>O</w:t>
                        </w:r>
                        <w:r>
                          <w:rPr>
                            <w:w w:val="100"/>
                            <w:sz w:val="21"/>
                          </w:rPr>
                          <w:t>*M*</w:t>
                        </w:r>
                        <w:r>
                          <w:rPr>
                            <w:spacing w:val="-12"/>
                            <w:w w:val="100"/>
                            <w:sz w:val="21"/>
                          </w:rPr>
                          <w:t>T</w:t>
                        </w:r>
                        <w:r>
                          <w:rPr>
                            <w:spacing w:val="-2"/>
                            <w:w w:val="100"/>
                            <w:sz w:val="21"/>
                          </w:rPr>
                          <w:t>/</w:t>
                        </w:r>
                        <w:r>
                          <w:rPr>
                            <w:rFonts w:ascii="宋体" w:eastAsia="宋体" w:hint="eastAsia"/>
                            <w:spacing w:val="-3"/>
                            <w:w w:val="100"/>
                            <w:sz w:val="21"/>
                          </w:rPr>
                          <w:t>（</w:t>
                        </w:r>
                        <w:r>
                          <w:rPr>
                            <w:w w:val="100"/>
                            <w:sz w:val="21"/>
                          </w:rPr>
                          <w:t>1+</w:t>
                        </w:r>
                        <w:r>
                          <w:rPr>
                            <w:spacing w:val="-2"/>
                            <w:w w:val="100"/>
                            <w:sz w:val="21"/>
                          </w:rPr>
                          <w:t>T</w:t>
                        </w:r>
                        <w:r>
                          <w:rPr>
                            <w:rFonts w:ascii="宋体" w:eastAsia="宋体" w:hint="eastAsia"/>
                            <w:spacing w:val="-106"/>
                            <w:w w:val="100"/>
                            <w:sz w:val="21"/>
                          </w:rPr>
                          <w:t>）</w:t>
                        </w:r>
                        <w:r>
                          <w:rPr>
                            <w:rFonts w:ascii="宋体" w:eastAsia="宋体" w:hint="eastAsia"/>
                            <w:w w:val="100"/>
                            <w:sz w:val="21"/>
                          </w:rPr>
                          <w:t>）</w:t>
                        </w:r>
                      </w:p>
                    </w:tc>
                    <w:tc>
                      <w:tcPr>
                        <w:tcW w:w="3229" w:type="dxa"/>
                      </w:tcPr>
                      <w:p>
                        <w:pPr>
                          <w:pStyle w:val="TableParagraph"/>
                          <w:spacing w:before="28"/>
                          <w:ind w:right="95"/>
                          <w:jc w:val="right"/>
                          <w:rPr>
                            <w:sz w:val="21"/>
                          </w:rPr>
                        </w:pPr>
                        <w:r>
                          <w:rPr>
                            <w:sz w:val="21"/>
                          </w:rPr>
                          <w:t>15.21</w:t>
                        </w:r>
                      </w:p>
                    </w:tc>
                  </w:tr>
                  <w:tr>
                    <w:trPr>
                      <w:trHeight w:val="311" w:hRule="atLeast"/>
                    </w:trPr>
                    <w:tc>
                      <w:tcPr>
                        <w:tcW w:w="4249" w:type="dxa"/>
                      </w:tcPr>
                      <w:p>
                        <w:pPr>
                          <w:pStyle w:val="TableParagraph"/>
                          <w:ind w:left="107"/>
                          <w:rPr>
                            <w:rFonts w:ascii="宋体" w:eastAsia="宋体" w:hint="eastAsia"/>
                            <w:sz w:val="21"/>
                          </w:rPr>
                        </w:pPr>
                        <w:r>
                          <w:rPr>
                            <w:rFonts w:ascii="宋体" w:eastAsia="宋体" w:hint="eastAsia"/>
                            <w:sz w:val="21"/>
                          </w:rPr>
                          <w:t>赎回金额（</w:t>
                        </w:r>
                        <w:r>
                          <w:rPr>
                            <w:sz w:val="21"/>
                          </w:rPr>
                          <w:t>V=Q-S-U</w:t>
                        </w:r>
                        <w:r>
                          <w:rPr>
                            <w:rFonts w:ascii="宋体" w:eastAsia="宋体" w:hint="eastAsia"/>
                            <w:sz w:val="21"/>
                          </w:rPr>
                          <w:t>）</w:t>
                        </w:r>
                      </w:p>
                    </w:tc>
                    <w:tc>
                      <w:tcPr>
                        <w:tcW w:w="3229" w:type="dxa"/>
                      </w:tcPr>
                      <w:p>
                        <w:pPr>
                          <w:pStyle w:val="TableParagraph"/>
                          <w:spacing w:before="28"/>
                          <w:ind w:right="96"/>
                          <w:jc w:val="right"/>
                          <w:rPr>
                            <w:sz w:val="21"/>
                          </w:rPr>
                        </w:pPr>
                        <w:r>
                          <w:rPr>
                            <w:sz w:val="21"/>
                          </w:rPr>
                          <w:t>1,090.82</w:t>
                        </w:r>
                      </w:p>
                    </w:tc>
                  </w:tr>
                </w:tbl>
                <w:p>
                  <w:pPr>
                    <w:pStyle w:val="BodyText"/>
                  </w:pPr>
                </w:p>
              </w:txbxContent>
            </v:textbox>
            <w10:wrap type="none"/>
          </v:shape>
        </w:pict>
      </w:r>
      <w:r>
        <w:rPr>
          <w:spacing w:val="-8"/>
        </w:rPr>
        <w:t>若投资者在 </w:t>
      </w:r>
      <w:r>
        <w:rPr>
          <w:rFonts w:ascii="Calibri" w:eastAsia="Calibri"/>
        </w:rPr>
        <w:t>2012 </w:t>
      </w:r>
      <w:r>
        <w:rPr>
          <w:spacing w:val="-18"/>
        </w:rPr>
        <w:t>年 </w:t>
      </w:r>
      <w:r>
        <w:rPr>
          <w:rFonts w:ascii="Calibri" w:eastAsia="Calibri"/>
        </w:rPr>
        <w:t>9 </w:t>
      </w:r>
      <w:r>
        <w:rPr>
          <w:spacing w:val="-20"/>
        </w:rPr>
        <w:t>月 </w:t>
      </w:r>
      <w:r>
        <w:rPr>
          <w:rFonts w:ascii="Calibri" w:eastAsia="Calibri"/>
        </w:rPr>
        <w:t>15 </w:t>
      </w:r>
      <w:r>
        <w:rPr>
          <w:spacing w:val="-5"/>
        </w:rPr>
        <w:t>日赎回乙基金，则赎回时乙基金持有期为 </w:t>
      </w:r>
      <w:r>
        <w:rPr>
          <w:rFonts w:ascii="Calibri" w:eastAsia="Calibri"/>
        </w:rPr>
        <w:t>2 </w:t>
      </w:r>
      <w:r>
        <w:rPr>
          <w:spacing w:val="-3"/>
        </w:rPr>
        <w:t>年半，适用后</w:t>
      </w:r>
      <w:r>
        <w:rPr>
          <w:spacing w:val="-8"/>
        </w:rPr>
        <w:t>端申购费率为 </w:t>
      </w:r>
      <w:r>
        <w:rPr>
          <w:rFonts w:ascii="Calibri" w:eastAsia="Calibri"/>
        </w:rPr>
        <w:t>1.2%</w:t>
      </w:r>
      <w:r>
        <w:rPr>
          <w:spacing w:val="-6"/>
        </w:rPr>
        <w:t>，且乙基金赎回费率为 </w:t>
      </w:r>
      <w:r>
        <w:rPr>
          <w:rFonts w:ascii="Calibri" w:eastAsia="Calibri"/>
        </w:rPr>
        <w:t>0.5%</w:t>
      </w:r>
      <w:r>
        <w:rPr>
          <w:spacing w:val="-5"/>
        </w:rPr>
        <w:t>，该日乙基金基金份额净值为 </w:t>
      </w:r>
      <w:r>
        <w:rPr>
          <w:rFonts w:ascii="Calibri" w:eastAsia="Calibri"/>
        </w:rPr>
        <w:t>1.300 </w:t>
      </w:r>
      <w:r>
        <w:rPr>
          <w:spacing w:val="-2"/>
        </w:rPr>
        <w:t>元。则</w:t>
      </w:r>
      <w:r>
        <w:rPr>
          <w:spacing w:val="-3"/>
        </w:rPr>
        <w:t>赎回金额计算如下：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4"/>
        </w:rPr>
      </w:pPr>
    </w:p>
    <w:p>
      <w:pPr>
        <w:pStyle w:val="BodyText"/>
        <w:spacing w:line="417" w:lineRule="auto"/>
        <w:ind w:left="160" w:right="871" w:firstLine="419"/>
        <w:jc w:val="both"/>
      </w:pPr>
      <w:r>
        <w:rPr>
          <w:spacing w:val="-10"/>
        </w:rPr>
        <w:t>例十二：假定投资者在 </w:t>
      </w:r>
      <w:r>
        <w:rPr>
          <w:rFonts w:ascii="Calibri" w:eastAsia="Calibri"/>
        </w:rPr>
        <w:t>T </w:t>
      </w:r>
      <w:r>
        <w:rPr>
          <w:spacing w:val="-9"/>
        </w:rPr>
        <w:t>日转出持有期为 </w:t>
      </w:r>
      <w:r>
        <w:rPr>
          <w:rFonts w:ascii="Calibri" w:eastAsia="Calibri"/>
        </w:rPr>
        <w:t>3 </w:t>
      </w:r>
      <w:r>
        <w:rPr>
          <w:spacing w:val="-8"/>
        </w:rPr>
        <w:t>年的后端收费基金甲 </w:t>
      </w:r>
      <w:r>
        <w:rPr>
          <w:rFonts w:ascii="Calibri" w:eastAsia="Calibri"/>
        </w:rPr>
        <w:t>1,000 </w:t>
      </w:r>
      <w:r>
        <w:rPr>
          <w:spacing w:val="-7"/>
        </w:rPr>
        <w:t>份，转入不收取申购费用基金乙。</w:t>
      </w:r>
      <w:r>
        <w:rPr>
          <w:rFonts w:ascii="Calibri" w:eastAsia="Calibri"/>
        </w:rPr>
        <w:t>T </w:t>
      </w:r>
      <w:r>
        <w:rPr>
          <w:spacing w:val="-8"/>
        </w:rPr>
        <w:t>日甲、乙基金基金份额净值分别为 </w:t>
      </w:r>
      <w:r>
        <w:rPr>
          <w:rFonts w:ascii="Calibri" w:eastAsia="Calibri"/>
        </w:rPr>
        <w:t>1.200</w:t>
      </w:r>
      <w:r>
        <w:rPr>
          <w:spacing w:val="-15"/>
        </w:rPr>
        <w:t>、</w:t>
      </w:r>
      <w:r>
        <w:rPr>
          <w:rFonts w:ascii="Calibri" w:eastAsia="Calibri"/>
        </w:rPr>
        <w:t>1.500 </w:t>
      </w:r>
      <w:r>
        <w:rPr>
          <w:spacing w:val="-5"/>
        </w:rPr>
        <w:t>元。申购当日甲基金基</w:t>
      </w:r>
      <w:r>
        <w:rPr>
          <w:spacing w:val="-9"/>
        </w:rPr>
        <w:t>金份额净值为 </w:t>
      </w:r>
      <w:r>
        <w:rPr>
          <w:rFonts w:ascii="Calibri" w:eastAsia="Calibri"/>
        </w:rPr>
        <w:t>1.100 </w:t>
      </w:r>
      <w:r>
        <w:rPr>
          <w:spacing w:val="-7"/>
        </w:rPr>
        <w:t>元，赎回费率为 </w:t>
      </w:r>
      <w:r>
        <w:rPr>
          <w:rFonts w:ascii="Calibri" w:eastAsia="Calibri"/>
        </w:rPr>
        <w:t>0.5%</w:t>
      </w:r>
      <w:r>
        <w:rPr>
          <w:spacing w:val="-5"/>
        </w:rPr>
        <w:t>，转出时适用甲基金后端申购费率为 </w:t>
      </w:r>
      <w:r>
        <w:rPr>
          <w:rFonts w:ascii="Calibri" w:eastAsia="Calibri"/>
        </w:rPr>
        <w:t>1.0%</w:t>
      </w:r>
      <w:r>
        <w:rPr>
          <w:spacing w:val="-2"/>
        </w:rPr>
        <w:t>。则转</w:t>
      </w:r>
      <w:r>
        <w:rPr>
          <w:spacing w:val="-3"/>
        </w:rPr>
        <w:t>出基金费用、转入基金费用及份额计算如下：</w:t>
      </w:r>
    </w:p>
    <w:p>
      <w:pPr>
        <w:spacing w:after="0" w:line="417" w:lineRule="auto"/>
        <w:jc w:val="both"/>
        <w:sectPr>
          <w:pgSz w:w="11910" w:h="16840"/>
          <w:pgMar w:header="877" w:footer="995" w:top="1420" w:bottom="1180" w:left="1640" w:right="920"/>
        </w:sectPr>
      </w:pPr>
    </w:p>
    <w:tbl>
      <w:tblPr>
        <w:tblW w:w="0" w:type="auto"/>
        <w:jc w:val="left"/>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1"/>
      </w:tblGrid>
      <w:tr>
        <w:trPr>
          <w:trHeight w:val="405" w:hRule="atLeast"/>
        </w:trPr>
        <w:tc>
          <w:tcPr>
            <w:tcW w:w="4244" w:type="dxa"/>
          </w:tcPr>
          <w:p>
            <w:pPr>
              <w:pStyle w:val="TableParagraph"/>
              <w:spacing w:before="68"/>
              <w:ind w:left="1892" w:right="1465"/>
              <w:jc w:val="center"/>
              <w:rPr>
                <w:rFonts w:ascii="宋体" w:eastAsia="宋体" w:hint="eastAsia"/>
                <w:sz w:val="21"/>
              </w:rPr>
            </w:pPr>
            <w:r>
              <w:rPr>
                <w:rFonts w:ascii="宋体" w:eastAsia="宋体" w:hint="eastAsia"/>
                <w:sz w:val="21"/>
              </w:rPr>
              <w:t>项目</w:t>
            </w:r>
          </w:p>
        </w:tc>
        <w:tc>
          <w:tcPr>
            <w:tcW w:w="3221" w:type="dxa"/>
          </w:tcPr>
          <w:p>
            <w:pPr>
              <w:pStyle w:val="TableParagraph"/>
              <w:spacing w:before="68"/>
              <w:ind w:left="1401"/>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1" w:type="dxa"/>
          </w:tcPr>
          <w:p>
            <w:pPr>
              <w:pStyle w:val="TableParagraph"/>
              <w:spacing w:before="28"/>
              <w:ind w:right="94"/>
              <w:jc w:val="right"/>
              <w:rPr>
                <w:sz w:val="21"/>
              </w:rPr>
            </w:pPr>
            <w:r>
              <w:rPr>
                <w:sz w:val="21"/>
              </w:rPr>
              <w:t>1,000.00</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1" w:type="dxa"/>
          </w:tcPr>
          <w:p>
            <w:pPr>
              <w:pStyle w:val="TableParagraph"/>
              <w:spacing w:before="28"/>
              <w:ind w:right="92"/>
              <w:jc w:val="right"/>
              <w:rPr>
                <w:sz w:val="21"/>
              </w:rPr>
            </w:pPr>
            <w:r>
              <w:rPr>
                <w:sz w:val="21"/>
              </w:rPr>
              <w:t>1.200</w:t>
            </w:r>
          </w:p>
        </w:tc>
      </w:tr>
      <w:tr>
        <w:trPr>
          <w:trHeight w:val="313" w:hRule="atLeast"/>
        </w:trPr>
        <w:tc>
          <w:tcPr>
            <w:tcW w:w="4244" w:type="dxa"/>
          </w:tcPr>
          <w:p>
            <w:pPr>
              <w:pStyle w:val="TableParagraph"/>
              <w:spacing w:before="25"/>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1" w:type="dxa"/>
          </w:tcPr>
          <w:p>
            <w:pPr>
              <w:pStyle w:val="TableParagraph"/>
              <w:spacing w:before="30"/>
              <w:ind w:right="94"/>
              <w:jc w:val="right"/>
              <w:rPr>
                <w:sz w:val="21"/>
              </w:rPr>
            </w:pPr>
            <w:r>
              <w:rPr>
                <w:sz w:val="21"/>
              </w:rPr>
              <w:t>1,200.00</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1" w:type="dxa"/>
          </w:tcPr>
          <w:p>
            <w:pPr>
              <w:pStyle w:val="TableParagraph"/>
              <w:spacing w:before="28"/>
              <w:ind w:right="91"/>
              <w:jc w:val="right"/>
              <w:rPr>
                <w:sz w:val="21"/>
              </w:rPr>
            </w:pPr>
            <w:r>
              <w:rPr>
                <w:sz w:val="21"/>
              </w:rPr>
              <w:t>0.5%</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21" w:type="dxa"/>
          </w:tcPr>
          <w:p>
            <w:pPr>
              <w:pStyle w:val="TableParagraph"/>
              <w:spacing w:before="28"/>
              <w:ind w:right="92"/>
              <w:jc w:val="right"/>
              <w:rPr>
                <w:sz w:val="21"/>
              </w:rPr>
            </w:pPr>
            <w:r>
              <w:rPr>
                <w:sz w:val="21"/>
              </w:rPr>
              <w:t>6.00</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21" w:type="dxa"/>
          </w:tcPr>
          <w:p>
            <w:pPr>
              <w:pStyle w:val="TableParagraph"/>
              <w:spacing w:before="28"/>
              <w:ind w:right="92"/>
              <w:jc w:val="right"/>
              <w:rPr>
                <w:sz w:val="21"/>
              </w:rPr>
            </w:pPr>
            <w:r>
              <w:rPr>
                <w:sz w:val="21"/>
              </w:rPr>
              <w:t>1.100</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21" w:type="dxa"/>
          </w:tcPr>
          <w:p>
            <w:pPr>
              <w:pStyle w:val="TableParagraph"/>
              <w:spacing w:before="28"/>
              <w:ind w:right="91"/>
              <w:jc w:val="right"/>
              <w:rPr>
                <w:sz w:val="21"/>
              </w:rPr>
            </w:pPr>
            <w:r>
              <w:rPr>
                <w:sz w:val="21"/>
              </w:rPr>
              <w:t>1.0%</w:t>
            </w:r>
          </w:p>
        </w:tc>
      </w:tr>
      <w:tr>
        <w:trPr>
          <w:trHeight w:val="311" w:hRule="atLeast"/>
        </w:trPr>
        <w:tc>
          <w:tcPr>
            <w:tcW w:w="4244" w:type="dxa"/>
          </w:tcPr>
          <w:p>
            <w:pPr>
              <w:pStyle w:val="TableParagraph"/>
              <w:ind w:left="107"/>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1"/>
                <w:w w:val="100"/>
                <w:sz w:val="21"/>
              </w:rPr>
              <w:t>（</w:t>
            </w:r>
            <w:r>
              <w:rPr>
                <w:spacing w:val="-2"/>
                <w:w w:val="100"/>
                <w:sz w:val="21"/>
              </w:rPr>
              <w:t>H</w:t>
            </w:r>
            <w:r>
              <w:rPr>
                <w:w w:val="100"/>
                <w:sz w:val="21"/>
              </w:rPr>
              <w:t>=</w:t>
            </w:r>
            <w:r>
              <w:rPr>
                <w:spacing w:val="-2"/>
                <w:w w:val="100"/>
                <w:sz w:val="21"/>
              </w:rPr>
              <w:t>A</w:t>
            </w:r>
            <w:r>
              <w:rPr>
                <w:rFonts w:ascii="宋体" w:hAnsi="宋体" w:eastAsia="宋体" w:hint="eastAsia"/>
                <w:w w:val="100"/>
                <w:sz w:val="21"/>
              </w:rPr>
              <w:t>×</w:t>
            </w:r>
            <w:r>
              <w:rPr>
                <w:spacing w:val="-2"/>
                <w:w w:val="100"/>
                <w:sz w:val="21"/>
              </w:rPr>
              <w:t>F</w:t>
            </w:r>
            <w:r>
              <w:rPr>
                <w:rFonts w:ascii="宋体" w:hAnsi="宋体" w:eastAsia="宋体" w:hint="eastAsia"/>
                <w:spacing w:val="-3"/>
                <w:w w:val="100"/>
                <w:sz w:val="21"/>
              </w:rPr>
              <w:t>×</w:t>
            </w:r>
            <w:r>
              <w:rPr>
                <w:spacing w:val="1"/>
                <w:w w:val="100"/>
                <w:sz w:val="21"/>
              </w:rPr>
              <w:t>G</w:t>
            </w:r>
            <w:r>
              <w:rPr>
                <w:spacing w:val="-3"/>
                <w:w w:val="100"/>
                <w:sz w:val="21"/>
              </w:rPr>
              <w:t>/</w:t>
            </w:r>
            <w:r>
              <w:rPr>
                <w:rFonts w:ascii="宋体" w:hAnsi="宋体" w:eastAsia="宋体" w:hint="eastAsia"/>
                <w:w w:val="100"/>
                <w:sz w:val="21"/>
              </w:rPr>
              <w:t>（</w:t>
            </w:r>
            <w:r>
              <w:rPr>
                <w:spacing w:val="-2"/>
                <w:w w:val="100"/>
                <w:sz w:val="21"/>
              </w:rPr>
              <w:t>1</w:t>
            </w:r>
            <w:r>
              <w:rPr>
                <w:w w:val="100"/>
                <w:sz w:val="21"/>
              </w:rPr>
              <w:t>+</w:t>
            </w:r>
            <w:r>
              <w:rPr>
                <w:spacing w:val="-1"/>
                <w:w w:val="100"/>
                <w:sz w:val="21"/>
              </w:rPr>
              <w:t>G</w:t>
            </w:r>
            <w:r>
              <w:rPr>
                <w:rFonts w:ascii="宋体" w:hAnsi="宋体" w:eastAsia="宋体" w:hint="eastAsia"/>
                <w:spacing w:val="-106"/>
                <w:w w:val="100"/>
                <w:sz w:val="21"/>
              </w:rPr>
              <w:t>））</w:t>
            </w:r>
          </w:p>
        </w:tc>
        <w:tc>
          <w:tcPr>
            <w:tcW w:w="3221" w:type="dxa"/>
          </w:tcPr>
          <w:p>
            <w:pPr>
              <w:pStyle w:val="TableParagraph"/>
              <w:spacing w:before="28"/>
              <w:ind w:right="92"/>
              <w:jc w:val="right"/>
              <w:rPr>
                <w:sz w:val="21"/>
              </w:rPr>
            </w:pPr>
            <w:r>
              <w:rPr>
                <w:sz w:val="21"/>
              </w:rPr>
              <w:t>10.89</w:t>
            </w:r>
          </w:p>
        </w:tc>
      </w:tr>
      <w:tr>
        <w:trPr>
          <w:trHeight w:val="313" w:hRule="atLeast"/>
        </w:trPr>
        <w:tc>
          <w:tcPr>
            <w:tcW w:w="4244" w:type="dxa"/>
          </w:tcPr>
          <w:p>
            <w:pPr>
              <w:pStyle w:val="TableParagraph"/>
              <w:spacing w:before="25"/>
              <w:ind w:left="107"/>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21" w:type="dxa"/>
          </w:tcPr>
          <w:p>
            <w:pPr>
              <w:pStyle w:val="TableParagraph"/>
              <w:spacing w:before="30"/>
              <w:ind w:right="92"/>
              <w:jc w:val="right"/>
              <w:rPr>
                <w:sz w:val="21"/>
              </w:rPr>
            </w:pPr>
            <w:r>
              <w:rPr>
                <w:sz w:val="21"/>
              </w:rPr>
              <w:t>16.89</w:t>
            </w:r>
          </w:p>
        </w:tc>
      </w:tr>
      <w:tr>
        <w:trPr>
          <w:trHeight w:val="312" w:hRule="atLeast"/>
        </w:trPr>
        <w:tc>
          <w:tcPr>
            <w:tcW w:w="4244" w:type="dxa"/>
          </w:tcPr>
          <w:p>
            <w:pPr>
              <w:pStyle w:val="TableParagraph"/>
              <w:spacing w:before="23"/>
              <w:ind w:left="107"/>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21" w:type="dxa"/>
          </w:tcPr>
          <w:p>
            <w:pPr>
              <w:pStyle w:val="TableParagraph"/>
              <w:spacing w:before="28"/>
              <w:ind w:right="94"/>
              <w:jc w:val="right"/>
              <w:rPr>
                <w:sz w:val="21"/>
              </w:rPr>
            </w:pPr>
            <w:r>
              <w:rPr>
                <w:sz w:val="21"/>
              </w:rPr>
              <w:t>1,183.11</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21" w:type="dxa"/>
          </w:tcPr>
          <w:p>
            <w:pPr>
              <w:pStyle w:val="TableParagraph"/>
              <w:spacing w:before="28"/>
              <w:ind w:right="92"/>
              <w:jc w:val="right"/>
              <w:rPr>
                <w:sz w:val="21"/>
              </w:rPr>
            </w:pPr>
            <w:r>
              <w:rPr>
                <w:sz w:val="21"/>
              </w:rPr>
              <w:t>0.00</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21" w:type="dxa"/>
          </w:tcPr>
          <w:p>
            <w:pPr>
              <w:pStyle w:val="TableParagraph"/>
              <w:spacing w:before="28"/>
              <w:ind w:right="94"/>
              <w:jc w:val="right"/>
              <w:rPr>
                <w:sz w:val="21"/>
              </w:rPr>
            </w:pPr>
            <w:r>
              <w:rPr>
                <w:sz w:val="21"/>
              </w:rPr>
              <w:t>1,183.11</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21" w:type="dxa"/>
          </w:tcPr>
          <w:p>
            <w:pPr>
              <w:pStyle w:val="TableParagraph"/>
              <w:spacing w:before="28"/>
              <w:ind w:right="92"/>
              <w:jc w:val="right"/>
              <w:rPr>
                <w:sz w:val="21"/>
              </w:rPr>
            </w:pPr>
            <w:r>
              <w:rPr>
                <w:sz w:val="21"/>
              </w:rPr>
              <w:t>1.500</w:t>
            </w:r>
          </w:p>
        </w:tc>
      </w:tr>
      <w:tr>
        <w:trPr>
          <w:trHeight w:val="313" w:hRule="atLeast"/>
        </w:trPr>
        <w:tc>
          <w:tcPr>
            <w:tcW w:w="4244" w:type="dxa"/>
          </w:tcPr>
          <w:p>
            <w:pPr>
              <w:pStyle w:val="TableParagraph"/>
              <w:ind w:left="107"/>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21" w:type="dxa"/>
          </w:tcPr>
          <w:p>
            <w:pPr>
              <w:pStyle w:val="TableParagraph"/>
              <w:spacing w:before="28"/>
              <w:ind w:right="92"/>
              <w:jc w:val="right"/>
              <w:rPr>
                <w:sz w:val="21"/>
              </w:rPr>
            </w:pPr>
            <w:r>
              <w:rPr>
                <w:sz w:val="21"/>
              </w:rPr>
              <w:t>788.74</w:t>
            </w:r>
          </w:p>
        </w:tc>
      </w:tr>
    </w:tbl>
    <w:p>
      <w:pPr>
        <w:pStyle w:val="BodyText"/>
        <w:spacing w:line="417" w:lineRule="auto" w:before="109"/>
        <w:ind w:left="160" w:right="871" w:firstLine="419"/>
        <w:jc w:val="both"/>
      </w:pPr>
      <w:r>
        <w:rPr/>
        <w:pict>
          <v:shape style="position:absolute;margin-left:111.139999pt;margin-top:94.090004pt;width:373.4pt;height:225.4pt;mso-position-horizontal-relative:page;mso-position-vertical-relative:paragraph;z-index:25169305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1" w:hRule="atLeast"/>
                    </w:trPr>
                    <w:tc>
                      <w:tcPr>
                        <w:tcW w:w="4237" w:type="dxa"/>
                      </w:tcPr>
                      <w:p>
                        <w:pPr>
                          <w:pStyle w:val="TableParagraph"/>
                          <w:ind w:left="1676" w:right="1669"/>
                          <w:jc w:val="center"/>
                          <w:rPr>
                            <w:rFonts w:ascii="宋体" w:eastAsia="宋体" w:hint="eastAsia"/>
                            <w:sz w:val="21"/>
                          </w:rPr>
                        </w:pPr>
                        <w:r>
                          <w:rPr>
                            <w:rFonts w:ascii="宋体" w:eastAsia="宋体" w:hint="eastAsia"/>
                            <w:sz w:val="21"/>
                          </w:rPr>
                          <w:t>项目</w:t>
                        </w:r>
                      </w:p>
                    </w:tc>
                    <w:tc>
                      <w:tcPr>
                        <w:tcW w:w="3217" w:type="dxa"/>
                      </w:tcPr>
                      <w:p>
                        <w:pPr>
                          <w:pStyle w:val="TableParagraph"/>
                          <w:ind w:left="1169" w:right="1158"/>
                          <w:jc w:val="center"/>
                          <w:rPr>
                            <w:rFonts w:ascii="宋体" w:eastAsia="宋体" w:hint="eastAsia"/>
                            <w:sz w:val="21"/>
                          </w:rPr>
                        </w:pPr>
                        <w:r>
                          <w:rPr>
                            <w:rFonts w:ascii="宋体" w:eastAsia="宋体" w:hint="eastAsia"/>
                            <w:sz w:val="21"/>
                          </w:rPr>
                          <w:t>费用计算</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spacing w:before="28"/>
                          <w:ind w:right="96"/>
                          <w:jc w:val="right"/>
                          <w:rPr>
                            <w:sz w:val="21"/>
                          </w:rPr>
                        </w:pPr>
                        <w:r>
                          <w:rPr>
                            <w:sz w:val="21"/>
                          </w:rPr>
                          <w:t>1,000.00</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spacing w:before="28"/>
                          <w:ind w:right="95"/>
                          <w:jc w:val="right"/>
                          <w:rPr>
                            <w:sz w:val="21"/>
                          </w:rPr>
                        </w:pPr>
                        <w:r>
                          <w:rPr>
                            <w:sz w:val="21"/>
                          </w:rPr>
                          <w:t>1.200</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spacing w:before="28"/>
                          <w:ind w:right="96"/>
                          <w:jc w:val="right"/>
                          <w:rPr>
                            <w:sz w:val="21"/>
                          </w:rPr>
                        </w:pPr>
                        <w:r>
                          <w:rPr>
                            <w:sz w:val="21"/>
                          </w:rPr>
                          <w:t>1,200.00</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转出基金费用（</w:t>
                        </w:r>
                        <w:r>
                          <w:rPr>
                            <w:sz w:val="21"/>
                          </w:rPr>
                          <w:t>D</w:t>
                        </w:r>
                        <w:r>
                          <w:rPr>
                            <w:rFonts w:ascii="宋体" w:eastAsia="宋体" w:hint="eastAsia"/>
                            <w:sz w:val="21"/>
                          </w:rPr>
                          <w:t>）</w:t>
                        </w:r>
                      </w:p>
                    </w:tc>
                    <w:tc>
                      <w:tcPr>
                        <w:tcW w:w="3217" w:type="dxa"/>
                      </w:tcPr>
                      <w:p>
                        <w:pPr>
                          <w:pStyle w:val="TableParagraph"/>
                          <w:spacing w:before="28"/>
                          <w:ind w:right="95"/>
                          <w:jc w:val="right"/>
                          <w:rPr>
                            <w:sz w:val="21"/>
                          </w:rPr>
                        </w:pPr>
                        <w:r>
                          <w:rPr>
                            <w:sz w:val="21"/>
                          </w:rPr>
                          <w:t>0.00</w:t>
                        </w:r>
                      </w:p>
                    </w:tc>
                  </w:tr>
                  <w:tr>
                    <w:trPr>
                      <w:trHeight w:val="313" w:hRule="atLeast"/>
                    </w:trPr>
                    <w:tc>
                      <w:tcPr>
                        <w:tcW w:w="4237" w:type="dxa"/>
                      </w:tcPr>
                      <w:p>
                        <w:pPr>
                          <w:pStyle w:val="TableParagraph"/>
                          <w:spacing w:before="25"/>
                          <w:ind w:left="107"/>
                          <w:rPr>
                            <w:rFonts w:ascii="宋体" w:eastAsia="宋体" w:hint="eastAsia"/>
                            <w:sz w:val="21"/>
                          </w:rPr>
                        </w:pPr>
                        <w:r>
                          <w:rPr>
                            <w:rFonts w:ascii="宋体" w:eastAsia="宋体" w:hint="eastAsia"/>
                            <w:sz w:val="21"/>
                          </w:rPr>
                          <w:t>转换金额（</w:t>
                        </w:r>
                        <w:r>
                          <w:rPr>
                            <w:sz w:val="21"/>
                          </w:rPr>
                          <w:t>E=C-D</w:t>
                        </w:r>
                        <w:r>
                          <w:rPr>
                            <w:rFonts w:ascii="宋体" w:eastAsia="宋体" w:hint="eastAsia"/>
                            <w:sz w:val="21"/>
                          </w:rPr>
                          <w:t>）</w:t>
                        </w:r>
                      </w:p>
                    </w:tc>
                    <w:tc>
                      <w:tcPr>
                        <w:tcW w:w="3217" w:type="dxa"/>
                      </w:tcPr>
                      <w:p>
                        <w:pPr>
                          <w:pStyle w:val="TableParagraph"/>
                          <w:spacing w:before="30"/>
                          <w:ind w:right="96"/>
                          <w:jc w:val="right"/>
                          <w:rPr>
                            <w:sz w:val="21"/>
                          </w:rPr>
                        </w:pPr>
                        <w:r>
                          <w:rPr>
                            <w:sz w:val="21"/>
                          </w:rPr>
                          <w:t>1,200.00</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销售服务费率（</w:t>
                        </w:r>
                        <w:r>
                          <w:rPr>
                            <w:sz w:val="21"/>
                          </w:rPr>
                          <w:t>F</w:t>
                        </w:r>
                        <w:r>
                          <w:rPr>
                            <w:rFonts w:ascii="宋体" w:eastAsia="宋体" w:hint="eastAsia"/>
                            <w:sz w:val="21"/>
                          </w:rPr>
                          <w:t>）</w:t>
                        </w:r>
                      </w:p>
                    </w:tc>
                    <w:tc>
                      <w:tcPr>
                        <w:tcW w:w="3217" w:type="dxa"/>
                      </w:tcPr>
                      <w:p>
                        <w:pPr>
                          <w:pStyle w:val="TableParagraph"/>
                          <w:spacing w:before="28"/>
                          <w:ind w:right="94"/>
                          <w:jc w:val="right"/>
                          <w:rPr>
                            <w:sz w:val="21"/>
                          </w:rPr>
                        </w:pPr>
                        <w:r>
                          <w:rPr>
                            <w:sz w:val="21"/>
                          </w:rPr>
                          <w:t>0.3%</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转入基金申购费率（</w:t>
                        </w:r>
                        <w:r>
                          <w:rPr>
                            <w:sz w:val="21"/>
                          </w:rPr>
                          <w:t>G</w:t>
                        </w:r>
                        <w:r>
                          <w:rPr>
                            <w:rFonts w:ascii="宋体" w:eastAsia="宋体" w:hint="eastAsia"/>
                            <w:sz w:val="21"/>
                          </w:rPr>
                          <w:t>）</w:t>
                        </w:r>
                      </w:p>
                    </w:tc>
                    <w:tc>
                      <w:tcPr>
                        <w:tcW w:w="3217" w:type="dxa"/>
                      </w:tcPr>
                      <w:p>
                        <w:pPr>
                          <w:pStyle w:val="TableParagraph"/>
                          <w:spacing w:before="28"/>
                          <w:ind w:right="94"/>
                          <w:jc w:val="right"/>
                          <w:rPr>
                            <w:sz w:val="21"/>
                          </w:rPr>
                        </w:pPr>
                        <w:r>
                          <w:rPr>
                            <w:sz w:val="21"/>
                          </w:rPr>
                          <w:t>2.0%</w:t>
                        </w:r>
                      </w:p>
                    </w:tc>
                  </w:tr>
                  <w:tr>
                    <w:trPr>
                      <w:trHeight w:val="624" w:hRule="atLeast"/>
                    </w:trPr>
                    <w:tc>
                      <w:tcPr>
                        <w:tcW w:w="4237" w:type="dxa"/>
                      </w:tcPr>
                      <w:p>
                        <w:pPr>
                          <w:pStyle w:val="TableParagraph"/>
                          <w:ind w:left="107"/>
                          <w:rPr>
                            <w:rFonts w:ascii="宋体" w:eastAsia="宋体" w:hint="eastAsia"/>
                            <w:sz w:val="21"/>
                          </w:rPr>
                        </w:pPr>
                        <w:r>
                          <w:rPr>
                            <w:rFonts w:ascii="宋体" w:eastAsia="宋体" w:hint="eastAsia"/>
                            <w:sz w:val="21"/>
                          </w:rPr>
                          <w:t>收取的申购费率（</w:t>
                        </w:r>
                        <w:r>
                          <w:rPr>
                            <w:sz w:val="21"/>
                          </w:rPr>
                          <w:t>H=G-F*</w:t>
                        </w:r>
                        <w:r>
                          <w:rPr>
                            <w:rFonts w:ascii="宋体" w:eastAsia="宋体" w:hint="eastAsia"/>
                            <w:sz w:val="21"/>
                          </w:rPr>
                          <w:t>转出基金的持有时</w:t>
                        </w:r>
                      </w:p>
                      <w:p>
                        <w:pPr>
                          <w:pStyle w:val="TableParagraph"/>
                          <w:spacing w:before="43"/>
                          <w:ind w:left="107"/>
                          <w:rPr>
                            <w:rFonts w:ascii="宋体" w:eastAsia="宋体" w:hint="eastAsia"/>
                            <w:sz w:val="21"/>
                          </w:rPr>
                        </w:pPr>
                        <w:r>
                          <w:rPr>
                            <w:rFonts w:ascii="宋体" w:eastAsia="宋体" w:hint="eastAsia"/>
                            <w:w w:val="100"/>
                            <w:sz w:val="21"/>
                          </w:rPr>
                          <w:t>间（</w:t>
                        </w:r>
                        <w:r>
                          <w:rPr>
                            <w:rFonts w:ascii="宋体" w:eastAsia="宋体" w:hint="eastAsia"/>
                            <w:spacing w:val="-3"/>
                            <w:w w:val="100"/>
                            <w:sz w:val="21"/>
                          </w:rPr>
                          <w:t>单位为年</w:t>
                        </w:r>
                        <w:r>
                          <w:rPr>
                            <w:rFonts w:ascii="宋体" w:eastAsia="宋体" w:hint="eastAsia"/>
                            <w:spacing w:val="-108"/>
                            <w:w w:val="100"/>
                            <w:sz w:val="21"/>
                          </w:rPr>
                          <w:t>）</w:t>
                        </w:r>
                        <w:r>
                          <w:rPr>
                            <w:rFonts w:ascii="宋体" w:eastAsia="宋体" w:hint="eastAsia"/>
                            <w:w w:val="100"/>
                            <w:sz w:val="21"/>
                          </w:rPr>
                          <w:t>）</w:t>
                        </w:r>
                      </w:p>
                    </w:tc>
                    <w:tc>
                      <w:tcPr>
                        <w:tcW w:w="3217" w:type="dxa"/>
                      </w:tcPr>
                      <w:p>
                        <w:pPr>
                          <w:pStyle w:val="TableParagraph"/>
                          <w:spacing w:before="4"/>
                          <w:rPr>
                            <w:rFonts w:ascii="宋体"/>
                            <w:sz w:val="14"/>
                          </w:rPr>
                        </w:pPr>
                      </w:p>
                      <w:p>
                        <w:pPr>
                          <w:pStyle w:val="TableParagraph"/>
                          <w:spacing w:before="0"/>
                          <w:ind w:right="95"/>
                          <w:jc w:val="right"/>
                          <w:rPr>
                            <w:sz w:val="21"/>
                          </w:rPr>
                        </w:pPr>
                        <w:r>
                          <w:rPr>
                            <w:sz w:val="21"/>
                          </w:rPr>
                          <w:t>1.88%</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pacing w:val="-2"/>
                            <w:w w:val="100"/>
                            <w:sz w:val="21"/>
                          </w:rPr>
                          <w:t>净转入金额</w:t>
                        </w:r>
                        <w:r>
                          <w:rPr>
                            <w:rFonts w:ascii="宋体" w:eastAsia="宋体" w:hint="eastAsia"/>
                            <w:spacing w:val="-1"/>
                            <w:w w:val="100"/>
                            <w:sz w:val="21"/>
                          </w:rPr>
                          <w:t>（</w:t>
                        </w:r>
                        <w:r>
                          <w:rPr>
                            <w:w w:val="100"/>
                            <w:sz w:val="21"/>
                          </w:rPr>
                          <w:t>I</w:t>
                        </w:r>
                        <w:r>
                          <w:rPr>
                            <w:spacing w:val="-3"/>
                            <w:w w:val="100"/>
                            <w:sz w:val="21"/>
                          </w:rPr>
                          <w:t>=</w:t>
                        </w:r>
                        <w:r>
                          <w:rPr>
                            <w:spacing w:val="-1"/>
                            <w:w w:val="100"/>
                            <w:sz w:val="21"/>
                          </w:rPr>
                          <w:t>E</w:t>
                        </w:r>
                        <w:r>
                          <w:rPr>
                            <w:w w:val="100"/>
                            <w:sz w:val="21"/>
                          </w:rPr>
                          <w:t>/</w:t>
                        </w:r>
                        <w:r>
                          <w:rPr>
                            <w:rFonts w:ascii="宋体" w:eastAsia="宋体" w:hint="eastAsia"/>
                            <w:spacing w:val="-3"/>
                            <w:w w:val="100"/>
                            <w:sz w:val="21"/>
                          </w:rPr>
                          <w:t>（</w:t>
                        </w:r>
                        <w:r>
                          <w:rPr>
                            <w:w w:val="100"/>
                            <w:sz w:val="21"/>
                          </w:rPr>
                          <w:t>1</w:t>
                        </w:r>
                        <w:r>
                          <w:rPr>
                            <w:spacing w:val="-2"/>
                            <w:w w:val="100"/>
                            <w:sz w:val="21"/>
                          </w:rPr>
                          <w:t>+</w:t>
                        </w:r>
                        <w:r>
                          <w:rPr>
                            <w:w w:val="100"/>
                            <w:sz w:val="21"/>
                          </w:rPr>
                          <w:t>H</w:t>
                        </w:r>
                        <w:r>
                          <w:rPr>
                            <w:rFonts w:ascii="宋体" w:eastAsia="宋体" w:hint="eastAsia"/>
                            <w:spacing w:val="-108"/>
                            <w:w w:val="100"/>
                            <w:sz w:val="21"/>
                          </w:rPr>
                          <w:t>）</w:t>
                        </w:r>
                        <w:r>
                          <w:rPr>
                            <w:rFonts w:ascii="宋体" w:eastAsia="宋体" w:hint="eastAsia"/>
                            <w:w w:val="100"/>
                            <w:sz w:val="21"/>
                          </w:rPr>
                          <w:t>）</w:t>
                        </w:r>
                      </w:p>
                    </w:tc>
                    <w:tc>
                      <w:tcPr>
                        <w:tcW w:w="3217" w:type="dxa"/>
                      </w:tcPr>
                      <w:p>
                        <w:pPr>
                          <w:pStyle w:val="TableParagraph"/>
                          <w:spacing w:before="28"/>
                          <w:ind w:right="96"/>
                          <w:jc w:val="right"/>
                          <w:rPr>
                            <w:sz w:val="21"/>
                          </w:rPr>
                        </w:pPr>
                        <w:r>
                          <w:rPr>
                            <w:sz w:val="21"/>
                          </w:rPr>
                          <w:t>1,177.86</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转入基金费用（</w:t>
                        </w:r>
                        <w:r>
                          <w:rPr>
                            <w:sz w:val="21"/>
                          </w:rPr>
                          <w:t>J=E-I</w:t>
                        </w:r>
                        <w:r>
                          <w:rPr>
                            <w:rFonts w:ascii="宋体" w:eastAsia="宋体" w:hint="eastAsia"/>
                            <w:sz w:val="21"/>
                          </w:rPr>
                          <w:t>）</w:t>
                        </w:r>
                      </w:p>
                    </w:tc>
                    <w:tc>
                      <w:tcPr>
                        <w:tcW w:w="3217" w:type="dxa"/>
                      </w:tcPr>
                      <w:p>
                        <w:pPr>
                          <w:pStyle w:val="TableParagraph"/>
                          <w:spacing w:before="28"/>
                          <w:ind w:right="95"/>
                          <w:jc w:val="right"/>
                          <w:rPr>
                            <w:sz w:val="21"/>
                          </w:rPr>
                        </w:pPr>
                        <w:r>
                          <w:rPr>
                            <w:sz w:val="21"/>
                          </w:rPr>
                          <w:t>22.14</w:t>
                        </w:r>
                      </w:p>
                    </w:tc>
                  </w:tr>
                  <w:tr>
                    <w:trPr>
                      <w:trHeight w:val="314" w:hRule="atLeast"/>
                    </w:trPr>
                    <w:tc>
                      <w:tcPr>
                        <w:tcW w:w="4237" w:type="dxa"/>
                      </w:tcPr>
                      <w:p>
                        <w:pPr>
                          <w:pStyle w:val="TableParagraph"/>
                          <w:spacing w:before="25"/>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K</w:t>
                        </w:r>
                        <w:r>
                          <w:rPr>
                            <w:rFonts w:ascii="宋体" w:eastAsia="宋体" w:hint="eastAsia"/>
                            <w:sz w:val="21"/>
                          </w:rPr>
                          <w:t>）</w:t>
                        </w:r>
                      </w:p>
                    </w:tc>
                    <w:tc>
                      <w:tcPr>
                        <w:tcW w:w="3217" w:type="dxa"/>
                      </w:tcPr>
                      <w:p>
                        <w:pPr>
                          <w:pStyle w:val="TableParagraph"/>
                          <w:spacing w:before="30"/>
                          <w:ind w:right="95"/>
                          <w:jc w:val="right"/>
                          <w:rPr>
                            <w:sz w:val="21"/>
                          </w:rPr>
                        </w:pPr>
                        <w:r>
                          <w:rPr>
                            <w:sz w:val="21"/>
                          </w:rPr>
                          <w:t>1.300</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转入基金份额（</w:t>
                        </w:r>
                        <w:r>
                          <w:rPr>
                            <w:sz w:val="21"/>
                          </w:rPr>
                          <w:t>L=I/K</w:t>
                        </w:r>
                        <w:r>
                          <w:rPr>
                            <w:rFonts w:ascii="宋体" w:eastAsia="宋体" w:hint="eastAsia"/>
                            <w:sz w:val="21"/>
                          </w:rPr>
                          <w:t>）</w:t>
                        </w:r>
                      </w:p>
                    </w:tc>
                    <w:tc>
                      <w:tcPr>
                        <w:tcW w:w="3217" w:type="dxa"/>
                      </w:tcPr>
                      <w:p>
                        <w:pPr>
                          <w:pStyle w:val="TableParagraph"/>
                          <w:spacing w:before="28"/>
                          <w:ind w:right="95"/>
                          <w:jc w:val="right"/>
                          <w:rPr>
                            <w:sz w:val="21"/>
                          </w:rPr>
                        </w:pPr>
                        <w:r>
                          <w:rPr>
                            <w:sz w:val="21"/>
                          </w:rPr>
                          <w:t>906.05</w:t>
                        </w:r>
                      </w:p>
                    </w:tc>
                  </w:tr>
                </w:tbl>
                <w:p>
                  <w:pPr>
                    <w:pStyle w:val="BodyText"/>
                  </w:pPr>
                </w:p>
              </w:txbxContent>
            </v:textbox>
            <w10:wrap type="none"/>
          </v:shape>
        </w:pict>
      </w:r>
      <w:r>
        <w:rPr>
          <w:spacing w:val="-10"/>
        </w:rPr>
        <w:t>例十三：假定投资者在 </w:t>
      </w:r>
      <w:r>
        <w:rPr>
          <w:rFonts w:ascii="Calibri" w:eastAsia="Calibri"/>
        </w:rPr>
        <w:t>T </w:t>
      </w:r>
      <w:r>
        <w:rPr>
          <w:spacing w:val="-9"/>
        </w:rPr>
        <w:t>日转出持有期为 </w:t>
      </w:r>
      <w:r>
        <w:rPr>
          <w:rFonts w:ascii="Calibri" w:eastAsia="Calibri"/>
        </w:rPr>
        <w:t>146 </w:t>
      </w:r>
      <w:r>
        <w:rPr>
          <w:spacing w:val="-7"/>
        </w:rPr>
        <w:t>天的不收取申购费用基金甲 </w:t>
      </w:r>
      <w:r>
        <w:rPr>
          <w:rFonts w:ascii="Calibri" w:eastAsia="Calibri"/>
        </w:rPr>
        <w:t>1,000 </w:t>
      </w:r>
      <w:r>
        <w:rPr>
          <w:spacing w:val="-10"/>
        </w:rPr>
        <w:t>份，转</w:t>
      </w:r>
      <w:r>
        <w:rPr>
          <w:spacing w:val="-6"/>
        </w:rPr>
        <w:t>入前端收费基金乙。</w:t>
      </w:r>
      <w:r>
        <w:rPr>
          <w:rFonts w:ascii="Calibri" w:eastAsia="Calibri"/>
        </w:rPr>
        <w:t>T </w:t>
      </w:r>
      <w:r>
        <w:rPr>
          <w:spacing w:val="-8"/>
        </w:rPr>
        <w:t>日甲、乙基金基金份额净值分别为 </w:t>
      </w:r>
      <w:r>
        <w:rPr>
          <w:rFonts w:ascii="Calibri" w:eastAsia="Calibri"/>
        </w:rPr>
        <w:t>1.200</w:t>
      </w:r>
      <w:r>
        <w:rPr>
          <w:spacing w:val="-15"/>
        </w:rPr>
        <w:t>、</w:t>
      </w:r>
      <w:r>
        <w:rPr>
          <w:rFonts w:ascii="Calibri" w:eastAsia="Calibri"/>
        </w:rPr>
        <w:t>1.300 </w:t>
      </w:r>
      <w:r>
        <w:rPr>
          <w:spacing w:val="-5"/>
        </w:rPr>
        <w:t>元。甲基金销售服务</w:t>
      </w:r>
      <w:r>
        <w:rPr>
          <w:spacing w:val="-10"/>
        </w:rPr>
        <w:t>费率为 </w:t>
      </w:r>
      <w:r>
        <w:rPr>
          <w:rFonts w:ascii="Calibri" w:eastAsia="Calibri"/>
        </w:rPr>
        <w:t>0.3%</w:t>
      </w:r>
      <w:r>
        <w:rPr>
          <w:spacing w:val="-5"/>
        </w:rPr>
        <w:t>，此时转出不收取赎回费。乙基金适用申购费率为 </w:t>
      </w:r>
      <w:r>
        <w:rPr>
          <w:rFonts w:ascii="Calibri" w:eastAsia="Calibri"/>
        </w:rPr>
        <w:t>2.0%</w:t>
      </w:r>
      <w:r>
        <w:rPr>
          <w:spacing w:val="-3"/>
        </w:rPr>
        <w:t>。则转出基金费用、转入基金费用及份额计算如下：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line="417" w:lineRule="auto" w:before="152"/>
        <w:ind w:left="160" w:right="871" w:firstLine="419"/>
        <w:jc w:val="both"/>
      </w:pPr>
      <w:r>
        <w:rPr/>
        <w:pict>
          <v:shape style="position:absolute;margin-left:111.379997pt;margin-top:96.219963pt;width:372.95pt;height:32.7pt;mso-position-horizontal-relative:page;mso-position-vertical-relative:paragraph;z-index:25169408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312" w:hRule="atLeast"/>
                    </w:trPr>
                    <w:tc>
                      <w:tcPr>
                        <w:tcW w:w="4232" w:type="dxa"/>
                      </w:tcPr>
                      <w:p>
                        <w:pPr>
                          <w:pStyle w:val="TableParagraph"/>
                          <w:spacing w:before="23"/>
                          <w:ind w:left="1678" w:right="1666"/>
                          <w:jc w:val="center"/>
                          <w:rPr>
                            <w:rFonts w:ascii="宋体" w:eastAsia="宋体" w:hint="eastAsia"/>
                            <w:sz w:val="21"/>
                          </w:rPr>
                        </w:pPr>
                        <w:r>
                          <w:rPr>
                            <w:rFonts w:ascii="宋体" w:eastAsia="宋体" w:hint="eastAsia"/>
                            <w:sz w:val="21"/>
                          </w:rPr>
                          <w:t>项目</w:t>
                        </w:r>
                      </w:p>
                    </w:tc>
                    <w:tc>
                      <w:tcPr>
                        <w:tcW w:w="3212" w:type="dxa"/>
                      </w:tcPr>
                      <w:p>
                        <w:pPr>
                          <w:pStyle w:val="TableParagraph"/>
                          <w:spacing w:before="23"/>
                          <w:ind w:left="1108" w:right="1097"/>
                          <w:jc w:val="center"/>
                          <w:rPr>
                            <w:rFonts w:ascii="宋体" w:eastAsia="宋体" w:hint="eastAsia"/>
                            <w:sz w:val="21"/>
                          </w:rPr>
                        </w:pPr>
                        <w:r>
                          <w:rPr>
                            <w:rFonts w:ascii="宋体" w:eastAsia="宋体" w:hint="eastAsia"/>
                            <w:sz w:val="21"/>
                          </w:rPr>
                          <w:t>费用计算</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2" w:type="dxa"/>
                      </w:tcPr>
                      <w:p>
                        <w:pPr>
                          <w:pStyle w:val="TableParagraph"/>
                          <w:spacing w:before="28"/>
                          <w:ind w:left="1881"/>
                          <w:rPr>
                            <w:sz w:val="21"/>
                          </w:rPr>
                        </w:pPr>
                        <w:r>
                          <w:rPr>
                            <w:sz w:val="21"/>
                          </w:rPr>
                          <w:t>10,000,000.00</w:t>
                        </w:r>
                      </w:p>
                    </w:tc>
                  </w:tr>
                </w:tbl>
                <w:p>
                  <w:pPr>
                    <w:pStyle w:val="BodyText"/>
                  </w:pPr>
                </w:p>
              </w:txbxContent>
            </v:textbox>
            <w10:wrap type="none"/>
          </v:shape>
        </w:pict>
      </w:r>
      <w:r>
        <w:rPr>
          <w:spacing w:val="-11"/>
        </w:rPr>
        <w:t>例十四：假定投资者在</w:t>
      </w:r>
      <w:r>
        <w:rPr>
          <w:rFonts w:ascii="Calibri" w:eastAsia="Calibri"/>
        </w:rPr>
        <w:t>T </w:t>
      </w:r>
      <w:r>
        <w:rPr>
          <w:spacing w:val="2"/>
        </w:rPr>
        <w:t>日转出持有期为</w:t>
      </w:r>
      <w:r>
        <w:rPr>
          <w:rFonts w:ascii="Calibri" w:eastAsia="Calibri"/>
        </w:rPr>
        <w:t>10 </w:t>
      </w:r>
      <w:r>
        <w:rPr/>
        <w:t>天的不收取申购费用基金甲</w:t>
      </w:r>
      <w:r>
        <w:rPr>
          <w:rFonts w:ascii="Calibri" w:eastAsia="Calibri"/>
        </w:rPr>
        <w:t>10,000,000 </w:t>
      </w:r>
      <w:r>
        <w:rPr/>
        <w:t>份， </w:t>
      </w:r>
      <w:r>
        <w:rPr>
          <w:spacing w:val="-5"/>
        </w:rPr>
        <w:t>转入前端收费基金乙。</w:t>
      </w:r>
      <w:r>
        <w:rPr>
          <w:rFonts w:ascii="Calibri" w:eastAsia="Calibri"/>
        </w:rPr>
        <w:t>T </w:t>
      </w:r>
      <w:r>
        <w:rPr>
          <w:spacing w:val="-8"/>
        </w:rPr>
        <w:t>日甲、乙基金基金份额净值分别为 </w:t>
      </w:r>
      <w:r>
        <w:rPr>
          <w:rFonts w:ascii="Calibri" w:eastAsia="Calibri"/>
        </w:rPr>
        <w:t>1.200</w:t>
      </w:r>
      <w:r>
        <w:rPr>
          <w:spacing w:val="-15"/>
        </w:rPr>
        <w:t>、</w:t>
      </w:r>
      <w:r>
        <w:rPr>
          <w:rFonts w:ascii="Calibri" w:eastAsia="Calibri"/>
        </w:rPr>
        <w:t>1.300 </w:t>
      </w:r>
      <w:r>
        <w:rPr>
          <w:spacing w:val="-5"/>
        </w:rPr>
        <w:t>元。甲基金销售服</w:t>
      </w:r>
      <w:r>
        <w:rPr>
          <w:spacing w:val="-9"/>
        </w:rPr>
        <w:t>务费率为 </w:t>
      </w:r>
      <w:r>
        <w:rPr>
          <w:rFonts w:ascii="Calibri" w:eastAsia="Calibri"/>
        </w:rPr>
        <w:t>0.3%</w:t>
      </w:r>
      <w:r>
        <w:rPr>
          <w:spacing w:val="-4"/>
        </w:rPr>
        <w:t>，此时转出不收取赎回费。乙基金适用固定申购费 </w:t>
      </w:r>
      <w:r>
        <w:rPr>
          <w:rFonts w:ascii="Calibri" w:eastAsia="Calibri"/>
        </w:rPr>
        <w:t>1,000.00 </w:t>
      </w:r>
      <w:r>
        <w:rPr>
          <w:spacing w:val="-3"/>
        </w:rPr>
        <w:t>元。则转出基金费用、转入基金费用及份额计算如下：</w:t>
      </w:r>
    </w:p>
    <w:p>
      <w:pPr>
        <w:spacing w:after="0" w:line="417" w:lineRule="auto"/>
        <w:jc w:val="both"/>
        <w:sectPr>
          <w:pgSz w:w="11910" w:h="16840"/>
          <w:pgMar w:header="877" w:footer="995" w:top="1420" w:bottom="1180" w:left="1640" w:right="920"/>
        </w:sectPr>
      </w:pPr>
    </w:p>
    <w:tbl>
      <w:tblPr>
        <w:tblW w:w="0" w:type="auto"/>
        <w:jc w:val="left"/>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312" w:hRule="atLeast"/>
        </w:trPr>
        <w:tc>
          <w:tcPr>
            <w:tcW w:w="4232" w:type="dxa"/>
          </w:tcPr>
          <w:p>
            <w:pPr>
              <w:pStyle w:val="TableParagraph"/>
              <w:spacing w:before="23"/>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2" w:type="dxa"/>
          </w:tcPr>
          <w:p>
            <w:pPr>
              <w:pStyle w:val="TableParagraph"/>
              <w:spacing w:before="28"/>
              <w:ind w:right="95"/>
              <w:jc w:val="right"/>
              <w:rPr>
                <w:sz w:val="21"/>
              </w:rPr>
            </w:pPr>
            <w:r>
              <w:rPr>
                <w:sz w:val="21"/>
              </w:rPr>
              <w:t>1.200</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2" w:type="dxa"/>
          </w:tcPr>
          <w:p>
            <w:pPr>
              <w:pStyle w:val="TableParagraph"/>
              <w:spacing w:before="28"/>
              <w:ind w:right="96"/>
              <w:jc w:val="right"/>
              <w:rPr>
                <w:sz w:val="21"/>
              </w:rPr>
            </w:pPr>
            <w:r>
              <w:rPr>
                <w:sz w:val="21"/>
              </w:rPr>
              <w:t>12,000,000.00</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转出基金费用（</w:t>
            </w:r>
            <w:r>
              <w:rPr>
                <w:sz w:val="21"/>
              </w:rPr>
              <w:t>D</w:t>
            </w:r>
            <w:r>
              <w:rPr>
                <w:rFonts w:ascii="宋体" w:eastAsia="宋体" w:hint="eastAsia"/>
                <w:sz w:val="21"/>
              </w:rPr>
              <w:t>）</w:t>
            </w:r>
          </w:p>
        </w:tc>
        <w:tc>
          <w:tcPr>
            <w:tcW w:w="3212" w:type="dxa"/>
          </w:tcPr>
          <w:p>
            <w:pPr>
              <w:pStyle w:val="TableParagraph"/>
              <w:spacing w:before="28"/>
              <w:ind w:right="95"/>
              <w:jc w:val="right"/>
              <w:rPr>
                <w:sz w:val="21"/>
              </w:rPr>
            </w:pPr>
            <w:r>
              <w:rPr>
                <w:sz w:val="21"/>
              </w:rPr>
              <w:t>0.00</w:t>
            </w:r>
          </w:p>
        </w:tc>
      </w:tr>
      <w:tr>
        <w:trPr>
          <w:trHeight w:val="313" w:hRule="atLeast"/>
        </w:trPr>
        <w:tc>
          <w:tcPr>
            <w:tcW w:w="4232" w:type="dxa"/>
          </w:tcPr>
          <w:p>
            <w:pPr>
              <w:pStyle w:val="TableParagraph"/>
              <w:spacing w:before="25"/>
              <w:ind w:left="107"/>
              <w:rPr>
                <w:rFonts w:ascii="宋体" w:eastAsia="宋体" w:hint="eastAsia"/>
                <w:sz w:val="21"/>
              </w:rPr>
            </w:pPr>
            <w:r>
              <w:rPr>
                <w:rFonts w:ascii="宋体" w:eastAsia="宋体" w:hint="eastAsia"/>
                <w:sz w:val="21"/>
              </w:rPr>
              <w:t>转换金额（</w:t>
            </w:r>
            <w:r>
              <w:rPr>
                <w:sz w:val="21"/>
              </w:rPr>
              <w:t>E=C-D</w:t>
            </w:r>
            <w:r>
              <w:rPr>
                <w:rFonts w:ascii="宋体" w:eastAsia="宋体" w:hint="eastAsia"/>
                <w:sz w:val="21"/>
              </w:rPr>
              <w:t>）</w:t>
            </w:r>
          </w:p>
        </w:tc>
        <w:tc>
          <w:tcPr>
            <w:tcW w:w="3212" w:type="dxa"/>
          </w:tcPr>
          <w:p>
            <w:pPr>
              <w:pStyle w:val="TableParagraph"/>
              <w:spacing w:before="30"/>
              <w:ind w:right="96"/>
              <w:jc w:val="right"/>
              <w:rPr>
                <w:sz w:val="21"/>
              </w:rPr>
            </w:pPr>
            <w:r>
              <w:rPr>
                <w:sz w:val="21"/>
              </w:rPr>
              <w:t>12,000,000.00</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销售服务费率（</w:t>
            </w:r>
            <w:r>
              <w:rPr>
                <w:sz w:val="21"/>
              </w:rPr>
              <w:t>F</w:t>
            </w:r>
            <w:r>
              <w:rPr>
                <w:rFonts w:ascii="宋体" w:eastAsia="宋体" w:hint="eastAsia"/>
                <w:sz w:val="21"/>
              </w:rPr>
              <w:t>）</w:t>
            </w:r>
          </w:p>
        </w:tc>
        <w:tc>
          <w:tcPr>
            <w:tcW w:w="3212" w:type="dxa"/>
          </w:tcPr>
          <w:p>
            <w:pPr>
              <w:pStyle w:val="TableParagraph"/>
              <w:spacing w:before="28"/>
              <w:ind w:right="94"/>
              <w:jc w:val="right"/>
              <w:rPr>
                <w:sz w:val="21"/>
              </w:rPr>
            </w:pPr>
            <w:r>
              <w:rPr>
                <w:sz w:val="21"/>
              </w:rPr>
              <w:t>0.3%</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转入基金申购费用（</w:t>
            </w:r>
            <w:r>
              <w:rPr>
                <w:sz w:val="21"/>
              </w:rPr>
              <w:t>G</w:t>
            </w:r>
            <w:r>
              <w:rPr>
                <w:rFonts w:ascii="宋体" w:eastAsia="宋体" w:hint="eastAsia"/>
                <w:sz w:val="21"/>
              </w:rPr>
              <w:t>）</w:t>
            </w:r>
          </w:p>
        </w:tc>
        <w:tc>
          <w:tcPr>
            <w:tcW w:w="3212" w:type="dxa"/>
          </w:tcPr>
          <w:p>
            <w:pPr>
              <w:pStyle w:val="TableParagraph"/>
              <w:spacing w:before="28"/>
              <w:ind w:right="97"/>
              <w:jc w:val="right"/>
              <w:rPr>
                <w:sz w:val="21"/>
              </w:rPr>
            </w:pPr>
            <w:r>
              <w:rPr>
                <w:sz w:val="21"/>
              </w:rPr>
              <w:t>1,000.00</w:t>
            </w:r>
          </w:p>
        </w:tc>
      </w:tr>
      <w:tr>
        <w:trPr>
          <w:trHeight w:val="623" w:hRule="atLeast"/>
        </w:trPr>
        <w:tc>
          <w:tcPr>
            <w:tcW w:w="4232" w:type="dxa"/>
          </w:tcPr>
          <w:p>
            <w:pPr>
              <w:pStyle w:val="TableParagraph"/>
              <w:ind w:left="107"/>
              <w:rPr>
                <w:rFonts w:ascii="宋体" w:eastAsia="宋体" w:hint="eastAsia"/>
                <w:sz w:val="21"/>
              </w:rPr>
            </w:pPr>
            <w:r>
              <w:rPr>
                <w:rFonts w:ascii="宋体" w:eastAsia="宋体" w:hint="eastAsia"/>
                <w:sz w:val="21"/>
              </w:rPr>
              <w:t>转入基金费用（</w:t>
            </w:r>
            <w:r>
              <w:rPr>
                <w:sz w:val="21"/>
              </w:rPr>
              <w:t>H=G-E*F*</w:t>
            </w:r>
            <w:r>
              <w:rPr>
                <w:rFonts w:ascii="宋体" w:eastAsia="宋体" w:hint="eastAsia"/>
                <w:sz w:val="21"/>
              </w:rPr>
              <w:t>转出基金的持有时</w:t>
            </w:r>
          </w:p>
          <w:p>
            <w:pPr>
              <w:pStyle w:val="TableParagraph"/>
              <w:spacing w:before="43"/>
              <w:ind w:left="107"/>
              <w:rPr>
                <w:rFonts w:ascii="宋体" w:eastAsia="宋体" w:hint="eastAsia"/>
                <w:sz w:val="21"/>
              </w:rPr>
            </w:pPr>
            <w:r>
              <w:rPr>
                <w:rFonts w:ascii="宋体" w:eastAsia="宋体" w:hint="eastAsia"/>
                <w:w w:val="100"/>
                <w:sz w:val="21"/>
              </w:rPr>
              <w:t>间（</w:t>
            </w:r>
            <w:r>
              <w:rPr>
                <w:rFonts w:ascii="宋体" w:eastAsia="宋体" w:hint="eastAsia"/>
                <w:spacing w:val="-3"/>
                <w:w w:val="100"/>
                <w:sz w:val="21"/>
              </w:rPr>
              <w:t>单位为年</w:t>
            </w:r>
            <w:r>
              <w:rPr>
                <w:rFonts w:ascii="宋体" w:eastAsia="宋体" w:hint="eastAsia"/>
                <w:spacing w:val="-108"/>
                <w:w w:val="100"/>
                <w:sz w:val="21"/>
              </w:rPr>
              <w:t>）</w:t>
            </w:r>
            <w:r>
              <w:rPr>
                <w:rFonts w:ascii="宋体" w:eastAsia="宋体" w:hint="eastAsia"/>
                <w:w w:val="100"/>
                <w:sz w:val="21"/>
              </w:rPr>
              <w:t>）</w:t>
            </w:r>
          </w:p>
        </w:tc>
        <w:tc>
          <w:tcPr>
            <w:tcW w:w="3212" w:type="dxa"/>
          </w:tcPr>
          <w:p>
            <w:pPr>
              <w:pStyle w:val="TableParagraph"/>
              <w:spacing w:before="4"/>
              <w:rPr>
                <w:rFonts w:ascii="宋体"/>
                <w:sz w:val="14"/>
              </w:rPr>
            </w:pPr>
          </w:p>
          <w:p>
            <w:pPr>
              <w:pStyle w:val="TableParagraph"/>
              <w:spacing w:before="0"/>
              <w:ind w:right="95"/>
              <w:jc w:val="right"/>
              <w:rPr>
                <w:sz w:val="21"/>
              </w:rPr>
            </w:pPr>
            <w:r>
              <w:rPr>
                <w:sz w:val="21"/>
              </w:rPr>
              <w:t>13.70</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净转入金额（</w:t>
            </w:r>
            <w:r>
              <w:rPr>
                <w:sz w:val="21"/>
              </w:rPr>
              <w:t>I=E-H</w:t>
            </w:r>
            <w:r>
              <w:rPr>
                <w:rFonts w:ascii="宋体" w:eastAsia="宋体" w:hint="eastAsia"/>
                <w:sz w:val="21"/>
              </w:rPr>
              <w:t>）</w:t>
            </w:r>
          </w:p>
        </w:tc>
        <w:tc>
          <w:tcPr>
            <w:tcW w:w="3212" w:type="dxa"/>
          </w:tcPr>
          <w:p>
            <w:pPr>
              <w:pStyle w:val="TableParagraph"/>
              <w:spacing w:before="28"/>
              <w:ind w:right="96"/>
              <w:jc w:val="right"/>
              <w:rPr>
                <w:sz w:val="21"/>
              </w:rPr>
            </w:pPr>
            <w:r>
              <w:rPr>
                <w:sz w:val="21"/>
              </w:rPr>
              <w:t>11,999,986.30</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12" w:type="dxa"/>
          </w:tcPr>
          <w:p>
            <w:pPr>
              <w:pStyle w:val="TableParagraph"/>
              <w:spacing w:before="28"/>
              <w:ind w:right="95"/>
              <w:jc w:val="right"/>
              <w:rPr>
                <w:sz w:val="21"/>
              </w:rPr>
            </w:pPr>
            <w:r>
              <w:rPr>
                <w:sz w:val="21"/>
              </w:rPr>
              <w:t>1.300</w:t>
            </w:r>
          </w:p>
        </w:tc>
      </w:tr>
      <w:tr>
        <w:trPr>
          <w:trHeight w:val="314" w:hRule="atLeast"/>
        </w:trPr>
        <w:tc>
          <w:tcPr>
            <w:tcW w:w="4232" w:type="dxa"/>
          </w:tcPr>
          <w:p>
            <w:pPr>
              <w:pStyle w:val="TableParagraph"/>
              <w:spacing w:before="25"/>
              <w:ind w:left="107"/>
              <w:rPr>
                <w:rFonts w:ascii="宋体" w:eastAsia="宋体" w:hint="eastAsia"/>
                <w:sz w:val="21"/>
              </w:rPr>
            </w:pPr>
            <w:r>
              <w:rPr>
                <w:rFonts w:ascii="宋体" w:eastAsia="宋体" w:hint="eastAsia"/>
                <w:sz w:val="21"/>
              </w:rPr>
              <w:t>转入基金份额（</w:t>
            </w:r>
            <w:r>
              <w:rPr>
                <w:sz w:val="21"/>
              </w:rPr>
              <w:t>K=I/J</w:t>
            </w:r>
            <w:r>
              <w:rPr>
                <w:rFonts w:ascii="宋体" w:eastAsia="宋体" w:hint="eastAsia"/>
                <w:sz w:val="21"/>
              </w:rPr>
              <w:t>）</w:t>
            </w:r>
          </w:p>
        </w:tc>
        <w:tc>
          <w:tcPr>
            <w:tcW w:w="3212" w:type="dxa"/>
          </w:tcPr>
          <w:p>
            <w:pPr>
              <w:pStyle w:val="TableParagraph"/>
              <w:spacing w:before="30"/>
              <w:ind w:right="96"/>
              <w:jc w:val="right"/>
              <w:rPr>
                <w:sz w:val="21"/>
              </w:rPr>
            </w:pPr>
            <w:r>
              <w:rPr>
                <w:sz w:val="21"/>
              </w:rPr>
              <w:t>9,230,758.69</w:t>
            </w:r>
          </w:p>
        </w:tc>
      </w:tr>
    </w:tbl>
    <w:p>
      <w:pPr>
        <w:pStyle w:val="BodyText"/>
        <w:spacing w:before="109"/>
        <w:ind w:left="580"/>
      </w:pPr>
      <w:r>
        <w:rPr/>
        <w:t>例十五：假定投资者在 </w:t>
      </w:r>
      <w:r>
        <w:rPr>
          <w:rFonts w:ascii="Calibri" w:eastAsia="Calibri"/>
        </w:rPr>
        <w:t>2010 </w:t>
      </w:r>
      <w:r>
        <w:rPr/>
        <w:t>年 </w:t>
      </w:r>
      <w:r>
        <w:rPr>
          <w:rFonts w:ascii="Calibri" w:eastAsia="Calibri"/>
        </w:rPr>
        <w:t>3 </w:t>
      </w:r>
      <w:r>
        <w:rPr/>
        <w:t>月 </w:t>
      </w:r>
      <w:r>
        <w:rPr>
          <w:rFonts w:ascii="Calibri" w:eastAsia="Calibri"/>
        </w:rPr>
        <w:t>15 </w:t>
      </w:r>
      <w:r>
        <w:rPr/>
        <w:t>日成功提交了基金转换申请，转出持有 </w:t>
      </w:r>
      <w:r>
        <w:rPr>
          <w:rFonts w:ascii="Calibri" w:eastAsia="Calibri"/>
        </w:rPr>
        <w:t>60 </w:t>
      </w:r>
      <w:r>
        <w:rPr/>
        <w:t>天的</w:t>
      </w:r>
    </w:p>
    <w:p>
      <w:pPr>
        <w:pStyle w:val="BodyText"/>
        <w:spacing w:before="7"/>
        <w:rPr>
          <w:sz w:val="15"/>
        </w:rPr>
      </w:pPr>
    </w:p>
    <w:p>
      <w:pPr>
        <w:pStyle w:val="BodyText"/>
        <w:spacing w:line="417" w:lineRule="auto"/>
        <w:ind w:left="160" w:right="768"/>
      </w:pPr>
      <w:r>
        <w:rPr/>
        <w:pict>
          <v:shape style="position:absolute;margin-left:110.900002pt;margin-top:65.219986pt;width:373.9pt;height:166.25pt;mso-position-horizontal-relative:page;mso-position-vertical-relative:paragraph;z-index:25169510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2"/>
                    <w:gridCol w:w="3222"/>
                  </w:tblGrid>
                  <w:tr>
                    <w:trPr>
                      <w:trHeight w:val="405" w:hRule="atLeast"/>
                    </w:trPr>
                    <w:tc>
                      <w:tcPr>
                        <w:tcW w:w="4242" w:type="dxa"/>
                      </w:tcPr>
                      <w:p>
                        <w:pPr>
                          <w:pStyle w:val="TableParagraph"/>
                          <w:spacing w:before="68"/>
                          <w:ind w:left="2009" w:right="1762"/>
                          <w:jc w:val="center"/>
                          <w:rPr>
                            <w:rFonts w:ascii="宋体" w:eastAsia="宋体" w:hint="eastAsia"/>
                            <w:sz w:val="21"/>
                          </w:rPr>
                        </w:pPr>
                        <w:r>
                          <w:rPr>
                            <w:rFonts w:ascii="宋体" w:eastAsia="宋体" w:hint="eastAsia"/>
                            <w:sz w:val="21"/>
                          </w:rPr>
                          <w:t>项目</w:t>
                        </w:r>
                      </w:p>
                    </w:tc>
                    <w:tc>
                      <w:tcPr>
                        <w:tcW w:w="3222" w:type="dxa"/>
                      </w:tcPr>
                      <w:p>
                        <w:pPr>
                          <w:pStyle w:val="TableParagraph"/>
                          <w:spacing w:before="68"/>
                          <w:ind w:left="1401"/>
                          <w:rPr>
                            <w:rFonts w:ascii="宋体" w:eastAsia="宋体" w:hint="eastAsia"/>
                            <w:sz w:val="21"/>
                          </w:rPr>
                        </w:pPr>
                        <w:r>
                          <w:rPr>
                            <w:rFonts w:ascii="宋体" w:eastAsia="宋体" w:hint="eastAsia"/>
                            <w:sz w:val="21"/>
                          </w:rPr>
                          <w:t>费用计算</w:t>
                        </w:r>
                      </w:p>
                    </w:tc>
                  </w:tr>
                  <w:tr>
                    <w:trPr>
                      <w:trHeight w:val="311" w:hRule="atLeast"/>
                    </w:trPr>
                    <w:tc>
                      <w:tcPr>
                        <w:tcW w:w="4242" w:type="dxa"/>
                      </w:tcPr>
                      <w:p>
                        <w:pPr>
                          <w:pStyle w:val="TableParagraph"/>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2" w:type="dxa"/>
                      </w:tcPr>
                      <w:p>
                        <w:pPr>
                          <w:pStyle w:val="TableParagraph"/>
                          <w:spacing w:before="28"/>
                          <w:ind w:right="93"/>
                          <w:jc w:val="right"/>
                          <w:rPr>
                            <w:sz w:val="21"/>
                          </w:rPr>
                        </w:pPr>
                        <w:r>
                          <w:rPr>
                            <w:sz w:val="21"/>
                          </w:rPr>
                          <w:t>1,000</w:t>
                        </w:r>
                      </w:p>
                    </w:tc>
                  </w:tr>
                  <w:tr>
                    <w:trPr>
                      <w:trHeight w:val="311" w:hRule="atLeast"/>
                    </w:trPr>
                    <w:tc>
                      <w:tcPr>
                        <w:tcW w:w="4242" w:type="dxa"/>
                      </w:tcPr>
                      <w:p>
                        <w:pPr>
                          <w:pStyle w:val="TableParagraph"/>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2" w:type="dxa"/>
                      </w:tcPr>
                      <w:p>
                        <w:pPr>
                          <w:pStyle w:val="TableParagraph"/>
                          <w:spacing w:before="28"/>
                          <w:ind w:right="93"/>
                          <w:jc w:val="right"/>
                          <w:rPr>
                            <w:sz w:val="21"/>
                          </w:rPr>
                        </w:pPr>
                        <w:r>
                          <w:rPr>
                            <w:sz w:val="21"/>
                          </w:rPr>
                          <w:t>1.200</w:t>
                        </w:r>
                      </w:p>
                    </w:tc>
                  </w:tr>
                  <w:tr>
                    <w:trPr>
                      <w:trHeight w:val="312" w:hRule="atLeast"/>
                    </w:trPr>
                    <w:tc>
                      <w:tcPr>
                        <w:tcW w:w="4242" w:type="dxa"/>
                      </w:tcPr>
                      <w:p>
                        <w:pPr>
                          <w:pStyle w:val="TableParagraph"/>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2" w:type="dxa"/>
                      </w:tcPr>
                      <w:p>
                        <w:pPr>
                          <w:pStyle w:val="TableParagraph"/>
                          <w:spacing w:before="28"/>
                          <w:ind w:right="94"/>
                          <w:jc w:val="right"/>
                          <w:rPr>
                            <w:sz w:val="21"/>
                          </w:rPr>
                        </w:pPr>
                        <w:r>
                          <w:rPr>
                            <w:sz w:val="21"/>
                          </w:rPr>
                          <w:t>1,200.00</w:t>
                        </w:r>
                      </w:p>
                    </w:tc>
                  </w:tr>
                  <w:tr>
                    <w:trPr>
                      <w:trHeight w:val="313" w:hRule="atLeast"/>
                    </w:trPr>
                    <w:tc>
                      <w:tcPr>
                        <w:tcW w:w="4242" w:type="dxa"/>
                      </w:tcPr>
                      <w:p>
                        <w:pPr>
                          <w:pStyle w:val="TableParagraph"/>
                          <w:spacing w:before="25"/>
                          <w:ind w:left="107"/>
                          <w:rPr>
                            <w:rFonts w:ascii="宋体" w:eastAsia="宋体" w:hint="eastAsia"/>
                            <w:sz w:val="21"/>
                          </w:rPr>
                        </w:pPr>
                        <w:r>
                          <w:rPr>
                            <w:rFonts w:ascii="宋体" w:eastAsia="宋体" w:hint="eastAsia"/>
                            <w:sz w:val="21"/>
                          </w:rPr>
                          <w:t>转出基金费用（</w:t>
                        </w:r>
                        <w:r>
                          <w:rPr>
                            <w:sz w:val="21"/>
                          </w:rPr>
                          <w:t>D</w:t>
                        </w:r>
                        <w:r>
                          <w:rPr>
                            <w:rFonts w:ascii="宋体" w:eastAsia="宋体" w:hint="eastAsia"/>
                            <w:sz w:val="21"/>
                          </w:rPr>
                          <w:t>）</w:t>
                        </w:r>
                      </w:p>
                    </w:tc>
                    <w:tc>
                      <w:tcPr>
                        <w:tcW w:w="3222" w:type="dxa"/>
                      </w:tcPr>
                      <w:p>
                        <w:pPr>
                          <w:pStyle w:val="TableParagraph"/>
                          <w:spacing w:before="30"/>
                          <w:ind w:right="93"/>
                          <w:jc w:val="right"/>
                          <w:rPr>
                            <w:sz w:val="21"/>
                          </w:rPr>
                        </w:pPr>
                        <w:r>
                          <w:rPr>
                            <w:sz w:val="21"/>
                          </w:rPr>
                          <w:t>0.00</w:t>
                        </w:r>
                      </w:p>
                    </w:tc>
                  </w:tr>
                  <w:tr>
                    <w:trPr>
                      <w:trHeight w:val="311" w:hRule="atLeast"/>
                    </w:trPr>
                    <w:tc>
                      <w:tcPr>
                        <w:tcW w:w="4242" w:type="dxa"/>
                      </w:tcPr>
                      <w:p>
                        <w:pPr>
                          <w:pStyle w:val="TableParagraph"/>
                          <w:ind w:left="107"/>
                          <w:rPr>
                            <w:rFonts w:ascii="宋体" w:eastAsia="宋体" w:hint="eastAsia"/>
                            <w:sz w:val="21"/>
                          </w:rPr>
                        </w:pPr>
                        <w:r>
                          <w:rPr>
                            <w:rFonts w:ascii="宋体" w:eastAsia="宋体" w:hint="eastAsia"/>
                            <w:sz w:val="21"/>
                          </w:rPr>
                          <w:t>转换金额（</w:t>
                        </w:r>
                        <w:r>
                          <w:rPr>
                            <w:sz w:val="21"/>
                          </w:rPr>
                          <w:t>E=C-D</w:t>
                        </w:r>
                        <w:r>
                          <w:rPr>
                            <w:rFonts w:ascii="宋体" w:eastAsia="宋体" w:hint="eastAsia"/>
                            <w:sz w:val="21"/>
                          </w:rPr>
                          <w:t>）</w:t>
                        </w:r>
                      </w:p>
                    </w:tc>
                    <w:tc>
                      <w:tcPr>
                        <w:tcW w:w="3222" w:type="dxa"/>
                      </w:tcPr>
                      <w:p>
                        <w:pPr>
                          <w:pStyle w:val="TableParagraph"/>
                          <w:spacing w:before="28"/>
                          <w:ind w:right="94"/>
                          <w:jc w:val="right"/>
                          <w:rPr>
                            <w:sz w:val="21"/>
                          </w:rPr>
                        </w:pPr>
                        <w:r>
                          <w:rPr>
                            <w:sz w:val="21"/>
                          </w:rPr>
                          <w:t>1,200.00</w:t>
                        </w:r>
                      </w:p>
                    </w:tc>
                  </w:tr>
                  <w:tr>
                    <w:trPr>
                      <w:trHeight w:val="311" w:hRule="atLeast"/>
                    </w:trPr>
                    <w:tc>
                      <w:tcPr>
                        <w:tcW w:w="4242" w:type="dxa"/>
                      </w:tcPr>
                      <w:p>
                        <w:pPr>
                          <w:pStyle w:val="TableParagraph"/>
                          <w:ind w:left="107"/>
                          <w:rPr>
                            <w:rFonts w:ascii="宋体" w:eastAsia="宋体" w:hint="eastAsia"/>
                            <w:sz w:val="21"/>
                          </w:rPr>
                        </w:pPr>
                        <w:r>
                          <w:rPr>
                            <w:rFonts w:ascii="宋体" w:eastAsia="宋体" w:hint="eastAsia"/>
                            <w:sz w:val="21"/>
                          </w:rPr>
                          <w:t>转入基金费用（</w:t>
                        </w:r>
                        <w:r>
                          <w:rPr>
                            <w:sz w:val="21"/>
                          </w:rPr>
                          <w:t>F</w:t>
                        </w:r>
                        <w:r>
                          <w:rPr>
                            <w:rFonts w:ascii="宋体" w:eastAsia="宋体" w:hint="eastAsia"/>
                            <w:sz w:val="21"/>
                          </w:rPr>
                          <w:t>）</w:t>
                        </w:r>
                      </w:p>
                    </w:tc>
                    <w:tc>
                      <w:tcPr>
                        <w:tcW w:w="3222" w:type="dxa"/>
                      </w:tcPr>
                      <w:p>
                        <w:pPr>
                          <w:pStyle w:val="TableParagraph"/>
                          <w:spacing w:before="28"/>
                          <w:ind w:right="93"/>
                          <w:jc w:val="right"/>
                          <w:rPr>
                            <w:sz w:val="21"/>
                          </w:rPr>
                        </w:pPr>
                        <w:r>
                          <w:rPr>
                            <w:sz w:val="21"/>
                          </w:rPr>
                          <w:t>0.00</w:t>
                        </w:r>
                      </w:p>
                    </w:tc>
                  </w:tr>
                  <w:tr>
                    <w:trPr>
                      <w:trHeight w:val="311" w:hRule="atLeast"/>
                    </w:trPr>
                    <w:tc>
                      <w:tcPr>
                        <w:tcW w:w="4242" w:type="dxa"/>
                      </w:tcPr>
                      <w:p>
                        <w:pPr>
                          <w:pStyle w:val="TableParagraph"/>
                          <w:ind w:left="107"/>
                          <w:rPr>
                            <w:rFonts w:ascii="宋体" w:eastAsia="宋体" w:hint="eastAsia"/>
                            <w:sz w:val="21"/>
                          </w:rPr>
                        </w:pPr>
                        <w:r>
                          <w:rPr>
                            <w:rFonts w:ascii="宋体" w:eastAsia="宋体" w:hint="eastAsia"/>
                            <w:sz w:val="21"/>
                          </w:rPr>
                          <w:t>净转入金额（</w:t>
                        </w:r>
                        <w:r>
                          <w:rPr>
                            <w:sz w:val="21"/>
                          </w:rPr>
                          <w:t>G=E-F</w:t>
                        </w:r>
                        <w:r>
                          <w:rPr>
                            <w:rFonts w:ascii="宋体" w:eastAsia="宋体" w:hint="eastAsia"/>
                            <w:sz w:val="21"/>
                          </w:rPr>
                          <w:t>）</w:t>
                        </w:r>
                      </w:p>
                    </w:tc>
                    <w:tc>
                      <w:tcPr>
                        <w:tcW w:w="3222" w:type="dxa"/>
                      </w:tcPr>
                      <w:p>
                        <w:pPr>
                          <w:pStyle w:val="TableParagraph"/>
                          <w:spacing w:before="28"/>
                          <w:ind w:right="94"/>
                          <w:jc w:val="right"/>
                          <w:rPr>
                            <w:sz w:val="21"/>
                          </w:rPr>
                        </w:pPr>
                        <w:r>
                          <w:rPr>
                            <w:sz w:val="21"/>
                          </w:rPr>
                          <w:t>1,200.00</w:t>
                        </w:r>
                      </w:p>
                    </w:tc>
                  </w:tr>
                  <w:tr>
                    <w:trPr>
                      <w:trHeight w:val="311" w:hRule="atLeast"/>
                    </w:trPr>
                    <w:tc>
                      <w:tcPr>
                        <w:tcW w:w="4242" w:type="dxa"/>
                      </w:tcPr>
                      <w:p>
                        <w:pPr>
                          <w:pStyle w:val="TableParagraph"/>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H</w:t>
                        </w:r>
                        <w:r>
                          <w:rPr>
                            <w:rFonts w:ascii="宋体" w:eastAsia="宋体" w:hint="eastAsia"/>
                            <w:sz w:val="21"/>
                          </w:rPr>
                          <w:t>）</w:t>
                        </w:r>
                      </w:p>
                    </w:tc>
                    <w:tc>
                      <w:tcPr>
                        <w:tcW w:w="3222" w:type="dxa"/>
                      </w:tcPr>
                      <w:p>
                        <w:pPr>
                          <w:pStyle w:val="TableParagraph"/>
                          <w:spacing w:before="28"/>
                          <w:ind w:right="93"/>
                          <w:jc w:val="right"/>
                          <w:rPr>
                            <w:sz w:val="21"/>
                          </w:rPr>
                        </w:pPr>
                        <w:r>
                          <w:rPr>
                            <w:sz w:val="21"/>
                          </w:rPr>
                          <w:t>1.500</w:t>
                        </w:r>
                      </w:p>
                    </w:tc>
                  </w:tr>
                  <w:tr>
                    <w:trPr>
                      <w:trHeight w:val="313" w:hRule="atLeast"/>
                    </w:trPr>
                    <w:tc>
                      <w:tcPr>
                        <w:tcW w:w="4242" w:type="dxa"/>
                      </w:tcPr>
                      <w:p>
                        <w:pPr>
                          <w:pStyle w:val="TableParagraph"/>
                          <w:ind w:left="107"/>
                          <w:rPr>
                            <w:rFonts w:ascii="宋体" w:eastAsia="宋体" w:hint="eastAsia"/>
                            <w:sz w:val="21"/>
                          </w:rPr>
                        </w:pPr>
                        <w:r>
                          <w:rPr>
                            <w:rFonts w:ascii="宋体" w:eastAsia="宋体" w:hint="eastAsia"/>
                            <w:sz w:val="21"/>
                          </w:rPr>
                          <w:t>转入基金份额（</w:t>
                        </w:r>
                        <w:r>
                          <w:rPr>
                            <w:sz w:val="21"/>
                          </w:rPr>
                          <w:t>I=G/H</w:t>
                        </w:r>
                        <w:r>
                          <w:rPr>
                            <w:rFonts w:ascii="宋体" w:eastAsia="宋体" w:hint="eastAsia"/>
                            <w:sz w:val="21"/>
                          </w:rPr>
                          <w:t>）</w:t>
                        </w:r>
                      </w:p>
                    </w:tc>
                    <w:tc>
                      <w:tcPr>
                        <w:tcW w:w="3222" w:type="dxa"/>
                      </w:tcPr>
                      <w:p>
                        <w:pPr>
                          <w:pStyle w:val="TableParagraph"/>
                          <w:spacing w:before="28"/>
                          <w:ind w:right="93"/>
                          <w:jc w:val="right"/>
                          <w:rPr>
                            <w:sz w:val="21"/>
                          </w:rPr>
                        </w:pPr>
                        <w:r>
                          <w:rPr>
                            <w:sz w:val="21"/>
                          </w:rPr>
                          <w:t>800.00</w:t>
                        </w:r>
                      </w:p>
                    </w:tc>
                  </w:tr>
                </w:tbl>
                <w:p>
                  <w:pPr>
                    <w:pStyle w:val="BodyText"/>
                  </w:pPr>
                </w:p>
              </w:txbxContent>
            </v:textbox>
            <w10:wrap type="none"/>
          </v:shape>
        </w:pict>
      </w:r>
      <w:r>
        <w:rPr>
          <w:spacing w:val="-7"/>
        </w:rPr>
        <w:t>不收取申购费用基金甲 </w:t>
      </w:r>
      <w:r>
        <w:rPr>
          <w:rFonts w:ascii="Calibri" w:eastAsia="Calibri"/>
        </w:rPr>
        <w:t>1,000 </w:t>
      </w:r>
      <w:r>
        <w:rPr>
          <w:spacing w:val="-7"/>
        </w:rPr>
        <w:t>份，转入后端收费基金乙，该日甲、乙基金基金份额净值分别</w:t>
      </w:r>
      <w:r>
        <w:rPr>
          <w:spacing w:val="-26"/>
        </w:rPr>
        <w:t>为 </w:t>
      </w:r>
      <w:r>
        <w:rPr>
          <w:rFonts w:ascii="Calibri" w:eastAsia="Calibri"/>
        </w:rPr>
        <w:t>1.200</w:t>
      </w:r>
      <w:r>
        <w:rPr>
          <w:spacing w:val="-3"/>
        </w:rPr>
        <w:t>、</w:t>
      </w:r>
      <w:r>
        <w:rPr>
          <w:rFonts w:ascii="Calibri" w:eastAsia="Calibri"/>
        </w:rPr>
        <w:t>1.500 </w:t>
      </w:r>
      <w:r>
        <w:rPr>
          <w:spacing w:val="-2"/>
        </w:rPr>
        <w:t>元。</w:t>
      </w:r>
      <w:r>
        <w:rPr>
          <w:rFonts w:ascii="Calibri" w:eastAsia="Calibri"/>
        </w:rPr>
        <w:t>2010 </w:t>
      </w:r>
      <w:r>
        <w:rPr>
          <w:spacing w:val="-22"/>
        </w:rPr>
        <w:t>年 </w:t>
      </w:r>
      <w:r>
        <w:rPr>
          <w:rFonts w:ascii="Calibri" w:eastAsia="Calibri"/>
        </w:rPr>
        <w:t>3 </w:t>
      </w:r>
      <w:r>
        <w:rPr>
          <w:spacing w:val="-22"/>
        </w:rPr>
        <w:t>月 </w:t>
      </w:r>
      <w:r>
        <w:rPr>
          <w:rFonts w:ascii="Calibri" w:eastAsia="Calibri"/>
        </w:rPr>
        <w:t>16 </w:t>
      </w:r>
      <w:r>
        <w:rPr>
          <w:spacing w:val="-3"/>
        </w:rPr>
        <w:t>日这笔转换确认成功。此时转出甲基金不收取赎回费。则转出基金费用、转入基金费用及份额计算如下：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9"/>
        </w:rPr>
      </w:pPr>
    </w:p>
    <w:p>
      <w:pPr>
        <w:pStyle w:val="BodyText"/>
        <w:spacing w:line="417" w:lineRule="auto" w:before="1"/>
        <w:ind w:left="160" w:right="871" w:firstLine="419"/>
        <w:jc w:val="both"/>
      </w:pPr>
      <w:r>
        <w:rPr/>
        <w:pict>
          <v:shape style="position:absolute;margin-left:110.779999pt;margin-top:65.300034pt;width:374.15pt;height:150pt;mso-position-horizontal-relative:page;mso-position-vertical-relative:paragraph;z-index:25169612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405" w:hRule="atLeast"/>
                    </w:trPr>
                    <w:tc>
                      <w:tcPr>
                        <w:tcW w:w="4244" w:type="dxa"/>
                      </w:tcPr>
                      <w:p>
                        <w:pPr>
                          <w:pStyle w:val="TableParagraph"/>
                          <w:spacing w:before="68"/>
                          <w:ind w:left="1892" w:right="1647"/>
                          <w:jc w:val="center"/>
                          <w:rPr>
                            <w:rFonts w:ascii="宋体" w:eastAsia="宋体" w:hint="eastAsia"/>
                            <w:sz w:val="21"/>
                          </w:rPr>
                        </w:pPr>
                        <w:r>
                          <w:rPr>
                            <w:rFonts w:ascii="宋体" w:eastAsia="宋体" w:hint="eastAsia"/>
                            <w:sz w:val="21"/>
                          </w:rPr>
                          <w:t>项目</w:t>
                        </w:r>
                      </w:p>
                    </w:tc>
                    <w:tc>
                      <w:tcPr>
                        <w:tcW w:w="3224" w:type="dxa"/>
                      </w:tcPr>
                      <w:p>
                        <w:pPr>
                          <w:pStyle w:val="TableParagraph"/>
                          <w:spacing w:before="68"/>
                          <w:ind w:left="1401"/>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赎回份额（</w:t>
                        </w:r>
                        <w:r>
                          <w:rPr>
                            <w:sz w:val="21"/>
                          </w:rPr>
                          <w:t>J</w:t>
                        </w:r>
                        <w:r>
                          <w:rPr>
                            <w:rFonts w:ascii="宋体" w:eastAsia="宋体" w:hint="eastAsia"/>
                            <w:sz w:val="21"/>
                          </w:rPr>
                          <w:t>）</w:t>
                        </w:r>
                      </w:p>
                    </w:tc>
                    <w:tc>
                      <w:tcPr>
                        <w:tcW w:w="3224" w:type="dxa"/>
                      </w:tcPr>
                      <w:p>
                        <w:pPr>
                          <w:pStyle w:val="TableParagraph"/>
                          <w:spacing w:before="28"/>
                          <w:ind w:right="95"/>
                          <w:jc w:val="right"/>
                          <w:rPr>
                            <w:sz w:val="21"/>
                          </w:rPr>
                        </w:pPr>
                        <w:r>
                          <w:rPr>
                            <w:sz w:val="21"/>
                          </w:rPr>
                          <w:t>800.00</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赎回日基金份额净值（</w:t>
                        </w:r>
                        <w:r>
                          <w:rPr>
                            <w:sz w:val="21"/>
                          </w:rPr>
                          <w:t>K</w:t>
                        </w:r>
                        <w:r>
                          <w:rPr>
                            <w:rFonts w:ascii="宋体" w:eastAsia="宋体" w:hint="eastAsia"/>
                            <w:sz w:val="21"/>
                          </w:rPr>
                          <w:t>）</w:t>
                        </w:r>
                      </w:p>
                    </w:tc>
                    <w:tc>
                      <w:tcPr>
                        <w:tcW w:w="3224" w:type="dxa"/>
                      </w:tcPr>
                      <w:p>
                        <w:pPr>
                          <w:pStyle w:val="TableParagraph"/>
                          <w:spacing w:before="28"/>
                          <w:ind w:right="95"/>
                          <w:jc w:val="right"/>
                          <w:rPr>
                            <w:sz w:val="21"/>
                          </w:rPr>
                        </w:pPr>
                        <w:r>
                          <w:rPr>
                            <w:sz w:val="21"/>
                          </w:rPr>
                          <w:t>1.300</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赎回总金额（</w:t>
                        </w:r>
                        <w:r>
                          <w:rPr>
                            <w:sz w:val="21"/>
                          </w:rPr>
                          <w:t>L=J*K</w:t>
                        </w:r>
                        <w:r>
                          <w:rPr>
                            <w:rFonts w:ascii="宋体" w:eastAsia="宋体" w:hint="eastAsia"/>
                            <w:sz w:val="21"/>
                          </w:rPr>
                          <w:t>）</w:t>
                        </w:r>
                      </w:p>
                    </w:tc>
                    <w:tc>
                      <w:tcPr>
                        <w:tcW w:w="3224" w:type="dxa"/>
                      </w:tcPr>
                      <w:p>
                        <w:pPr>
                          <w:pStyle w:val="TableParagraph"/>
                          <w:spacing w:before="28"/>
                          <w:ind w:right="97"/>
                          <w:jc w:val="right"/>
                          <w:rPr>
                            <w:sz w:val="21"/>
                          </w:rPr>
                        </w:pPr>
                        <w:r>
                          <w:rPr>
                            <w:sz w:val="21"/>
                          </w:rPr>
                          <w:t>1,040.00</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赎回费率（</w:t>
                        </w:r>
                        <w:r>
                          <w:rPr>
                            <w:sz w:val="21"/>
                          </w:rPr>
                          <w:t>M</w:t>
                        </w:r>
                        <w:r>
                          <w:rPr>
                            <w:rFonts w:ascii="宋体" w:eastAsia="宋体" w:hint="eastAsia"/>
                            <w:sz w:val="21"/>
                          </w:rPr>
                          <w:t>）</w:t>
                        </w:r>
                      </w:p>
                    </w:tc>
                    <w:tc>
                      <w:tcPr>
                        <w:tcW w:w="3224" w:type="dxa"/>
                      </w:tcPr>
                      <w:p>
                        <w:pPr>
                          <w:pStyle w:val="TableParagraph"/>
                          <w:spacing w:before="28"/>
                          <w:ind w:right="94"/>
                          <w:jc w:val="right"/>
                          <w:rPr>
                            <w:sz w:val="21"/>
                          </w:rPr>
                        </w:pPr>
                        <w:r>
                          <w:rPr>
                            <w:sz w:val="21"/>
                          </w:rPr>
                          <w:t>0.5%</w:t>
                        </w:r>
                      </w:p>
                    </w:tc>
                  </w:tr>
                  <w:tr>
                    <w:trPr>
                      <w:trHeight w:val="313" w:hRule="atLeast"/>
                    </w:trPr>
                    <w:tc>
                      <w:tcPr>
                        <w:tcW w:w="4244" w:type="dxa"/>
                      </w:tcPr>
                      <w:p>
                        <w:pPr>
                          <w:pStyle w:val="TableParagraph"/>
                          <w:spacing w:before="25"/>
                          <w:ind w:left="107"/>
                          <w:rPr>
                            <w:rFonts w:ascii="宋体" w:eastAsia="宋体" w:hint="eastAsia"/>
                            <w:sz w:val="21"/>
                          </w:rPr>
                        </w:pPr>
                        <w:r>
                          <w:rPr>
                            <w:rFonts w:ascii="宋体" w:eastAsia="宋体" w:hint="eastAsia"/>
                            <w:sz w:val="21"/>
                          </w:rPr>
                          <w:t>赎回费（</w:t>
                        </w:r>
                        <w:r>
                          <w:rPr>
                            <w:sz w:val="21"/>
                          </w:rPr>
                          <w:t>N=L*M</w:t>
                        </w:r>
                        <w:r>
                          <w:rPr>
                            <w:rFonts w:ascii="宋体" w:eastAsia="宋体" w:hint="eastAsia"/>
                            <w:sz w:val="21"/>
                          </w:rPr>
                          <w:t>）</w:t>
                        </w:r>
                      </w:p>
                    </w:tc>
                    <w:tc>
                      <w:tcPr>
                        <w:tcW w:w="3224" w:type="dxa"/>
                      </w:tcPr>
                      <w:p>
                        <w:pPr>
                          <w:pStyle w:val="TableParagraph"/>
                          <w:spacing w:before="30"/>
                          <w:ind w:right="95"/>
                          <w:jc w:val="right"/>
                          <w:rPr>
                            <w:sz w:val="21"/>
                          </w:rPr>
                        </w:pPr>
                        <w:r>
                          <w:rPr>
                            <w:sz w:val="21"/>
                          </w:rPr>
                          <w:t>5.20</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适用后端申购费率（</w:t>
                        </w:r>
                        <w:r>
                          <w:rPr>
                            <w:sz w:val="21"/>
                          </w:rPr>
                          <w:t>O</w:t>
                        </w:r>
                        <w:r>
                          <w:rPr>
                            <w:rFonts w:ascii="宋体" w:eastAsia="宋体" w:hint="eastAsia"/>
                            <w:sz w:val="21"/>
                          </w:rPr>
                          <w:t>）</w:t>
                        </w:r>
                      </w:p>
                    </w:tc>
                    <w:tc>
                      <w:tcPr>
                        <w:tcW w:w="3224" w:type="dxa"/>
                      </w:tcPr>
                      <w:p>
                        <w:pPr>
                          <w:pStyle w:val="TableParagraph"/>
                          <w:spacing w:before="28"/>
                          <w:ind w:right="94"/>
                          <w:jc w:val="right"/>
                          <w:rPr>
                            <w:sz w:val="21"/>
                          </w:rPr>
                        </w:pPr>
                        <w:r>
                          <w:rPr>
                            <w:sz w:val="21"/>
                          </w:rPr>
                          <w:t>1.0%</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pacing w:val="-2"/>
                            <w:w w:val="100"/>
                            <w:sz w:val="21"/>
                          </w:rPr>
                          <w:t>后端申购费</w:t>
                        </w:r>
                        <w:r>
                          <w:rPr>
                            <w:rFonts w:ascii="宋体" w:eastAsia="宋体" w:hint="eastAsia"/>
                            <w:spacing w:val="-1"/>
                            <w:w w:val="100"/>
                            <w:sz w:val="21"/>
                          </w:rPr>
                          <w:t>（</w:t>
                        </w:r>
                        <w:r>
                          <w:rPr>
                            <w:spacing w:val="-2"/>
                            <w:w w:val="100"/>
                            <w:sz w:val="21"/>
                          </w:rPr>
                          <w:t>P</w:t>
                        </w:r>
                        <w:r>
                          <w:rPr>
                            <w:w w:val="100"/>
                            <w:sz w:val="21"/>
                          </w:rPr>
                          <w:t>=</w:t>
                        </w:r>
                        <w:r>
                          <w:rPr>
                            <w:spacing w:val="-3"/>
                            <w:w w:val="100"/>
                            <w:sz w:val="21"/>
                          </w:rPr>
                          <w:t>J</w:t>
                        </w:r>
                        <w:r>
                          <w:rPr>
                            <w:w w:val="100"/>
                            <w:sz w:val="21"/>
                          </w:rPr>
                          <w:t>*</w:t>
                        </w:r>
                        <w:r>
                          <w:rPr>
                            <w:spacing w:val="-2"/>
                            <w:w w:val="100"/>
                            <w:sz w:val="21"/>
                          </w:rPr>
                          <w:t>H</w:t>
                        </w:r>
                        <w:r>
                          <w:rPr>
                            <w:w w:val="100"/>
                            <w:sz w:val="21"/>
                          </w:rPr>
                          <w:t>*O/</w:t>
                        </w:r>
                        <w:r>
                          <w:rPr>
                            <w:rFonts w:ascii="宋体" w:eastAsia="宋体" w:hint="eastAsia"/>
                            <w:spacing w:val="-3"/>
                            <w:w w:val="100"/>
                            <w:sz w:val="21"/>
                          </w:rPr>
                          <w:t>（</w:t>
                        </w:r>
                        <w:r>
                          <w:rPr>
                            <w:spacing w:val="-2"/>
                            <w:w w:val="100"/>
                            <w:sz w:val="21"/>
                          </w:rPr>
                          <w:t>1</w:t>
                        </w:r>
                        <w:r>
                          <w:rPr>
                            <w:w w:val="100"/>
                            <w:sz w:val="21"/>
                          </w:rPr>
                          <w:t>+</w:t>
                        </w:r>
                        <w:r>
                          <w:rPr>
                            <w:spacing w:val="-1"/>
                            <w:w w:val="100"/>
                            <w:sz w:val="21"/>
                          </w:rPr>
                          <w:t>O</w:t>
                        </w:r>
                        <w:r>
                          <w:rPr>
                            <w:rFonts w:ascii="宋体" w:eastAsia="宋体" w:hint="eastAsia"/>
                            <w:spacing w:val="-106"/>
                            <w:w w:val="100"/>
                            <w:sz w:val="21"/>
                          </w:rPr>
                          <w:t>）</w:t>
                        </w:r>
                        <w:r>
                          <w:rPr>
                            <w:rFonts w:ascii="宋体" w:eastAsia="宋体" w:hint="eastAsia"/>
                            <w:w w:val="100"/>
                            <w:sz w:val="21"/>
                          </w:rPr>
                          <w:t>）</w:t>
                        </w:r>
                      </w:p>
                    </w:tc>
                    <w:tc>
                      <w:tcPr>
                        <w:tcW w:w="3224" w:type="dxa"/>
                      </w:tcPr>
                      <w:p>
                        <w:pPr>
                          <w:pStyle w:val="TableParagraph"/>
                          <w:spacing w:before="28"/>
                          <w:ind w:right="95"/>
                          <w:jc w:val="right"/>
                          <w:rPr>
                            <w:sz w:val="21"/>
                          </w:rPr>
                        </w:pPr>
                        <w:r>
                          <w:rPr>
                            <w:sz w:val="21"/>
                          </w:rPr>
                          <w:t>11.88</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赎回金额（</w:t>
                        </w:r>
                        <w:r>
                          <w:rPr>
                            <w:sz w:val="21"/>
                          </w:rPr>
                          <w:t>Q=L-N-P</w:t>
                        </w:r>
                        <w:r>
                          <w:rPr>
                            <w:rFonts w:ascii="宋体" w:eastAsia="宋体" w:hint="eastAsia"/>
                            <w:sz w:val="21"/>
                          </w:rPr>
                          <w:t>）</w:t>
                        </w:r>
                      </w:p>
                    </w:tc>
                    <w:tc>
                      <w:tcPr>
                        <w:tcW w:w="3224" w:type="dxa"/>
                      </w:tcPr>
                      <w:p>
                        <w:pPr>
                          <w:pStyle w:val="TableParagraph"/>
                          <w:spacing w:before="28"/>
                          <w:ind w:right="97"/>
                          <w:jc w:val="right"/>
                          <w:rPr>
                            <w:sz w:val="21"/>
                          </w:rPr>
                        </w:pPr>
                        <w:r>
                          <w:rPr>
                            <w:sz w:val="21"/>
                          </w:rPr>
                          <w:t>1,022.92</w:t>
                        </w:r>
                      </w:p>
                    </w:tc>
                  </w:tr>
                </w:tbl>
                <w:p>
                  <w:pPr>
                    <w:pStyle w:val="BodyText"/>
                  </w:pPr>
                </w:p>
              </w:txbxContent>
            </v:textbox>
            <w10:wrap type="none"/>
          </v:shape>
        </w:pict>
      </w:r>
      <w:r>
        <w:rPr>
          <w:spacing w:val="-8"/>
        </w:rPr>
        <w:t>若投资者在 </w:t>
      </w:r>
      <w:r>
        <w:rPr>
          <w:rFonts w:ascii="Calibri" w:eastAsia="Calibri"/>
        </w:rPr>
        <w:t>2013 </w:t>
      </w:r>
      <w:r>
        <w:rPr>
          <w:spacing w:val="-18"/>
        </w:rPr>
        <w:t>年 </w:t>
      </w:r>
      <w:r>
        <w:rPr>
          <w:rFonts w:ascii="Calibri" w:eastAsia="Calibri"/>
        </w:rPr>
        <w:t>9 </w:t>
      </w:r>
      <w:r>
        <w:rPr>
          <w:spacing w:val="-20"/>
        </w:rPr>
        <w:t>月 </w:t>
      </w:r>
      <w:r>
        <w:rPr>
          <w:rFonts w:ascii="Calibri" w:eastAsia="Calibri"/>
        </w:rPr>
        <w:t>15 </w:t>
      </w:r>
      <w:r>
        <w:rPr>
          <w:spacing w:val="-5"/>
        </w:rPr>
        <w:t>日赎回乙基金，则赎回时乙基金持有期为 </w:t>
      </w:r>
      <w:r>
        <w:rPr>
          <w:rFonts w:ascii="Calibri" w:eastAsia="Calibri"/>
        </w:rPr>
        <w:t>3 </w:t>
      </w:r>
      <w:r>
        <w:rPr>
          <w:spacing w:val="-3"/>
        </w:rPr>
        <w:t>年半，适用后</w:t>
      </w:r>
      <w:r>
        <w:rPr>
          <w:spacing w:val="-8"/>
        </w:rPr>
        <w:t>端申购费率为 </w:t>
      </w:r>
      <w:r>
        <w:rPr>
          <w:rFonts w:ascii="Calibri" w:eastAsia="Calibri"/>
        </w:rPr>
        <w:t>1.0%</w:t>
      </w:r>
      <w:r>
        <w:rPr>
          <w:spacing w:val="-6"/>
        </w:rPr>
        <w:t>，且乙基金赎回费率为 </w:t>
      </w:r>
      <w:r>
        <w:rPr>
          <w:rFonts w:ascii="Calibri" w:eastAsia="Calibri"/>
        </w:rPr>
        <w:t>0.5%</w:t>
      </w:r>
      <w:r>
        <w:rPr>
          <w:spacing w:val="-5"/>
        </w:rPr>
        <w:t>，该日乙基金基金份额净值为 </w:t>
      </w:r>
      <w:r>
        <w:rPr>
          <w:rFonts w:ascii="Calibri" w:eastAsia="Calibri"/>
        </w:rPr>
        <w:t>1.300 </w:t>
      </w:r>
      <w:r>
        <w:rPr>
          <w:spacing w:val="-2"/>
        </w:rPr>
        <w:t>元。则</w:t>
      </w:r>
      <w:r>
        <w:rPr>
          <w:spacing w:val="-3"/>
        </w:rPr>
        <w:t>赎回金额计算如下：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4"/>
        </w:rPr>
      </w:pPr>
    </w:p>
    <w:p>
      <w:pPr>
        <w:pStyle w:val="BodyText"/>
        <w:ind w:left="580"/>
      </w:pPr>
      <w:r>
        <w:rPr/>
        <w:t>例十六：假定投资者在 </w:t>
      </w:r>
      <w:r>
        <w:rPr>
          <w:rFonts w:ascii="Calibri" w:eastAsia="Calibri"/>
        </w:rPr>
        <w:t>T </w:t>
      </w:r>
      <w:r>
        <w:rPr/>
        <w:t>日转出不收取申购费用基金甲 </w:t>
      </w:r>
      <w:r>
        <w:rPr>
          <w:rFonts w:ascii="Calibri" w:eastAsia="Calibri"/>
        </w:rPr>
        <w:t>1,000 </w:t>
      </w:r>
      <w:r>
        <w:rPr/>
        <w:t>份，转入不收取申购费用</w:t>
      </w:r>
    </w:p>
    <w:p>
      <w:pPr>
        <w:spacing w:after="0"/>
        <w:sectPr>
          <w:pgSz w:w="11910" w:h="16840"/>
          <w:pgMar w:header="877" w:footer="995" w:top="1420" w:bottom="1180" w:left="1640" w:right="920"/>
        </w:sectPr>
      </w:pPr>
    </w:p>
    <w:p>
      <w:pPr>
        <w:pStyle w:val="BodyText"/>
        <w:spacing w:line="417" w:lineRule="auto" w:before="110"/>
        <w:ind w:left="160" w:right="895"/>
      </w:pPr>
      <w:r>
        <w:rPr/>
        <w:pict>
          <v:shape style="position:absolute;margin-left:110.779999pt;margin-top:47.319984pt;width:374pt;height:182.35pt;mso-position-horizontal-relative:page;mso-position-vertical-relative:paragraph;z-index:25169715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1"/>
                  </w:tblGrid>
                  <w:tr>
                    <w:trPr>
                      <w:trHeight w:val="405" w:hRule="atLeast"/>
                    </w:trPr>
                    <w:tc>
                      <w:tcPr>
                        <w:tcW w:w="4244" w:type="dxa"/>
                      </w:tcPr>
                      <w:p>
                        <w:pPr>
                          <w:pStyle w:val="TableParagraph"/>
                          <w:spacing w:before="68"/>
                          <w:ind w:left="1892" w:right="1460"/>
                          <w:jc w:val="center"/>
                          <w:rPr>
                            <w:rFonts w:ascii="宋体" w:eastAsia="宋体" w:hint="eastAsia"/>
                            <w:sz w:val="21"/>
                          </w:rPr>
                        </w:pPr>
                        <w:r>
                          <w:rPr>
                            <w:rFonts w:ascii="宋体" w:eastAsia="宋体" w:hint="eastAsia"/>
                            <w:sz w:val="21"/>
                          </w:rPr>
                          <w:t>项目</w:t>
                        </w:r>
                      </w:p>
                    </w:tc>
                    <w:tc>
                      <w:tcPr>
                        <w:tcW w:w="3221" w:type="dxa"/>
                      </w:tcPr>
                      <w:p>
                        <w:pPr>
                          <w:pStyle w:val="TableParagraph"/>
                          <w:spacing w:before="68"/>
                          <w:ind w:left="1401"/>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1" w:type="dxa"/>
                      </w:tcPr>
                      <w:p>
                        <w:pPr>
                          <w:pStyle w:val="TableParagraph"/>
                          <w:spacing w:before="28"/>
                          <w:ind w:right="94"/>
                          <w:jc w:val="right"/>
                          <w:rPr>
                            <w:sz w:val="21"/>
                          </w:rPr>
                        </w:pPr>
                        <w:r>
                          <w:rPr>
                            <w:sz w:val="21"/>
                          </w:rPr>
                          <w:t>1,000.00</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1" w:type="dxa"/>
                      </w:tcPr>
                      <w:p>
                        <w:pPr>
                          <w:pStyle w:val="TableParagraph"/>
                          <w:spacing w:before="28"/>
                          <w:ind w:right="92"/>
                          <w:jc w:val="right"/>
                          <w:rPr>
                            <w:sz w:val="21"/>
                          </w:rPr>
                        </w:pPr>
                        <w:r>
                          <w:rPr>
                            <w:sz w:val="21"/>
                          </w:rPr>
                          <w:t>1.300</w:t>
                        </w:r>
                      </w:p>
                    </w:tc>
                  </w:tr>
                  <w:tr>
                    <w:trPr>
                      <w:trHeight w:val="314" w:hRule="atLeast"/>
                    </w:trPr>
                    <w:tc>
                      <w:tcPr>
                        <w:tcW w:w="4244" w:type="dxa"/>
                      </w:tcPr>
                      <w:p>
                        <w:pPr>
                          <w:pStyle w:val="TableParagraph"/>
                          <w:spacing w:before="25"/>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1" w:type="dxa"/>
                      </w:tcPr>
                      <w:p>
                        <w:pPr>
                          <w:pStyle w:val="TableParagraph"/>
                          <w:spacing w:before="30"/>
                          <w:ind w:right="94"/>
                          <w:jc w:val="right"/>
                          <w:rPr>
                            <w:sz w:val="21"/>
                          </w:rPr>
                        </w:pPr>
                        <w:r>
                          <w:rPr>
                            <w:sz w:val="21"/>
                          </w:rPr>
                          <w:t>1,300.00</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1" w:type="dxa"/>
                      </w:tcPr>
                      <w:p>
                        <w:pPr>
                          <w:pStyle w:val="TableParagraph"/>
                          <w:spacing w:before="28"/>
                          <w:ind w:right="91"/>
                          <w:jc w:val="right"/>
                          <w:rPr>
                            <w:sz w:val="21"/>
                          </w:rPr>
                        </w:pPr>
                        <w:r>
                          <w:rPr>
                            <w:sz w:val="21"/>
                          </w:rPr>
                          <w:t>0.1%</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1" w:type="dxa"/>
                      </w:tcPr>
                      <w:p>
                        <w:pPr>
                          <w:pStyle w:val="TableParagraph"/>
                          <w:spacing w:before="28"/>
                          <w:ind w:right="92"/>
                          <w:jc w:val="right"/>
                          <w:rPr>
                            <w:sz w:val="21"/>
                          </w:rPr>
                        </w:pPr>
                        <w:r>
                          <w:rPr>
                            <w:sz w:val="21"/>
                          </w:rPr>
                          <w:t>1.30</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1" w:type="dxa"/>
                      </w:tcPr>
                      <w:p>
                        <w:pPr>
                          <w:pStyle w:val="TableParagraph"/>
                          <w:spacing w:before="28"/>
                          <w:ind w:right="94"/>
                          <w:jc w:val="right"/>
                          <w:rPr>
                            <w:sz w:val="21"/>
                          </w:rPr>
                        </w:pPr>
                        <w:r>
                          <w:rPr>
                            <w:sz w:val="21"/>
                          </w:rPr>
                          <w:t>1,298.70</w:t>
                        </w:r>
                      </w:p>
                    </w:tc>
                  </w:tr>
                  <w:tr>
                    <w:trPr>
                      <w:trHeight w:val="312" w:hRule="atLeast"/>
                    </w:trPr>
                    <w:tc>
                      <w:tcPr>
                        <w:tcW w:w="4244" w:type="dxa"/>
                      </w:tcPr>
                      <w:p>
                        <w:pPr>
                          <w:pStyle w:val="TableParagraph"/>
                          <w:spacing w:before="23"/>
                          <w:ind w:left="107"/>
                          <w:rPr>
                            <w:rFonts w:ascii="宋体" w:eastAsia="宋体" w:hint="eastAsia"/>
                            <w:sz w:val="21"/>
                          </w:rPr>
                        </w:pPr>
                        <w:r>
                          <w:rPr>
                            <w:rFonts w:ascii="宋体" w:eastAsia="宋体" w:hint="eastAsia"/>
                            <w:sz w:val="21"/>
                          </w:rPr>
                          <w:t>转入基金费用（</w:t>
                        </w:r>
                        <w:r>
                          <w:rPr>
                            <w:sz w:val="21"/>
                          </w:rPr>
                          <w:t>F</w:t>
                        </w:r>
                        <w:r>
                          <w:rPr>
                            <w:rFonts w:ascii="宋体" w:eastAsia="宋体" w:hint="eastAsia"/>
                            <w:sz w:val="21"/>
                          </w:rPr>
                          <w:t>）</w:t>
                        </w:r>
                      </w:p>
                    </w:tc>
                    <w:tc>
                      <w:tcPr>
                        <w:tcW w:w="3221" w:type="dxa"/>
                      </w:tcPr>
                      <w:p>
                        <w:pPr>
                          <w:pStyle w:val="TableParagraph"/>
                          <w:spacing w:before="28"/>
                          <w:ind w:right="92"/>
                          <w:jc w:val="right"/>
                          <w:rPr>
                            <w:sz w:val="21"/>
                          </w:rPr>
                        </w:pPr>
                        <w:r>
                          <w:rPr>
                            <w:sz w:val="21"/>
                          </w:rPr>
                          <w:t>0.00</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净转入金额（</w:t>
                        </w:r>
                        <w:r>
                          <w:rPr>
                            <w:sz w:val="21"/>
                          </w:rPr>
                          <w:t>G=E-F</w:t>
                        </w:r>
                        <w:r>
                          <w:rPr>
                            <w:rFonts w:ascii="宋体" w:eastAsia="宋体" w:hint="eastAsia"/>
                            <w:sz w:val="21"/>
                          </w:rPr>
                          <w:t>）</w:t>
                        </w:r>
                      </w:p>
                    </w:tc>
                    <w:tc>
                      <w:tcPr>
                        <w:tcW w:w="3221" w:type="dxa"/>
                      </w:tcPr>
                      <w:p>
                        <w:pPr>
                          <w:pStyle w:val="TableParagraph"/>
                          <w:spacing w:before="28"/>
                          <w:ind w:right="94"/>
                          <w:jc w:val="right"/>
                          <w:rPr>
                            <w:sz w:val="21"/>
                          </w:rPr>
                        </w:pPr>
                        <w:r>
                          <w:rPr>
                            <w:sz w:val="21"/>
                          </w:rPr>
                          <w:t>1,298.70</w:t>
                        </w:r>
                      </w:p>
                    </w:tc>
                  </w:tr>
                  <w:tr>
                    <w:trPr>
                      <w:trHeight w:val="313" w:hRule="atLeast"/>
                    </w:trPr>
                    <w:tc>
                      <w:tcPr>
                        <w:tcW w:w="4244" w:type="dxa"/>
                      </w:tcPr>
                      <w:p>
                        <w:pPr>
                          <w:pStyle w:val="TableParagraph"/>
                          <w:spacing w:before="25"/>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H</w:t>
                        </w:r>
                        <w:r>
                          <w:rPr>
                            <w:rFonts w:ascii="宋体" w:eastAsia="宋体" w:hint="eastAsia"/>
                            <w:sz w:val="21"/>
                          </w:rPr>
                          <w:t>）</w:t>
                        </w:r>
                      </w:p>
                    </w:tc>
                    <w:tc>
                      <w:tcPr>
                        <w:tcW w:w="3221" w:type="dxa"/>
                      </w:tcPr>
                      <w:p>
                        <w:pPr>
                          <w:pStyle w:val="TableParagraph"/>
                          <w:spacing w:before="30"/>
                          <w:ind w:right="92"/>
                          <w:jc w:val="right"/>
                          <w:rPr>
                            <w:sz w:val="21"/>
                          </w:rPr>
                        </w:pPr>
                        <w:r>
                          <w:rPr>
                            <w:sz w:val="21"/>
                          </w:rPr>
                          <w:t>1.500</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转入基金份额（</w:t>
                        </w:r>
                        <w:r>
                          <w:rPr>
                            <w:sz w:val="21"/>
                          </w:rPr>
                          <w:t>I=G/H</w:t>
                        </w:r>
                        <w:r>
                          <w:rPr>
                            <w:rFonts w:ascii="宋体" w:eastAsia="宋体" w:hint="eastAsia"/>
                            <w:sz w:val="21"/>
                          </w:rPr>
                          <w:t>）</w:t>
                        </w:r>
                      </w:p>
                    </w:tc>
                    <w:tc>
                      <w:tcPr>
                        <w:tcW w:w="3221" w:type="dxa"/>
                      </w:tcPr>
                      <w:p>
                        <w:pPr>
                          <w:pStyle w:val="TableParagraph"/>
                          <w:spacing w:before="28"/>
                          <w:ind w:right="92"/>
                          <w:jc w:val="right"/>
                          <w:rPr>
                            <w:sz w:val="21"/>
                          </w:rPr>
                        </w:pPr>
                        <w:r>
                          <w:rPr>
                            <w:sz w:val="21"/>
                          </w:rPr>
                          <w:t>865.80</w:t>
                        </w:r>
                      </w:p>
                    </w:tc>
                  </w:tr>
                </w:tbl>
                <w:p>
                  <w:pPr>
                    <w:pStyle w:val="BodyText"/>
                  </w:pPr>
                </w:p>
              </w:txbxContent>
            </v:textbox>
            <w10:wrap type="none"/>
          </v:shape>
        </w:pict>
      </w:r>
      <w:r>
        <w:rPr>
          <w:spacing w:val="-7"/>
        </w:rPr>
        <w:t>基金乙。</w:t>
      </w:r>
      <w:r>
        <w:rPr>
          <w:rFonts w:ascii="Calibri" w:eastAsia="Calibri"/>
        </w:rPr>
        <w:t>T </w:t>
      </w:r>
      <w:r>
        <w:rPr>
          <w:spacing w:val="-10"/>
        </w:rPr>
        <w:t>日甲、乙基金基金份额净值分别为 </w:t>
      </w:r>
      <w:r>
        <w:rPr>
          <w:rFonts w:ascii="Calibri" w:eastAsia="Calibri"/>
        </w:rPr>
        <w:t>1.300</w:t>
      </w:r>
      <w:r>
        <w:rPr>
          <w:spacing w:val="-22"/>
        </w:rPr>
        <w:t>、</w:t>
      </w:r>
      <w:r>
        <w:rPr>
          <w:rFonts w:ascii="Calibri" w:eastAsia="Calibri"/>
        </w:rPr>
        <w:t>1.500 </w:t>
      </w:r>
      <w:r>
        <w:rPr>
          <w:spacing w:val="-10"/>
        </w:rPr>
        <w:t>元。甲基金赎回费率为 </w:t>
      </w:r>
      <w:r>
        <w:rPr>
          <w:rFonts w:ascii="Calibri" w:eastAsia="Calibri"/>
        </w:rPr>
        <w:t>0.1%</w:t>
      </w:r>
      <w:r>
        <w:rPr>
          <w:spacing w:val="-22"/>
        </w:rPr>
        <w:t>。则</w:t>
      </w:r>
      <w:r>
        <w:rPr>
          <w:spacing w:val="-3"/>
        </w:rPr>
        <w:t>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4"/>
        </w:rPr>
      </w:pPr>
    </w:p>
    <w:p>
      <w:pPr>
        <w:pStyle w:val="BodyText"/>
        <w:ind w:left="580"/>
      </w:pPr>
      <w:r>
        <w:rPr/>
        <w:t>（十三）基金的非交易过户</w:t>
      </w:r>
    </w:p>
    <w:p>
      <w:pPr>
        <w:pStyle w:val="BodyText"/>
        <w:spacing w:before="6"/>
        <w:rPr>
          <w:sz w:val="15"/>
        </w:rPr>
      </w:pPr>
    </w:p>
    <w:p>
      <w:pPr>
        <w:pStyle w:val="BodyText"/>
        <w:spacing w:line="417" w:lineRule="auto" w:before="1"/>
        <w:ind w:left="160" w:right="871" w:firstLine="419"/>
        <w:jc w:val="both"/>
      </w:pPr>
      <w:r>
        <w:rPr>
          <w:spacing w:val="-8"/>
        </w:rPr>
        <w:t>基金的非交易过户是指基金登记机构受理继承、捐赠和司法强制执行等情形而产生的非</w:t>
      </w:r>
      <w:r>
        <w:rPr>
          <w:spacing w:val="-10"/>
        </w:rPr>
        <w:t>交易过户以及登记机构认可、符合法律法规的其他非交易过户。无论在上述何种情况下，接</w:t>
      </w:r>
      <w:r>
        <w:rPr>
          <w:spacing w:val="-5"/>
        </w:rPr>
        <w:t>受划转的主体必须是依法可以持有本基金基金份额的投资人。</w:t>
      </w:r>
    </w:p>
    <w:p>
      <w:pPr>
        <w:pStyle w:val="BodyText"/>
        <w:spacing w:line="417" w:lineRule="auto"/>
        <w:ind w:left="160" w:right="871" w:firstLine="419"/>
        <w:jc w:val="both"/>
      </w:pPr>
      <w:r>
        <w:rPr>
          <w:spacing w:val="-9"/>
        </w:rPr>
        <w:t>继承是指基金份额持有人死亡，其持有的基金份额由其合法的继承人继承；捐赠指基金</w:t>
      </w:r>
      <w:r>
        <w:rPr>
          <w:spacing w:val="-8"/>
        </w:rPr>
        <w:t>份额持有人将其合法持有的基金份额捐赠给福利性质的基金会或社会团体；司法强制执行是指司法机构依据生效司法文书将基金份额持有人持有的基金份额强制划转给其他自然人、法</w:t>
      </w:r>
      <w:r>
        <w:rPr>
          <w:spacing w:val="-12"/>
        </w:rPr>
        <w:t>人或其他组织。办理非交易过户必须提供基金登记机构要求提供的相关资料，对于符合条件</w:t>
      </w:r>
      <w:r>
        <w:rPr>
          <w:spacing w:val="-6"/>
        </w:rPr>
        <w:t>的非交易过户申请按基金登记机构的规定办理，并按基金登记机构规定的标准收费。</w:t>
      </w:r>
    </w:p>
    <w:p>
      <w:pPr>
        <w:pStyle w:val="BodyText"/>
        <w:spacing w:line="268" w:lineRule="exact"/>
        <w:ind w:left="580"/>
      </w:pPr>
      <w:r>
        <w:rPr/>
        <w:t>（十四）基金的转托管</w:t>
      </w:r>
    </w:p>
    <w:p>
      <w:pPr>
        <w:pStyle w:val="BodyText"/>
        <w:spacing w:before="6"/>
        <w:rPr>
          <w:sz w:val="15"/>
        </w:rPr>
      </w:pPr>
    </w:p>
    <w:p>
      <w:pPr>
        <w:pStyle w:val="BodyText"/>
        <w:spacing w:line="417" w:lineRule="auto"/>
        <w:ind w:left="160" w:right="871" w:firstLine="419"/>
      </w:pPr>
      <w:r>
        <w:rPr>
          <w:spacing w:val="-6"/>
        </w:rPr>
        <w:t>基金份额持有人可办理已持有基金份额在不同销售机构之间的转托管，基金销售机构可</w:t>
      </w:r>
      <w:r>
        <w:rPr>
          <w:spacing w:val="-4"/>
        </w:rPr>
        <w:t>以按照规定的标准收取转托管费。</w:t>
      </w:r>
    </w:p>
    <w:p>
      <w:pPr>
        <w:pStyle w:val="BodyText"/>
        <w:ind w:left="580"/>
      </w:pPr>
      <w:r>
        <w:rPr/>
        <w:t>（十五）定期定额投资计划</w:t>
      </w:r>
    </w:p>
    <w:p>
      <w:pPr>
        <w:pStyle w:val="BodyText"/>
        <w:spacing w:before="7"/>
        <w:rPr>
          <w:sz w:val="15"/>
        </w:rPr>
      </w:pPr>
    </w:p>
    <w:p>
      <w:pPr>
        <w:pStyle w:val="BodyText"/>
        <w:spacing w:line="417" w:lineRule="auto"/>
        <w:ind w:left="160" w:right="871" w:firstLine="419"/>
        <w:jc w:val="both"/>
      </w:pPr>
      <w:r>
        <w:rPr>
          <w:spacing w:val="-8"/>
        </w:rPr>
        <w:t>基金管理人可以为投资人办理定期定额投资计划，具体规则由基金管理人另行规定。投</w:t>
      </w:r>
      <w:r>
        <w:rPr>
          <w:spacing w:val="-9"/>
        </w:rPr>
        <w:t>资人在办理定期定额投资计划时可自行约定每期扣款金额，每期扣款金额必须不低于基金管</w:t>
      </w:r>
      <w:r>
        <w:rPr>
          <w:spacing w:val="-5"/>
        </w:rPr>
        <w:t>理人在相关公告或更新的招募说明书中所规定的定期定额投资计划最低申购金额。</w:t>
      </w:r>
    </w:p>
    <w:p>
      <w:pPr>
        <w:pStyle w:val="BodyText"/>
        <w:spacing w:line="269" w:lineRule="exact"/>
        <w:ind w:left="580"/>
      </w:pPr>
      <w:r>
        <w:rPr/>
        <w:t>（十六）基金份额的冻结和解冻</w:t>
      </w:r>
    </w:p>
    <w:p>
      <w:pPr>
        <w:pStyle w:val="BodyText"/>
        <w:spacing w:before="7"/>
        <w:rPr>
          <w:sz w:val="15"/>
        </w:rPr>
      </w:pPr>
    </w:p>
    <w:p>
      <w:pPr>
        <w:pStyle w:val="BodyText"/>
        <w:spacing w:line="417" w:lineRule="auto"/>
        <w:ind w:left="160" w:right="871" w:firstLine="419"/>
      </w:pPr>
      <w:r>
        <w:rPr>
          <w:spacing w:val="-6"/>
        </w:rPr>
        <w:t>基金登记机构只受理国家有权机关依法要求的基金份额的冻结与解冻，以及登记机构认</w:t>
      </w:r>
      <w:r>
        <w:rPr>
          <w:spacing w:val="-4"/>
        </w:rPr>
        <w:t>可、符合法律法规的其他情况下的冻结与解冻。</w:t>
      </w:r>
    </w:p>
    <w:p>
      <w:pPr>
        <w:pStyle w:val="BodyText"/>
        <w:ind w:left="580"/>
      </w:pPr>
      <w:r>
        <w:rPr/>
        <w:t>（</w:t>
      </w:r>
      <w:r>
        <w:rPr>
          <w:spacing w:val="-2"/>
        </w:rPr>
        <w:t>十七</w:t>
      </w:r>
      <w:r>
        <w:rPr>
          <w:spacing w:val="-106"/>
        </w:rPr>
        <w:t>）</w:t>
      </w:r>
      <w:r>
        <w:rPr>
          <w:spacing w:val="-3"/>
        </w:rPr>
        <w:t>、基金份额的转让</w:t>
      </w:r>
    </w:p>
    <w:p>
      <w:pPr>
        <w:spacing w:after="0"/>
        <w:sectPr>
          <w:pgSz w:w="11910" w:h="16840"/>
          <w:pgMar w:header="877" w:footer="995" w:top="1420" w:bottom="1180" w:left="1640" w:right="920"/>
        </w:sectPr>
      </w:pPr>
    </w:p>
    <w:p>
      <w:pPr>
        <w:pStyle w:val="BodyText"/>
        <w:spacing w:line="417" w:lineRule="auto" w:before="110"/>
        <w:ind w:left="160" w:right="664" w:firstLine="419"/>
      </w:pPr>
      <w:r>
        <w:rPr>
          <w:spacing w:val="-12"/>
        </w:rPr>
        <w:t>在条件允许的情况下，基金管理人可以根据相关业务规则受理基金份额持有人通过中国 </w:t>
      </w:r>
      <w:r>
        <w:rPr>
          <w:spacing w:val="-10"/>
        </w:rPr>
        <w:t>证监会认可的交易场所或者交易方式进行份额转让的申请。具体由基金管理人提前发布公告。</w:t>
      </w:r>
    </w:p>
    <w:p>
      <w:pPr>
        <w:pStyle w:val="BodyText"/>
        <w:spacing w:line="417" w:lineRule="auto"/>
        <w:ind w:left="160" w:right="874" w:firstLine="419"/>
      </w:pPr>
      <w:r>
        <w:rPr/>
        <w:t>（十八</w:t>
      </w:r>
      <w:r>
        <w:rPr>
          <w:spacing w:val="-108"/>
        </w:rPr>
        <w:t>）</w:t>
      </w:r>
      <w:r>
        <w:rPr>
          <w:spacing w:val="-3"/>
        </w:rPr>
        <w:t>、基金管理人可在法律法规允许的范围内，在不影响基金份额持有人实质利益的前提下，根据市场情况对上述申购和赎回的安排进行补充和调整并提前公告。</w:t>
      </w:r>
    </w:p>
    <w:p>
      <w:pPr>
        <w:pStyle w:val="BodyText"/>
        <w:spacing w:line="417" w:lineRule="auto"/>
        <w:ind w:left="160" w:right="871" w:firstLine="419"/>
        <w:jc w:val="both"/>
      </w:pPr>
      <w:r>
        <w:rPr/>
        <w:t>（十九</w:t>
      </w:r>
      <w:r>
        <w:rPr>
          <w:spacing w:val="-108"/>
        </w:rPr>
        <w:t>）</w:t>
      </w:r>
      <w:r>
        <w:rPr>
          <w:spacing w:val="-3"/>
        </w:rPr>
        <w:t>、如相关法律法规允许基金管理人办理基金份额的质押业务或其他基金业务， </w:t>
      </w:r>
      <w:r>
        <w:rPr>
          <w:spacing w:val="-8"/>
        </w:rPr>
        <w:t>基金管理人可制定相应的业务规则并开展相关业务，并依照《信息披露办法》的有关规定进</w:t>
      </w:r>
      <w:r>
        <w:rPr>
          <w:spacing w:val="-6"/>
        </w:rPr>
        <w:t>行公告。</w:t>
      </w:r>
    </w:p>
    <w:p>
      <w:pPr>
        <w:spacing w:after="0" w:line="417" w:lineRule="auto"/>
        <w:jc w:val="both"/>
        <w:sectPr>
          <w:pgSz w:w="11910" w:h="16840"/>
          <w:pgMar w:header="877" w:footer="995" w:top="1420" w:bottom="1180" w:left="1640" w:right="920"/>
        </w:sectPr>
      </w:pPr>
    </w:p>
    <w:p>
      <w:pPr>
        <w:pStyle w:val="BodyText"/>
        <w:spacing w:before="7"/>
        <w:rPr>
          <w:sz w:val="29"/>
        </w:rPr>
      </w:pPr>
    </w:p>
    <w:p>
      <w:pPr>
        <w:pStyle w:val="Heading1"/>
      </w:pPr>
      <w:bookmarkStart w:name="_bookmark8" w:id="9"/>
      <w:bookmarkEnd w:id="9"/>
      <w:r>
        <w:rPr>
          <w:b w:val="0"/>
        </w:rPr>
      </w:r>
      <w:r>
        <w:rPr/>
        <w:t>九、基金的投资</w:t>
      </w:r>
    </w:p>
    <w:p>
      <w:pPr>
        <w:pStyle w:val="BodyText"/>
        <w:rPr>
          <w:b/>
          <w:sz w:val="20"/>
        </w:rPr>
      </w:pPr>
    </w:p>
    <w:p>
      <w:pPr>
        <w:pStyle w:val="BodyText"/>
        <w:spacing w:before="8"/>
        <w:rPr>
          <w:b/>
          <w:sz w:val="15"/>
        </w:rPr>
      </w:pPr>
    </w:p>
    <w:p>
      <w:pPr>
        <w:pStyle w:val="BodyText"/>
        <w:spacing w:before="71"/>
        <w:ind w:left="580"/>
      </w:pPr>
      <w:r>
        <w:rPr/>
        <w:t>（一）投资目标</w:t>
      </w:r>
    </w:p>
    <w:p>
      <w:pPr>
        <w:pStyle w:val="BodyText"/>
        <w:spacing w:before="7"/>
        <w:rPr>
          <w:sz w:val="15"/>
        </w:rPr>
      </w:pPr>
    </w:p>
    <w:p>
      <w:pPr>
        <w:pStyle w:val="BodyText"/>
        <w:ind w:left="580"/>
      </w:pPr>
      <w:r>
        <w:rPr/>
        <w:t>通过对目标 </w:t>
      </w:r>
      <w:r>
        <w:rPr>
          <w:rFonts w:ascii="Calibri" w:eastAsia="Calibri"/>
        </w:rPr>
        <w:t>ETF </w:t>
      </w:r>
      <w:r>
        <w:rPr/>
        <w:t>基金份额的投资，追求跟踪标的指数，获得与指数收益相似的回报。</w:t>
      </w:r>
    </w:p>
    <w:p>
      <w:pPr>
        <w:pStyle w:val="BodyText"/>
        <w:spacing w:before="7"/>
        <w:rPr>
          <w:sz w:val="15"/>
        </w:rPr>
      </w:pPr>
    </w:p>
    <w:p>
      <w:pPr>
        <w:pStyle w:val="BodyText"/>
        <w:ind w:left="580"/>
      </w:pPr>
      <w:r>
        <w:rPr/>
        <w:t>（二）投资范围</w:t>
      </w:r>
    </w:p>
    <w:p>
      <w:pPr>
        <w:pStyle w:val="BodyText"/>
        <w:spacing w:before="6"/>
        <w:rPr>
          <w:sz w:val="15"/>
        </w:rPr>
      </w:pPr>
    </w:p>
    <w:p>
      <w:pPr>
        <w:pStyle w:val="BodyText"/>
        <w:spacing w:line="417" w:lineRule="auto"/>
        <w:ind w:left="160" w:right="871" w:firstLine="419"/>
        <w:jc w:val="both"/>
      </w:pPr>
      <w:r>
        <w:rPr>
          <w:spacing w:val="-6"/>
        </w:rPr>
        <w:t>本基金主要投资于目标 </w:t>
      </w:r>
      <w:r>
        <w:rPr>
          <w:rFonts w:ascii="Calibri" w:eastAsia="Calibri"/>
        </w:rPr>
        <w:t>ETF </w:t>
      </w:r>
      <w:r>
        <w:rPr>
          <w:spacing w:val="-11"/>
        </w:rPr>
        <w:t>基金份额。为更好地实现投资目标，基金还可投资于标的指</w:t>
      </w:r>
      <w:r>
        <w:rPr>
          <w:spacing w:val="-14"/>
        </w:rPr>
        <w:t>数成份股、备选成份股、非成份股、债券</w:t>
      </w:r>
      <w:r>
        <w:rPr>
          <w:rFonts w:ascii="Calibri" w:eastAsia="Calibri"/>
        </w:rPr>
        <w:t>(</w:t>
      </w:r>
      <w:r>
        <w:rPr>
          <w:spacing w:val="-6"/>
        </w:rPr>
        <w:t>包括国内依法发行和上市交易的国债、央行票据、</w:t>
      </w:r>
      <w:r>
        <w:rPr>
          <w:spacing w:val="-13"/>
        </w:rPr>
        <w:t>金融债券、企业债券、公司债券、中期票据、短期融资券、超短期融资券、次级债券、政府</w:t>
      </w:r>
      <w:r>
        <w:rPr>
          <w:spacing w:val="-12"/>
        </w:rPr>
        <w:t>支持机构债券、政府支持债券、地方政府债券、中小企业私募债券、可转换债券、可交换债券及其他经中国证监会允许投资的债券</w:t>
      </w:r>
      <w:r>
        <w:rPr>
          <w:rFonts w:ascii="Calibri" w:eastAsia="Calibri"/>
          <w:spacing w:val="3"/>
        </w:rPr>
        <w:t>)</w:t>
      </w:r>
      <w:r>
        <w:rPr>
          <w:spacing w:val="-1"/>
        </w:rPr>
        <w:t>、股指期货、权证、股票期权、国债期货、货币市</w:t>
      </w:r>
      <w:r>
        <w:rPr>
          <w:spacing w:val="-7"/>
        </w:rPr>
        <w:t>场工具以及法律法规或中国证监会允许基金投资的其他金融工具</w:t>
      </w:r>
      <w:r>
        <w:rPr/>
        <w:t>（</w:t>
      </w:r>
      <w:r>
        <w:rPr>
          <w:spacing w:val="-3"/>
        </w:rPr>
        <w:t>但须符合中国证监会相关规定</w:t>
      </w:r>
      <w:r>
        <w:rPr>
          <w:spacing w:val="-108"/>
        </w:rPr>
        <w:t>）</w:t>
      </w:r>
      <w:r>
        <w:rPr/>
        <w:t>。</w:t>
      </w:r>
    </w:p>
    <w:p>
      <w:pPr>
        <w:pStyle w:val="BodyText"/>
        <w:spacing w:line="417" w:lineRule="auto"/>
        <w:ind w:left="160" w:right="871" w:firstLine="419"/>
      </w:pPr>
      <w:r>
        <w:rPr>
          <w:spacing w:val="-7"/>
        </w:rPr>
        <w:t>如法律法规或监管机构以后允许基金投资其他品种，基金管理人在履行适当程序后，可</w:t>
      </w:r>
      <w:r>
        <w:rPr>
          <w:spacing w:val="-5"/>
        </w:rPr>
        <w:t>以将其纳入投资范围。</w:t>
      </w:r>
    </w:p>
    <w:p>
      <w:pPr>
        <w:pStyle w:val="BodyText"/>
        <w:spacing w:line="417" w:lineRule="auto"/>
        <w:ind w:left="160" w:right="871" w:firstLine="419"/>
        <w:jc w:val="both"/>
      </w:pPr>
      <w:r>
        <w:rPr>
          <w:spacing w:val="-9"/>
        </w:rPr>
        <w:t>基金的投资组合比例为：本基金投资于目标 </w:t>
      </w:r>
      <w:r>
        <w:rPr>
          <w:rFonts w:ascii="Calibri" w:eastAsia="Calibri"/>
        </w:rPr>
        <w:t>ETF </w:t>
      </w:r>
      <w:r>
        <w:rPr>
          <w:spacing w:val="-6"/>
        </w:rPr>
        <w:t>的比例不低于基金资产净值的 </w:t>
      </w:r>
      <w:r>
        <w:rPr>
          <w:rFonts w:ascii="Calibri" w:eastAsia="Calibri"/>
        </w:rPr>
        <w:t>90%</w:t>
      </w:r>
      <w:r>
        <w:rPr>
          <w:spacing w:val="-39"/>
        </w:rPr>
        <w:t>。每</w:t>
      </w:r>
      <w:r>
        <w:rPr>
          <w:spacing w:val="-9"/>
        </w:rPr>
        <w:t>个交易日日终在扣除股指期货、国债期货、股票期权合约需缴纳的交易保证金后，保持不低</w:t>
      </w:r>
      <w:r>
        <w:rPr>
          <w:spacing w:val="-6"/>
        </w:rPr>
        <w:t>于基金资产净值 </w:t>
      </w:r>
      <w:r>
        <w:rPr>
          <w:rFonts w:ascii="Calibri" w:eastAsia="Calibri"/>
        </w:rPr>
        <w:t>5%</w:t>
      </w:r>
      <w:r>
        <w:rPr>
          <w:spacing w:val="-3"/>
        </w:rPr>
        <w:t>的现金或者到期日在一年以内的政府债券。其中，现金不包括结算备付金、存出保证金、应收申购款等。</w:t>
      </w:r>
    </w:p>
    <w:p>
      <w:pPr>
        <w:pStyle w:val="BodyText"/>
        <w:spacing w:line="268" w:lineRule="exact"/>
        <w:ind w:left="580"/>
      </w:pPr>
      <w:r>
        <w:rPr/>
        <w:t>（三</w:t>
      </w:r>
      <w:r>
        <w:rPr>
          <w:spacing w:val="-3"/>
        </w:rPr>
        <w:t>）</w:t>
      </w:r>
      <w:r>
        <w:rPr>
          <w:spacing w:val="-2"/>
        </w:rPr>
        <w:t>投资策略</w:t>
      </w:r>
    </w:p>
    <w:p>
      <w:pPr>
        <w:pStyle w:val="BodyText"/>
        <w:spacing w:before="7"/>
        <w:rPr>
          <w:sz w:val="15"/>
        </w:rPr>
      </w:pPr>
    </w:p>
    <w:p>
      <w:pPr>
        <w:pStyle w:val="BodyText"/>
        <w:ind w:left="580"/>
      </w:pPr>
      <w:r>
        <w:rPr>
          <w:rFonts w:ascii="Calibri" w:eastAsia="Calibri"/>
        </w:rPr>
        <w:t>1</w:t>
      </w:r>
      <w:r>
        <w:rPr/>
        <w:t>、</w:t>
      </w:r>
      <w:r>
        <w:rPr>
          <w:rFonts w:ascii="Calibri" w:eastAsia="Calibri"/>
        </w:rPr>
        <w:t>ETF</w:t>
      </w:r>
      <w:r>
        <w:rPr>
          <w:rFonts w:ascii="Calibri" w:eastAsia="Calibri"/>
          <w:spacing w:val="8"/>
        </w:rPr>
        <w:t> </w:t>
      </w:r>
      <w:r>
        <w:rPr>
          <w:spacing w:val="-3"/>
        </w:rPr>
        <w:t>投资策略</w:t>
      </w:r>
    </w:p>
    <w:p>
      <w:pPr>
        <w:pStyle w:val="BodyText"/>
        <w:spacing w:before="6"/>
        <w:rPr>
          <w:sz w:val="15"/>
        </w:rPr>
      </w:pPr>
    </w:p>
    <w:p>
      <w:pPr>
        <w:pStyle w:val="BodyText"/>
        <w:spacing w:line="417" w:lineRule="auto"/>
        <w:ind w:left="160" w:right="871" w:firstLine="419"/>
        <w:jc w:val="both"/>
      </w:pPr>
      <w:r>
        <w:rPr>
          <w:spacing w:val="-4"/>
        </w:rPr>
        <w:t>本基金主要通过交易所买卖或申购赎回的方式投资于目标 </w:t>
      </w:r>
      <w:r>
        <w:rPr>
          <w:rFonts w:ascii="Calibri" w:eastAsia="Calibri"/>
        </w:rPr>
        <w:t>ETF</w:t>
      </w:r>
      <w:r>
        <w:rPr>
          <w:spacing w:val="-7"/>
        </w:rPr>
        <w:t>。根据投资者申购、赎回</w:t>
      </w:r>
      <w:r>
        <w:rPr>
          <w:spacing w:val="-10"/>
        </w:rPr>
        <w:t>的现金流情况，本基金将综合目标 </w:t>
      </w:r>
      <w:r>
        <w:rPr>
          <w:rFonts w:ascii="Calibri" w:eastAsia="Calibri"/>
        </w:rPr>
        <w:t>ETF</w:t>
      </w:r>
      <w:r>
        <w:rPr>
          <w:rFonts w:ascii="Calibri" w:eastAsia="Calibri"/>
          <w:spacing w:val="21"/>
        </w:rPr>
        <w:t> </w:t>
      </w:r>
      <w:r>
        <w:rPr>
          <w:spacing w:val="-9"/>
        </w:rPr>
        <w:t>的流动性、折溢价率、标的指数成份股流动性等因素</w:t>
      </w:r>
      <w:r>
        <w:rPr>
          <w:spacing w:val="-10"/>
        </w:rPr>
        <w:t>分析，对投资组合进行监控和调整，密切跟踪标的指数。基金也可以通过买入标的指数成份</w:t>
      </w:r>
      <w:r>
        <w:rPr>
          <w:spacing w:val="-5"/>
        </w:rPr>
        <w:t>股来跟踪标的指数。</w:t>
      </w:r>
    </w:p>
    <w:p>
      <w:pPr>
        <w:pStyle w:val="BodyText"/>
        <w:ind w:left="580"/>
        <w:jc w:val="both"/>
      </w:pPr>
      <w:r>
        <w:rPr/>
        <w:t>本基金可以基金资产特殊申购目标 </w:t>
      </w:r>
      <w:r>
        <w:rPr>
          <w:rFonts w:ascii="Calibri" w:eastAsia="Calibri"/>
        </w:rPr>
        <w:t>ETF </w:t>
      </w:r>
      <w:r>
        <w:rPr/>
        <w:t>份额，以进行基金建仓。</w:t>
      </w:r>
    </w:p>
    <w:p>
      <w:pPr>
        <w:pStyle w:val="BodyText"/>
        <w:spacing w:before="7"/>
        <w:rPr>
          <w:sz w:val="15"/>
        </w:rPr>
      </w:pPr>
    </w:p>
    <w:p>
      <w:pPr>
        <w:pStyle w:val="BodyText"/>
        <w:spacing w:line="417" w:lineRule="auto"/>
        <w:ind w:left="580" w:right="1783"/>
      </w:pPr>
      <w:r>
        <w:rPr>
          <w:spacing w:val="-5"/>
        </w:rPr>
        <w:t>本基金力争日均跟踪偏离度的绝对值不超过 </w:t>
      </w:r>
      <w:r>
        <w:rPr>
          <w:rFonts w:ascii="Calibri" w:eastAsia="Calibri"/>
        </w:rPr>
        <w:t>0.35%</w:t>
      </w:r>
      <w:r>
        <w:rPr>
          <w:spacing w:val="-7"/>
        </w:rPr>
        <w:t>，年跟踪误差不超过 </w:t>
      </w:r>
      <w:r>
        <w:rPr>
          <w:rFonts w:ascii="Calibri" w:eastAsia="Calibri"/>
        </w:rPr>
        <w:t>4%</w:t>
      </w:r>
      <w:r>
        <w:rPr/>
        <w:t>。</w:t>
      </w:r>
      <w:r>
        <w:rPr>
          <w:rFonts w:ascii="Calibri" w:eastAsia="Calibri"/>
        </w:rPr>
        <w:t>2</w:t>
      </w:r>
      <w:r>
        <w:rPr>
          <w:spacing w:val="-3"/>
        </w:rPr>
        <w:t>、股票投资策略</w:t>
      </w:r>
    </w:p>
    <w:p>
      <w:pPr>
        <w:pStyle w:val="ListParagraph"/>
        <w:numPr>
          <w:ilvl w:val="0"/>
          <w:numId w:val="21"/>
        </w:numPr>
        <w:tabs>
          <w:tab w:pos="1110" w:val="left" w:leader="none"/>
        </w:tabs>
        <w:spacing w:line="269" w:lineRule="exact" w:before="0" w:after="0"/>
        <w:ind w:left="1109" w:right="0" w:hanging="530"/>
        <w:jc w:val="left"/>
        <w:rPr>
          <w:sz w:val="21"/>
        </w:rPr>
      </w:pPr>
      <w:r>
        <w:rPr>
          <w:spacing w:val="-3"/>
          <w:sz w:val="21"/>
        </w:rPr>
        <w:t>成份股、备选成份股投资策略</w:t>
      </w:r>
    </w:p>
    <w:p>
      <w:pPr>
        <w:pStyle w:val="BodyText"/>
        <w:spacing w:before="7"/>
        <w:rPr>
          <w:sz w:val="15"/>
        </w:rPr>
      </w:pPr>
    </w:p>
    <w:p>
      <w:pPr>
        <w:pStyle w:val="BodyText"/>
        <w:ind w:left="580"/>
        <w:jc w:val="both"/>
      </w:pPr>
      <w:r>
        <w:rPr/>
        <w:t>本基金对成份股、备选成份股的投资目的是为准备构建股票组合以申购目标 </w:t>
      </w:r>
      <w:r>
        <w:rPr>
          <w:rFonts w:ascii="Calibri" w:eastAsia="Calibri"/>
        </w:rPr>
        <w:t>ETF</w:t>
      </w:r>
      <w:r>
        <w:rPr/>
        <w:t>。因此</w:t>
      </w:r>
    </w:p>
    <w:p>
      <w:pPr>
        <w:spacing w:after="0"/>
        <w:jc w:val="both"/>
        <w:sectPr>
          <w:pgSz w:w="11910" w:h="16840"/>
          <w:pgMar w:header="877" w:footer="995" w:top="1420" w:bottom="1180" w:left="1640" w:right="920"/>
        </w:sectPr>
      </w:pPr>
    </w:p>
    <w:p>
      <w:pPr>
        <w:pStyle w:val="BodyText"/>
        <w:spacing w:line="417" w:lineRule="auto" w:before="110"/>
        <w:ind w:left="160" w:right="664"/>
      </w:pPr>
      <w:r>
        <w:rPr>
          <w:spacing w:val="-10"/>
        </w:rPr>
        <w:t>对可投资于成份股、备选成份股的资金头寸，主要采取复制法，即按照标的指数的成份股组 </w:t>
      </w:r>
      <w:r>
        <w:rPr>
          <w:spacing w:val="-11"/>
        </w:rPr>
        <w:t>成及其权重构建基金股票投资组合，并根据标的指数成份股及其权重的变动而进行相应调整。</w:t>
      </w:r>
    </w:p>
    <w:p>
      <w:pPr>
        <w:pStyle w:val="ListParagraph"/>
        <w:numPr>
          <w:ilvl w:val="0"/>
          <w:numId w:val="21"/>
        </w:numPr>
        <w:tabs>
          <w:tab w:pos="1110" w:val="left" w:leader="none"/>
        </w:tabs>
        <w:spacing w:line="269" w:lineRule="exact" w:before="0" w:after="0"/>
        <w:ind w:left="1109" w:right="0" w:hanging="530"/>
        <w:jc w:val="left"/>
        <w:rPr>
          <w:sz w:val="21"/>
        </w:rPr>
      </w:pPr>
      <w:r>
        <w:rPr>
          <w:spacing w:val="-3"/>
          <w:sz w:val="21"/>
        </w:rPr>
        <w:t>非成份股投资策略</w:t>
      </w:r>
    </w:p>
    <w:p>
      <w:pPr>
        <w:pStyle w:val="BodyText"/>
        <w:spacing w:before="6"/>
        <w:rPr>
          <w:sz w:val="15"/>
        </w:rPr>
      </w:pPr>
    </w:p>
    <w:p>
      <w:pPr>
        <w:pStyle w:val="BodyText"/>
        <w:spacing w:line="417" w:lineRule="auto"/>
        <w:ind w:left="160" w:right="871" w:firstLine="419"/>
      </w:pPr>
      <w:r>
        <w:rPr>
          <w:spacing w:val="-8"/>
        </w:rPr>
        <w:t>为更好地达成投资目标，因特殊情况</w:t>
      </w:r>
      <w:r>
        <w:rPr>
          <w:spacing w:val="-3"/>
        </w:rPr>
        <w:t>（如流动性不足等</w:t>
      </w:r>
      <w:r>
        <w:rPr>
          <w:spacing w:val="-32"/>
        </w:rPr>
        <w:t>）</w:t>
      </w:r>
      <w:r>
        <w:rPr>
          <w:spacing w:val="-3"/>
        </w:rPr>
        <w:t>导致无法获得足够数量的股票时，基金管理人将搭配使用其他合理方法进行适当的替代。</w:t>
      </w:r>
    </w:p>
    <w:p>
      <w:pPr>
        <w:pStyle w:val="BodyText"/>
        <w:spacing w:line="269" w:lineRule="exact"/>
        <w:ind w:left="580"/>
      </w:pPr>
      <w:r>
        <w:rPr>
          <w:rFonts w:ascii="Calibri" w:eastAsia="Calibri"/>
        </w:rPr>
        <w:t>3</w:t>
      </w:r>
      <w:r>
        <w:rPr/>
        <w:t>、债券投资策略</w:t>
      </w:r>
    </w:p>
    <w:p>
      <w:pPr>
        <w:pStyle w:val="BodyText"/>
        <w:spacing w:before="7"/>
        <w:rPr>
          <w:sz w:val="15"/>
        </w:rPr>
      </w:pPr>
    </w:p>
    <w:p>
      <w:pPr>
        <w:pStyle w:val="BodyText"/>
        <w:spacing w:line="417" w:lineRule="auto"/>
        <w:ind w:left="160" w:right="871" w:firstLine="419"/>
        <w:jc w:val="both"/>
      </w:pPr>
      <w:r>
        <w:rPr>
          <w:spacing w:val="-12"/>
        </w:rPr>
        <w:t>在选择债券品种时，首先根据宏观经济分析、资金面动向分析和投资人行为分析判断未</w:t>
      </w:r>
      <w:r>
        <w:rPr>
          <w:spacing w:val="-11"/>
        </w:rPr>
        <w:t>来利率期限结构变化，并充分考虑组合的流动性管理的实际情况，配置债券组合的久期；其</w:t>
      </w:r>
      <w:r>
        <w:rPr>
          <w:spacing w:val="-12"/>
        </w:rPr>
        <w:t>次，结合信用分析、流动性分析、税收分析等确定债券组合的类属配置；再次，在上述基础</w:t>
      </w:r>
      <w:r>
        <w:rPr>
          <w:spacing w:val="-11"/>
        </w:rPr>
        <w:t>上利用债券定价技术，进行个券选择，选择被低估的债券进行投资。在具体投资操作中，采</w:t>
      </w:r>
      <w:r>
        <w:rPr>
          <w:spacing w:val="-6"/>
        </w:rPr>
        <w:t>用骑乘操作、放大操作、换券操作等灵活多样的操作方式，获取超额的投资收益。</w:t>
      </w:r>
    </w:p>
    <w:p>
      <w:pPr>
        <w:pStyle w:val="BodyText"/>
        <w:spacing w:line="269" w:lineRule="exact"/>
        <w:ind w:left="580"/>
      </w:pPr>
      <w:r>
        <w:rPr>
          <w:rFonts w:ascii="Calibri" w:eastAsia="Calibri"/>
        </w:rPr>
        <w:t>4</w:t>
      </w:r>
      <w:r>
        <w:rPr/>
        <w:t>、中小企业私募债券投资策略</w:t>
      </w:r>
    </w:p>
    <w:p>
      <w:pPr>
        <w:pStyle w:val="BodyText"/>
        <w:spacing w:before="7"/>
        <w:rPr>
          <w:sz w:val="15"/>
        </w:rPr>
      </w:pPr>
    </w:p>
    <w:p>
      <w:pPr>
        <w:pStyle w:val="BodyText"/>
        <w:spacing w:line="417" w:lineRule="auto"/>
        <w:ind w:left="160" w:right="871" w:firstLine="419"/>
        <w:jc w:val="both"/>
      </w:pPr>
      <w:r>
        <w:rPr>
          <w:spacing w:val="-9"/>
        </w:rPr>
        <w:t>在严格控制风险的前提下，通过严谨的研究，综合考虑中小企业私募债券的安全性、收</w:t>
      </w:r>
      <w:r>
        <w:rPr>
          <w:spacing w:val="-12"/>
        </w:rPr>
        <w:t>益性和流动性等特征，并与其他投资品种进行对比后，选择具有相对优势的类属和个券进行投资。同时，通过期限和品种的分散投资降低基金投资中小企业私募债券的信用风险、利率</w:t>
      </w:r>
      <w:r>
        <w:rPr>
          <w:spacing w:val="-6"/>
        </w:rPr>
        <w:t>风险和流动性风险。</w:t>
      </w:r>
    </w:p>
    <w:p>
      <w:pPr>
        <w:pStyle w:val="BodyText"/>
        <w:spacing w:line="269" w:lineRule="exact"/>
        <w:ind w:left="580"/>
      </w:pPr>
      <w:r>
        <w:rPr>
          <w:rFonts w:ascii="Calibri" w:eastAsia="Calibri"/>
        </w:rPr>
        <w:t>5</w:t>
      </w:r>
      <w:r>
        <w:rPr/>
        <w:t>、股指期货和股票期权投资策略</w:t>
      </w:r>
    </w:p>
    <w:p>
      <w:pPr>
        <w:pStyle w:val="BodyText"/>
        <w:spacing w:before="7"/>
        <w:rPr>
          <w:sz w:val="15"/>
        </w:rPr>
      </w:pPr>
    </w:p>
    <w:p>
      <w:pPr>
        <w:pStyle w:val="BodyText"/>
        <w:spacing w:line="417" w:lineRule="auto"/>
        <w:ind w:left="160" w:right="871" w:firstLine="419"/>
        <w:jc w:val="both"/>
      </w:pPr>
      <w:r>
        <w:rPr>
          <w:spacing w:val="-9"/>
        </w:rPr>
        <w:t>为了更好地实现投资目标，基金还将投资于股指期货、股票期权、权证和其他经中国证</w:t>
      </w:r>
      <w:r>
        <w:rPr>
          <w:spacing w:val="-11"/>
        </w:rPr>
        <w:t>监会允许的衍生工具。基金投资股指期货、股票期权等衍生工具将根据风险管理的原则，主</w:t>
      </w:r>
      <w:r>
        <w:rPr>
          <w:spacing w:val="-12"/>
        </w:rPr>
        <w:t>要选择流动性好、交易活跃的股指期货、股票期权合约，以提高投资效率，从而更好地跟踪</w:t>
      </w:r>
      <w:r>
        <w:rPr>
          <w:spacing w:val="-6"/>
        </w:rPr>
        <w:t>标的指数，实现投资目标。</w:t>
      </w:r>
    </w:p>
    <w:p>
      <w:pPr>
        <w:pStyle w:val="BodyText"/>
        <w:spacing w:line="417" w:lineRule="auto"/>
        <w:ind w:left="160" w:right="765" w:firstLine="419"/>
      </w:pPr>
      <w:r>
        <w:rPr>
          <w:spacing w:val="-16"/>
        </w:rPr>
        <w:t>本基金投资股票期权，基金管理人将根据审慎原则，建立股票期权交易决策部门或小组， </w:t>
      </w:r>
      <w:r>
        <w:rPr>
          <w:spacing w:val="-7"/>
        </w:rPr>
        <w:t>授权特定的管理人员负责股票期权的投资审批事项，以防范股票期权投资的风险。</w:t>
      </w:r>
    </w:p>
    <w:p>
      <w:pPr>
        <w:pStyle w:val="BodyText"/>
        <w:spacing w:line="269" w:lineRule="exact"/>
        <w:ind w:left="580"/>
      </w:pPr>
      <w:r>
        <w:rPr>
          <w:rFonts w:ascii="Calibri" w:eastAsia="Calibri"/>
        </w:rPr>
        <w:t>6</w:t>
      </w:r>
      <w:r>
        <w:rPr/>
        <w:t>、国债期货投资策略</w:t>
      </w:r>
    </w:p>
    <w:p>
      <w:pPr>
        <w:pStyle w:val="BodyText"/>
        <w:spacing w:before="6"/>
        <w:rPr>
          <w:sz w:val="15"/>
        </w:rPr>
      </w:pPr>
    </w:p>
    <w:p>
      <w:pPr>
        <w:pStyle w:val="BodyText"/>
        <w:spacing w:line="417" w:lineRule="auto"/>
        <w:ind w:left="160" w:right="871" w:firstLine="419"/>
      </w:pPr>
      <w:r>
        <w:rPr>
          <w:spacing w:val="-7"/>
        </w:rPr>
        <w:t>本基金还可积极参与风险低且可控的债券回购等投资，以及国债期货投资。基金投资国</w:t>
      </w:r>
      <w:r>
        <w:rPr>
          <w:spacing w:val="-5"/>
        </w:rPr>
        <w:t>债期货将本着谨慎的原则，充分考虑其流动性和风险收益特征，适度参与国债期货投资。</w:t>
      </w:r>
    </w:p>
    <w:p>
      <w:pPr>
        <w:pStyle w:val="BodyText"/>
        <w:spacing w:line="269" w:lineRule="exact"/>
        <w:ind w:left="580"/>
      </w:pPr>
      <w:r>
        <w:rPr>
          <w:rFonts w:ascii="Calibri" w:eastAsia="Calibri"/>
        </w:rPr>
        <w:t>7</w:t>
      </w:r>
      <w:r>
        <w:rPr/>
        <w:t>、权证投资策略</w:t>
      </w:r>
    </w:p>
    <w:p>
      <w:pPr>
        <w:pStyle w:val="BodyText"/>
        <w:spacing w:before="7"/>
        <w:rPr>
          <w:sz w:val="15"/>
        </w:rPr>
      </w:pPr>
    </w:p>
    <w:p>
      <w:pPr>
        <w:pStyle w:val="BodyText"/>
        <w:spacing w:line="417" w:lineRule="auto"/>
        <w:ind w:left="160" w:right="768" w:firstLine="419"/>
      </w:pPr>
      <w:r>
        <w:rPr>
          <w:spacing w:val="-8"/>
        </w:rPr>
        <w:t>本基金将在严格控制风险的前提下，主动进行权证投资。基金权证投资将以价值分析为</w:t>
      </w:r>
      <w:r>
        <w:rPr>
          <w:spacing w:val="-5"/>
        </w:rPr>
        <w:t>基础，在采用数量化模型分析其合理定价的基础上，把握市场的短期波动，进行积极操作， </w:t>
      </w:r>
      <w:r>
        <w:rPr>
          <w:spacing w:val="-4"/>
        </w:rPr>
        <w:t>追求在风险可控的前提下实现稳健的超额收益。</w:t>
      </w:r>
    </w:p>
    <w:p>
      <w:pPr>
        <w:spacing w:after="0" w:line="417" w:lineRule="auto"/>
        <w:sectPr>
          <w:pgSz w:w="11910" w:h="16840"/>
          <w:pgMar w:header="877" w:footer="995" w:top="1420" w:bottom="1180" w:left="1640" w:right="920"/>
        </w:sectPr>
      </w:pPr>
    </w:p>
    <w:p>
      <w:pPr>
        <w:pStyle w:val="BodyText"/>
        <w:spacing w:line="417" w:lineRule="auto" w:before="110"/>
        <w:ind w:left="160" w:right="768" w:firstLine="419"/>
      </w:pPr>
      <w:r>
        <w:rPr/>
        <w:t>未来，随着证券市场投资工具的发展和丰富，本基金可相应调整和更新相关投资策略， 并在招募说明书更新中公告。</w:t>
      </w:r>
    </w:p>
    <w:p>
      <w:pPr>
        <w:pStyle w:val="BodyText"/>
        <w:spacing w:line="269" w:lineRule="exact"/>
        <w:ind w:left="580"/>
      </w:pPr>
      <w:r>
        <w:rPr/>
        <w:t>（四）投资限制</w:t>
      </w:r>
    </w:p>
    <w:p>
      <w:pPr>
        <w:pStyle w:val="BodyText"/>
        <w:spacing w:before="6"/>
        <w:rPr>
          <w:sz w:val="15"/>
        </w:rPr>
      </w:pPr>
    </w:p>
    <w:p>
      <w:pPr>
        <w:pStyle w:val="BodyText"/>
        <w:ind w:left="580"/>
      </w:pPr>
      <w:r>
        <w:rPr>
          <w:rFonts w:ascii="Calibri" w:eastAsia="Calibri"/>
        </w:rPr>
        <w:t>1</w:t>
      </w:r>
      <w:r>
        <w:rPr/>
        <w:t>、组合限制</w:t>
      </w:r>
    </w:p>
    <w:p>
      <w:pPr>
        <w:pStyle w:val="BodyText"/>
        <w:spacing w:before="7"/>
        <w:rPr>
          <w:sz w:val="15"/>
        </w:rPr>
      </w:pPr>
    </w:p>
    <w:p>
      <w:pPr>
        <w:pStyle w:val="BodyText"/>
        <w:ind w:left="580"/>
      </w:pPr>
      <w:r>
        <w:rPr/>
        <w:t>基金的投资组合应遵循以下限制：</w:t>
      </w:r>
    </w:p>
    <w:p>
      <w:pPr>
        <w:pStyle w:val="BodyText"/>
        <w:spacing w:before="7"/>
        <w:rPr>
          <w:sz w:val="15"/>
        </w:rPr>
      </w:pPr>
    </w:p>
    <w:p>
      <w:pPr>
        <w:pStyle w:val="ListParagraph"/>
        <w:numPr>
          <w:ilvl w:val="0"/>
          <w:numId w:val="22"/>
        </w:numPr>
        <w:tabs>
          <w:tab w:pos="1110" w:val="left" w:leader="none"/>
        </w:tabs>
        <w:spacing w:line="240" w:lineRule="auto" w:before="0" w:after="0"/>
        <w:ind w:left="1109" w:right="0" w:hanging="530"/>
        <w:jc w:val="left"/>
        <w:rPr>
          <w:sz w:val="21"/>
        </w:rPr>
      </w:pPr>
      <w:r>
        <w:rPr>
          <w:spacing w:val="-9"/>
          <w:sz w:val="21"/>
        </w:rPr>
        <w:t>本基金投资于目标 </w:t>
      </w:r>
      <w:r>
        <w:rPr>
          <w:rFonts w:ascii="Calibri" w:eastAsia="Calibri"/>
          <w:sz w:val="21"/>
        </w:rPr>
        <w:t>ETF</w:t>
      </w:r>
      <w:r>
        <w:rPr>
          <w:rFonts w:ascii="Calibri" w:eastAsia="Calibri"/>
          <w:spacing w:val="4"/>
          <w:sz w:val="21"/>
        </w:rPr>
        <w:t> </w:t>
      </w:r>
      <w:r>
        <w:rPr>
          <w:spacing w:val="-7"/>
          <w:sz w:val="21"/>
        </w:rPr>
        <w:t>的比例不低于基金资产净值的 </w:t>
      </w:r>
      <w:r>
        <w:rPr>
          <w:rFonts w:ascii="Calibri" w:eastAsia="Calibri"/>
          <w:sz w:val="21"/>
        </w:rPr>
        <w:t>90%</w:t>
      </w:r>
      <w:r>
        <w:rPr>
          <w:sz w:val="21"/>
        </w:rPr>
        <w:t>；</w:t>
      </w:r>
    </w:p>
    <w:p>
      <w:pPr>
        <w:pStyle w:val="BodyText"/>
        <w:spacing w:before="7"/>
        <w:rPr>
          <w:sz w:val="15"/>
        </w:rPr>
      </w:pPr>
    </w:p>
    <w:p>
      <w:pPr>
        <w:pStyle w:val="ListParagraph"/>
        <w:numPr>
          <w:ilvl w:val="0"/>
          <w:numId w:val="22"/>
        </w:numPr>
        <w:tabs>
          <w:tab w:pos="1110" w:val="left" w:leader="none"/>
        </w:tabs>
        <w:spacing w:line="240" w:lineRule="auto" w:before="0" w:after="0"/>
        <w:ind w:left="1109" w:right="0" w:hanging="530"/>
        <w:jc w:val="left"/>
        <w:rPr>
          <w:sz w:val="21"/>
        </w:rPr>
      </w:pPr>
      <w:r>
        <w:rPr>
          <w:spacing w:val="-5"/>
          <w:sz w:val="21"/>
        </w:rPr>
        <w:t>本基金持有的全部权证，其市值不得超过基金资产净值的 </w:t>
      </w:r>
      <w:r>
        <w:rPr>
          <w:rFonts w:ascii="Calibri" w:eastAsia="Calibri"/>
          <w:sz w:val="21"/>
        </w:rPr>
        <w:t>3%</w:t>
      </w:r>
      <w:r>
        <w:rPr>
          <w:sz w:val="21"/>
        </w:rPr>
        <w:t>；</w:t>
      </w:r>
    </w:p>
    <w:p>
      <w:pPr>
        <w:pStyle w:val="BodyText"/>
        <w:spacing w:before="7"/>
        <w:rPr>
          <w:sz w:val="15"/>
        </w:rPr>
      </w:pPr>
    </w:p>
    <w:p>
      <w:pPr>
        <w:pStyle w:val="ListParagraph"/>
        <w:numPr>
          <w:ilvl w:val="0"/>
          <w:numId w:val="22"/>
        </w:numPr>
        <w:tabs>
          <w:tab w:pos="1110" w:val="left" w:leader="none"/>
        </w:tabs>
        <w:spacing w:line="240" w:lineRule="auto" w:before="0" w:after="0"/>
        <w:ind w:left="1109" w:right="0" w:hanging="530"/>
        <w:jc w:val="left"/>
        <w:rPr>
          <w:sz w:val="21"/>
        </w:rPr>
      </w:pPr>
      <w:r>
        <w:rPr>
          <w:spacing w:val="-5"/>
          <w:sz w:val="21"/>
        </w:rPr>
        <w:t>本基金管理人管理的全部基金持有的同一权证，不得超过该权证的 </w:t>
      </w:r>
      <w:r>
        <w:rPr>
          <w:rFonts w:ascii="Calibri" w:eastAsia="Calibri"/>
          <w:sz w:val="21"/>
        </w:rPr>
        <w:t>10%</w:t>
      </w:r>
      <w:r>
        <w:rPr>
          <w:sz w:val="21"/>
        </w:rPr>
        <w:t>；</w:t>
      </w:r>
    </w:p>
    <w:p>
      <w:pPr>
        <w:pStyle w:val="BodyText"/>
        <w:spacing w:before="7"/>
        <w:rPr>
          <w:sz w:val="15"/>
        </w:rPr>
      </w:pPr>
    </w:p>
    <w:p>
      <w:pPr>
        <w:pStyle w:val="ListParagraph"/>
        <w:numPr>
          <w:ilvl w:val="0"/>
          <w:numId w:val="22"/>
        </w:numPr>
        <w:tabs>
          <w:tab w:pos="1126" w:val="left" w:leader="none"/>
        </w:tabs>
        <w:spacing w:line="240" w:lineRule="auto" w:before="0" w:after="0"/>
        <w:ind w:left="1125" w:right="0" w:hanging="546"/>
        <w:jc w:val="left"/>
        <w:rPr>
          <w:sz w:val="21"/>
        </w:rPr>
      </w:pPr>
      <w:r>
        <w:rPr>
          <w:spacing w:val="3"/>
          <w:sz w:val="21"/>
        </w:rPr>
        <w:t>本基金在任何交易日买入权证的总金额，不得超过上一交易日基金资产净值的</w:t>
      </w:r>
    </w:p>
    <w:p>
      <w:pPr>
        <w:pStyle w:val="BodyText"/>
        <w:spacing w:before="6"/>
        <w:rPr>
          <w:sz w:val="15"/>
        </w:rPr>
      </w:pPr>
    </w:p>
    <w:p>
      <w:pPr>
        <w:pStyle w:val="BodyText"/>
        <w:spacing w:before="1"/>
        <w:ind w:left="160"/>
      </w:pPr>
      <w:r>
        <w:rPr>
          <w:rFonts w:ascii="Calibri" w:eastAsia="Calibri"/>
        </w:rPr>
        <w:t>0.5%</w:t>
      </w:r>
      <w:r>
        <w:rPr/>
        <w:t>；</w:t>
      </w:r>
    </w:p>
    <w:p>
      <w:pPr>
        <w:pStyle w:val="BodyText"/>
        <w:spacing w:before="6"/>
        <w:rPr>
          <w:sz w:val="15"/>
        </w:rPr>
      </w:pPr>
    </w:p>
    <w:p>
      <w:pPr>
        <w:pStyle w:val="ListParagraph"/>
        <w:numPr>
          <w:ilvl w:val="0"/>
          <w:numId w:val="22"/>
        </w:numPr>
        <w:tabs>
          <w:tab w:pos="1112" w:val="left" w:leader="none"/>
        </w:tabs>
        <w:spacing w:line="417" w:lineRule="auto" w:before="0" w:after="0"/>
        <w:ind w:left="160" w:right="874" w:firstLine="419"/>
        <w:jc w:val="both"/>
        <w:rPr>
          <w:sz w:val="21"/>
        </w:rPr>
      </w:pPr>
      <w:r>
        <w:rPr>
          <w:spacing w:val="-3"/>
          <w:sz w:val="21"/>
        </w:rPr>
        <w:t>本基金投资于同一原始权益人的各类资产支持证券的比例，不得超过基金资产净</w:t>
      </w:r>
      <w:r>
        <w:rPr>
          <w:spacing w:val="-21"/>
          <w:sz w:val="21"/>
        </w:rPr>
        <w:t>值的 </w:t>
      </w:r>
      <w:r>
        <w:rPr>
          <w:rFonts w:ascii="Calibri" w:eastAsia="Calibri"/>
          <w:sz w:val="21"/>
        </w:rPr>
        <w:t>10%</w:t>
      </w:r>
      <w:r>
        <w:rPr>
          <w:sz w:val="21"/>
        </w:rPr>
        <w:t>；</w:t>
      </w:r>
    </w:p>
    <w:p>
      <w:pPr>
        <w:pStyle w:val="ListParagraph"/>
        <w:numPr>
          <w:ilvl w:val="0"/>
          <w:numId w:val="22"/>
        </w:numPr>
        <w:tabs>
          <w:tab w:pos="1110" w:val="left" w:leader="none"/>
        </w:tabs>
        <w:spacing w:line="269" w:lineRule="exact" w:before="0" w:after="0"/>
        <w:ind w:left="1109" w:right="0" w:hanging="530"/>
        <w:jc w:val="both"/>
        <w:rPr>
          <w:sz w:val="21"/>
        </w:rPr>
      </w:pPr>
      <w:r>
        <w:rPr>
          <w:spacing w:val="-5"/>
          <w:sz w:val="21"/>
        </w:rPr>
        <w:t>本基金持有的全部资产支持证券，其市值不得超过基金资产净值的 </w:t>
      </w:r>
      <w:r>
        <w:rPr>
          <w:rFonts w:ascii="Calibri" w:eastAsia="Calibri"/>
          <w:sz w:val="21"/>
        </w:rPr>
        <w:t>20%</w:t>
      </w:r>
      <w:r>
        <w:rPr>
          <w:sz w:val="21"/>
        </w:rPr>
        <w:t>；</w:t>
      </w:r>
    </w:p>
    <w:p>
      <w:pPr>
        <w:pStyle w:val="BodyText"/>
        <w:spacing w:before="7"/>
        <w:rPr>
          <w:sz w:val="15"/>
        </w:rPr>
      </w:pPr>
    </w:p>
    <w:p>
      <w:pPr>
        <w:pStyle w:val="ListParagraph"/>
        <w:numPr>
          <w:ilvl w:val="0"/>
          <w:numId w:val="22"/>
        </w:numPr>
        <w:tabs>
          <w:tab w:pos="1116" w:val="left" w:leader="none"/>
        </w:tabs>
        <w:spacing w:line="417" w:lineRule="auto" w:before="0" w:after="0"/>
        <w:ind w:left="160" w:right="877" w:firstLine="419"/>
        <w:jc w:val="both"/>
        <w:rPr>
          <w:sz w:val="21"/>
        </w:rPr>
      </w:pPr>
      <w:r>
        <w:rPr>
          <w:sz w:val="21"/>
        </w:rPr>
        <w:t>本基金持有的同一</w:t>
      </w:r>
      <w:r>
        <w:rPr>
          <w:rFonts w:ascii="Calibri" w:eastAsia="Calibri"/>
          <w:sz w:val="21"/>
        </w:rPr>
        <w:t>(</w:t>
      </w:r>
      <w:r>
        <w:rPr>
          <w:sz w:val="21"/>
        </w:rPr>
        <w:t>指同一信用级别</w:t>
      </w:r>
      <w:r>
        <w:rPr>
          <w:rFonts w:ascii="Calibri" w:eastAsia="Calibri"/>
          <w:spacing w:val="3"/>
          <w:sz w:val="21"/>
        </w:rPr>
        <w:t>)</w:t>
      </w:r>
      <w:r>
        <w:rPr>
          <w:spacing w:val="-1"/>
          <w:sz w:val="21"/>
        </w:rPr>
        <w:t>资产支持证券的比例，不得超过该资产支持</w:t>
      </w:r>
      <w:r>
        <w:rPr>
          <w:spacing w:val="-11"/>
          <w:sz w:val="21"/>
        </w:rPr>
        <w:t>证券规模的 </w:t>
      </w:r>
      <w:r>
        <w:rPr>
          <w:rFonts w:ascii="Calibri" w:eastAsia="Calibri"/>
          <w:sz w:val="21"/>
        </w:rPr>
        <w:t>10%</w:t>
      </w:r>
      <w:r>
        <w:rPr>
          <w:sz w:val="21"/>
        </w:rPr>
        <w:t>；</w:t>
      </w:r>
    </w:p>
    <w:p>
      <w:pPr>
        <w:pStyle w:val="ListParagraph"/>
        <w:numPr>
          <w:ilvl w:val="0"/>
          <w:numId w:val="22"/>
        </w:numPr>
        <w:tabs>
          <w:tab w:pos="1112" w:val="left" w:leader="none"/>
        </w:tabs>
        <w:spacing w:line="417" w:lineRule="auto" w:before="0" w:after="0"/>
        <w:ind w:left="160" w:right="874" w:firstLine="419"/>
        <w:jc w:val="both"/>
        <w:rPr>
          <w:sz w:val="21"/>
        </w:rPr>
      </w:pPr>
      <w:r>
        <w:rPr>
          <w:spacing w:val="-3"/>
          <w:sz w:val="21"/>
        </w:rPr>
        <w:t>本基金管理人管理的全部基金投资于同一原始权益人的各类资产支持证券，不得</w:t>
      </w:r>
      <w:r>
        <w:rPr>
          <w:spacing w:val="-6"/>
          <w:sz w:val="21"/>
        </w:rPr>
        <w:t>超过其各类资产支持证券合计规模的 </w:t>
      </w:r>
      <w:r>
        <w:rPr>
          <w:rFonts w:ascii="Calibri" w:eastAsia="Calibri"/>
          <w:sz w:val="21"/>
        </w:rPr>
        <w:t>10%</w:t>
      </w:r>
      <w:r>
        <w:rPr>
          <w:sz w:val="21"/>
        </w:rPr>
        <w:t>；</w:t>
      </w:r>
    </w:p>
    <w:p>
      <w:pPr>
        <w:pStyle w:val="ListParagraph"/>
        <w:numPr>
          <w:ilvl w:val="0"/>
          <w:numId w:val="22"/>
        </w:numPr>
        <w:tabs>
          <w:tab w:pos="1110" w:val="left" w:leader="none"/>
        </w:tabs>
        <w:spacing w:line="417" w:lineRule="auto" w:before="0" w:after="0"/>
        <w:ind w:left="160" w:right="871" w:firstLine="419"/>
        <w:jc w:val="both"/>
        <w:rPr>
          <w:sz w:val="21"/>
        </w:rPr>
      </w:pPr>
      <w:r>
        <w:rPr>
          <w:spacing w:val="-4"/>
          <w:sz w:val="21"/>
        </w:rPr>
        <w:t>本基金应投资于信用级别评级为 </w:t>
      </w:r>
      <w:r>
        <w:rPr>
          <w:rFonts w:ascii="Calibri" w:eastAsia="Calibri"/>
          <w:sz w:val="21"/>
        </w:rPr>
        <w:t>BBB</w:t>
      </w:r>
      <w:r>
        <w:rPr>
          <w:rFonts w:ascii="Calibri" w:eastAsia="Calibri"/>
          <w:spacing w:val="42"/>
          <w:sz w:val="21"/>
        </w:rPr>
        <w:t> </w:t>
      </w:r>
      <w:r>
        <w:rPr>
          <w:sz w:val="21"/>
        </w:rPr>
        <w:t>以上</w:t>
      </w:r>
      <w:r>
        <w:rPr>
          <w:rFonts w:ascii="Calibri" w:eastAsia="Calibri"/>
          <w:sz w:val="21"/>
        </w:rPr>
        <w:t>(</w:t>
      </w:r>
      <w:r>
        <w:rPr>
          <w:spacing w:val="-7"/>
          <w:sz w:val="21"/>
        </w:rPr>
        <w:t>含 </w:t>
      </w:r>
      <w:r>
        <w:rPr>
          <w:rFonts w:ascii="Calibri" w:eastAsia="Calibri"/>
          <w:sz w:val="21"/>
        </w:rPr>
        <w:t>BBB)</w:t>
      </w:r>
      <w:r>
        <w:rPr>
          <w:spacing w:val="-3"/>
          <w:sz w:val="21"/>
        </w:rPr>
        <w:t>的资产支持证券。基金持有资</w:t>
      </w:r>
      <w:r>
        <w:rPr>
          <w:spacing w:val="-1"/>
          <w:sz w:val="21"/>
        </w:rPr>
        <w:t>产支持证券期间，如果其信用等级下降、不再符合投资标准，应在评级报告发布之日起 </w:t>
      </w:r>
      <w:r>
        <w:rPr>
          <w:rFonts w:ascii="Calibri" w:eastAsia="Calibri"/>
          <w:sz w:val="21"/>
        </w:rPr>
        <w:t>3 </w:t>
      </w:r>
      <w:r>
        <w:rPr>
          <w:spacing w:val="-3"/>
          <w:sz w:val="21"/>
        </w:rPr>
        <w:t>个月内予以全部卖出；</w:t>
      </w:r>
    </w:p>
    <w:p>
      <w:pPr>
        <w:pStyle w:val="ListParagraph"/>
        <w:numPr>
          <w:ilvl w:val="0"/>
          <w:numId w:val="22"/>
        </w:numPr>
        <w:tabs>
          <w:tab w:pos="1215" w:val="left" w:leader="none"/>
        </w:tabs>
        <w:spacing w:line="417" w:lineRule="auto" w:before="0" w:after="0"/>
        <w:ind w:left="160" w:right="875" w:firstLine="419"/>
        <w:jc w:val="left"/>
        <w:rPr>
          <w:sz w:val="21"/>
        </w:rPr>
      </w:pPr>
      <w:r>
        <w:rPr>
          <w:spacing w:val="-7"/>
          <w:sz w:val="21"/>
        </w:rPr>
        <w:t>基金财产参与股票发行申购，本基金所申报的金额不超过本基金的总资产，本 </w:t>
      </w:r>
      <w:r>
        <w:rPr>
          <w:spacing w:val="-3"/>
          <w:sz w:val="21"/>
        </w:rPr>
        <w:t>基金所申报的股票数量不超过拟发行股票公司本次发行股票的总量；</w:t>
      </w:r>
    </w:p>
    <w:p>
      <w:pPr>
        <w:pStyle w:val="ListParagraph"/>
        <w:numPr>
          <w:ilvl w:val="0"/>
          <w:numId w:val="22"/>
        </w:numPr>
        <w:tabs>
          <w:tab w:pos="1215" w:val="left" w:leader="none"/>
        </w:tabs>
        <w:spacing w:line="417" w:lineRule="auto" w:before="0" w:after="0"/>
        <w:ind w:left="160" w:right="871" w:firstLine="419"/>
        <w:jc w:val="left"/>
        <w:rPr>
          <w:sz w:val="21"/>
        </w:rPr>
      </w:pPr>
      <w:r>
        <w:rPr>
          <w:spacing w:val="-3"/>
          <w:sz w:val="21"/>
        </w:rPr>
        <w:t>本基金进入全国银行间同业市场进行债券回购的资金余额不得超过基金资产净</w:t>
      </w:r>
      <w:r>
        <w:rPr>
          <w:spacing w:val="-18"/>
          <w:sz w:val="21"/>
        </w:rPr>
        <w:t>值的 </w:t>
      </w:r>
      <w:r>
        <w:rPr>
          <w:rFonts w:ascii="Calibri" w:eastAsia="Calibri"/>
          <w:sz w:val="21"/>
        </w:rPr>
        <w:t>40%</w:t>
      </w:r>
      <w:r>
        <w:rPr>
          <w:sz w:val="21"/>
        </w:rPr>
        <w:t>；</w:t>
      </w:r>
    </w:p>
    <w:p>
      <w:pPr>
        <w:pStyle w:val="ListParagraph"/>
        <w:numPr>
          <w:ilvl w:val="0"/>
          <w:numId w:val="22"/>
        </w:numPr>
        <w:tabs>
          <w:tab w:pos="1215" w:val="left" w:leader="none"/>
        </w:tabs>
        <w:spacing w:line="417" w:lineRule="auto" w:before="0" w:after="0"/>
        <w:ind w:left="160" w:right="875" w:firstLine="419"/>
        <w:jc w:val="both"/>
        <w:rPr>
          <w:sz w:val="21"/>
        </w:rPr>
      </w:pPr>
      <w:r>
        <w:rPr>
          <w:spacing w:val="-7"/>
          <w:sz w:val="21"/>
        </w:rPr>
        <w:t>本基金在任何交易日日终，持有的买入股指期货合约价值，不得超过基金资产 </w:t>
      </w:r>
      <w:r>
        <w:rPr>
          <w:spacing w:val="9"/>
          <w:sz w:val="21"/>
        </w:rPr>
        <w:t>净值的 </w:t>
      </w:r>
      <w:r>
        <w:rPr>
          <w:rFonts w:ascii="Calibri" w:eastAsia="Calibri"/>
          <w:sz w:val="21"/>
        </w:rPr>
        <w:t>10%</w:t>
      </w:r>
      <w:r>
        <w:rPr>
          <w:sz w:val="21"/>
        </w:rPr>
        <w:t>；在任何交易日日终，持有的卖出期货合约价值不得超过基金持有的股票总市</w:t>
      </w:r>
      <w:r>
        <w:rPr>
          <w:spacing w:val="13"/>
          <w:sz w:val="21"/>
        </w:rPr>
        <w:t>值的 </w:t>
      </w:r>
      <w:r>
        <w:rPr>
          <w:rFonts w:ascii="Calibri" w:eastAsia="Calibri"/>
          <w:sz w:val="21"/>
        </w:rPr>
        <w:t>20%</w:t>
      </w:r>
      <w:r>
        <w:rPr>
          <w:sz w:val="21"/>
        </w:rPr>
        <w:t>，在任何交易日内交易（不包括平仓）的股指期货合约的成交金额不得超过上一</w:t>
      </w:r>
      <w:r>
        <w:rPr>
          <w:spacing w:val="-4"/>
          <w:sz w:val="21"/>
        </w:rPr>
        <w:t>交易日基金资产净值的 </w:t>
      </w:r>
      <w:r>
        <w:rPr>
          <w:rFonts w:ascii="Calibri" w:eastAsia="Calibri"/>
          <w:sz w:val="21"/>
        </w:rPr>
        <w:t>20%</w:t>
      </w:r>
      <w:r>
        <w:rPr>
          <w:sz w:val="21"/>
        </w:rPr>
        <w:t>；</w:t>
      </w:r>
    </w:p>
    <w:p>
      <w:pPr>
        <w:pStyle w:val="ListParagraph"/>
        <w:numPr>
          <w:ilvl w:val="0"/>
          <w:numId w:val="22"/>
        </w:numPr>
        <w:tabs>
          <w:tab w:pos="1215" w:val="left" w:leader="none"/>
        </w:tabs>
        <w:spacing w:line="417" w:lineRule="auto" w:before="0" w:after="0"/>
        <w:ind w:left="160" w:right="875" w:firstLine="419"/>
        <w:jc w:val="both"/>
        <w:rPr>
          <w:sz w:val="21"/>
        </w:rPr>
      </w:pPr>
      <w:r>
        <w:rPr>
          <w:spacing w:val="-8"/>
          <w:sz w:val="21"/>
        </w:rPr>
        <w:t>基金在任何交易日日终，持有的买入国债期货合约价值，不得超过基金资产净 </w:t>
      </w:r>
      <w:r>
        <w:rPr>
          <w:spacing w:val="14"/>
          <w:sz w:val="21"/>
        </w:rPr>
        <w:t>值的 </w:t>
      </w:r>
      <w:r>
        <w:rPr>
          <w:rFonts w:ascii="Calibri" w:eastAsia="Calibri"/>
          <w:sz w:val="21"/>
        </w:rPr>
        <w:t>15%</w:t>
      </w:r>
      <w:r>
        <w:rPr>
          <w:sz w:val="21"/>
        </w:rPr>
        <w:t>；基金在任何交易日日终，持有的卖出国债期货合约价值不得超过基金持有的债</w:t>
      </w:r>
      <w:r>
        <w:rPr>
          <w:spacing w:val="-14"/>
          <w:sz w:val="21"/>
        </w:rPr>
        <w:t>券</w:t>
      </w:r>
    </w:p>
    <w:p>
      <w:pPr>
        <w:spacing w:after="0" w:line="417" w:lineRule="auto"/>
        <w:jc w:val="both"/>
        <w:rPr>
          <w:sz w:val="21"/>
        </w:rPr>
        <w:sectPr>
          <w:pgSz w:w="11910" w:h="16840"/>
          <w:pgMar w:header="877" w:footer="995" w:top="1420" w:bottom="1180" w:left="1640" w:right="920"/>
        </w:sectPr>
      </w:pPr>
    </w:p>
    <w:p>
      <w:pPr>
        <w:pStyle w:val="BodyText"/>
        <w:spacing w:line="417" w:lineRule="auto" w:before="110"/>
        <w:ind w:left="160" w:right="875"/>
        <w:jc w:val="both"/>
      </w:pPr>
      <w:r>
        <w:rPr/>
        <w:t>总市值的 </w:t>
      </w:r>
      <w:r>
        <w:rPr>
          <w:rFonts w:ascii="Calibri" w:eastAsia="Calibri"/>
        </w:rPr>
        <w:t>30%</w:t>
      </w:r>
      <w:r>
        <w:rPr/>
        <w:t>；基金在任何交易日内交易（不包括平仓）的国债期货合约的成交金额不得超过上一交易日基金资产净值的 </w:t>
      </w:r>
      <w:r>
        <w:rPr>
          <w:rFonts w:ascii="Calibri" w:eastAsia="Calibri"/>
        </w:rPr>
        <w:t>30%</w:t>
      </w:r>
      <w:r>
        <w:rPr/>
        <w:t>；</w:t>
      </w:r>
    </w:p>
    <w:p>
      <w:pPr>
        <w:pStyle w:val="ListParagraph"/>
        <w:numPr>
          <w:ilvl w:val="0"/>
          <w:numId w:val="22"/>
        </w:numPr>
        <w:tabs>
          <w:tab w:pos="1218" w:val="left" w:leader="none"/>
        </w:tabs>
        <w:spacing w:line="417" w:lineRule="auto" w:before="0" w:after="0"/>
        <w:ind w:left="160" w:right="871" w:firstLine="419"/>
        <w:jc w:val="both"/>
        <w:rPr>
          <w:sz w:val="21"/>
        </w:rPr>
      </w:pPr>
      <w:r>
        <w:rPr>
          <w:spacing w:val="-9"/>
          <w:sz w:val="21"/>
        </w:rPr>
        <w:t>在任何交易日日终，持有的买入股指期货和国债期货合约价值与有价证券市值 </w:t>
      </w:r>
      <w:r>
        <w:rPr>
          <w:spacing w:val="-7"/>
          <w:sz w:val="21"/>
        </w:rPr>
        <w:t>之和，不得超过基金资产净值的 </w:t>
      </w:r>
      <w:r>
        <w:rPr>
          <w:rFonts w:ascii="Calibri" w:eastAsia="Calibri"/>
          <w:sz w:val="21"/>
        </w:rPr>
        <w:t>100%</w:t>
      </w:r>
      <w:r>
        <w:rPr>
          <w:sz w:val="21"/>
        </w:rPr>
        <w:t>；</w:t>
      </w:r>
    </w:p>
    <w:p>
      <w:pPr>
        <w:pStyle w:val="ListParagraph"/>
        <w:numPr>
          <w:ilvl w:val="0"/>
          <w:numId w:val="22"/>
        </w:numPr>
        <w:tabs>
          <w:tab w:pos="1215" w:val="left" w:leader="none"/>
        </w:tabs>
        <w:spacing w:line="417" w:lineRule="auto" w:before="0" w:after="0"/>
        <w:ind w:left="160" w:right="871" w:firstLine="419"/>
        <w:jc w:val="both"/>
        <w:rPr>
          <w:sz w:val="21"/>
        </w:rPr>
      </w:pPr>
      <w:r>
        <w:rPr>
          <w:spacing w:val="-7"/>
          <w:sz w:val="21"/>
        </w:rPr>
        <w:t>每个交易日日终在扣除股指期货、国债期货、股票期权合约需缴纳的交易保证 </w:t>
      </w:r>
      <w:r>
        <w:rPr>
          <w:spacing w:val="-4"/>
          <w:sz w:val="21"/>
        </w:rPr>
        <w:t>金后，保持不低于基金资产净值 </w:t>
      </w:r>
      <w:r>
        <w:rPr>
          <w:rFonts w:ascii="Calibri" w:eastAsia="Calibri"/>
          <w:sz w:val="21"/>
        </w:rPr>
        <w:t>5%</w:t>
      </w:r>
      <w:r>
        <w:rPr>
          <w:spacing w:val="-3"/>
          <w:sz w:val="21"/>
        </w:rPr>
        <w:t>的现金或者到期日在一年以内的政府债券，其中，现金不包括结算备付金、存出保证金、应收申购款等；</w:t>
      </w:r>
    </w:p>
    <w:p>
      <w:pPr>
        <w:pStyle w:val="ListParagraph"/>
        <w:numPr>
          <w:ilvl w:val="0"/>
          <w:numId w:val="22"/>
        </w:numPr>
        <w:tabs>
          <w:tab w:pos="1218" w:val="left" w:leader="none"/>
        </w:tabs>
        <w:spacing w:line="240" w:lineRule="auto" w:before="0" w:after="0"/>
        <w:ind w:left="1217" w:right="0" w:hanging="638"/>
        <w:jc w:val="both"/>
        <w:rPr>
          <w:sz w:val="21"/>
        </w:rPr>
      </w:pPr>
      <w:r>
        <w:rPr>
          <w:spacing w:val="-5"/>
          <w:sz w:val="21"/>
        </w:rPr>
        <w:t>本基金持有单只中小企业私募债券，其市值不得超过基金资产净值的 </w:t>
      </w:r>
      <w:r>
        <w:rPr>
          <w:rFonts w:ascii="Calibri" w:eastAsia="Calibri"/>
          <w:sz w:val="21"/>
        </w:rPr>
        <w:t>10%</w:t>
      </w:r>
      <w:r>
        <w:rPr>
          <w:sz w:val="21"/>
        </w:rPr>
        <w:t>；</w:t>
      </w:r>
    </w:p>
    <w:p>
      <w:pPr>
        <w:pStyle w:val="BodyText"/>
        <w:spacing w:before="6"/>
        <w:rPr>
          <w:sz w:val="15"/>
        </w:rPr>
      </w:pPr>
    </w:p>
    <w:p>
      <w:pPr>
        <w:pStyle w:val="ListParagraph"/>
        <w:numPr>
          <w:ilvl w:val="0"/>
          <w:numId w:val="22"/>
        </w:numPr>
        <w:tabs>
          <w:tab w:pos="1218" w:val="left" w:leader="none"/>
        </w:tabs>
        <w:spacing w:line="240" w:lineRule="auto" w:before="0" w:after="0"/>
        <w:ind w:left="1217" w:right="0" w:hanging="638"/>
        <w:jc w:val="both"/>
        <w:rPr>
          <w:sz w:val="21"/>
        </w:rPr>
      </w:pPr>
      <w:r>
        <w:rPr>
          <w:spacing w:val="-7"/>
          <w:sz w:val="21"/>
        </w:rPr>
        <w:t>基金总资产不得超过基金净资产的 </w:t>
      </w:r>
      <w:r>
        <w:rPr>
          <w:rFonts w:ascii="Calibri" w:eastAsia="Calibri"/>
          <w:sz w:val="21"/>
        </w:rPr>
        <w:t>140%</w:t>
      </w:r>
      <w:r>
        <w:rPr>
          <w:sz w:val="21"/>
        </w:rPr>
        <w:t>；</w:t>
      </w:r>
    </w:p>
    <w:p>
      <w:pPr>
        <w:pStyle w:val="BodyText"/>
        <w:spacing w:before="6"/>
        <w:rPr>
          <w:sz w:val="15"/>
        </w:rPr>
      </w:pPr>
    </w:p>
    <w:p>
      <w:pPr>
        <w:pStyle w:val="ListParagraph"/>
        <w:numPr>
          <w:ilvl w:val="0"/>
          <w:numId w:val="22"/>
        </w:numPr>
        <w:tabs>
          <w:tab w:pos="1215" w:val="left" w:leader="none"/>
        </w:tabs>
        <w:spacing w:line="417" w:lineRule="auto" w:before="1" w:after="0"/>
        <w:ind w:left="160" w:right="871" w:firstLine="419"/>
        <w:jc w:val="both"/>
        <w:rPr>
          <w:sz w:val="21"/>
        </w:rPr>
      </w:pPr>
      <w:r>
        <w:rPr>
          <w:spacing w:val="-3"/>
          <w:sz w:val="21"/>
        </w:rPr>
        <w:t>基金因未平仓的股票期权合约支付和收取的权利金总额不得超过基金资产净值</w:t>
      </w:r>
      <w:r>
        <w:rPr>
          <w:spacing w:val="11"/>
          <w:sz w:val="21"/>
        </w:rPr>
        <w:t>的 </w:t>
      </w:r>
      <w:r>
        <w:rPr>
          <w:rFonts w:ascii="Calibri" w:eastAsia="Calibri"/>
          <w:spacing w:val="-4"/>
          <w:sz w:val="21"/>
        </w:rPr>
        <w:t>10%</w:t>
      </w:r>
      <w:r>
        <w:rPr>
          <w:spacing w:val="-6"/>
          <w:sz w:val="21"/>
        </w:rPr>
        <w:t>；开仓卖出认购股票期权的，应持有足额标的证券；开仓卖出认沽股票期权的，应持有合约行权所需的全额现金或交易所规则认可的可冲抵股票期权保证金的现金等价物；未</w:t>
      </w:r>
      <w:r>
        <w:rPr>
          <w:sz w:val="21"/>
        </w:rPr>
        <w:t>平仓的股票期权合约面值不得超过基金资产净值的 </w:t>
      </w:r>
      <w:r>
        <w:rPr>
          <w:rFonts w:ascii="Calibri" w:eastAsia="Calibri"/>
          <w:sz w:val="21"/>
        </w:rPr>
        <w:t>20%</w:t>
      </w:r>
      <w:r>
        <w:rPr>
          <w:sz w:val="21"/>
        </w:rPr>
        <w:t>。其中，合约面值按照行权价乘以</w:t>
      </w:r>
      <w:r>
        <w:rPr>
          <w:spacing w:val="-3"/>
          <w:sz w:val="21"/>
        </w:rPr>
        <w:t>合约乘数计算；</w:t>
      </w:r>
    </w:p>
    <w:p>
      <w:pPr>
        <w:pStyle w:val="ListParagraph"/>
        <w:numPr>
          <w:ilvl w:val="0"/>
          <w:numId w:val="22"/>
        </w:numPr>
        <w:tabs>
          <w:tab w:pos="1218" w:val="left" w:leader="none"/>
        </w:tabs>
        <w:spacing w:line="417" w:lineRule="auto" w:before="0" w:after="0"/>
        <w:ind w:left="160" w:right="768" w:firstLine="419"/>
        <w:jc w:val="left"/>
        <w:rPr>
          <w:sz w:val="21"/>
        </w:rPr>
      </w:pPr>
      <w:r>
        <w:rPr>
          <w:spacing w:val="-4"/>
          <w:sz w:val="21"/>
        </w:rPr>
        <w:t>本基金主动投资于流动性受限资产的市值合计不得超过本基金资产净值的 </w:t>
      </w:r>
      <w:r>
        <w:rPr>
          <w:rFonts w:ascii="Calibri" w:eastAsia="Calibri"/>
          <w:spacing w:val="-3"/>
          <w:sz w:val="21"/>
        </w:rPr>
        <w:t>15%</w:t>
      </w:r>
      <w:r>
        <w:rPr>
          <w:sz w:val="21"/>
        </w:rPr>
        <w:t>。</w:t>
      </w:r>
      <w:r>
        <w:rPr>
          <w:spacing w:val="-12"/>
          <w:sz w:val="21"/>
        </w:rPr>
        <w:t>因证券市场波动、上市公司股票停牌、基金规模变动等基金管理人之外的因素致使基金不符</w:t>
      </w:r>
      <w:r>
        <w:rPr>
          <w:spacing w:val="-6"/>
          <w:sz w:val="21"/>
        </w:rPr>
        <w:t>合前述所规定比例限制的，基金管理人不得主动新增流动性受限资产的投资。</w:t>
      </w:r>
    </w:p>
    <w:p>
      <w:pPr>
        <w:pStyle w:val="ListParagraph"/>
        <w:numPr>
          <w:ilvl w:val="0"/>
          <w:numId w:val="22"/>
        </w:numPr>
        <w:tabs>
          <w:tab w:pos="1215" w:val="left" w:leader="none"/>
        </w:tabs>
        <w:spacing w:line="417" w:lineRule="auto" w:before="0" w:after="0"/>
        <w:ind w:left="160" w:right="871" w:firstLine="419"/>
        <w:jc w:val="left"/>
        <w:rPr>
          <w:sz w:val="21"/>
        </w:rPr>
      </w:pPr>
      <w:r>
        <w:rPr>
          <w:spacing w:val="-3"/>
          <w:sz w:val="21"/>
        </w:rPr>
        <w:t>本基金与私募类证券资管产品及中国证监会认定的其他主体为交易对手开展逆回购交易的，可接受质押品的资质要求应当与基金合同约定的投资范围保持一致。</w:t>
      </w:r>
    </w:p>
    <w:p>
      <w:pPr>
        <w:pStyle w:val="ListParagraph"/>
        <w:numPr>
          <w:ilvl w:val="0"/>
          <w:numId w:val="22"/>
        </w:numPr>
        <w:tabs>
          <w:tab w:pos="1218" w:val="left" w:leader="none"/>
        </w:tabs>
        <w:spacing w:line="269" w:lineRule="exact" w:before="0" w:after="0"/>
        <w:ind w:left="1217" w:right="0" w:hanging="638"/>
        <w:jc w:val="left"/>
        <w:rPr>
          <w:sz w:val="21"/>
        </w:rPr>
      </w:pPr>
      <w:r>
        <w:rPr>
          <w:spacing w:val="-3"/>
          <w:sz w:val="21"/>
        </w:rPr>
        <w:t>法律法规及中国证监会规定的其他投资限制。</w:t>
      </w:r>
    </w:p>
    <w:p>
      <w:pPr>
        <w:pStyle w:val="BodyText"/>
        <w:spacing w:line="417" w:lineRule="auto" w:before="198"/>
        <w:ind w:left="160" w:right="871" w:firstLine="419"/>
        <w:jc w:val="both"/>
      </w:pPr>
      <w:r>
        <w:rPr>
          <w:spacing w:val="-12"/>
        </w:rPr>
        <w:t>因证券、期货市场波动、基金规模变动等基金管理人之外因素致使基金投资不符合上述</w:t>
      </w:r>
      <w:r>
        <w:rPr>
          <w:spacing w:val="-24"/>
        </w:rPr>
        <w:t>第</w:t>
      </w:r>
      <w:r>
        <w:rPr>
          <w:spacing w:val="-10"/>
        </w:rPr>
        <w:t>（</w:t>
      </w:r>
      <w:r>
        <w:rPr>
          <w:rFonts w:ascii="Calibri" w:eastAsia="Calibri"/>
          <w:spacing w:val="-10"/>
        </w:rPr>
        <w:t>1</w:t>
      </w:r>
      <w:r>
        <w:rPr>
          <w:spacing w:val="-10"/>
        </w:rPr>
        <w:t>）</w:t>
      </w:r>
      <w:r>
        <w:rPr>
          <w:spacing w:val="-8"/>
        </w:rPr>
        <w:t>项约定的投资比例的，基金管理人应当在 </w:t>
      </w:r>
      <w:r>
        <w:rPr>
          <w:rFonts w:ascii="Calibri" w:eastAsia="Calibri"/>
        </w:rPr>
        <w:t>20 </w:t>
      </w:r>
      <w:r>
        <w:rPr>
          <w:spacing w:val="-6"/>
        </w:rPr>
        <w:t>个交易日内进行调整，但中国证监会规</w:t>
      </w:r>
      <w:r>
        <w:rPr>
          <w:spacing w:val="-4"/>
        </w:rPr>
        <w:t>定的特殊情形除外。</w:t>
      </w:r>
    </w:p>
    <w:p>
      <w:pPr>
        <w:pStyle w:val="BodyText"/>
        <w:spacing w:line="417" w:lineRule="auto"/>
        <w:ind w:left="160" w:right="871" w:firstLine="419"/>
        <w:jc w:val="both"/>
      </w:pPr>
      <w:r>
        <w:rPr>
          <w:w w:val="100"/>
        </w:rPr>
        <w:t>除第</w:t>
      </w:r>
      <w:r>
        <w:rPr>
          <w:spacing w:val="-3"/>
          <w:w w:val="100"/>
        </w:rPr>
        <w:t>（</w:t>
      </w:r>
      <w:r>
        <w:rPr>
          <w:rFonts w:ascii="Calibri" w:eastAsia="Calibri"/>
          <w:w w:val="100"/>
        </w:rPr>
        <w:t>9</w:t>
      </w:r>
      <w:r>
        <w:rPr>
          <w:spacing w:val="-108"/>
          <w:w w:val="100"/>
        </w:rPr>
        <w:t>）</w:t>
      </w:r>
      <w:r>
        <w:rPr>
          <w:spacing w:val="-106"/>
          <w:w w:val="100"/>
        </w:rPr>
        <w:t>、</w:t>
      </w:r>
      <w:r>
        <w:rPr>
          <w:spacing w:val="-3"/>
          <w:w w:val="100"/>
        </w:rPr>
        <w:t>（</w:t>
      </w:r>
      <w:r>
        <w:rPr>
          <w:rFonts w:ascii="Calibri" w:eastAsia="Calibri"/>
          <w:w w:val="100"/>
        </w:rPr>
        <w:t>1</w:t>
      </w:r>
      <w:r>
        <w:rPr>
          <w:rFonts w:ascii="Calibri" w:eastAsia="Calibri"/>
          <w:spacing w:val="-2"/>
          <w:w w:val="100"/>
        </w:rPr>
        <w:t>5</w:t>
      </w:r>
      <w:r>
        <w:rPr>
          <w:spacing w:val="-106"/>
          <w:w w:val="100"/>
        </w:rPr>
        <w:t>）、</w:t>
      </w:r>
      <w:r>
        <w:rPr>
          <w:spacing w:val="-2"/>
          <w:w w:val="100"/>
        </w:rPr>
        <w:t>（</w:t>
      </w:r>
      <w:r>
        <w:rPr>
          <w:rFonts w:ascii="Calibri" w:eastAsia="Calibri"/>
          <w:spacing w:val="-2"/>
          <w:w w:val="100"/>
        </w:rPr>
        <w:t>1</w:t>
      </w:r>
      <w:r>
        <w:rPr>
          <w:rFonts w:ascii="Calibri" w:eastAsia="Calibri"/>
          <w:w w:val="100"/>
        </w:rPr>
        <w:t>9</w:t>
      </w:r>
      <w:r>
        <w:rPr>
          <w:spacing w:val="-106"/>
          <w:w w:val="100"/>
        </w:rPr>
        <w:t>）</w:t>
      </w:r>
      <w:r>
        <w:rPr>
          <w:spacing w:val="-108"/>
          <w:w w:val="100"/>
        </w:rPr>
        <w:t>、</w:t>
      </w:r>
      <w:r>
        <w:rPr>
          <w:spacing w:val="-3"/>
          <w:w w:val="100"/>
        </w:rPr>
        <w:t>（</w:t>
      </w:r>
      <w:r>
        <w:rPr>
          <w:rFonts w:ascii="Calibri" w:eastAsia="Calibri"/>
          <w:w w:val="100"/>
        </w:rPr>
        <w:t>2</w:t>
      </w:r>
      <w:r>
        <w:rPr>
          <w:rFonts w:ascii="Calibri" w:eastAsia="Calibri"/>
          <w:spacing w:val="-2"/>
          <w:w w:val="100"/>
        </w:rPr>
        <w:t>0</w:t>
      </w:r>
      <w:r>
        <w:rPr>
          <w:w w:val="100"/>
        </w:rPr>
        <w:t>）</w:t>
      </w:r>
      <w:r>
        <w:rPr>
          <w:spacing w:val="-3"/>
          <w:w w:val="100"/>
        </w:rPr>
        <w:t>项另有约定外，因证券市场波动、上市公司合并、基金</w:t>
      </w:r>
      <w:r>
        <w:rPr>
          <w:spacing w:val="-3"/>
        </w:rPr>
        <w:t>规模变动、标的指数成份股调整、标的指数成份股流动性限制、目标 </w:t>
      </w:r>
      <w:r>
        <w:rPr>
          <w:rFonts w:ascii="Calibri" w:eastAsia="Calibri"/>
        </w:rPr>
        <w:t>ETF </w:t>
      </w:r>
      <w:r>
        <w:rPr>
          <w:spacing w:val="-3"/>
        </w:rPr>
        <w:t>申购、赎回、交易被暂停或交收延迟等基金管理人之外的因素致使基金投资比例不符合上述规定投资比例</w:t>
      </w:r>
      <w:r>
        <w:rPr>
          <w:spacing w:val="-8"/>
        </w:rPr>
        <w:t>的，基金管理人应当在 </w:t>
      </w:r>
      <w:r>
        <w:rPr>
          <w:rFonts w:ascii="Calibri" w:eastAsia="Calibri"/>
        </w:rPr>
        <w:t>10 </w:t>
      </w:r>
      <w:r>
        <w:rPr>
          <w:spacing w:val="-3"/>
        </w:rPr>
        <w:t>个交易日内进行调整。法律法规另有规定的，从其规定。</w:t>
      </w:r>
    </w:p>
    <w:p>
      <w:pPr>
        <w:pStyle w:val="BodyText"/>
        <w:spacing w:line="417" w:lineRule="auto"/>
        <w:ind w:left="160" w:right="871" w:firstLine="419"/>
        <w:jc w:val="both"/>
      </w:pPr>
      <w:r>
        <w:rPr>
          <w:spacing w:val="-2"/>
        </w:rPr>
        <w:t>基金管理人应当自基金合同生效之日起 </w:t>
      </w:r>
      <w:r>
        <w:rPr>
          <w:rFonts w:ascii="Calibri" w:eastAsia="Calibri"/>
        </w:rPr>
        <w:t>6 </w:t>
      </w:r>
      <w:r>
        <w:rPr>
          <w:spacing w:val="-3"/>
        </w:rPr>
        <w:t>个月内使基金的投资组合比例符合基金合同</w:t>
      </w:r>
      <w:r>
        <w:rPr>
          <w:spacing w:val="-11"/>
        </w:rPr>
        <w:t>的有关约定。期间，基金的投资范围、投资策略应当符合基金合同的约定。基金托管人对基</w:t>
      </w:r>
      <w:r>
        <w:rPr>
          <w:spacing w:val="-6"/>
        </w:rPr>
        <w:t>金的投资的监督与检查自基金合同生效之日起开始。</w:t>
      </w:r>
    </w:p>
    <w:p>
      <w:pPr>
        <w:spacing w:after="0" w:line="417" w:lineRule="auto"/>
        <w:jc w:val="both"/>
        <w:sectPr>
          <w:pgSz w:w="11910" w:h="16840"/>
          <w:pgMar w:header="877" w:footer="995" w:top="1420" w:bottom="1180" w:left="1640" w:right="920"/>
        </w:sectPr>
      </w:pPr>
    </w:p>
    <w:p>
      <w:pPr>
        <w:pStyle w:val="BodyText"/>
        <w:spacing w:line="417" w:lineRule="auto" w:before="110"/>
        <w:ind w:left="160" w:right="871" w:firstLine="419"/>
        <w:jc w:val="both"/>
      </w:pPr>
      <w:r>
        <w:rPr>
          <w:spacing w:val="-6"/>
        </w:rPr>
        <w:t>如果法律法规或监管部门对基金合同约定投资组合比例限制进行变更的，以变更后的规</w:t>
      </w:r>
      <w:r>
        <w:rPr>
          <w:spacing w:val="-11"/>
        </w:rPr>
        <w:t>定为准。法律法规或监管部门取消上述限制，如适用于本基金，基金管理人在履行适当程序</w:t>
      </w:r>
      <w:r>
        <w:rPr>
          <w:spacing w:val="-6"/>
        </w:rPr>
        <w:t>后，则本基金投资不再受相关限制。</w:t>
      </w:r>
    </w:p>
    <w:p>
      <w:pPr>
        <w:pStyle w:val="BodyText"/>
        <w:spacing w:line="269" w:lineRule="exact"/>
        <w:ind w:left="580"/>
      </w:pPr>
      <w:r>
        <w:rPr>
          <w:rFonts w:ascii="Calibri" w:eastAsia="Calibri"/>
        </w:rPr>
        <w:t>2</w:t>
      </w:r>
      <w:r>
        <w:rPr/>
        <w:t>、禁止行为</w:t>
      </w:r>
    </w:p>
    <w:p>
      <w:pPr>
        <w:pStyle w:val="BodyText"/>
        <w:spacing w:before="6"/>
        <w:rPr>
          <w:sz w:val="15"/>
        </w:rPr>
      </w:pPr>
    </w:p>
    <w:p>
      <w:pPr>
        <w:pStyle w:val="BodyText"/>
        <w:ind w:left="580"/>
      </w:pPr>
      <w:r>
        <w:rPr/>
        <w:t>为维护基金份额持有人的合法权益，基金财产不得用于下列投资或者活动：</w:t>
      </w:r>
    </w:p>
    <w:p>
      <w:pPr>
        <w:pStyle w:val="BodyText"/>
        <w:spacing w:before="7"/>
        <w:rPr>
          <w:sz w:val="15"/>
        </w:rPr>
      </w:pPr>
    </w:p>
    <w:p>
      <w:pPr>
        <w:pStyle w:val="ListParagraph"/>
        <w:numPr>
          <w:ilvl w:val="0"/>
          <w:numId w:val="23"/>
        </w:numPr>
        <w:tabs>
          <w:tab w:pos="1110" w:val="left" w:leader="none"/>
        </w:tabs>
        <w:spacing w:line="240" w:lineRule="auto" w:before="0" w:after="0"/>
        <w:ind w:left="1109" w:right="0" w:hanging="530"/>
        <w:jc w:val="left"/>
        <w:rPr>
          <w:sz w:val="21"/>
        </w:rPr>
      </w:pPr>
      <w:r>
        <w:rPr>
          <w:spacing w:val="-3"/>
          <w:sz w:val="21"/>
        </w:rPr>
        <w:t>承销证券；</w:t>
      </w:r>
    </w:p>
    <w:p>
      <w:pPr>
        <w:pStyle w:val="BodyText"/>
        <w:spacing w:before="7"/>
        <w:rPr>
          <w:sz w:val="15"/>
        </w:rPr>
      </w:pPr>
    </w:p>
    <w:p>
      <w:pPr>
        <w:pStyle w:val="ListParagraph"/>
        <w:numPr>
          <w:ilvl w:val="0"/>
          <w:numId w:val="23"/>
        </w:numPr>
        <w:tabs>
          <w:tab w:pos="1110" w:val="left" w:leader="none"/>
        </w:tabs>
        <w:spacing w:line="240" w:lineRule="auto" w:before="0" w:after="0"/>
        <w:ind w:left="1109" w:right="0" w:hanging="530"/>
        <w:jc w:val="left"/>
        <w:rPr>
          <w:sz w:val="21"/>
        </w:rPr>
      </w:pPr>
      <w:r>
        <w:rPr>
          <w:spacing w:val="-3"/>
          <w:sz w:val="21"/>
        </w:rPr>
        <w:t>违反规定向他人贷款或者提供担保；</w:t>
      </w:r>
    </w:p>
    <w:p>
      <w:pPr>
        <w:pStyle w:val="BodyText"/>
        <w:spacing w:before="7"/>
        <w:rPr>
          <w:sz w:val="15"/>
        </w:rPr>
      </w:pPr>
    </w:p>
    <w:p>
      <w:pPr>
        <w:pStyle w:val="ListParagraph"/>
        <w:numPr>
          <w:ilvl w:val="0"/>
          <w:numId w:val="23"/>
        </w:numPr>
        <w:tabs>
          <w:tab w:pos="1110" w:val="left" w:leader="none"/>
        </w:tabs>
        <w:spacing w:line="240" w:lineRule="auto" w:before="0" w:after="0"/>
        <w:ind w:left="1109" w:right="0" w:hanging="530"/>
        <w:jc w:val="left"/>
        <w:rPr>
          <w:sz w:val="21"/>
        </w:rPr>
      </w:pPr>
      <w:r>
        <w:rPr>
          <w:spacing w:val="-3"/>
          <w:sz w:val="21"/>
        </w:rPr>
        <w:t>从事承担无限责任的投资；</w:t>
      </w:r>
    </w:p>
    <w:p>
      <w:pPr>
        <w:pStyle w:val="BodyText"/>
        <w:spacing w:before="7"/>
        <w:rPr>
          <w:sz w:val="15"/>
        </w:rPr>
      </w:pPr>
    </w:p>
    <w:p>
      <w:pPr>
        <w:pStyle w:val="ListParagraph"/>
        <w:numPr>
          <w:ilvl w:val="0"/>
          <w:numId w:val="23"/>
        </w:numPr>
        <w:tabs>
          <w:tab w:pos="1110" w:val="left" w:leader="none"/>
        </w:tabs>
        <w:spacing w:line="240" w:lineRule="auto" w:before="0" w:after="0"/>
        <w:ind w:left="1109" w:right="0" w:hanging="530"/>
        <w:jc w:val="left"/>
        <w:rPr>
          <w:sz w:val="21"/>
        </w:rPr>
      </w:pPr>
      <w:r>
        <w:rPr>
          <w:spacing w:val="-3"/>
          <w:sz w:val="21"/>
        </w:rPr>
        <w:t>向其基金管理人、基金托管人出资；</w:t>
      </w:r>
    </w:p>
    <w:p>
      <w:pPr>
        <w:pStyle w:val="BodyText"/>
        <w:spacing w:before="7"/>
        <w:rPr>
          <w:sz w:val="15"/>
        </w:rPr>
      </w:pPr>
    </w:p>
    <w:p>
      <w:pPr>
        <w:pStyle w:val="ListParagraph"/>
        <w:numPr>
          <w:ilvl w:val="0"/>
          <w:numId w:val="23"/>
        </w:numPr>
        <w:tabs>
          <w:tab w:pos="1110" w:val="left" w:leader="none"/>
        </w:tabs>
        <w:spacing w:line="240" w:lineRule="auto" w:before="0" w:after="0"/>
        <w:ind w:left="1109" w:right="0" w:hanging="530"/>
        <w:jc w:val="left"/>
        <w:rPr>
          <w:sz w:val="21"/>
        </w:rPr>
      </w:pPr>
      <w:r>
        <w:rPr>
          <w:spacing w:val="-3"/>
          <w:sz w:val="21"/>
        </w:rPr>
        <w:t>从事内幕交易、操纵证券交易价格及其他不正当的证券交易活动；</w:t>
      </w:r>
    </w:p>
    <w:p>
      <w:pPr>
        <w:pStyle w:val="BodyText"/>
        <w:spacing w:before="6"/>
        <w:rPr>
          <w:sz w:val="15"/>
        </w:rPr>
      </w:pPr>
    </w:p>
    <w:p>
      <w:pPr>
        <w:pStyle w:val="ListParagraph"/>
        <w:numPr>
          <w:ilvl w:val="0"/>
          <w:numId w:val="23"/>
        </w:numPr>
        <w:tabs>
          <w:tab w:pos="1110" w:val="left" w:leader="none"/>
        </w:tabs>
        <w:spacing w:line="240" w:lineRule="auto" w:before="1" w:after="0"/>
        <w:ind w:left="1109" w:right="0" w:hanging="530"/>
        <w:jc w:val="left"/>
        <w:rPr>
          <w:sz w:val="21"/>
        </w:rPr>
      </w:pPr>
      <w:r>
        <w:rPr>
          <w:spacing w:val="-3"/>
          <w:sz w:val="21"/>
        </w:rPr>
        <w:t>法律、行政法规和中国证监会规定禁止的其他活动。</w:t>
      </w:r>
    </w:p>
    <w:p>
      <w:pPr>
        <w:pStyle w:val="BodyText"/>
        <w:spacing w:before="6"/>
        <w:rPr>
          <w:sz w:val="15"/>
        </w:rPr>
      </w:pPr>
    </w:p>
    <w:p>
      <w:pPr>
        <w:pStyle w:val="BodyText"/>
        <w:spacing w:line="417" w:lineRule="auto"/>
        <w:ind w:left="160" w:right="765" w:firstLine="419"/>
      </w:pPr>
      <w:r>
        <w:rPr>
          <w:spacing w:val="-8"/>
        </w:rPr>
        <w:t>基金管理人运用基金财产买卖基金管理人、基金托管人及其控股股东、实际控制人或者</w:t>
      </w:r>
      <w:r>
        <w:rPr>
          <w:spacing w:val="-9"/>
        </w:rPr>
        <w:t>与其有重大利害关系的公司发行的证券或者承销期内承销的证券，或者从事其他重大关联交</w:t>
      </w:r>
      <w:r>
        <w:rPr>
          <w:spacing w:val="-10"/>
        </w:rPr>
        <w:t>易的，应当符合基金的投资目标和投资策略，遵循基金份额持有人利益优先原则，防范利益</w:t>
      </w:r>
      <w:r>
        <w:rPr>
          <w:spacing w:val="-11"/>
        </w:rPr>
        <w:t>冲突，建立健全内部审批机制和评估机制，按照市场公平合理价格执行。相关交易必须事先</w:t>
      </w:r>
      <w:r>
        <w:rPr>
          <w:spacing w:val="-13"/>
        </w:rPr>
        <w:t>得到基金托管人的同意，并按法律法规予以披露。重大关联交易应提交基金管理人董事会审</w:t>
      </w:r>
      <w:r>
        <w:rPr>
          <w:spacing w:val="-12"/>
        </w:rPr>
        <w:t>议，并经过三分之二以上的独立董事通过。基金管理人董事会应至少每半年对关联交易事项</w:t>
      </w:r>
      <w:r>
        <w:rPr>
          <w:spacing w:val="-8"/>
        </w:rPr>
        <w:t>进行审查。本基金投资基金管理人或基金管理人关联方管理基金</w:t>
      </w:r>
      <w:r>
        <w:rPr/>
        <w:t>（</w:t>
      </w:r>
      <w:r>
        <w:rPr>
          <w:spacing w:val="6"/>
        </w:rPr>
        <w:t>包括目标 </w:t>
      </w:r>
      <w:r>
        <w:rPr>
          <w:rFonts w:ascii="Calibri" w:eastAsia="Calibri"/>
        </w:rPr>
        <w:t>ETF</w:t>
      </w:r>
      <w:r>
        <w:rPr/>
        <w:t>）</w:t>
      </w:r>
      <w:r>
        <w:rPr>
          <w:spacing w:val="-3"/>
        </w:rPr>
        <w:t>的情况， 不属于前述重大关联交易，但是应当按照法律法规或监管规定的要求履行信息披露义务。</w:t>
      </w:r>
    </w:p>
    <w:p>
      <w:pPr>
        <w:pStyle w:val="BodyText"/>
        <w:spacing w:line="417" w:lineRule="auto"/>
        <w:ind w:left="160" w:right="871" w:firstLine="419"/>
      </w:pPr>
      <w:r>
        <w:rPr>
          <w:spacing w:val="-8"/>
        </w:rPr>
        <w:t>法律法规或监管部门变更或取消上述限制，如适用于本基金，则本基金投资不再受相关</w:t>
      </w:r>
      <w:r>
        <w:rPr>
          <w:spacing w:val="-5"/>
        </w:rPr>
        <w:t>限制，自动适用变更后的法律法规或监管规定，不需另行召开基金份额持有人大会。</w:t>
      </w:r>
    </w:p>
    <w:p>
      <w:pPr>
        <w:pStyle w:val="BodyText"/>
        <w:ind w:left="580"/>
      </w:pPr>
      <w:r>
        <w:rPr/>
        <w:t>（五）业绩比较基准</w:t>
      </w:r>
    </w:p>
    <w:p>
      <w:pPr>
        <w:pStyle w:val="BodyText"/>
        <w:spacing w:before="6"/>
        <w:rPr>
          <w:sz w:val="15"/>
        </w:rPr>
      </w:pPr>
    </w:p>
    <w:p>
      <w:pPr>
        <w:pStyle w:val="BodyText"/>
        <w:ind w:left="580"/>
        <w:rPr>
          <w:rFonts w:ascii="Calibri" w:hAnsi="Calibri" w:eastAsia="Calibri"/>
        </w:rPr>
      </w:pPr>
      <w:r>
        <w:rPr/>
        <w:t>本基金业绩比较基准为：中国战略新兴产业成份指数（简称：新兴成指）收益率×</w:t>
      </w:r>
      <w:r>
        <w:rPr>
          <w:rFonts w:ascii="Calibri" w:hAnsi="Calibri" w:eastAsia="Calibri"/>
        </w:rPr>
        <w:t>95%</w:t>
      </w:r>
    </w:p>
    <w:p>
      <w:pPr>
        <w:pStyle w:val="BodyText"/>
        <w:spacing w:before="4"/>
        <w:rPr>
          <w:rFonts w:ascii="Calibri"/>
          <w:sz w:val="16"/>
        </w:rPr>
      </w:pPr>
    </w:p>
    <w:p>
      <w:pPr>
        <w:pStyle w:val="BodyText"/>
        <w:ind w:left="160"/>
      </w:pPr>
      <w:r>
        <w:rPr/>
        <w:t>＋人民币活期存款税后利率×</w:t>
      </w:r>
      <w:r>
        <w:rPr>
          <w:rFonts w:ascii="Calibri" w:hAnsi="Calibri" w:eastAsia="Calibri"/>
        </w:rPr>
        <w:t>5%</w:t>
      </w:r>
      <w:r>
        <w:rPr/>
        <w:t>。</w:t>
      </w:r>
    </w:p>
    <w:p>
      <w:pPr>
        <w:pStyle w:val="BodyText"/>
        <w:spacing w:before="7"/>
        <w:rPr>
          <w:sz w:val="15"/>
        </w:rPr>
      </w:pPr>
    </w:p>
    <w:p>
      <w:pPr>
        <w:pStyle w:val="BodyText"/>
        <w:spacing w:line="417" w:lineRule="auto"/>
        <w:ind w:left="160" w:right="873" w:firstLine="419"/>
        <w:jc w:val="both"/>
      </w:pPr>
      <w:r>
        <w:rPr>
          <w:spacing w:val="-9"/>
        </w:rPr>
        <w:t>新兴成指是上交所多层次资本市场的指数之一，成份股由最具代表性的 </w:t>
      </w:r>
      <w:r>
        <w:rPr>
          <w:rFonts w:ascii="Calibri" w:eastAsia="Calibri"/>
        </w:rPr>
        <w:t>100 </w:t>
      </w:r>
      <w:r>
        <w:rPr>
          <w:spacing w:val="-3"/>
        </w:rPr>
        <w:t>家上市企业股票组成，反映了战略新兴行业上市公司的运行情况。</w:t>
      </w:r>
    </w:p>
    <w:p>
      <w:pPr>
        <w:pStyle w:val="BodyText"/>
        <w:spacing w:line="417" w:lineRule="auto"/>
        <w:ind w:left="160" w:right="871" w:firstLine="419"/>
        <w:jc w:val="both"/>
      </w:pPr>
      <w:r>
        <w:rPr>
          <w:spacing w:val="-9"/>
        </w:rPr>
        <w:t>若基金标的指数发生变更，基金业绩比较基准随之变更，基金管理人可根据投资情况和</w:t>
      </w:r>
      <w:r>
        <w:rPr>
          <w:spacing w:val="-10"/>
        </w:rPr>
        <w:t>市场惯例调整基金业绩比较基准的组成和权重，无需召开基金份额持有人大会，但应取得基</w:t>
      </w:r>
      <w:r>
        <w:rPr>
          <w:spacing w:val="-5"/>
        </w:rPr>
        <w:t>金托管人同意，并报中国证监会备案。</w:t>
      </w:r>
    </w:p>
    <w:p>
      <w:pPr>
        <w:pStyle w:val="BodyText"/>
        <w:ind w:left="580"/>
      </w:pPr>
      <w:r>
        <w:rPr/>
        <w:t>（六）风险收益特征</w:t>
      </w:r>
    </w:p>
    <w:p>
      <w:pPr>
        <w:spacing w:after="0"/>
        <w:sectPr>
          <w:pgSz w:w="11910" w:h="16840"/>
          <w:pgMar w:header="877" w:footer="995" w:top="1420" w:bottom="1180" w:left="1640" w:right="920"/>
        </w:sectPr>
      </w:pPr>
    </w:p>
    <w:p>
      <w:pPr>
        <w:pStyle w:val="BodyText"/>
        <w:spacing w:line="417" w:lineRule="auto" w:before="110"/>
        <w:ind w:left="160" w:right="871" w:firstLine="419"/>
        <w:jc w:val="both"/>
      </w:pPr>
      <w:r>
        <w:rPr>
          <w:spacing w:val="-9"/>
        </w:rPr>
        <w:t>本基金为目标 </w:t>
      </w:r>
      <w:r>
        <w:rPr>
          <w:rFonts w:ascii="Calibri" w:eastAsia="Calibri"/>
        </w:rPr>
        <w:t>ETF </w:t>
      </w:r>
      <w:r>
        <w:rPr>
          <w:spacing w:val="-12"/>
        </w:rPr>
        <w:t>的联接基金，目标 </w:t>
      </w:r>
      <w:r>
        <w:rPr>
          <w:rFonts w:ascii="Calibri" w:eastAsia="Calibri"/>
        </w:rPr>
        <w:t>ETF </w:t>
      </w:r>
      <w:r>
        <w:rPr>
          <w:spacing w:val="-7"/>
        </w:rPr>
        <w:t>为股票型指数基金，因此本基金的风险与收益</w:t>
      </w:r>
      <w:r>
        <w:rPr>
          <w:spacing w:val="-5"/>
        </w:rPr>
        <w:t>高于混合基金、债券基金与货币市场基金</w:t>
      </w:r>
      <w:r>
        <w:rPr>
          <w:rFonts w:ascii="Calibri" w:eastAsia="Calibri"/>
        </w:rPr>
        <w:t>,</w:t>
      </w:r>
      <w:r>
        <w:rPr>
          <w:spacing w:val="-3"/>
        </w:rPr>
        <w:t>属于中高风险品种。</w:t>
      </w:r>
    </w:p>
    <w:p>
      <w:pPr>
        <w:pStyle w:val="BodyText"/>
        <w:spacing w:line="269" w:lineRule="exact"/>
        <w:ind w:left="580"/>
        <w:jc w:val="both"/>
      </w:pPr>
      <w:r>
        <w:rPr/>
        <w:t>（七）目标 </w:t>
      </w:r>
      <w:r>
        <w:rPr>
          <w:rFonts w:ascii="Calibri" w:eastAsia="Calibri"/>
        </w:rPr>
        <w:t>ETF </w:t>
      </w:r>
      <w:r>
        <w:rPr/>
        <w:t>发生相关变更情形的处理方式</w:t>
      </w:r>
    </w:p>
    <w:p>
      <w:pPr>
        <w:pStyle w:val="BodyText"/>
        <w:spacing w:before="6"/>
        <w:rPr>
          <w:sz w:val="15"/>
        </w:rPr>
      </w:pPr>
    </w:p>
    <w:p>
      <w:pPr>
        <w:pStyle w:val="BodyText"/>
        <w:spacing w:line="417" w:lineRule="auto"/>
        <w:ind w:left="160" w:right="871" w:firstLine="419"/>
        <w:jc w:val="both"/>
      </w:pPr>
      <w:r>
        <w:rPr>
          <w:spacing w:val="-15"/>
        </w:rPr>
        <w:t>目标 </w:t>
      </w:r>
      <w:r>
        <w:rPr>
          <w:rFonts w:ascii="Calibri" w:eastAsia="Calibri"/>
        </w:rPr>
        <w:t>ETF </w:t>
      </w:r>
      <w:r>
        <w:rPr>
          <w:spacing w:val="-12"/>
        </w:rPr>
        <w:t>出现下述情形之一的，本基金可在履行适当程序后由投资于目标 </w:t>
      </w:r>
      <w:r>
        <w:rPr>
          <w:rFonts w:ascii="Calibri" w:eastAsia="Calibri"/>
        </w:rPr>
        <w:t>ETF </w:t>
      </w:r>
      <w:r>
        <w:rPr>
          <w:spacing w:val="-1"/>
        </w:rPr>
        <w:t>的联接基</w:t>
      </w:r>
      <w:r>
        <w:rPr>
          <w:spacing w:val="-8"/>
        </w:rPr>
        <w:t>金变更为直接投资该标的指数的指数基金；若届时本基金管理人已有以该指数作为标的指数</w:t>
      </w:r>
      <w:r>
        <w:rPr>
          <w:spacing w:val="-12"/>
        </w:rPr>
        <w:t>的指数基金，则本基金将本着维护投资者合法权益的原则，履行适当的程序后可选取其他合适的指数作为标的指数。相应地，基金合同中将删除关于目标 </w:t>
      </w:r>
      <w:r>
        <w:rPr>
          <w:rFonts w:ascii="Calibri" w:eastAsia="Calibri"/>
        </w:rPr>
        <w:t>ETF </w:t>
      </w:r>
      <w:r>
        <w:rPr>
          <w:spacing w:val="-7"/>
        </w:rPr>
        <w:t>的表述部分，或将变更标</w:t>
      </w:r>
      <w:r>
        <w:rPr>
          <w:spacing w:val="-5"/>
        </w:rPr>
        <w:t>的指数，届时将由基金管理人另行公告。</w:t>
      </w:r>
    </w:p>
    <w:p>
      <w:pPr>
        <w:pStyle w:val="BodyText"/>
        <w:spacing w:line="269" w:lineRule="exact"/>
        <w:ind w:left="580"/>
        <w:jc w:val="both"/>
      </w:pPr>
      <w:r>
        <w:rPr>
          <w:rFonts w:ascii="Calibri" w:eastAsia="Calibri"/>
        </w:rPr>
        <w:t>1</w:t>
      </w:r>
      <w:r>
        <w:rPr/>
        <w:t>、目标 </w:t>
      </w:r>
      <w:r>
        <w:rPr>
          <w:rFonts w:ascii="Calibri" w:eastAsia="Calibri"/>
        </w:rPr>
        <w:t>ETF </w:t>
      </w:r>
      <w:r>
        <w:rPr/>
        <w:t>交易方式发生重大变更致使本基金的投资策略难以实现；</w:t>
      </w:r>
    </w:p>
    <w:p>
      <w:pPr>
        <w:pStyle w:val="BodyText"/>
        <w:spacing w:before="7"/>
        <w:rPr>
          <w:sz w:val="15"/>
        </w:rPr>
      </w:pPr>
    </w:p>
    <w:p>
      <w:pPr>
        <w:pStyle w:val="BodyText"/>
        <w:ind w:left="580"/>
      </w:pPr>
      <w:r>
        <w:rPr>
          <w:rFonts w:ascii="Calibri" w:eastAsia="Calibri"/>
        </w:rPr>
        <w:t>2</w:t>
      </w:r>
      <w:r>
        <w:rPr/>
        <w:t>、目标 </w:t>
      </w:r>
      <w:r>
        <w:rPr>
          <w:rFonts w:ascii="Calibri" w:eastAsia="Calibri"/>
        </w:rPr>
        <w:t>ETF </w:t>
      </w:r>
      <w:r>
        <w:rPr/>
        <w:t>终止上市；</w:t>
      </w:r>
    </w:p>
    <w:p>
      <w:pPr>
        <w:pStyle w:val="BodyText"/>
        <w:spacing w:before="7"/>
        <w:rPr>
          <w:sz w:val="15"/>
        </w:rPr>
      </w:pPr>
    </w:p>
    <w:p>
      <w:pPr>
        <w:pStyle w:val="BodyText"/>
        <w:ind w:left="580"/>
      </w:pPr>
      <w:r>
        <w:rPr>
          <w:rFonts w:ascii="Calibri" w:eastAsia="Calibri"/>
        </w:rPr>
        <w:t>3</w:t>
      </w:r>
      <w:r>
        <w:rPr/>
        <w:t>、目标 </w:t>
      </w:r>
      <w:r>
        <w:rPr>
          <w:rFonts w:ascii="Calibri" w:eastAsia="Calibri"/>
        </w:rPr>
        <w:t>ETF </w:t>
      </w:r>
      <w:r>
        <w:rPr/>
        <w:t>基金合同终止；</w:t>
      </w:r>
    </w:p>
    <w:p>
      <w:pPr>
        <w:pStyle w:val="BodyText"/>
        <w:spacing w:before="7"/>
        <w:rPr>
          <w:sz w:val="15"/>
        </w:rPr>
      </w:pPr>
    </w:p>
    <w:p>
      <w:pPr>
        <w:pStyle w:val="BodyText"/>
        <w:ind w:left="580"/>
      </w:pPr>
      <w:r>
        <w:rPr>
          <w:rFonts w:ascii="Calibri" w:eastAsia="Calibri"/>
        </w:rPr>
        <w:t>4</w:t>
      </w:r>
      <w:r>
        <w:rPr/>
        <w:t>、目标 </w:t>
      </w:r>
      <w:r>
        <w:rPr>
          <w:rFonts w:ascii="Calibri" w:eastAsia="Calibri"/>
        </w:rPr>
        <w:t>ETF </w:t>
      </w:r>
      <w:r>
        <w:rPr/>
        <w:t>与其他基金进行合并；</w:t>
      </w:r>
    </w:p>
    <w:p>
      <w:pPr>
        <w:pStyle w:val="BodyText"/>
        <w:spacing w:before="6"/>
        <w:rPr>
          <w:sz w:val="15"/>
        </w:rPr>
      </w:pPr>
    </w:p>
    <w:p>
      <w:pPr>
        <w:pStyle w:val="BodyText"/>
        <w:ind w:left="580"/>
      </w:pPr>
      <w:r>
        <w:rPr>
          <w:rFonts w:ascii="Calibri" w:eastAsia="Calibri"/>
        </w:rPr>
        <w:t>5</w:t>
      </w:r>
      <w:r>
        <w:rPr/>
        <w:t>、目标 </w:t>
      </w:r>
      <w:r>
        <w:rPr>
          <w:rFonts w:ascii="Calibri" w:eastAsia="Calibri"/>
        </w:rPr>
        <w:t>ETF </w:t>
      </w:r>
      <w:r>
        <w:rPr/>
        <w:t>的基金管理人发生变更；</w:t>
      </w:r>
    </w:p>
    <w:p>
      <w:pPr>
        <w:pStyle w:val="BodyText"/>
        <w:spacing w:before="7"/>
        <w:rPr>
          <w:sz w:val="15"/>
        </w:rPr>
      </w:pPr>
    </w:p>
    <w:p>
      <w:pPr>
        <w:pStyle w:val="BodyText"/>
        <w:ind w:left="580"/>
      </w:pPr>
      <w:r>
        <w:rPr>
          <w:rFonts w:ascii="Calibri" w:eastAsia="Calibri"/>
        </w:rPr>
        <w:t>6</w:t>
      </w:r>
      <w:r>
        <w:rPr/>
        <w:t>、中国证监会规定的其他情形。</w:t>
      </w:r>
    </w:p>
    <w:p>
      <w:pPr>
        <w:pStyle w:val="BodyText"/>
        <w:spacing w:before="7"/>
        <w:rPr>
          <w:sz w:val="15"/>
        </w:rPr>
      </w:pPr>
    </w:p>
    <w:p>
      <w:pPr>
        <w:pStyle w:val="BodyText"/>
        <w:ind w:left="580"/>
      </w:pPr>
      <w:r>
        <w:rPr/>
        <w:t>（八）基金投资组合报告</w:t>
      </w:r>
    </w:p>
    <w:p>
      <w:pPr>
        <w:pStyle w:val="BodyText"/>
        <w:spacing w:before="7"/>
        <w:rPr>
          <w:sz w:val="15"/>
        </w:rPr>
      </w:pPr>
    </w:p>
    <w:p>
      <w:pPr>
        <w:pStyle w:val="BodyText"/>
        <w:ind w:left="582"/>
      </w:pPr>
      <w:r>
        <w:rPr/>
        <w:t>以下内容摘自本基金 </w:t>
      </w:r>
      <w:r>
        <w:rPr>
          <w:rFonts w:ascii="Calibri" w:eastAsia="Calibri"/>
        </w:rPr>
        <w:t>2020 </w:t>
      </w:r>
      <w:r>
        <w:rPr/>
        <w:t>年第 </w:t>
      </w:r>
      <w:r>
        <w:rPr>
          <w:rFonts w:ascii="Calibri" w:eastAsia="Calibri"/>
        </w:rPr>
        <w:t>2 </w:t>
      </w:r>
      <w:r>
        <w:rPr/>
        <w:t>季度报告：</w:t>
      </w:r>
    </w:p>
    <w:p>
      <w:pPr>
        <w:pStyle w:val="BodyText"/>
        <w:spacing w:before="7"/>
        <w:rPr>
          <w:sz w:val="15"/>
        </w:rPr>
      </w:pPr>
    </w:p>
    <w:p>
      <w:pPr>
        <w:pStyle w:val="ListParagraph"/>
        <w:numPr>
          <w:ilvl w:val="1"/>
          <w:numId w:val="24"/>
        </w:numPr>
        <w:tabs>
          <w:tab w:pos="480" w:val="left" w:leader="none"/>
        </w:tabs>
        <w:spacing w:line="240" w:lineRule="auto" w:before="0" w:after="0"/>
        <w:ind w:left="479" w:right="0" w:hanging="320"/>
        <w:jc w:val="left"/>
        <w:rPr>
          <w:sz w:val="21"/>
        </w:rPr>
      </w:pPr>
      <w:r>
        <w:rPr>
          <w:spacing w:val="-3"/>
          <w:sz w:val="21"/>
        </w:rPr>
        <w:t>报告期末基金资产组合情况</w:t>
      </w:r>
    </w:p>
    <w:p>
      <w:pPr>
        <w:pStyle w:val="BodyText"/>
        <w:spacing w:before="9"/>
        <w:rPr>
          <w:sz w:val="7"/>
        </w:rPr>
      </w:pPr>
    </w:p>
    <w:tbl>
      <w:tblPr>
        <w:tblW w:w="0" w:type="auto"/>
        <w:jc w:val="left"/>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3118"/>
        <w:gridCol w:w="2693"/>
        <w:gridCol w:w="1702"/>
      </w:tblGrid>
      <w:tr>
        <w:trPr>
          <w:trHeight w:val="964" w:hRule="atLeast"/>
        </w:trPr>
        <w:tc>
          <w:tcPr>
            <w:tcW w:w="852" w:type="dxa"/>
          </w:tcPr>
          <w:p>
            <w:pPr>
              <w:pStyle w:val="TableParagraph"/>
              <w:spacing w:before="7"/>
              <w:rPr>
                <w:rFonts w:ascii="宋体"/>
                <w:sz w:val="28"/>
              </w:rPr>
            </w:pPr>
          </w:p>
          <w:p>
            <w:pPr>
              <w:pStyle w:val="TableParagraph"/>
              <w:spacing w:before="0"/>
              <w:ind w:left="204" w:right="178"/>
              <w:jc w:val="center"/>
              <w:rPr>
                <w:rFonts w:ascii="宋体" w:eastAsia="宋体" w:hint="eastAsia"/>
                <w:sz w:val="21"/>
              </w:rPr>
            </w:pPr>
            <w:r>
              <w:rPr>
                <w:rFonts w:ascii="宋体" w:eastAsia="宋体" w:hint="eastAsia"/>
                <w:sz w:val="21"/>
              </w:rPr>
              <w:t>序号</w:t>
            </w:r>
          </w:p>
        </w:tc>
        <w:tc>
          <w:tcPr>
            <w:tcW w:w="3118" w:type="dxa"/>
          </w:tcPr>
          <w:p>
            <w:pPr>
              <w:pStyle w:val="TableParagraph"/>
              <w:spacing w:before="7"/>
              <w:rPr>
                <w:rFonts w:ascii="宋体"/>
                <w:sz w:val="28"/>
              </w:rPr>
            </w:pPr>
          </w:p>
          <w:p>
            <w:pPr>
              <w:pStyle w:val="TableParagraph"/>
              <w:spacing w:before="0"/>
              <w:ind w:left="1337" w:right="1310"/>
              <w:jc w:val="center"/>
              <w:rPr>
                <w:rFonts w:ascii="宋体" w:eastAsia="宋体" w:hint="eastAsia"/>
                <w:sz w:val="21"/>
              </w:rPr>
            </w:pPr>
            <w:r>
              <w:rPr>
                <w:rFonts w:ascii="宋体" w:eastAsia="宋体" w:hint="eastAsia"/>
                <w:sz w:val="21"/>
              </w:rPr>
              <w:t>项目</w:t>
            </w:r>
          </w:p>
        </w:tc>
        <w:tc>
          <w:tcPr>
            <w:tcW w:w="2693" w:type="dxa"/>
          </w:tcPr>
          <w:p>
            <w:pPr>
              <w:pStyle w:val="TableParagraph"/>
              <w:spacing w:before="7"/>
              <w:rPr>
                <w:rFonts w:ascii="宋体"/>
                <w:sz w:val="28"/>
              </w:rPr>
            </w:pPr>
          </w:p>
          <w:p>
            <w:pPr>
              <w:pStyle w:val="TableParagraph"/>
              <w:spacing w:before="0"/>
              <w:ind w:left="955" w:right="929"/>
              <w:jc w:val="center"/>
              <w:rPr>
                <w:sz w:val="21"/>
              </w:rPr>
            </w:pPr>
            <w:r>
              <w:rPr>
                <w:rFonts w:ascii="宋体" w:eastAsia="宋体" w:hint="eastAsia"/>
                <w:sz w:val="21"/>
              </w:rPr>
              <w:t>金额</w:t>
            </w:r>
            <w:r>
              <w:rPr>
                <w:sz w:val="21"/>
              </w:rPr>
              <w:t>(</w:t>
            </w:r>
            <w:r>
              <w:rPr>
                <w:rFonts w:ascii="宋体" w:eastAsia="宋体" w:hint="eastAsia"/>
                <w:sz w:val="21"/>
              </w:rPr>
              <w:t>元</w:t>
            </w:r>
            <w:r>
              <w:rPr>
                <w:sz w:val="21"/>
              </w:rPr>
              <w:t>)</w:t>
            </w:r>
          </w:p>
        </w:tc>
        <w:tc>
          <w:tcPr>
            <w:tcW w:w="1702" w:type="dxa"/>
          </w:tcPr>
          <w:p>
            <w:pPr>
              <w:pStyle w:val="TableParagraph"/>
              <w:spacing w:before="130"/>
              <w:ind w:left="96" w:right="70"/>
              <w:jc w:val="center"/>
              <w:rPr>
                <w:rFonts w:ascii="宋体" w:eastAsia="宋体" w:hint="eastAsia"/>
                <w:sz w:val="21"/>
              </w:rPr>
            </w:pPr>
            <w:r>
              <w:rPr>
                <w:rFonts w:ascii="宋体" w:eastAsia="宋体" w:hint="eastAsia"/>
                <w:sz w:val="21"/>
              </w:rPr>
              <w:t>占基金总资产</w:t>
            </w:r>
          </w:p>
          <w:p>
            <w:pPr>
              <w:pStyle w:val="TableParagraph"/>
              <w:spacing w:before="4"/>
              <w:rPr>
                <w:rFonts w:ascii="宋体"/>
                <w:sz w:val="15"/>
              </w:rPr>
            </w:pPr>
          </w:p>
          <w:p>
            <w:pPr>
              <w:pStyle w:val="TableParagraph"/>
              <w:spacing w:before="1"/>
              <w:ind w:left="98" w:right="70"/>
              <w:jc w:val="center"/>
              <w:rPr>
                <w:sz w:val="21"/>
              </w:rPr>
            </w:pPr>
            <w:r>
              <w:rPr>
                <w:rFonts w:ascii="宋体" w:eastAsia="宋体" w:hint="eastAsia"/>
                <w:sz w:val="21"/>
              </w:rPr>
              <w:t>的比例</w:t>
            </w:r>
            <w:r>
              <w:rPr>
                <w:sz w:val="21"/>
              </w:rPr>
              <w:t>(%)</w:t>
            </w:r>
          </w:p>
        </w:tc>
      </w:tr>
      <w:tr>
        <w:trPr>
          <w:trHeight w:val="496" w:hRule="atLeast"/>
        </w:trPr>
        <w:tc>
          <w:tcPr>
            <w:tcW w:w="852" w:type="dxa"/>
          </w:tcPr>
          <w:p>
            <w:pPr>
              <w:pStyle w:val="TableParagraph"/>
              <w:spacing w:before="136"/>
              <w:ind w:left="27"/>
              <w:jc w:val="center"/>
              <w:rPr>
                <w:sz w:val="21"/>
              </w:rPr>
            </w:pPr>
            <w:r>
              <w:rPr>
                <w:w w:val="100"/>
                <w:sz w:val="21"/>
              </w:rPr>
              <w:t>1</w:t>
            </w:r>
          </w:p>
        </w:tc>
        <w:tc>
          <w:tcPr>
            <w:tcW w:w="3118" w:type="dxa"/>
          </w:tcPr>
          <w:p>
            <w:pPr>
              <w:pStyle w:val="TableParagraph"/>
              <w:spacing w:before="130"/>
              <w:ind w:left="124"/>
              <w:rPr>
                <w:rFonts w:ascii="宋体" w:eastAsia="宋体" w:hint="eastAsia"/>
                <w:sz w:val="21"/>
              </w:rPr>
            </w:pPr>
            <w:r>
              <w:rPr>
                <w:rFonts w:ascii="宋体" w:eastAsia="宋体" w:hint="eastAsia"/>
                <w:sz w:val="21"/>
              </w:rPr>
              <w:t>权益投资</w:t>
            </w:r>
          </w:p>
        </w:tc>
        <w:tc>
          <w:tcPr>
            <w:tcW w:w="2693" w:type="dxa"/>
          </w:tcPr>
          <w:p>
            <w:pPr>
              <w:pStyle w:val="TableParagraph"/>
              <w:spacing w:before="136"/>
              <w:ind w:right="95"/>
              <w:jc w:val="right"/>
              <w:rPr>
                <w:sz w:val="21"/>
              </w:rPr>
            </w:pPr>
            <w:r>
              <w:rPr>
                <w:sz w:val="21"/>
              </w:rPr>
              <w:t>2,526,901.00</w:t>
            </w:r>
          </w:p>
        </w:tc>
        <w:tc>
          <w:tcPr>
            <w:tcW w:w="1702" w:type="dxa"/>
          </w:tcPr>
          <w:p>
            <w:pPr>
              <w:pStyle w:val="TableParagraph"/>
              <w:spacing w:before="136"/>
              <w:ind w:right="94"/>
              <w:jc w:val="right"/>
              <w:rPr>
                <w:sz w:val="21"/>
              </w:rPr>
            </w:pPr>
            <w:r>
              <w:rPr>
                <w:sz w:val="21"/>
              </w:rPr>
              <w:t>0.75</w:t>
            </w:r>
          </w:p>
        </w:tc>
      </w:tr>
      <w:tr>
        <w:trPr>
          <w:trHeight w:val="498" w:hRule="atLeast"/>
        </w:trPr>
        <w:tc>
          <w:tcPr>
            <w:tcW w:w="852" w:type="dxa"/>
          </w:tcPr>
          <w:p>
            <w:pPr>
              <w:pStyle w:val="TableParagraph"/>
              <w:spacing w:before="0"/>
              <w:rPr>
                <w:rFonts w:ascii="Times New Roman"/>
                <w:sz w:val="20"/>
              </w:rPr>
            </w:pPr>
          </w:p>
        </w:tc>
        <w:tc>
          <w:tcPr>
            <w:tcW w:w="3118" w:type="dxa"/>
          </w:tcPr>
          <w:p>
            <w:pPr>
              <w:pStyle w:val="TableParagraph"/>
              <w:spacing w:before="133"/>
              <w:ind w:left="124"/>
              <w:rPr>
                <w:rFonts w:ascii="宋体" w:eastAsia="宋体" w:hint="eastAsia"/>
                <w:sz w:val="21"/>
              </w:rPr>
            </w:pPr>
            <w:r>
              <w:rPr>
                <w:rFonts w:ascii="宋体" w:eastAsia="宋体" w:hint="eastAsia"/>
                <w:sz w:val="21"/>
              </w:rPr>
              <w:t>其中：股票</w:t>
            </w:r>
          </w:p>
        </w:tc>
        <w:tc>
          <w:tcPr>
            <w:tcW w:w="2693" w:type="dxa"/>
          </w:tcPr>
          <w:p>
            <w:pPr>
              <w:pStyle w:val="TableParagraph"/>
              <w:spacing w:before="138"/>
              <w:ind w:right="95"/>
              <w:jc w:val="right"/>
              <w:rPr>
                <w:sz w:val="21"/>
              </w:rPr>
            </w:pPr>
            <w:r>
              <w:rPr>
                <w:sz w:val="21"/>
              </w:rPr>
              <w:t>2,526,901.00</w:t>
            </w:r>
          </w:p>
        </w:tc>
        <w:tc>
          <w:tcPr>
            <w:tcW w:w="1702" w:type="dxa"/>
          </w:tcPr>
          <w:p>
            <w:pPr>
              <w:pStyle w:val="TableParagraph"/>
              <w:spacing w:before="138"/>
              <w:ind w:right="94"/>
              <w:jc w:val="right"/>
              <w:rPr>
                <w:sz w:val="21"/>
              </w:rPr>
            </w:pPr>
            <w:r>
              <w:rPr>
                <w:sz w:val="21"/>
              </w:rPr>
              <w:t>0.75</w:t>
            </w:r>
          </w:p>
        </w:tc>
      </w:tr>
      <w:tr>
        <w:trPr>
          <w:trHeight w:val="496" w:hRule="atLeast"/>
        </w:trPr>
        <w:tc>
          <w:tcPr>
            <w:tcW w:w="852" w:type="dxa"/>
          </w:tcPr>
          <w:p>
            <w:pPr>
              <w:pStyle w:val="TableParagraph"/>
              <w:spacing w:before="136"/>
              <w:ind w:left="27"/>
              <w:jc w:val="center"/>
              <w:rPr>
                <w:sz w:val="21"/>
              </w:rPr>
            </w:pPr>
            <w:r>
              <w:rPr>
                <w:w w:val="100"/>
                <w:sz w:val="21"/>
              </w:rPr>
              <w:t>2</w:t>
            </w:r>
          </w:p>
        </w:tc>
        <w:tc>
          <w:tcPr>
            <w:tcW w:w="3118" w:type="dxa"/>
          </w:tcPr>
          <w:p>
            <w:pPr>
              <w:pStyle w:val="TableParagraph"/>
              <w:spacing w:before="131"/>
              <w:ind w:left="124"/>
              <w:rPr>
                <w:rFonts w:ascii="宋体" w:eastAsia="宋体" w:hint="eastAsia"/>
                <w:sz w:val="21"/>
              </w:rPr>
            </w:pPr>
            <w:r>
              <w:rPr>
                <w:rFonts w:ascii="宋体" w:eastAsia="宋体" w:hint="eastAsia"/>
                <w:sz w:val="21"/>
              </w:rPr>
              <w:t>基金投资</w:t>
            </w:r>
          </w:p>
        </w:tc>
        <w:tc>
          <w:tcPr>
            <w:tcW w:w="2693" w:type="dxa"/>
          </w:tcPr>
          <w:p>
            <w:pPr>
              <w:pStyle w:val="TableParagraph"/>
              <w:spacing w:before="136"/>
              <w:ind w:right="96"/>
              <w:jc w:val="right"/>
              <w:rPr>
                <w:sz w:val="21"/>
              </w:rPr>
            </w:pPr>
            <w:r>
              <w:rPr>
                <w:sz w:val="21"/>
              </w:rPr>
              <w:t>306,547,313.00</w:t>
            </w:r>
          </w:p>
        </w:tc>
        <w:tc>
          <w:tcPr>
            <w:tcW w:w="1702" w:type="dxa"/>
          </w:tcPr>
          <w:p>
            <w:pPr>
              <w:pStyle w:val="TableParagraph"/>
              <w:spacing w:before="136"/>
              <w:ind w:right="94"/>
              <w:jc w:val="right"/>
              <w:rPr>
                <w:sz w:val="21"/>
              </w:rPr>
            </w:pPr>
            <w:r>
              <w:rPr>
                <w:sz w:val="21"/>
              </w:rPr>
              <w:t>91.10</w:t>
            </w:r>
          </w:p>
        </w:tc>
      </w:tr>
      <w:tr>
        <w:trPr>
          <w:trHeight w:val="496" w:hRule="atLeast"/>
        </w:trPr>
        <w:tc>
          <w:tcPr>
            <w:tcW w:w="852" w:type="dxa"/>
          </w:tcPr>
          <w:p>
            <w:pPr>
              <w:pStyle w:val="TableParagraph"/>
              <w:spacing w:before="136"/>
              <w:ind w:left="27"/>
              <w:jc w:val="center"/>
              <w:rPr>
                <w:sz w:val="21"/>
              </w:rPr>
            </w:pPr>
            <w:r>
              <w:rPr>
                <w:w w:val="100"/>
                <w:sz w:val="21"/>
              </w:rPr>
              <w:t>3</w:t>
            </w:r>
          </w:p>
        </w:tc>
        <w:tc>
          <w:tcPr>
            <w:tcW w:w="3118" w:type="dxa"/>
          </w:tcPr>
          <w:p>
            <w:pPr>
              <w:pStyle w:val="TableParagraph"/>
              <w:spacing w:before="130"/>
              <w:ind w:left="124"/>
              <w:rPr>
                <w:rFonts w:ascii="宋体" w:eastAsia="宋体" w:hint="eastAsia"/>
                <w:sz w:val="21"/>
              </w:rPr>
            </w:pPr>
            <w:r>
              <w:rPr>
                <w:rFonts w:ascii="宋体" w:eastAsia="宋体" w:hint="eastAsia"/>
                <w:sz w:val="21"/>
              </w:rPr>
              <w:t>固定收益投资</w:t>
            </w:r>
          </w:p>
        </w:tc>
        <w:tc>
          <w:tcPr>
            <w:tcW w:w="2693" w:type="dxa"/>
          </w:tcPr>
          <w:p>
            <w:pPr>
              <w:pStyle w:val="TableParagraph"/>
              <w:spacing w:before="136"/>
              <w:ind w:right="96"/>
              <w:jc w:val="right"/>
              <w:rPr>
                <w:sz w:val="21"/>
              </w:rPr>
            </w:pPr>
            <w:r>
              <w:rPr>
                <w:w w:val="100"/>
                <w:sz w:val="21"/>
              </w:rPr>
              <w:t>-</w:t>
            </w:r>
          </w:p>
        </w:tc>
        <w:tc>
          <w:tcPr>
            <w:tcW w:w="1702" w:type="dxa"/>
          </w:tcPr>
          <w:p>
            <w:pPr>
              <w:pStyle w:val="TableParagraph"/>
              <w:spacing w:before="136"/>
              <w:ind w:right="95"/>
              <w:jc w:val="right"/>
              <w:rPr>
                <w:sz w:val="21"/>
              </w:rPr>
            </w:pPr>
            <w:r>
              <w:rPr>
                <w:w w:val="100"/>
                <w:sz w:val="21"/>
              </w:rPr>
              <w:t>-</w:t>
            </w:r>
          </w:p>
        </w:tc>
      </w:tr>
      <w:tr>
        <w:trPr>
          <w:trHeight w:val="496" w:hRule="atLeast"/>
        </w:trPr>
        <w:tc>
          <w:tcPr>
            <w:tcW w:w="852" w:type="dxa"/>
          </w:tcPr>
          <w:p>
            <w:pPr>
              <w:pStyle w:val="TableParagraph"/>
              <w:spacing w:before="0"/>
              <w:rPr>
                <w:rFonts w:ascii="Times New Roman"/>
                <w:sz w:val="20"/>
              </w:rPr>
            </w:pPr>
          </w:p>
        </w:tc>
        <w:tc>
          <w:tcPr>
            <w:tcW w:w="3118" w:type="dxa"/>
          </w:tcPr>
          <w:p>
            <w:pPr>
              <w:pStyle w:val="TableParagraph"/>
              <w:spacing w:before="130"/>
              <w:ind w:left="124"/>
              <w:rPr>
                <w:rFonts w:ascii="宋体" w:eastAsia="宋体" w:hint="eastAsia"/>
                <w:sz w:val="21"/>
              </w:rPr>
            </w:pPr>
            <w:r>
              <w:rPr>
                <w:rFonts w:ascii="宋体" w:eastAsia="宋体" w:hint="eastAsia"/>
                <w:sz w:val="21"/>
              </w:rPr>
              <w:t>其中：债券</w:t>
            </w:r>
          </w:p>
        </w:tc>
        <w:tc>
          <w:tcPr>
            <w:tcW w:w="2693" w:type="dxa"/>
          </w:tcPr>
          <w:p>
            <w:pPr>
              <w:pStyle w:val="TableParagraph"/>
              <w:spacing w:before="136"/>
              <w:ind w:right="96"/>
              <w:jc w:val="right"/>
              <w:rPr>
                <w:sz w:val="21"/>
              </w:rPr>
            </w:pPr>
            <w:r>
              <w:rPr>
                <w:w w:val="100"/>
                <w:sz w:val="21"/>
              </w:rPr>
              <w:t>-</w:t>
            </w:r>
          </w:p>
        </w:tc>
        <w:tc>
          <w:tcPr>
            <w:tcW w:w="1702" w:type="dxa"/>
          </w:tcPr>
          <w:p>
            <w:pPr>
              <w:pStyle w:val="TableParagraph"/>
              <w:spacing w:before="136"/>
              <w:ind w:right="95"/>
              <w:jc w:val="right"/>
              <w:rPr>
                <w:sz w:val="21"/>
              </w:rPr>
            </w:pPr>
            <w:r>
              <w:rPr>
                <w:w w:val="100"/>
                <w:sz w:val="21"/>
              </w:rPr>
              <w:t>-</w:t>
            </w:r>
          </w:p>
        </w:tc>
      </w:tr>
      <w:tr>
        <w:trPr>
          <w:trHeight w:val="498" w:hRule="atLeast"/>
        </w:trPr>
        <w:tc>
          <w:tcPr>
            <w:tcW w:w="852" w:type="dxa"/>
          </w:tcPr>
          <w:p>
            <w:pPr>
              <w:pStyle w:val="TableParagraph"/>
              <w:spacing w:before="0"/>
              <w:rPr>
                <w:rFonts w:ascii="Times New Roman"/>
                <w:sz w:val="20"/>
              </w:rPr>
            </w:pPr>
          </w:p>
        </w:tc>
        <w:tc>
          <w:tcPr>
            <w:tcW w:w="3118" w:type="dxa"/>
          </w:tcPr>
          <w:p>
            <w:pPr>
              <w:pStyle w:val="TableParagraph"/>
              <w:spacing w:before="133"/>
              <w:ind w:left="755"/>
              <w:rPr>
                <w:rFonts w:ascii="宋体" w:eastAsia="宋体" w:hint="eastAsia"/>
                <w:sz w:val="21"/>
              </w:rPr>
            </w:pPr>
            <w:r>
              <w:rPr>
                <w:rFonts w:ascii="宋体" w:eastAsia="宋体" w:hint="eastAsia"/>
                <w:sz w:val="21"/>
              </w:rPr>
              <w:t>资产支持证券</w:t>
            </w:r>
          </w:p>
        </w:tc>
        <w:tc>
          <w:tcPr>
            <w:tcW w:w="2693" w:type="dxa"/>
          </w:tcPr>
          <w:p>
            <w:pPr>
              <w:pStyle w:val="TableParagraph"/>
              <w:spacing w:before="138"/>
              <w:ind w:right="96"/>
              <w:jc w:val="right"/>
              <w:rPr>
                <w:sz w:val="21"/>
              </w:rPr>
            </w:pPr>
            <w:r>
              <w:rPr>
                <w:w w:val="100"/>
                <w:sz w:val="21"/>
              </w:rPr>
              <w:t>-</w:t>
            </w:r>
          </w:p>
        </w:tc>
        <w:tc>
          <w:tcPr>
            <w:tcW w:w="1702" w:type="dxa"/>
          </w:tcPr>
          <w:p>
            <w:pPr>
              <w:pStyle w:val="TableParagraph"/>
              <w:spacing w:before="138"/>
              <w:ind w:right="95"/>
              <w:jc w:val="right"/>
              <w:rPr>
                <w:sz w:val="21"/>
              </w:rPr>
            </w:pPr>
            <w:r>
              <w:rPr>
                <w:w w:val="100"/>
                <w:sz w:val="21"/>
              </w:rPr>
              <w:t>-</w:t>
            </w:r>
          </w:p>
        </w:tc>
      </w:tr>
      <w:tr>
        <w:trPr>
          <w:trHeight w:val="496" w:hRule="atLeast"/>
        </w:trPr>
        <w:tc>
          <w:tcPr>
            <w:tcW w:w="852" w:type="dxa"/>
          </w:tcPr>
          <w:p>
            <w:pPr>
              <w:pStyle w:val="TableParagraph"/>
              <w:spacing w:before="136"/>
              <w:ind w:left="27"/>
              <w:jc w:val="center"/>
              <w:rPr>
                <w:sz w:val="21"/>
              </w:rPr>
            </w:pPr>
            <w:r>
              <w:rPr>
                <w:w w:val="100"/>
                <w:sz w:val="21"/>
              </w:rPr>
              <w:t>4</w:t>
            </w:r>
          </w:p>
        </w:tc>
        <w:tc>
          <w:tcPr>
            <w:tcW w:w="3118" w:type="dxa"/>
          </w:tcPr>
          <w:p>
            <w:pPr>
              <w:pStyle w:val="TableParagraph"/>
              <w:spacing w:before="130"/>
              <w:ind w:left="124"/>
              <w:rPr>
                <w:rFonts w:ascii="宋体" w:eastAsia="宋体" w:hint="eastAsia"/>
                <w:sz w:val="21"/>
              </w:rPr>
            </w:pPr>
            <w:r>
              <w:rPr>
                <w:rFonts w:ascii="宋体" w:eastAsia="宋体" w:hint="eastAsia"/>
                <w:sz w:val="21"/>
              </w:rPr>
              <w:t>贵金属投资</w:t>
            </w:r>
          </w:p>
        </w:tc>
        <w:tc>
          <w:tcPr>
            <w:tcW w:w="2693" w:type="dxa"/>
          </w:tcPr>
          <w:p>
            <w:pPr>
              <w:pStyle w:val="TableParagraph"/>
              <w:spacing w:before="136"/>
              <w:ind w:right="96"/>
              <w:jc w:val="right"/>
              <w:rPr>
                <w:sz w:val="21"/>
              </w:rPr>
            </w:pPr>
            <w:r>
              <w:rPr>
                <w:w w:val="100"/>
                <w:sz w:val="21"/>
              </w:rPr>
              <w:t>-</w:t>
            </w:r>
          </w:p>
        </w:tc>
        <w:tc>
          <w:tcPr>
            <w:tcW w:w="1702" w:type="dxa"/>
          </w:tcPr>
          <w:p>
            <w:pPr>
              <w:pStyle w:val="TableParagraph"/>
              <w:spacing w:before="136"/>
              <w:ind w:right="95"/>
              <w:jc w:val="right"/>
              <w:rPr>
                <w:sz w:val="21"/>
              </w:rPr>
            </w:pPr>
            <w:r>
              <w:rPr>
                <w:w w:val="100"/>
                <w:sz w:val="21"/>
              </w:rPr>
              <w:t>-</w:t>
            </w:r>
          </w:p>
        </w:tc>
      </w:tr>
      <w:tr>
        <w:trPr>
          <w:trHeight w:val="496" w:hRule="atLeast"/>
        </w:trPr>
        <w:tc>
          <w:tcPr>
            <w:tcW w:w="852" w:type="dxa"/>
          </w:tcPr>
          <w:p>
            <w:pPr>
              <w:pStyle w:val="TableParagraph"/>
              <w:spacing w:before="136"/>
              <w:ind w:left="27"/>
              <w:jc w:val="center"/>
              <w:rPr>
                <w:sz w:val="21"/>
              </w:rPr>
            </w:pPr>
            <w:r>
              <w:rPr>
                <w:w w:val="100"/>
                <w:sz w:val="21"/>
              </w:rPr>
              <w:t>5</w:t>
            </w:r>
          </w:p>
        </w:tc>
        <w:tc>
          <w:tcPr>
            <w:tcW w:w="3118" w:type="dxa"/>
          </w:tcPr>
          <w:p>
            <w:pPr>
              <w:pStyle w:val="TableParagraph"/>
              <w:spacing w:before="130"/>
              <w:ind w:left="124"/>
              <w:rPr>
                <w:rFonts w:ascii="宋体" w:eastAsia="宋体" w:hint="eastAsia"/>
                <w:sz w:val="21"/>
              </w:rPr>
            </w:pPr>
            <w:r>
              <w:rPr>
                <w:rFonts w:ascii="宋体" w:eastAsia="宋体" w:hint="eastAsia"/>
                <w:sz w:val="21"/>
              </w:rPr>
              <w:t>金融衍生品投资</w:t>
            </w:r>
          </w:p>
        </w:tc>
        <w:tc>
          <w:tcPr>
            <w:tcW w:w="2693" w:type="dxa"/>
          </w:tcPr>
          <w:p>
            <w:pPr>
              <w:pStyle w:val="TableParagraph"/>
              <w:spacing w:before="136"/>
              <w:ind w:right="96"/>
              <w:jc w:val="right"/>
              <w:rPr>
                <w:sz w:val="21"/>
              </w:rPr>
            </w:pPr>
            <w:r>
              <w:rPr>
                <w:w w:val="100"/>
                <w:sz w:val="21"/>
              </w:rPr>
              <w:t>-</w:t>
            </w:r>
          </w:p>
        </w:tc>
        <w:tc>
          <w:tcPr>
            <w:tcW w:w="1702" w:type="dxa"/>
          </w:tcPr>
          <w:p>
            <w:pPr>
              <w:pStyle w:val="TableParagraph"/>
              <w:spacing w:before="136"/>
              <w:ind w:right="95"/>
              <w:jc w:val="right"/>
              <w:rPr>
                <w:sz w:val="21"/>
              </w:rPr>
            </w:pPr>
            <w:r>
              <w:rPr>
                <w:w w:val="100"/>
                <w:sz w:val="21"/>
              </w:rPr>
              <w:t>-</w:t>
            </w:r>
          </w:p>
        </w:tc>
      </w:tr>
      <w:tr>
        <w:trPr>
          <w:trHeight w:val="499" w:hRule="atLeast"/>
        </w:trPr>
        <w:tc>
          <w:tcPr>
            <w:tcW w:w="852" w:type="dxa"/>
          </w:tcPr>
          <w:p>
            <w:pPr>
              <w:pStyle w:val="TableParagraph"/>
              <w:spacing w:before="136"/>
              <w:ind w:left="27"/>
              <w:jc w:val="center"/>
              <w:rPr>
                <w:sz w:val="21"/>
              </w:rPr>
            </w:pPr>
            <w:r>
              <w:rPr>
                <w:w w:val="100"/>
                <w:sz w:val="21"/>
              </w:rPr>
              <w:t>6</w:t>
            </w:r>
          </w:p>
        </w:tc>
        <w:tc>
          <w:tcPr>
            <w:tcW w:w="3118" w:type="dxa"/>
          </w:tcPr>
          <w:p>
            <w:pPr>
              <w:pStyle w:val="TableParagraph"/>
              <w:spacing w:before="131"/>
              <w:ind w:left="124"/>
              <w:rPr>
                <w:rFonts w:ascii="宋体" w:eastAsia="宋体" w:hint="eastAsia"/>
                <w:sz w:val="21"/>
              </w:rPr>
            </w:pPr>
            <w:r>
              <w:rPr>
                <w:rFonts w:ascii="宋体" w:eastAsia="宋体" w:hint="eastAsia"/>
                <w:sz w:val="21"/>
              </w:rPr>
              <w:t>买入返售金融资产</w:t>
            </w:r>
          </w:p>
        </w:tc>
        <w:tc>
          <w:tcPr>
            <w:tcW w:w="2693" w:type="dxa"/>
          </w:tcPr>
          <w:p>
            <w:pPr>
              <w:pStyle w:val="TableParagraph"/>
              <w:spacing w:before="136"/>
              <w:ind w:right="96"/>
              <w:jc w:val="right"/>
              <w:rPr>
                <w:sz w:val="21"/>
              </w:rPr>
            </w:pPr>
            <w:r>
              <w:rPr>
                <w:w w:val="100"/>
                <w:sz w:val="21"/>
              </w:rPr>
              <w:t>-</w:t>
            </w:r>
          </w:p>
        </w:tc>
        <w:tc>
          <w:tcPr>
            <w:tcW w:w="1702" w:type="dxa"/>
          </w:tcPr>
          <w:p>
            <w:pPr>
              <w:pStyle w:val="TableParagraph"/>
              <w:spacing w:before="136"/>
              <w:ind w:right="95"/>
              <w:jc w:val="right"/>
              <w:rPr>
                <w:sz w:val="21"/>
              </w:rPr>
            </w:pPr>
            <w:r>
              <w:rPr>
                <w:w w:val="100"/>
                <w:sz w:val="21"/>
              </w:rPr>
              <w:t>-</w:t>
            </w:r>
          </w:p>
        </w:tc>
      </w:tr>
    </w:tbl>
    <w:p>
      <w:pPr>
        <w:spacing w:after="0"/>
        <w:jc w:val="right"/>
        <w:rPr>
          <w:sz w:val="21"/>
        </w:rPr>
        <w:sectPr>
          <w:pgSz w:w="11910" w:h="16840"/>
          <w:pgMar w:header="877" w:footer="995" w:top="1420" w:bottom="1180" w:left="1640" w:right="920"/>
        </w:sectPr>
      </w:pPr>
    </w:p>
    <w:tbl>
      <w:tblPr>
        <w:tblW w:w="0" w:type="auto"/>
        <w:jc w:val="left"/>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3118"/>
        <w:gridCol w:w="2693"/>
        <w:gridCol w:w="1702"/>
      </w:tblGrid>
      <w:tr>
        <w:trPr>
          <w:trHeight w:val="964" w:hRule="atLeast"/>
        </w:trPr>
        <w:tc>
          <w:tcPr>
            <w:tcW w:w="852" w:type="dxa"/>
          </w:tcPr>
          <w:p>
            <w:pPr>
              <w:pStyle w:val="TableParagraph"/>
              <w:spacing w:before="0"/>
              <w:rPr>
                <w:rFonts w:ascii="Times New Roman"/>
                <w:sz w:val="20"/>
              </w:rPr>
            </w:pPr>
          </w:p>
        </w:tc>
        <w:tc>
          <w:tcPr>
            <w:tcW w:w="3118" w:type="dxa"/>
          </w:tcPr>
          <w:p>
            <w:pPr>
              <w:pStyle w:val="TableParagraph"/>
              <w:spacing w:before="131"/>
              <w:ind w:left="124"/>
              <w:rPr>
                <w:rFonts w:ascii="宋体" w:eastAsia="宋体" w:hint="eastAsia"/>
                <w:sz w:val="21"/>
              </w:rPr>
            </w:pPr>
            <w:r>
              <w:rPr>
                <w:rFonts w:ascii="宋体" w:eastAsia="宋体" w:hint="eastAsia"/>
                <w:sz w:val="21"/>
              </w:rPr>
              <w:t>其中：买断式回购的买入返售金</w:t>
            </w:r>
          </w:p>
          <w:p>
            <w:pPr>
              <w:pStyle w:val="TableParagraph"/>
              <w:spacing w:before="4"/>
              <w:rPr>
                <w:rFonts w:ascii="宋体"/>
                <w:sz w:val="15"/>
              </w:rPr>
            </w:pPr>
          </w:p>
          <w:p>
            <w:pPr>
              <w:pStyle w:val="TableParagraph"/>
              <w:spacing w:before="0"/>
              <w:ind w:left="124"/>
              <w:rPr>
                <w:rFonts w:ascii="宋体" w:eastAsia="宋体" w:hint="eastAsia"/>
                <w:sz w:val="21"/>
              </w:rPr>
            </w:pPr>
            <w:r>
              <w:rPr>
                <w:rFonts w:ascii="宋体" w:eastAsia="宋体" w:hint="eastAsia"/>
                <w:sz w:val="21"/>
              </w:rPr>
              <w:t>融资产</w:t>
            </w:r>
          </w:p>
        </w:tc>
        <w:tc>
          <w:tcPr>
            <w:tcW w:w="2693" w:type="dxa"/>
          </w:tcPr>
          <w:p>
            <w:pPr>
              <w:pStyle w:val="TableParagraph"/>
              <w:spacing w:before="12"/>
              <w:rPr>
                <w:rFonts w:ascii="宋体"/>
                <w:sz w:val="28"/>
              </w:rPr>
            </w:pPr>
          </w:p>
          <w:p>
            <w:pPr>
              <w:pStyle w:val="TableParagraph"/>
              <w:spacing w:before="0"/>
              <w:ind w:right="96"/>
              <w:jc w:val="right"/>
              <w:rPr>
                <w:sz w:val="21"/>
              </w:rPr>
            </w:pPr>
            <w:r>
              <w:rPr>
                <w:w w:val="100"/>
                <w:sz w:val="21"/>
              </w:rPr>
              <w:t>-</w:t>
            </w:r>
          </w:p>
        </w:tc>
        <w:tc>
          <w:tcPr>
            <w:tcW w:w="1702" w:type="dxa"/>
          </w:tcPr>
          <w:p>
            <w:pPr>
              <w:pStyle w:val="TableParagraph"/>
              <w:spacing w:before="12"/>
              <w:rPr>
                <w:rFonts w:ascii="宋体"/>
                <w:sz w:val="28"/>
              </w:rPr>
            </w:pPr>
          </w:p>
          <w:p>
            <w:pPr>
              <w:pStyle w:val="TableParagraph"/>
              <w:spacing w:before="0"/>
              <w:ind w:right="95"/>
              <w:jc w:val="right"/>
              <w:rPr>
                <w:sz w:val="21"/>
              </w:rPr>
            </w:pPr>
            <w:r>
              <w:rPr>
                <w:w w:val="100"/>
                <w:sz w:val="21"/>
              </w:rPr>
              <w:t>-</w:t>
            </w:r>
          </w:p>
        </w:tc>
      </w:tr>
      <w:tr>
        <w:trPr>
          <w:trHeight w:val="496" w:hRule="atLeast"/>
        </w:trPr>
        <w:tc>
          <w:tcPr>
            <w:tcW w:w="852" w:type="dxa"/>
          </w:tcPr>
          <w:p>
            <w:pPr>
              <w:pStyle w:val="TableParagraph"/>
              <w:spacing w:before="136"/>
              <w:ind w:left="27"/>
              <w:jc w:val="center"/>
              <w:rPr>
                <w:sz w:val="21"/>
              </w:rPr>
            </w:pPr>
            <w:r>
              <w:rPr>
                <w:w w:val="100"/>
                <w:sz w:val="21"/>
              </w:rPr>
              <w:t>7</w:t>
            </w:r>
          </w:p>
        </w:tc>
        <w:tc>
          <w:tcPr>
            <w:tcW w:w="3118" w:type="dxa"/>
          </w:tcPr>
          <w:p>
            <w:pPr>
              <w:pStyle w:val="TableParagraph"/>
              <w:spacing w:before="130"/>
              <w:ind w:left="124"/>
              <w:rPr>
                <w:rFonts w:ascii="宋体" w:eastAsia="宋体" w:hint="eastAsia"/>
                <w:sz w:val="21"/>
              </w:rPr>
            </w:pPr>
            <w:r>
              <w:rPr>
                <w:rFonts w:ascii="宋体" w:eastAsia="宋体" w:hint="eastAsia"/>
                <w:sz w:val="21"/>
              </w:rPr>
              <w:t>银行存款和结算备付金合计</w:t>
            </w:r>
          </w:p>
        </w:tc>
        <w:tc>
          <w:tcPr>
            <w:tcW w:w="2693" w:type="dxa"/>
          </w:tcPr>
          <w:p>
            <w:pPr>
              <w:pStyle w:val="TableParagraph"/>
              <w:spacing w:before="136"/>
              <w:ind w:right="95"/>
              <w:jc w:val="right"/>
              <w:rPr>
                <w:sz w:val="21"/>
              </w:rPr>
            </w:pPr>
            <w:r>
              <w:rPr>
                <w:sz w:val="21"/>
              </w:rPr>
              <w:t>21,365,438.42</w:t>
            </w:r>
          </w:p>
        </w:tc>
        <w:tc>
          <w:tcPr>
            <w:tcW w:w="1702" w:type="dxa"/>
          </w:tcPr>
          <w:p>
            <w:pPr>
              <w:pStyle w:val="TableParagraph"/>
              <w:spacing w:before="136"/>
              <w:ind w:right="94"/>
              <w:jc w:val="right"/>
              <w:rPr>
                <w:sz w:val="21"/>
              </w:rPr>
            </w:pPr>
            <w:r>
              <w:rPr>
                <w:sz w:val="21"/>
              </w:rPr>
              <w:t>6.35</w:t>
            </w:r>
          </w:p>
        </w:tc>
      </w:tr>
      <w:tr>
        <w:trPr>
          <w:trHeight w:val="498" w:hRule="atLeast"/>
        </w:trPr>
        <w:tc>
          <w:tcPr>
            <w:tcW w:w="852" w:type="dxa"/>
          </w:tcPr>
          <w:p>
            <w:pPr>
              <w:pStyle w:val="TableParagraph"/>
              <w:spacing w:before="138"/>
              <w:ind w:left="27"/>
              <w:jc w:val="center"/>
              <w:rPr>
                <w:sz w:val="21"/>
              </w:rPr>
            </w:pPr>
            <w:r>
              <w:rPr>
                <w:w w:val="100"/>
                <w:sz w:val="21"/>
              </w:rPr>
              <w:t>8</w:t>
            </w:r>
          </w:p>
        </w:tc>
        <w:tc>
          <w:tcPr>
            <w:tcW w:w="3118" w:type="dxa"/>
          </w:tcPr>
          <w:p>
            <w:pPr>
              <w:pStyle w:val="TableParagraph"/>
              <w:spacing w:before="116"/>
              <w:ind w:left="107"/>
              <w:rPr>
                <w:rFonts w:ascii="宋体" w:eastAsia="宋体" w:hint="eastAsia"/>
                <w:sz w:val="21"/>
              </w:rPr>
            </w:pPr>
            <w:r>
              <w:rPr>
                <w:rFonts w:ascii="宋体" w:eastAsia="宋体" w:hint="eastAsia"/>
                <w:sz w:val="21"/>
              </w:rPr>
              <w:t>其他各项资产</w:t>
            </w:r>
          </w:p>
        </w:tc>
        <w:tc>
          <w:tcPr>
            <w:tcW w:w="2693" w:type="dxa"/>
          </w:tcPr>
          <w:p>
            <w:pPr>
              <w:pStyle w:val="TableParagraph"/>
              <w:spacing w:before="121"/>
              <w:ind w:right="95"/>
              <w:jc w:val="right"/>
              <w:rPr>
                <w:sz w:val="21"/>
              </w:rPr>
            </w:pPr>
            <w:r>
              <w:rPr>
                <w:sz w:val="21"/>
              </w:rPr>
              <w:t>6,060,963.91</w:t>
            </w:r>
          </w:p>
        </w:tc>
        <w:tc>
          <w:tcPr>
            <w:tcW w:w="1702" w:type="dxa"/>
          </w:tcPr>
          <w:p>
            <w:pPr>
              <w:pStyle w:val="TableParagraph"/>
              <w:spacing w:before="121"/>
              <w:ind w:right="94"/>
              <w:jc w:val="right"/>
              <w:rPr>
                <w:sz w:val="21"/>
              </w:rPr>
            </w:pPr>
            <w:r>
              <w:rPr>
                <w:sz w:val="21"/>
              </w:rPr>
              <w:t>1.80</w:t>
            </w:r>
          </w:p>
        </w:tc>
      </w:tr>
      <w:tr>
        <w:trPr>
          <w:trHeight w:val="496" w:hRule="atLeast"/>
        </w:trPr>
        <w:tc>
          <w:tcPr>
            <w:tcW w:w="852" w:type="dxa"/>
          </w:tcPr>
          <w:p>
            <w:pPr>
              <w:pStyle w:val="TableParagraph"/>
              <w:spacing w:before="136"/>
              <w:ind w:left="27"/>
              <w:jc w:val="center"/>
              <w:rPr>
                <w:sz w:val="21"/>
              </w:rPr>
            </w:pPr>
            <w:r>
              <w:rPr>
                <w:w w:val="100"/>
                <w:sz w:val="21"/>
              </w:rPr>
              <w:t>9</w:t>
            </w:r>
          </w:p>
        </w:tc>
        <w:tc>
          <w:tcPr>
            <w:tcW w:w="3118" w:type="dxa"/>
          </w:tcPr>
          <w:p>
            <w:pPr>
              <w:pStyle w:val="TableParagraph"/>
              <w:spacing w:before="114"/>
              <w:ind w:left="107"/>
              <w:rPr>
                <w:rFonts w:ascii="宋体" w:eastAsia="宋体" w:hint="eastAsia"/>
                <w:sz w:val="21"/>
              </w:rPr>
            </w:pPr>
            <w:r>
              <w:rPr>
                <w:rFonts w:ascii="宋体" w:eastAsia="宋体" w:hint="eastAsia"/>
                <w:sz w:val="21"/>
              </w:rPr>
              <w:t>合计</w:t>
            </w:r>
          </w:p>
        </w:tc>
        <w:tc>
          <w:tcPr>
            <w:tcW w:w="2693" w:type="dxa"/>
          </w:tcPr>
          <w:p>
            <w:pPr>
              <w:pStyle w:val="TableParagraph"/>
              <w:spacing w:before="119"/>
              <w:ind w:right="96"/>
              <w:jc w:val="right"/>
              <w:rPr>
                <w:sz w:val="21"/>
              </w:rPr>
            </w:pPr>
            <w:r>
              <w:rPr>
                <w:sz w:val="21"/>
              </w:rPr>
              <w:t>336,500,616.33</w:t>
            </w:r>
          </w:p>
        </w:tc>
        <w:tc>
          <w:tcPr>
            <w:tcW w:w="1702" w:type="dxa"/>
          </w:tcPr>
          <w:p>
            <w:pPr>
              <w:pStyle w:val="TableParagraph"/>
              <w:spacing w:before="119"/>
              <w:ind w:right="95"/>
              <w:jc w:val="right"/>
              <w:rPr>
                <w:sz w:val="21"/>
              </w:rPr>
            </w:pPr>
            <w:r>
              <w:rPr>
                <w:sz w:val="21"/>
              </w:rPr>
              <w:t>100.00</w:t>
            </w:r>
          </w:p>
        </w:tc>
      </w:tr>
    </w:tbl>
    <w:p>
      <w:pPr>
        <w:pStyle w:val="ListParagraph"/>
        <w:numPr>
          <w:ilvl w:val="1"/>
          <w:numId w:val="24"/>
        </w:numPr>
        <w:tabs>
          <w:tab w:pos="480" w:val="left" w:leader="none"/>
        </w:tabs>
        <w:spacing w:line="240" w:lineRule="auto" w:before="109" w:after="0"/>
        <w:ind w:left="479" w:right="0" w:hanging="320"/>
        <w:jc w:val="left"/>
        <w:rPr>
          <w:sz w:val="21"/>
        </w:rPr>
      </w:pPr>
      <w:r>
        <w:rPr>
          <w:spacing w:val="-3"/>
          <w:sz w:val="21"/>
        </w:rPr>
        <w:t>期末投资目标基金明细</w:t>
      </w:r>
    </w:p>
    <w:p>
      <w:pPr>
        <w:pStyle w:val="BodyText"/>
        <w:spacing w:before="10"/>
        <w:rPr>
          <w:sz w:val="7"/>
        </w:rPr>
      </w:pPr>
    </w:p>
    <w:tbl>
      <w:tblPr>
        <w:tblW w:w="0" w:type="auto"/>
        <w:jc w:val="left"/>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14"/>
        <w:gridCol w:w="1131"/>
        <w:gridCol w:w="1133"/>
        <w:gridCol w:w="1131"/>
        <w:gridCol w:w="1131"/>
        <w:gridCol w:w="1131"/>
        <w:gridCol w:w="1597"/>
      </w:tblGrid>
      <w:tr>
        <w:trPr>
          <w:trHeight w:val="965" w:hRule="atLeast"/>
        </w:trPr>
        <w:tc>
          <w:tcPr>
            <w:tcW w:w="1114" w:type="dxa"/>
          </w:tcPr>
          <w:p>
            <w:pPr>
              <w:pStyle w:val="TableParagraph"/>
              <w:spacing w:before="7"/>
              <w:rPr>
                <w:rFonts w:ascii="宋体"/>
                <w:sz w:val="28"/>
              </w:rPr>
            </w:pPr>
          </w:p>
          <w:p>
            <w:pPr>
              <w:pStyle w:val="TableParagraph"/>
              <w:spacing w:before="0"/>
              <w:ind w:left="333" w:right="310"/>
              <w:jc w:val="center"/>
              <w:rPr>
                <w:rFonts w:ascii="宋体" w:eastAsia="宋体" w:hint="eastAsia"/>
                <w:sz w:val="21"/>
              </w:rPr>
            </w:pPr>
            <w:r>
              <w:rPr>
                <w:rFonts w:ascii="宋体" w:eastAsia="宋体" w:hint="eastAsia"/>
                <w:sz w:val="21"/>
              </w:rPr>
              <w:t>序号</w:t>
            </w:r>
          </w:p>
        </w:tc>
        <w:tc>
          <w:tcPr>
            <w:tcW w:w="1131" w:type="dxa"/>
          </w:tcPr>
          <w:p>
            <w:pPr>
              <w:pStyle w:val="TableParagraph"/>
              <w:spacing w:before="7"/>
              <w:rPr>
                <w:rFonts w:ascii="宋体"/>
                <w:sz w:val="28"/>
              </w:rPr>
            </w:pPr>
          </w:p>
          <w:p>
            <w:pPr>
              <w:pStyle w:val="TableParagraph"/>
              <w:spacing w:before="0"/>
              <w:ind w:left="152"/>
              <w:rPr>
                <w:rFonts w:ascii="宋体" w:eastAsia="宋体" w:hint="eastAsia"/>
                <w:sz w:val="21"/>
              </w:rPr>
            </w:pPr>
            <w:r>
              <w:rPr>
                <w:rFonts w:ascii="宋体" w:eastAsia="宋体" w:hint="eastAsia"/>
                <w:sz w:val="21"/>
              </w:rPr>
              <w:t>基金名称</w:t>
            </w:r>
          </w:p>
        </w:tc>
        <w:tc>
          <w:tcPr>
            <w:tcW w:w="1133" w:type="dxa"/>
          </w:tcPr>
          <w:p>
            <w:pPr>
              <w:pStyle w:val="TableParagraph"/>
              <w:spacing w:before="7"/>
              <w:rPr>
                <w:rFonts w:ascii="宋体"/>
                <w:sz w:val="28"/>
              </w:rPr>
            </w:pPr>
          </w:p>
          <w:p>
            <w:pPr>
              <w:pStyle w:val="TableParagraph"/>
              <w:spacing w:before="0"/>
              <w:ind w:left="131" w:right="111"/>
              <w:jc w:val="center"/>
              <w:rPr>
                <w:rFonts w:ascii="宋体" w:eastAsia="宋体" w:hint="eastAsia"/>
                <w:sz w:val="21"/>
              </w:rPr>
            </w:pPr>
            <w:r>
              <w:rPr>
                <w:rFonts w:ascii="宋体" w:eastAsia="宋体" w:hint="eastAsia"/>
                <w:sz w:val="21"/>
              </w:rPr>
              <w:t>基金类型</w:t>
            </w:r>
          </w:p>
        </w:tc>
        <w:tc>
          <w:tcPr>
            <w:tcW w:w="1131" w:type="dxa"/>
          </w:tcPr>
          <w:p>
            <w:pPr>
              <w:pStyle w:val="TableParagraph"/>
              <w:spacing w:before="7"/>
              <w:rPr>
                <w:rFonts w:ascii="宋体"/>
                <w:sz w:val="28"/>
              </w:rPr>
            </w:pPr>
          </w:p>
          <w:p>
            <w:pPr>
              <w:pStyle w:val="TableParagraph"/>
              <w:spacing w:before="0"/>
              <w:ind w:left="150"/>
              <w:rPr>
                <w:rFonts w:ascii="宋体" w:eastAsia="宋体" w:hint="eastAsia"/>
                <w:sz w:val="21"/>
              </w:rPr>
            </w:pPr>
            <w:r>
              <w:rPr>
                <w:rFonts w:ascii="宋体" w:eastAsia="宋体" w:hint="eastAsia"/>
                <w:sz w:val="21"/>
              </w:rPr>
              <w:t>运作方式</w:t>
            </w:r>
          </w:p>
        </w:tc>
        <w:tc>
          <w:tcPr>
            <w:tcW w:w="1131" w:type="dxa"/>
          </w:tcPr>
          <w:p>
            <w:pPr>
              <w:pStyle w:val="TableParagraph"/>
              <w:spacing w:before="7"/>
              <w:rPr>
                <w:rFonts w:ascii="宋体"/>
                <w:sz w:val="28"/>
              </w:rPr>
            </w:pPr>
          </w:p>
          <w:p>
            <w:pPr>
              <w:pStyle w:val="TableParagraph"/>
              <w:spacing w:before="0"/>
              <w:ind w:left="255"/>
              <w:rPr>
                <w:rFonts w:ascii="宋体" w:eastAsia="宋体" w:hint="eastAsia"/>
                <w:sz w:val="21"/>
              </w:rPr>
            </w:pPr>
            <w:r>
              <w:rPr>
                <w:rFonts w:ascii="宋体" w:eastAsia="宋体" w:hint="eastAsia"/>
                <w:sz w:val="21"/>
              </w:rPr>
              <w:t>管理人</w:t>
            </w:r>
          </w:p>
        </w:tc>
        <w:tc>
          <w:tcPr>
            <w:tcW w:w="1131" w:type="dxa"/>
          </w:tcPr>
          <w:p>
            <w:pPr>
              <w:pStyle w:val="TableParagraph"/>
              <w:spacing w:before="7"/>
              <w:rPr>
                <w:rFonts w:ascii="宋体"/>
                <w:sz w:val="28"/>
              </w:rPr>
            </w:pPr>
          </w:p>
          <w:p>
            <w:pPr>
              <w:pStyle w:val="TableParagraph"/>
              <w:spacing w:before="0"/>
              <w:ind w:left="149"/>
              <w:rPr>
                <w:rFonts w:ascii="宋体" w:eastAsia="宋体" w:hint="eastAsia"/>
                <w:sz w:val="21"/>
              </w:rPr>
            </w:pPr>
            <w:r>
              <w:rPr>
                <w:rFonts w:ascii="宋体" w:eastAsia="宋体" w:hint="eastAsia"/>
                <w:sz w:val="21"/>
              </w:rPr>
              <w:t>公允价值</w:t>
            </w:r>
          </w:p>
        </w:tc>
        <w:tc>
          <w:tcPr>
            <w:tcW w:w="1597" w:type="dxa"/>
          </w:tcPr>
          <w:p>
            <w:pPr>
              <w:pStyle w:val="TableParagraph"/>
              <w:spacing w:before="130"/>
              <w:ind w:left="172"/>
              <w:rPr>
                <w:rFonts w:ascii="宋体" w:eastAsia="宋体" w:hint="eastAsia"/>
                <w:sz w:val="21"/>
              </w:rPr>
            </w:pPr>
            <w:r>
              <w:rPr>
                <w:rFonts w:ascii="宋体" w:eastAsia="宋体" w:hint="eastAsia"/>
                <w:spacing w:val="-2"/>
                <w:sz w:val="21"/>
              </w:rPr>
              <w:t>占基金资产净</w:t>
            </w:r>
          </w:p>
          <w:p>
            <w:pPr>
              <w:pStyle w:val="TableParagraph"/>
              <w:spacing w:before="5"/>
              <w:rPr>
                <w:rFonts w:ascii="宋体"/>
                <w:sz w:val="15"/>
              </w:rPr>
            </w:pPr>
          </w:p>
          <w:p>
            <w:pPr>
              <w:pStyle w:val="TableParagraph"/>
              <w:spacing w:before="0"/>
              <w:ind w:left="201"/>
              <w:rPr>
                <w:rFonts w:ascii="宋体" w:eastAsia="宋体" w:hint="eastAsia"/>
                <w:sz w:val="21"/>
              </w:rPr>
            </w:pPr>
            <w:r>
              <w:rPr>
                <w:rFonts w:ascii="宋体" w:eastAsia="宋体" w:hint="eastAsia"/>
                <w:spacing w:val="-2"/>
                <w:sz w:val="21"/>
              </w:rPr>
              <w:t>值比例</w:t>
            </w:r>
            <w:r>
              <w:rPr>
                <w:rFonts w:ascii="宋体" w:eastAsia="宋体" w:hint="eastAsia"/>
                <w:spacing w:val="-1"/>
                <w:sz w:val="21"/>
              </w:rPr>
              <w:t>（</w:t>
            </w:r>
            <w:r>
              <w:rPr>
                <w:spacing w:val="-1"/>
                <w:sz w:val="21"/>
              </w:rPr>
              <w:t>%</w:t>
            </w:r>
            <w:r>
              <w:rPr>
                <w:rFonts w:ascii="宋体" w:eastAsia="宋体" w:hint="eastAsia"/>
                <w:spacing w:val="-1"/>
                <w:sz w:val="21"/>
              </w:rPr>
              <w:t>）</w:t>
            </w:r>
          </w:p>
        </w:tc>
      </w:tr>
      <w:tr>
        <w:trPr>
          <w:trHeight w:val="937" w:hRule="atLeast"/>
        </w:trPr>
        <w:tc>
          <w:tcPr>
            <w:tcW w:w="1114" w:type="dxa"/>
          </w:tcPr>
          <w:p>
            <w:pPr>
              <w:pStyle w:val="TableParagraph"/>
              <w:spacing w:before="9"/>
              <w:rPr>
                <w:rFonts w:ascii="宋体"/>
                <w:sz w:val="26"/>
              </w:rPr>
            </w:pPr>
          </w:p>
          <w:p>
            <w:pPr>
              <w:pStyle w:val="TableParagraph"/>
              <w:spacing w:before="0"/>
              <w:ind w:left="10"/>
              <w:jc w:val="center"/>
              <w:rPr>
                <w:sz w:val="21"/>
              </w:rPr>
            </w:pPr>
            <w:r>
              <w:rPr>
                <w:w w:val="100"/>
                <w:sz w:val="21"/>
              </w:rPr>
              <w:t>1</w:t>
            </w:r>
          </w:p>
        </w:tc>
        <w:tc>
          <w:tcPr>
            <w:tcW w:w="1131" w:type="dxa"/>
          </w:tcPr>
          <w:p>
            <w:pPr>
              <w:pStyle w:val="TableParagraph"/>
              <w:spacing w:line="278" w:lineRule="auto" w:before="25"/>
              <w:ind w:left="145" w:right="130"/>
              <w:jc w:val="center"/>
              <w:rPr>
                <w:rFonts w:ascii="宋体" w:eastAsia="宋体" w:hint="eastAsia"/>
                <w:sz w:val="21"/>
              </w:rPr>
            </w:pPr>
            <w:r>
              <w:rPr>
                <w:rFonts w:ascii="宋体" w:eastAsia="宋体" w:hint="eastAsia"/>
                <w:sz w:val="21"/>
              </w:rPr>
              <w:t>华夏战略新兴成指</w:t>
            </w:r>
          </w:p>
          <w:p>
            <w:pPr>
              <w:pStyle w:val="TableParagraph"/>
              <w:spacing w:before="5"/>
              <w:ind w:left="140" w:right="130"/>
              <w:jc w:val="center"/>
              <w:rPr>
                <w:sz w:val="21"/>
              </w:rPr>
            </w:pPr>
            <w:r>
              <w:rPr>
                <w:sz w:val="21"/>
              </w:rPr>
              <w:t>ETF</w:t>
            </w:r>
          </w:p>
        </w:tc>
        <w:tc>
          <w:tcPr>
            <w:tcW w:w="1133" w:type="dxa"/>
          </w:tcPr>
          <w:p>
            <w:pPr>
              <w:pStyle w:val="TableParagraph"/>
              <w:spacing w:before="3"/>
              <w:rPr>
                <w:rFonts w:ascii="宋体"/>
                <w:sz w:val="26"/>
              </w:rPr>
            </w:pPr>
          </w:p>
          <w:p>
            <w:pPr>
              <w:pStyle w:val="TableParagraph"/>
              <w:spacing w:before="1"/>
              <w:ind w:left="119" w:right="111"/>
              <w:jc w:val="center"/>
              <w:rPr>
                <w:rFonts w:ascii="宋体" w:eastAsia="宋体" w:hint="eastAsia"/>
                <w:sz w:val="21"/>
              </w:rPr>
            </w:pPr>
            <w:r>
              <w:rPr>
                <w:rFonts w:ascii="宋体" w:eastAsia="宋体" w:hint="eastAsia"/>
                <w:sz w:val="21"/>
              </w:rPr>
              <w:t>股票型</w:t>
            </w:r>
          </w:p>
        </w:tc>
        <w:tc>
          <w:tcPr>
            <w:tcW w:w="1131" w:type="dxa"/>
          </w:tcPr>
          <w:p>
            <w:pPr>
              <w:pStyle w:val="TableParagraph"/>
              <w:spacing w:before="1"/>
              <w:rPr>
                <w:rFonts w:ascii="宋体"/>
                <w:sz w:val="14"/>
              </w:rPr>
            </w:pPr>
          </w:p>
          <w:p>
            <w:pPr>
              <w:pStyle w:val="TableParagraph"/>
              <w:spacing w:line="278" w:lineRule="auto" w:before="0"/>
              <w:ind w:left="354" w:right="133" w:hanging="212"/>
              <w:rPr>
                <w:rFonts w:ascii="宋体" w:eastAsia="宋体" w:hint="eastAsia"/>
                <w:sz w:val="21"/>
              </w:rPr>
            </w:pPr>
            <w:r>
              <w:rPr>
                <w:rFonts w:ascii="宋体" w:eastAsia="宋体" w:hint="eastAsia"/>
                <w:sz w:val="21"/>
              </w:rPr>
              <w:t>交易型开放式</w:t>
            </w:r>
          </w:p>
        </w:tc>
        <w:tc>
          <w:tcPr>
            <w:tcW w:w="1131" w:type="dxa"/>
          </w:tcPr>
          <w:p>
            <w:pPr>
              <w:pStyle w:val="TableParagraph"/>
              <w:spacing w:line="278" w:lineRule="auto" w:before="25"/>
              <w:ind w:left="142" w:right="133"/>
              <w:jc w:val="center"/>
              <w:rPr>
                <w:rFonts w:ascii="宋体" w:eastAsia="宋体" w:hint="eastAsia"/>
                <w:sz w:val="21"/>
              </w:rPr>
            </w:pPr>
            <w:r>
              <w:rPr>
                <w:rFonts w:ascii="宋体" w:eastAsia="宋体" w:hint="eastAsia"/>
                <w:sz w:val="21"/>
              </w:rPr>
              <w:t>华夏基金管理有限</w:t>
            </w:r>
          </w:p>
          <w:p>
            <w:pPr>
              <w:pStyle w:val="TableParagraph"/>
              <w:spacing w:line="269" w:lineRule="exact" w:before="0"/>
              <w:ind w:left="139" w:right="130"/>
              <w:jc w:val="center"/>
              <w:rPr>
                <w:rFonts w:ascii="宋体" w:eastAsia="宋体" w:hint="eastAsia"/>
                <w:sz w:val="21"/>
              </w:rPr>
            </w:pPr>
            <w:r>
              <w:rPr>
                <w:rFonts w:ascii="宋体" w:eastAsia="宋体" w:hint="eastAsia"/>
                <w:sz w:val="21"/>
              </w:rPr>
              <w:t>公司</w:t>
            </w:r>
          </w:p>
        </w:tc>
        <w:tc>
          <w:tcPr>
            <w:tcW w:w="1131" w:type="dxa"/>
          </w:tcPr>
          <w:p>
            <w:pPr>
              <w:pStyle w:val="TableParagraph"/>
              <w:spacing w:before="6"/>
              <w:rPr>
                <w:rFonts w:ascii="宋体"/>
                <w:sz w:val="14"/>
              </w:rPr>
            </w:pPr>
          </w:p>
          <w:p>
            <w:pPr>
              <w:pStyle w:val="TableParagraph"/>
              <w:spacing w:before="1"/>
              <w:ind w:right="97"/>
              <w:jc w:val="right"/>
              <w:rPr>
                <w:sz w:val="21"/>
              </w:rPr>
            </w:pPr>
            <w:r>
              <w:rPr>
                <w:spacing w:val="-2"/>
                <w:sz w:val="21"/>
              </w:rPr>
              <w:t>306,547,3</w:t>
            </w:r>
          </w:p>
          <w:p>
            <w:pPr>
              <w:pStyle w:val="TableParagraph"/>
              <w:spacing w:before="55"/>
              <w:ind w:right="97"/>
              <w:jc w:val="right"/>
              <w:rPr>
                <w:sz w:val="21"/>
              </w:rPr>
            </w:pPr>
            <w:r>
              <w:rPr>
                <w:spacing w:val="-1"/>
                <w:sz w:val="21"/>
              </w:rPr>
              <w:t>13.00</w:t>
            </w:r>
          </w:p>
        </w:tc>
        <w:tc>
          <w:tcPr>
            <w:tcW w:w="1597" w:type="dxa"/>
          </w:tcPr>
          <w:p>
            <w:pPr>
              <w:pStyle w:val="TableParagraph"/>
              <w:spacing w:before="9"/>
              <w:rPr>
                <w:rFonts w:ascii="宋体"/>
                <w:sz w:val="26"/>
              </w:rPr>
            </w:pPr>
          </w:p>
          <w:p>
            <w:pPr>
              <w:pStyle w:val="TableParagraph"/>
              <w:spacing w:before="0"/>
              <w:ind w:left="1008"/>
              <w:rPr>
                <w:sz w:val="21"/>
              </w:rPr>
            </w:pPr>
            <w:r>
              <w:rPr>
                <w:sz w:val="21"/>
              </w:rPr>
              <w:t>93.20</w:t>
            </w:r>
          </w:p>
        </w:tc>
      </w:tr>
    </w:tbl>
    <w:p>
      <w:pPr>
        <w:pStyle w:val="ListParagraph"/>
        <w:numPr>
          <w:ilvl w:val="1"/>
          <w:numId w:val="24"/>
        </w:numPr>
        <w:tabs>
          <w:tab w:pos="480" w:val="left" w:leader="none"/>
        </w:tabs>
        <w:spacing w:line="240" w:lineRule="auto" w:before="100" w:after="0"/>
        <w:ind w:left="479" w:right="0" w:hanging="320"/>
        <w:jc w:val="left"/>
        <w:rPr>
          <w:sz w:val="21"/>
        </w:rPr>
      </w:pPr>
      <w:r>
        <w:rPr>
          <w:spacing w:val="-3"/>
          <w:sz w:val="21"/>
        </w:rPr>
        <w:t>报告期末按行业分类的股票投资组合</w:t>
      </w:r>
    </w:p>
    <w:p>
      <w:pPr>
        <w:pStyle w:val="BodyText"/>
        <w:spacing w:before="6"/>
        <w:rPr>
          <w:sz w:val="15"/>
        </w:rPr>
      </w:pPr>
    </w:p>
    <w:p>
      <w:pPr>
        <w:pStyle w:val="ListParagraph"/>
        <w:numPr>
          <w:ilvl w:val="2"/>
          <w:numId w:val="24"/>
        </w:numPr>
        <w:tabs>
          <w:tab w:pos="641" w:val="left" w:leader="none"/>
        </w:tabs>
        <w:spacing w:line="240" w:lineRule="auto" w:before="0" w:after="0"/>
        <w:ind w:left="640" w:right="0" w:hanging="481"/>
        <w:jc w:val="left"/>
        <w:rPr>
          <w:sz w:val="21"/>
        </w:rPr>
      </w:pPr>
      <w:r>
        <w:rPr>
          <w:spacing w:val="-3"/>
          <w:sz w:val="21"/>
        </w:rPr>
        <w:t>报告期末按行业分类的境内股票投资组合</w:t>
      </w:r>
    </w:p>
    <w:p>
      <w:pPr>
        <w:pStyle w:val="BodyText"/>
        <w:spacing w:before="10"/>
        <w:rPr>
          <w:sz w:val="7"/>
        </w:rPr>
      </w:pPr>
    </w:p>
    <w:tbl>
      <w:tblPr>
        <w:tblW w:w="0" w:type="auto"/>
        <w:jc w:val="left"/>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3"/>
        <w:gridCol w:w="3692"/>
        <w:gridCol w:w="2187"/>
        <w:gridCol w:w="1844"/>
      </w:tblGrid>
      <w:tr>
        <w:trPr>
          <w:trHeight w:val="813" w:hRule="atLeast"/>
        </w:trPr>
        <w:tc>
          <w:tcPr>
            <w:tcW w:w="643" w:type="dxa"/>
          </w:tcPr>
          <w:p>
            <w:pPr>
              <w:pStyle w:val="TableParagraph"/>
              <w:spacing w:before="2"/>
              <w:rPr>
                <w:rFonts w:ascii="宋体"/>
                <w:sz w:val="25"/>
              </w:rPr>
            </w:pPr>
          </w:p>
          <w:p>
            <w:pPr>
              <w:pStyle w:val="TableParagraph"/>
              <w:spacing w:before="0"/>
              <w:ind w:left="91" w:right="82"/>
              <w:jc w:val="center"/>
              <w:rPr>
                <w:rFonts w:ascii="宋体" w:eastAsia="宋体" w:hint="eastAsia"/>
                <w:sz w:val="21"/>
              </w:rPr>
            </w:pPr>
            <w:r>
              <w:rPr>
                <w:rFonts w:ascii="宋体" w:eastAsia="宋体" w:hint="eastAsia"/>
                <w:sz w:val="21"/>
              </w:rPr>
              <w:t>代码</w:t>
            </w:r>
          </w:p>
        </w:tc>
        <w:tc>
          <w:tcPr>
            <w:tcW w:w="3692" w:type="dxa"/>
          </w:tcPr>
          <w:p>
            <w:pPr>
              <w:pStyle w:val="TableParagraph"/>
              <w:spacing w:before="2"/>
              <w:rPr>
                <w:rFonts w:ascii="宋体"/>
                <w:sz w:val="25"/>
              </w:rPr>
            </w:pPr>
          </w:p>
          <w:p>
            <w:pPr>
              <w:pStyle w:val="TableParagraph"/>
              <w:spacing w:before="0"/>
              <w:ind w:left="1404" w:right="1397"/>
              <w:jc w:val="center"/>
              <w:rPr>
                <w:rFonts w:ascii="宋体" w:eastAsia="宋体" w:hint="eastAsia"/>
                <w:sz w:val="21"/>
              </w:rPr>
            </w:pPr>
            <w:r>
              <w:rPr>
                <w:rFonts w:ascii="宋体" w:eastAsia="宋体" w:hint="eastAsia"/>
                <w:sz w:val="21"/>
              </w:rPr>
              <w:t>行业类别</w:t>
            </w:r>
          </w:p>
        </w:tc>
        <w:tc>
          <w:tcPr>
            <w:tcW w:w="2187" w:type="dxa"/>
          </w:tcPr>
          <w:p>
            <w:pPr>
              <w:pStyle w:val="TableParagraph"/>
              <w:spacing w:before="2"/>
              <w:rPr>
                <w:rFonts w:ascii="宋体"/>
                <w:sz w:val="25"/>
              </w:rPr>
            </w:pPr>
          </w:p>
          <w:p>
            <w:pPr>
              <w:pStyle w:val="TableParagraph"/>
              <w:spacing w:before="0"/>
              <w:ind w:left="357"/>
              <w:rPr>
                <w:rFonts w:ascii="宋体" w:eastAsia="宋体" w:hint="eastAsia"/>
                <w:sz w:val="21"/>
              </w:rPr>
            </w:pPr>
            <w:r>
              <w:rPr>
                <w:rFonts w:ascii="宋体" w:eastAsia="宋体" w:hint="eastAsia"/>
                <w:sz w:val="21"/>
              </w:rPr>
              <w:t>公允价值（元）</w:t>
            </w:r>
          </w:p>
        </w:tc>
        <w:tc>
          <w:tcPr>
            <w:tcW w:w="1844" w:type="dxa"/>
          </w:tcPr>
          <w:p>
            <w:pPr>
              <w:pStyle w:val="TableParagraph"/>
              <w:spacing w:line="400" w:lineRule="exact" w:before="13"/>
              <w:ind w:left="498" w:right="70" w:hanging="420"/>
              <w:rPr>
                <w:rFonts w:ascii="宋体" w:eastAsia="宋体" w:hint="eastAsia"/>
                <w:sz w:val="21"/>
              </w:rPr>
            </w:pPr>
            <w:r>
              <w:rPr>
                <w:rFonts w:ascii="宋体" w:eastAsia="宋体" w:hint="eastAsia"/>
                <w:sz w:val="21"/>
              </w:rPr>
              <w:t>占基金资产净值比例（％）</w:t>
            </w:r>
          </w:p>
        </w:tc>
      </w:tr>
      <w:tr>
        <w:trPr>
          <w:trHeight w:val="513" w:hRule="atLeast"/>
        </w:trPr>
        <w:tc>
          <w:tcPr>
            <w:tcW w:w="643" w:type="dxa"/>
          </w:tcPr>
          <w:p>
            <w:pPr>
              <w:pStyle w:val="TableParagraph"/>
              <w:spacing w:before="4"/>
              <w:rPr>
                <w:rFonts w:ascii="宋体"/>
                <w:sz w:val="14"/>
              </w:rPr>
            </w:pPr>
          </w:p>
          <w:p>
            <w:pPr>
              <w:pStyle w:val="TableParagraph"/>
              <w:spacing w:before="1"/>
              <w:ind w:left="7"/>
              <w:jc w:val="center"/>
              <w:rPr>
                <w:sz w:val="21"/>
              </w:rPr>
            </w:pPr>
            <w:r>
              <w:rPr>
                <w:w w:val="100"/>
                <w:sz w:val="21"/>
              </w:rPr>
              <w:t>A</w:t>
            </w:r>
          </w:p>
        </w:tc>
        <w:tc>
          <w:tcPr>
            <w:tcW w:w="3692" w:type="dxa"/>
          </w:tcPr>
          <w:p>
            <w:pPr>
              <w:pStyle w:val="TableParagraph"/>
              <w:spacing w:before="174"/>
              <w:ind w:left="14"/>
              <w:rPr>
                <w:rFonts w:ascii="宋体" w:eastAsia="宋体" w:hint="eastAsia"/>
                <w:sz w:val="21"/>
              </w:rPr>
            </w:pPr>
            <w:r>
              <w:rPr>
                <w:rFonts w:ascii="宋体" w:eastAsia="宋体" w:hint="eastAsia"/>
                <w:sz w:val="21"/>
              </w:rPr>
              <w:t>农、林、牧、渔业</w:t>
            </w:r>
          </w:p>
        </w:tc>
        <w:tc>
          <w:tcPr>
            <w:tcW w:w="2187" w:type="dxa"/>
          </w:tcPr>
          <w:p>
            <w:pPr>
              <w:pStyle w:val="TableParagraph"/>
              <w:spacing w:before="153"/>
              <w:ind w:right="-15"/>
              <w:jc w:val="right"/>
              <w:rPr>
                <w:sz w:val="21"/>
              </w:rPr>
            </w:pPr>
            <w:r>
              <w:rPr>
                <w:w w:val="100"/>
                <w:sz w:val="21"/>
              </w:rPr>
              <w:t>-</w:t>
            </w:r>
          </w:p>
        </w:tc>
        <w:tc>
          <w:tcPr>
            <w:tcW w:w="1844" w:type="dxa"/>
          </w:tcPr>
          <w:p>
            <w:pPr>
              <w:pStyle w:val="TableParagraph"/>
              <w:spacing w:before="153"/>
              <w:ind w:right="5"/>
              <w:jc w:val="right"/>
              <w:rPr>
                <w:sz w:val="21"/>
              </w:rPr>
            </w:pPr>
            <w:r>
              <w:rPr>
                <w:w w:val="100"/>
                <w:sz w:val="21"/>
              </w:rPr>
              <w:t>-</w:t>
            </w:r>
          </w:p>
        </w:tc>
      </w:tr>
      <w:tr>
        <w:trPr>
          <w:trHeight w:val="638" w:hRule="atLeast"/>
        </w:trPr>
        <w:tc>
          <w:tcPr>
            <w:tcW w:w="643" w:type="dxa"/>
          </w:tcPr>
          <w:p>
            <w:pPr>
              <w:pStyle w:val="TableParagraph"/>
              <w:spacing w:before="2"/>
              <w:rPr>
                <w:rFonts w:ascii="宋体"/>
                <w:sz w:val="19"/>
              </w:rPr>
            </w:pPr>
          </w:p>
          <w:p>
            <w:pPr>
              <w:pStyle w:val="TableParagraph"/>
              <w:spacing w:before="1"/>
              <w:ind w:left="4"/>
              <w:jc w:val="center"/>
              <w:rPr>
                <w:sz w:val="21"/>
              </w:rPr>
            </w:pPr>
            <w:r>
              <w:rPr>
                <w:w w:val="100"/>
                <w:sz w:val="21"/>
              </w:rPr>
              <w:t>B</w:t>
            </w:r>
          </w:p>
        </w:tc>
        <w:tc>
          <w:tcPr>
            <w:tcW w:w="3692" w:type="dxa"/>
          </w:tcPr>
          <w:p>
            <w:pPr>
              <w:pStyle w:val="TableParagraph"/>
              <w:spacing w:before="5"/>
              <w:rPr>
                <w:rFonts w:ascii="宋体"/>
                <w:sz w:val="18"/>
              </w:rPr>
            </w:pPr>
          </w:p>
          <w:p>
            <w:pPr>
              <w:pStyle w:val="TableParagraph"/>
              <w:spacing w:before="0"/>
              <w:ind w:left="14"/>
              <w:rPr>
                <w:rFonts w:ascii="宋体" w:eastAsia="宋体" w:hint="eastAsia"/>
                <w:sz w:val="21"/>
              </w:rPr>
            </w:pPr>
            <w:r>
              <w:rPr>
                <w:rFonts w:ascii="宋体" w:eastAsia="宋体" w:hint="eastAsia"/>
                <w:sz w:val="21"/>
              </w:rPr>
              <w:t>采矿业</w:t>
            </w:r>
          </w:p>
        </w:tc>
        <w:tc>
          <w:tcPr>
            <w:tcW w:w="2187" w:type="dxa"/>
          </w:tcPr>
          <w:p>
            <w:pPr>
              <w:pStyle w:val="TableParagraph"/>
              <w:spacing w:before="42"/>
              <w:ind w:right="-15"/>
              <w:jc w:val="right"/>
              <w:rPr>
                <w:sz w:val="21"/>
              </w:rPr>
            </w:pPr>
            <w:r>
              <w:rPr>
                <w:sz w:val="21"/>
              </w:rPr>
              <w:t>40,737.00</w:t>
            </w:r>
          </w:p>
        </w:tc>
        <w:tc>
          <w:tcPr>
            <w:tcW w:w="1844" w:type="dxa"/>
          </w:tcPr>
          <w:p>
            <w:pPr>
              <w:pStyle w:val="TableParagraph"/>
              <w:spacing w:before="42"/>
              <w:ind w:right="4"/>
              <w:jc w:val="right"/>
              <w:rPr>
                <w:sz w:val="21"/>
              </w:rPr>
            </w:pPr>
            <w:r>
              <w:rPr>
                <w:sz w:val="21"/>
              </w:rPr>
              <w:t>0.01</w:t>
            </w:r>
          </w:p>
        </w:tc>
      </w:tr>
      <w:tr>
        <w:trPr>
          <w:trHeight w:val="414" w:hRule="atLeast"/>
        </w:trPr>
        <w:tc>
          <w:tcPr>
            <w:tcW w:w="643" w:type="dxa"/>
          </w:tcPr>
          <w:p>
            <w:pPr>
              <w:pStyle w:val="TableParagraph"/>
              <w:spacing w:before="136"/>
              <w:ind w:left="7"/>
              <w:jc w:val="center"/>
              <w:rPr>
                <w:sz w:val="21"/>
              </w:rPr>
            </w:pPr>
            <w:r>
              <w:rPr>
                <w:w w:val="100"/>
                <w:sz w:val="21"/>
              </w:rPr>
              <w:t>C</w:t>
            </w:r>
          </w:p>
        </w:tc>
        <w:tc>
          <w:tcPr>
            <w:tcW w:w="3692" w:type="dxa"/>
          </w:tcPr>
          <w:p>
            <w:pPr>
              <w:pStyle w:val="TableParagraph"/>
              <w:spacing w:before="126"/>
              <w:ind w:left="14"/>
              <w:rPr>
                <w:rFonts w:ascii="宋体" w:eastAsia="宋体" w:hint="eastAsia"/>
                <w:sz w:val="21"/>
              </w:rPr>
            </w:pPr>
            <w:r>
              <w:rPr>
                <w:rFonts w:ascii="宋体" w:eastAsia="宋体" w:hint="eastAsia"/>
                <w:sz w:val="21"/>
              </w:rPr>
              <w:t>制造业</w:t>
            </w:r>
          </w:p>
        </w:tc>
        <w:tc>
          <w:tcPr>
            <w:tcW w:w="2187" w:type="dxa"/>
          </w:tcPr>
          <w:p>
            <w:pPr>
              <w:pStyle w:val="TableParagraph"/>
              <w:spacing w:before="88"/>
              <w:ind w:right="-15"/>
              <w:jc w:val="right"/>
              <w:rPr>
                <w:sz w:val="21"/>
              </w:rPr>
            </w:pPr>
            <w:r>
              <w:rPr>
                <w:sz w:val="21"/>
              </w:rPr>
              <w:t>1,780,470.00</w:t>
            </w:r>
          </w:p>
        </w:tc>
        <w:tc>
          <w:tcPr>
            <w:tcW w:w="1844" w:type="dxa"/>
          </w:tcPr>
          <w:p>
            <w:pPr>
              <w:pStyle w:val="TableParagraph"/>
              <w:spacing w:before="88"/>
              <w:ind w:right="4"/>
              <w:jc w:val="right"/>
              <w:rPr>
                <w:sz w:val="21"/>
              </w:rPr>
            </w:pPr>
            <w:r>
              <w:rPr>
                <w:sz w:val="21"/>
              </w:rPr>
              <w:t>0.54</w:t>
            </w:r>
          </w:p>
        </w:tc>
      </w:tr>
      <w:tr>
        <w:trPr>
          <w:trHeight w:val="417" w:hRule="atLeast"/>
        </w:trPr>
        <w:tc>
          <w:tcPr>
            <w:tcW w:w="643" w:type="dxa"/>
          </w:tcPr>
          <w:p>
            <w:pPr>
              <w:pStyle w:val="TableParagraph"/>
              <w:spacing w:before="136"/>
              <w:ind w:left="5"/>
              <w:jc w:val="center"/>
              <w:rPr>
                <w:sz w:val="21"/>
              </w:rPr>
            </w:pPr>
            <w:r>
              <w:rPr>
                <w:w w:val="100"/>
                <w:sz w:val="21"/>
              </w:rPr>
              <w:t>D</w:t>
            </w:r>
          </w:p>
        </w:tc>
        <w:tc>
          <w:tcPr>
            <w:tcW w:w="3692" w:type="dxa"/>
          </w:tcPr>
          <w:p>
            <w:pPr>
              <w:pStyle w:val="TableParagraph"/>
              <w:spacing w:before="126"/>
              <w:ind w:left="14"/>
              <w:rPr>
                <w:rFonts w:ascii="宋体" w:eastAsia="宋体" w:hint="eastAsia"/>
                <w:sz w:val="21"/>
              </w:rPr>
            </w:pPr>
            <w:r>
              <w:rPr>
                <w:rFonts w:ascii="宋体" w:eastAsia="宋体" w:hint="eastAsia"/>
                <w:sz w:val="21"/>
              </w:rPr>
              <w:t>电力、热力、燃气及水生产和供应业</w:t>
            </w:r>
          </w:p>
        </w:tc>
        <w:tc>
          <w:tcPr>
            <w:tcW w:w="2187" w:type="dxa"/>
          </w:tcPr>
          <w:p>
            <w:pPr>
              <w:pStyle w:val="TableParagraph"/>
              <w:spacing w:before="88"/>
              <w:ind w:right="-15"/>
              <w:jc w:val="right"/>
              <w:rPr>
                <w:sz w:val="21"/>
              </w:rPr>
            </w:pPr>
            <w:r>
              <w:rPr>
                <w:sz w:val="21"/>
              </w:rPr>
              <w:t>18,571.00</w:t>
            </w:r>
          </w:p>
        </w:tc>
        <w:tc>
          <w:tcPr>
            <w:tcW w:w="1844" w:type="dxa"/>
          </w:tcPr>
          <w:p>
            <w:pPr>
              <w:pStyle w:val="TableParagraph"/>
              <w:spacing w:before="88"/>
              <w:ind w:right="4"/>
              <w:jc w:val="right"/>
              <w:rPr>
                <w:sz w:val="21"/>
              </w:rPr>
            </w:pPr>
            <w:r>
              <w:rPr>
                <w:sz w:val="21"/>
              </w:rPr>
              <w:t>0.01</w:t>
            </w:r>
          </w:p>
        </w:tc>
      </w:tr>
      <w:tr>
        <w:trPr>
          <w:trHeight w:val="414" w:hRule="atLeast"/>
        </w:trPr>
        <w:tc>
          <w:tcPr>
            <w:tcW w:w="643" w:type="dxa"/>
          </w:tcPr>
          <w:p>
            <w:pPr>
              <w:pStyle w:val="TableParagraph"/>
              <w:spacing w:before="133"/>
              <w:ind w:left="7"/>
              <w:jc w:val="center"/>
              <w:rPr>
                <w:sz w:val="21"/>
              </w:rPr>
            </w:pPr>
            <w:r>
              <w:rPr>
                <w:w w:val="100"/>
                <w:sz w:val="21"/>
              </w:rPr>
              <w:t>E</w:t>
            </w:r>
          </w:p>
        </w:tc>
        <w:tc>
          <w:tcPr>
            <w:tcW w:w="3692" w:type="dxa"/>
          </w:tcPr>
          <w:p>
            <w:pPr>
              <w:pStyle w:val="TableParagraph"/>
              <w:spacing w:before="123"/>
              <w:ind w:left="14"/>
              <w:rPr>
                <w:rFonts w:ascii="宋体" w:eastAsia="宋体" w:hint="eastAsia"/>
                <w:sz w:val="21"/>
              </w:rPr>
            </w:pPr>
            <w:r>
              <w:rPr>
                <w:rFonts w:ascii="宋体" w:eastAsia="宋体" w:hint="eastAsia"/>
                <w:sz w:val="21"/>
              </w:rPr>
              <w:t>建筑业</w:t>
            </w:r>
          </w:p>
        </w:tc>
        <w:tc>
          <w:tcPr>
            <w:tcW w:w="2187" w:type="dxa"/>
          </w:tcPr>
          <w:p>
            <w:pPr>
              <w:pStyle w:val="TableParagraph"/>
              <w:spacing w:before="85"/>
              <w:ind w:right="-15"/>
              <w:jc w:val="right"/>
              <w:rPr>
                <w:sz w:val="21"/>
              </w:rPr>
            </w:pPr>
            <w:r>
              <w:rPr>
                <w:w w:val="100"/>
                <w:sz w:val="21"/>
              </w:rPr>
              <w:t>-</w:t>
            </w:r>
          </w:p>
        </w:tc>
        <w:tc>
          <w:tcPr>
            <w:tcW w:w="1844" w:type="dxa"/>
          </w:tcPr>
          <w:p>
            <w:pPr>
              <w:pStyle w:val="TableParagraph"/>
              <w:spacing w:before="85"/>
              <w:ind w:right="5"/>
              <w:jc w:val="right"/>
              <w:rPr>
                <w:sz w:val="21"/>
              </w:rPr>
            </w:pPr>
            <w:r>
              <w:rPr>
                <w:w w:val="100"/>
                <w:sz w:val="21"/>
              </w:rPr>
              <w:t>-</w:t>
            </w:r>
          </w:p>
        </w:tc>
      </w:tr>
      <w:tr>
        <w:trPr>
          <w:trHeight w:val="414" w:hRule="atLeast"/>
        </w:trPr>
        <w:tc>
          <w:tcPr>
            <w:tcW w:w="643" w:type="dxa"/>
          </w:tcPr>
          <w:p>
            <w:pPr>
              <w:pStyle w:val="TableParagraph"/>
              <w:spacing w:before="133"/>
              <w:ind w:left="5"/>
              <w:jc w:val="center"/>
              <w:rPr>
                <w:sz w:val="21"/>
              </w:rPr>
            </w:pPr>
            <w:r>
              <w:rPr>
                <w:w w:val="100"/>
                <w:sz w:val="21"/>
              </w:rPr>
              <w:t>F</w:t>
            </w:r>
          </w:p>
        </w:tc>
        <w:tc>
          <w:tcPr>
            <w:tcW w:w="3692" w:type="dxa"/>
          </w:tcPr>
          <w:p>
            <w:pPr>
              <w:pStyle w:val="TableParagraph"/>
              <w:spacing w:before="123"/>
              <w:ind w:left="14"/>
              <w:rPr>
                <w:rFonts w:ascii="宋体" w:eastAsia="宋体" w:hint="eastAsia"/>
                <w:sz w:val="21"/>
              </w:rPr>
            </w:pPr>
            <w:r>
              <w:rPr>
                <w:rFonts w:ascii="宋体" w:eastAsia="宋体" w:hint="eastAsia"/>
                <w:sz w:val="21"/>
              </w:rPr>
              <w:t>批发和零售业</w:t>
            </w:r>
          </w:p>
        </w:tc>
        <w:tc>
          <w:tcPr>
            <w:tcW w:w="2187" w:type="dxa"/>
          </w:tcPr>
          <w:p>
            <w:pPr>
              <w:pStyle w:val="TableParagraph"/>
              <w:spacing w:before="85"/>
              <w:ind w:right="-15"/>
              <w:jc w:val="right"/>
              <w:rPr>
                <w:sz w:val="21"/>
              </w:rPr>
            </w:pPr>
            <w:r>
              <w:rPr>
                <w:w w:val="100"/>
                <w:sz w:val="21"/>
              </w:rPr>
              <w:t>-</w:t>
            </w:r>
          </w:p>
        </w:tc>
        <w:tc>
          <w:tcPr>
            <w:tcW w:w="1844" w:type="dxa"/>
          </w:tcPr>
          <w:p>
            <w:pPr>
              <w:pStyle w:val="TableParagraph"/>
              <w:spacing w:before="85"/>
              <w:ind w:right="5"/>
              <w:jc w:val="right"/>
              <w:rPr>
                <w:sz w:val="21"/>
              </w:rPr>
            </w:pPr>
            <w:r>
              <w:rPr>
                <w:w w:val="100"/>
                <w:sz w:val="21"/>
              </w:rPr>
              <w:t>-</w:t>
            </w:r>
          </w:p>
        </w:tc>
      </w:tr>
      <w:tr>
        <w:trPr>
          <w:trHeight w:val="414" w:hRule="atLeast"/>
        </w:trPr>
        <w:tc>
          <w:tcPr>
            <w:tcW w:w="643" w:type="dxa"/>
          </w:tcPr>
          <w:p>
            <w:pPr>
              <w:pStyle w:val="TableParagraph"/>
              <w:spacing w:before="133"/>
              <w:ind w:left="8"/>
              <w:jc w:val="center"/>
              <w:rPr>
                <w:sz w:val="21"/>
              </w:rPr>
            </w:pPr>
            <w:r>
              <w:rPr>
                <w:w w:val="100"/>
                <w:sz w:val="21"/>
              </w:rPr>
              <w:t>G</w:t>
            </w:r>
          </w:p>
        </w:tc>
        <w:tc>
          <w:tcPr>
            <w:tcW w:w="3692" w:type="dxa"/>
          </w:tcPr>
          <w:p>
            <w:pPr>
              <w:pStyle w:val="TableParagraph"/>
              <w:spacing w:before="123"/>
              <w:ind w:left="14"/>
              <w:rPr>
                <w:rFonts w:ascii="宋体" w:eastAsia="宋体" w:hint="eastAsia"/>
                <w:sz w:val="21"/>
              </w:rPr>
            </w:pPr>
            <w:r>
              <w:rPr>
                <w:rFonts w:ascii="宋体" w:eastAsia="宋体" w:hint="eastAsia"/>
                <w:sz w:val="21"/>
              </w:rPr>
              <w:t>交通运输、仓储和邮政业</w:t>
            </w:r>
          </w:p>
        </w:tc>
        <w:tc>
          <w:tcPr>
            <w:tcW w:w="2187" w:type="dxa"/>
          </w:tcPr>
          <w:p>
            <w:pPr>
              <w:pStyle w:val="TableParagraph"/>
              <w:spacing w:before="85"/>
              <w:ind w:right="-15"/>
              <w:jc w:val="right"/>
              <w:rPr>
                <w:sz w:val="21"/>
              </w:rPr>
            </w:pPr>
            <w:r>
              <w:rPr>
                <w:w w:val="100"/>
                <w:sz w:val="21"/>
              </w:rPr>
              <w:t>-</w:t>
            </w:r>
          </w:p>
        </w:tc>
        <w:tc>
          <w:tcPr>
            <w:tcW w:w="1844" w:type="dxa"/>
          </w:tcPr>
          <w:p>
            <w:pPr>
              <w:pStyle w:val="TableParagraph"/>
              <w:spacing w:before="85"/>
              <w:ind w:right="5"/>
              <w:jc w:val="right"/>
              <w:rPr>
                <w:sz w:val="21"/>
              </w:rPr>
            </w:pPr>
            <w:r>
              <w:rPr>
                <w:w w:val="100"/>
                <w:sz w:val="21"/>
              </w:rPr>
              <w:t>-</w:t>
            </w:r>
          </w:p>
        </w:tc>
      </w:tr>
      <w:tr>
        <w:trPr>
          <w:trHeight w:val="415" w:hRule="atLeast"/>
        </w:trPr>
        <w:tc>
          <w:tcPr>
            <w:tcW w:w="643" w:type="dxa"/>
          </w:tcPr>
          <w:p>
            <w:pPr>
              <w:pStyle w:val="TableParagraph"/>
              <w:spacing w:before="134"/>
              <w:ind w:left="6"/>
              <w:jc w:val="center"/>
              <w:rPr>
                <w:sz w:val="21"/>
              </w:rPr>
            </w:pPr>
            <w:r>
              <w:rPr>
                <w:w w:val="100"/>
                <w:sz w:val="21"/>
              </w:rPr>
              <w:t>H</w:t>
            </w:r>
          </w:p>
        </w:tc>
        <w:tc>
          <w:tcPr>
            <w:tcW w:w="3692" w:type="dxa"/>
          </w:tcPr>
          <w:p>
            <w:pPr>
              <w:pStyle w:val="TableParagraph"/>
              <w:spacing w:before="124"/>
              <w:ind w:left="14"/>
              <w:rPr>
                <w:rFonts w:ascii="宋体" w:eastAsia="宋体" w:hint="eastAsia"/>
                <w:sz w:val="21"/>
              </w:rPr>
            </w:pPr>
            <w:r>
              <w:rPr>
                <w:rFonts w:ascii="宋体" w:eastAsia="宋体" w:hint="eastAsia"/>
                <w:sz w:val="21"/>
              </w:rPr>
              <w:t>住宿和餐饮业</w:t>
            </w:r>
          </w:p>
        </w:tc>
        <w:tc>
          <w:tcPr>
            <w:tcW w:w="2187" w:type="dxa"/>
          </w:tcPr>
          <w:p>
            <w:pPr>
              <w:pStyle w:val="TableParagraph"/>
              <w:spacing w:before="88"/>
              <w:ind w:right="-15"/>
              <w:jc w:val="right"/>
              <w:rPr>
                <w:sz w:val="21"/>
              </w:rPr>
            </w:pPr>
            <w:r>
              <w:rPr>
                <w:w w:val="100"/>
                <w:sz w:val="21"/>
              </w:rPr>
              <w:t>-</w:t>
            </w:r>
          </w:p>
        </w:tc>
        <w:tc>
          <w:tcPr>
            <w:tcW w:w="1844" w:type="dxa"/>
          </w:tcPr>
          <w:p>
            <w:pPr>
              <w:pStyle w:val="TableParagraph"/>
              <w:spacing w:before="88"/>
              <w:ind w:right="5"/>
              <w:jc w:val="right"/>
              <w:rPr>
                <w:sz w:val="21"/>
              </w:rPr>
            </w:pPr>
            <w:r>
              <w:rPr>
                <w:w w:val="100"/>
                <w:sz w:val="21"/>
              </w:rPr>
              <w:t>-</w:t>
            </w:r>
          </w:p>
        </w:tc>
      </w:tr>
      <w:tr>
        <w:trPr>
          <w:trHeight w:val="414" w:hRule="atLeast"/>
        </w:trPr>
        <w:tc>
          <w:tcPr>
            <w:tcW w:w="643" w:type="dxa"/>
          </w:tcPr>
          <w:p>
            <w:pPr>
              <w:pStyle w:val="TableParagraph"/>
              <w:spacing w:before="133"/>
              <w:ind w:left="5"/>
              <w:jc w:val="center"/>
              <w:rPr>
                <w:sz w:val="21"/>
              </w:rPr>
            </w:pPr>
            <w:r>
              <w:rPr>
                <w:w w:val="100"/>
                <w:sz w:val="21"/>
              </w:rPr>
              <w:t>I</w:t>
            </w:r>
          </w:p>
        </w:tc>
        <w:tc>
          <w:tcPr>
            <w:tcW w:w="3692" w:type="dxa"/>
          </w:tcPr>
          <w:p>
            <w:pPr>
              <w:pStyle w:val="TableParagraph"/>
              <w:spacing w:before="123"/>
              <w:ind w:left="14"/>
              <w:rPr>
                <w:rFonts w:ascii="宋体" w:eastAsia="宋体" w:hint="eastAsia"/>
                <w:sz w:val="21"/>
              </w:rPr>
            </w:pPr>
            <w:r>
              <w:rPr>
                <w:rFonts w:ascii="宋体" w:eastAsia="宋体" w:hint="eastAsia"/>
                <w:sz w:val="21"/>
              </w:rPr>
              <w:t>信息传输、软件和信息技术服务业</w:t>
            </w:r>
          </w:p>
        </w:tc>
        <w:tc>
          <w:tcPr>
            <w:tcW w:w="2187" w:type="dxa"/>
          </w:tcPr>
          <w:p>
            <w:pPr>
              <w:pStyle w:val="TableParagraph"/>
              <w:spacing w:before="88"/>
              <w:ind w:right="-15"/>
              <w:jc w:val="right"/>
              <w:rPr>
                <w:sz w:val="21"/>
              </w:rPr>
            </w:pPr>
            <w:r>
              <w:rPr>
                <w:sz w:val="21"/>
              </w:rPr>
              <w:t>512,179.00</w:t>
            </w:r>
          </w:p>
        </w:tc>
        <w:tc>
          <w:tcPr>
            <w:tcW w:w="1844" w:type="dxa"/>
          </w:tcPr>
          <w:p>
            <w:pPr>
              <w:pStyle w:val="TableParagraph"/>
              <w:spacing w:before="88"/>
              <w:ind w:right="4"/>
              <w:jc w:val="right"/>
              <w:rPr>
                <w:sz w:val="21"/>
              </w:rPr>
            </w:pPr>
            <w:r>
              <w:rPr>
                <w:sz w:val="21"/>
              </w:rPr>
              <w:t>0.16</w:t>
            </w:r>
          </w:p>
        </w:tc>
      </w:tr>
      <w:tr>
        <w:trPr>
          <w:trHeight w:val="414" w:hRule="atLeast"/>
        </w:trPr>
        <w:tc>
          <w:tcPr>
            <w:tcW w:w="643" w:type="dxa"/>
          </w:tcPr>
          <w:p>
            <w:pPr>
              <w:pStyle w:val="TableParagraph"/>
              <w:spacing w:before="133"/>
              <w:ind w:left="4"/>
              <w:jc w:val="center"/>
              <w:rPr>
                <w:sz w:val="21"/>
              </w:rPr>
            </w:pPr>
            <w:r>
              <w:rPr>
                <w:w w:val="100"/>
                <w:sz w:val="21"/>
              </w:rPr>
              <w:t>J</w:t>
            </w:r>
          </w:p>
        </w:tc>
        <w:tc>
          <w:tcPr>
            <w:tcW w:w="3692" w:type="dxa"/>
          </w:tcPr>
          <w:p>
            <w:pPr>
              <w:pStyle w:val="TableParagraph"/>
              <w:spacing w:before="123"/>
              <w:ind w:left="14"/>
              <w:rPr>
                <w:rFonts w:ascii="宋体" w:eastAsia="宋体" w:hint="eastAsia"/>
                <w:sz w:val="21"/>
              </w:rPr>
            </w:pPr>
            <w:r>
              <w:rPr>
                <w:rFonts w:ascii="宋体" w:eastAsia="宋体" w:hint="eastAsia"/>
                <w:sz w:val="21"/>
              </w:rPr>
              <w:t>金融业</w:t>
            </w:r>
          </w:p>
        </w:tc>
        <w:tc>
          <w:tcPr>
            <w:tcW w:w="2187" w:type="dxa"/>
          </w:tcPr>
          <w:p>
            <w:pPr>
              <w:pStyle w:val="TableParagraph"/>
              <w:spacing w:before="88"/>
              <w:ind w:right="-15"/>
              <w:jc w:val="right"/>
              <w:rPr>
                <w:sz w:val="21"/>
              </w:rPr>
            </w:pPr>
            <w:r>
              <w:rPr>
                <w:w w:val="100"/>
                <w:sz w:val="21"/>
              </w:rPr>
              <w:t>-</w:t>
            </w:r>
          </w:p>
        </w:tc>
        <w:tc>
          <w:tcPr>
            <w:tcW w:w="1844" w:type="dxa"/>
          </w:tcPr>
          <w:p>
            <w:pPr>
              <w:pStyle w:val="TableParagraph"/>
              <w:spacing w:before="88"/>
              <w:ind w:right="5"/>
              <w:jc w:val="right"/>
              <w:rPr>
                <w:sz w:val="21"/>
              </w:rPr>
            </w:pPr>
            <w:r>
              <w:rPr>
                <w:w w:val="100"/>
                <w:sz w:val="21"/>
              </w:rPr>
              <w:t>-</w:t>
            </w:r>
          </w:p>
        </w:tc>
      </w:tr>
      <w:tr>
        <w:trPr>
          <w:trHeight w:val="414" w:hRule="atLeast"/>
        </w:trPr>
        <w:tc>
          <w:tcPr>
            <w:tcW w:w="643" w:type="dxa"/>
          </w:tcPr>
          <w:p>
            <w:pPr>
              <w:pStyle w:val="TableParagraph"/>
              <w:spacing w:before="133"/>
              <w:ind w:left="8"/>
              <w:jc w:val="center"/>
              <w:rPr>
                <w:sz w:val="21"/>
              </w:rPr>
            </w:pPr>
            <w:r>
              <w:rPr>
                <w:w w:val="100"/>
                <w:sz w:val="21"/>
              </w:rPr>
              <w:t>K</w:t>
            </w:r>
          </w:p>
        </w:tc>
        <w:tc>
          <w:tcPr>
            <w:tcW w:w="3692" w:type="dxa"/>
          </w:tcPr>
          <w:p>
            <w:pPr>
              <w:pStyle w:val="TableParagraph"/>
              <w:spacing w:before="123"/>
              <w:ind w:left="14"/>
              <w:rPr>
                <w:rFonts w:ascii="宋体" w:eastAsia="宋体" w:hint="eastAsia"/>
                <w:sz w:val="21"/>
              </w:rPr>
            </w:pPr>
            <w:r>
              <w:rPr>
                <w:rFonts w:ascii="宋体" w:eastAsia="宋体" w:hint="eastAsia"/>
                <w:sz w:val="21"/>
              </w:rPr>
              <w:t>房地产业</w:t>
            </w:r>
          </w:p>
        </w:tc>
        <w:tc>
          <w:tcPr>
            <w:tcW w:w="2187" w:type="dxa"/>
          </w:tcPr>
          <w:p>
            <w:pPr>
              <w:pStyle w:val="TableParagraph"/>
              <w:spacing w:before="88"/>
              <w:ind w:right="-15"/>
              <w:jc w:val="right"/>
              <w:rPr>
                <w:sz w:val="21"/>
              </w:rPr>
            </w:pPr>
            <w:r>
              <w:rPr>
                <w:w w:val="100"/>
                <w:sz w:val="21"/>
              </w:rPr>
              <w:t>-</w:t>
            </w:r>
          </w:p>
        </w:tc>
        <w:tc>
          <w:tcPr>
            <w:tcW w:w="1844" w:type="dxa"/>
          </w:tcPr>
          <w:p>
            <w:pPr>
              <w:pStyle w:val="TableParagraph"/>
              <w:spacing w:before="88"/>
              <w:ind w:right="5"/>
              <w:jc w:val="right"/>
              <w:rPr>
                <w:sz w:val="21"/>
              </w:rPr>
            </w:pPr>
            <w:r>
              <w:rPr>
                <w:w w:val="100"/>
                <w:sz w:val="21"/>
              </w:rPr>
              <w:t>-</w:t>
            </w:r>
          </w:p>
        </w:tc>
      </w:tr>
      <w:tr>
        <w:trPr>
          <w:trHeight w:val="414" w:hRule="atLeast"/>
        </w:trPr>
        <w:tc>
          <w:tcPr>
            <w:tcW w:w="643" w:type="dxa"/>
          </w:tcPr>
          <w:p>
            <w:pPr>
              <w:pStyle w:val="TableParagraph"/>
              <w:spacing w:before="136"/>
              <w:ind w:left="7"/>
              <w:jc w:val="center"/>
              <w:rPr>
                <w:sz w:val="21"/>
              </w:rPr>
            </w:pPr>
            <w:r>
              <w:rPr>
                <w:w w:val="100"/>
                <w:sz w:val="21"/>
              </w:rPr>
              <w:t>L</w:t>
            </w:r>
          </w:p>
        </w:tc>
        <w:tc>
          <w:tcPr>
            <w:tcW w:w="3692" w:type="dxa"/>
          </w:tcPr>
          <w:p>
            <w:pPr>
              <w:pStyle w:val="TableParagraph"/>
              <w:spacing w:before="125"/>
              <w:ind w:left="14"/>
              <w:rPr>
                <w:rFonts w:ascii="宋体" w:eastAsia="宋体" w:hint="eastAsia"/>
                <w:sz w:val="21"/>
              </w:rPr>
            </w:pPr>
            <w:r>
              <w:rPr>
                <w:rFonts w:ascii="宋体" w:eastAsia="宋体" w:hint="eastAsia"/>
                <w:sz w:val="21"/>
              </w:rPr>
              <w:t>租赁和商务服务业</w:t>
            </w:r>
          </w:p>
        </w:tc>
        <w:tc>
          <w:tcPr>
            <w:tcW w:w="2187" w:type="dxa"/>
          </w:tcPr>
          <w:p>
            <w:pPr>
              <w:pStyle w:val="TableParagraph"/>
              <w:spacing w:before="88"/>
              <w:ind w:right="-15"/>
              <w:jc w:val="right"/>
              <w:rPr>
                <w:sz w:val="21"/>
              </w:rPr>
            </w:pPr>
            <w:r>
              <w:rPr>
                <w:w w:val="100"/>
                <w:sz w:val="21"/>
              </w:rPr>
              <w:t>-</w:t>
            </w:r>
          </w:p>
        </w:tc>
        <w:tc>
          <w:tcPr>
            <w:tcW w:w="1844" w:type="dxa"/>
          </w:tcPr>
          <w:p>
            <w:pPr>
              <w:pStyle w:val="TableParagraph"/>
              <w:spacing w:before="88"/>
              <w:ind w:right="5"/>
              <w:jc w:val="right"/>
              <w:rPr>
                <w:sz w:val="21"/>
              </w:rPr>
            </w:pPr>
            <w:r>
              <w:rPr>
                <w:w w:val="100"/>
                <w:sz w:val="21"/>
              </w:rPr>
              <w:t>-</w:t>
            </w:r>
          </w:p>
        </w:tc>
      </w:tr>
      <w:tr>
        <w:trPr>
          <w:trHeight w:val="414" w:hRule="atLeast"/>
        </w:trPr>
        <w:tc>
          <w:tcPr>
            <w:tcW w:w="643" w:type="dxa"/>
          </w:tcPr>
          <w:p>
            <w:pPr>
              <w:pStyle w:val="TableParagraph"/>
              <w:spacing w:before="136"/>
              <w:ind w:left="7"/>
              <w:jc w:val="center"/>
              <w:rPr>
                <w:sz w:val="21"/>
              </w:rPr>
            </w:pPr>
            <w:r>
              <w:rPr>
                <w:w w:val="100"/>
                <w:sz w:val="21"/>
              </w:rPr>
              <w:t>M</w:t>
            </w:r>
          </w:p>
        </w:tc>
        <w:tc>
          <w:tcPr>
            <w:tcW w:w="3692" w:type="dxa"/>
          </w:tcPr>
          <w:p>
            <w:pPr>
              <w:pStyle w:val="TableParagraph"/>
              <w:spacing w:before="125"/>
              <w:ind w:left="14"/>
              <w:rPr>
                <w:rFonts w:ascii="宋体" w:eastAsia="宋体" w:hint="eastAsia"/>
                <w:sz w:val="21"/>
              </w:rPr>
            </w:pPr>
            <w:r>
              <w:rPr>
                <w:rFonts w:ascii="宋体" w:eastAsia="宋体" w:hint="eastAsia"/>
                <w:sz w:val="21"/>
              </w:rPr>
              <w:t>科学研究和技术服务业</w:t>
            </w:r>
          </w:p>
        </w:tc>
        <w:tc>
          <w:tcPr>
            <w:tcW w:w="2187" w:type="dxa"/>
          </w:tcPr>
          <w:p>
            <w:pPr>
              <w:pStyle w:val="TableParagraph"/>
              <w:spacing w:before="88"/>
              <w:ind w:right="-15"/>
              <w:jc w:val="right"/>
              <w:rPr>
                <w:sz w:val="21"/>
              </w:rPr>
            </w:pPr>
            <w:r>
              <w:rPr>
                <w:sz w:val="21"/>
              </w:rPr>
              <w:t>154,560.00</w:t>
            </w:r>
          </w:p>
        </w:tc>
        <w:tc>
          <w:tcPr>
            <w:tcW w:w="1844" w:type="dxa"/>
          </w:tcPr>
          <w:p>
            <w:pPr>
              <w:pStyle w:val="TableParagraph"/>
              <w:spacing w:before="88"/>
              <w:ind w:right="4"/>
              <w:jc w:val="right"/>
              <w:rPr>
                <w:sz w:val="21"/>
              </w:rPr>
            </w:pPr>
            <w:r>
              <w:rPr>
                <w:sz w:val="21"/>
              </w:rPr>
              <w:t>0.05</w:t>
            </w:r>
          </w:p>
        </w:tc>
      </w:tr>
      <w:tr>
        <w:trPr>
          <w:trHeight w:val="414" w:hRule="atLeast"/>
        </w:trPr>
        <w:tc>
          <w:tcPr>
            <w:tcW w:w="643" w:type="dxa"/>
          </w:tcPr>
          <w:p>
            <w:pPr>
              <w:pStyle w:val="TableParagraph"/>
              <w:spacing w:before="136"/>
              <w:ind w:left="6"/>
              <w:jc w:val="center"/>
              <w:rPr>
                <w:sz w:val="21"/>
              </w:rPr>
            </w:pPr>
            <w:r>
              <w:rPr>
                <w:w w:val="100"/>
                <w:sz w:val="21"/>
              </w:rPr>
              <w:t>N</w:t>
            </w:r>
          </w:p>
        </w:tc>
        <w:tc>
          <w:tcPr>
            <w:tcW w:w="3692" w:type="dxa"/>
          </w:tcPr>
          <w:p>
            <w:pPr>
              <w:pStyle w:val="TableParagraph"/>
              <w:spacing w:before="125"/>
              <w:ind w:left="14"/>
              <w:rPr>
                <w:rFonts w:ascii="宋体" w:eastAsia="宋体" w:hint="eastAsia"/>
                <w:sz w:val="21"/>
              </w:rPr>
            </w:pPr>
            <w:r>
              <w:rPr>
                <w:rFonts w:ascii="宋体" w:eastAsia="宋体" w:hint="eastAsia"/>
                <w:sz w:val="21"/>
              </w:rPr>
              <w:t>水利、环境和公共设施管理业</w:t>
            </w:r>
          </w:p>
        </w:tc>
        <w:tc>
          <w:tcPr>
            <w:tcW w:w="2187" w:type="dxa"/>
          </w:tcPr>
          <w:p>
            <w:pPr>
              <w:pStyle w:val="TableParagraph"/>
              <w:spacing w:before="88"/>
              <w:ind w:right="-15"/>
              <w:jc w:val="right"/>
              <w:rPr>
                <w:sz w:val="21"/>
              </w:rPr>
            </w:pPr>
            <w:r>
              <w:rPr>
                <w:sz w:val="21"/>
              </w:rPr>
              <w:t>3,800.00</w:t>
            </w:r>
          </w:p>
        </w:tc>
        <w:tc>
          <w:tcPr>
            <w:tcW w:w="1844" w:type="dxa"/>
          </w:tcPr>
          <w:p>
            <w:pPr>
              <w:pStyle w:val="TableParagraph"/>
              <w:spacing w:before="88"/>
              <w:ind w:right="4"/>
              <w:jc w:val="right"/>
              <w:rPr>
                <w:sz w:val="21"/>
              </w:rPr>
            </w:pPr>
            <w:r>
              <w:rPr>
                <w:sz w:val="21"/>
              </w:rPr>
              <w:t>0.00</w:t>
            </w:r>
          </w:p>
        </w:tc>
      </w:tr>
      <w:tr>
        <w:trPr>
          <w:trHeight w:val="415" w:hRule="atLeast"/>
        </w:trPr>
        <w:tc>
          <w:tcPr>
            <w:tcW w:w="643" w:type="dxa"/>
          </w:tcPr>
          <w:p>
            <w:pPr>
              <w:pStyle w:val="TableParagraph"/>
              <w:spacing w:before="136"/>
              <w:ind w:left="5"/>
              <w:jc w:val="center"/>
              <w:rPr>
                <w:sz w:val="21"/>
              </w:rPr>
            </w:pPr>
            <w:r>
              <w:rPr>
                <w:w w:val="100"/>
                <w:sz w:val="21"/>
              </w:rPr>
              <w:t>O</w:t>
            </w:r>
          </w:p>
        </w:tc>
        <w:tc>
          <w:tcPr>
            <w:tcW w:w="3692" w:type="dxa"/>
          </w:tcPr>
          <w:p>
            <w:pPr>
              <w:pStyle w:val="TableParagraph"/>
              <w:spacing w:before="126"/>
              <w:ind w:left="14"/>
              <w:rPr>
                <w:rFonts w:ascii="宋体" w:eastAsia="宋体" w:hint="eastAsia"/>
                <w:sz w:val="21"/>
              </w:rPr>
            </w:pPr>
            <w:r>
              <w:rPr>
                <w:rFonts w:ascii="宋体" w:eastAsia="宋体" w:hint="eastAsia"/>
                <w:sz w:val="21"/>
              </w:rPr>
              <w:t>居民服务、修理和其他服务业</w:t>
            </w:r>
          </w:p>
        </w:tc>
        <w:tc>
          <w:tcPr>
            <w:tcW w:w="2187" w:type="dxa"/>
          </w:tcPr>
          <w:p>
            <w:pPr>
              <w:pStyle w:val="TableParagraph"/>
              <w:spacing w:before="88"/>
              <w:ind w:right="-15"/>
              <w:jc w:val="right"/>
              <w:rPr>
                <w:sz w:val="21"/>
              </w:rPr>
            </w:pPr>
            <w:r>
              <w:rPr>
                <w:w w:val="100"/>
                <w:sz w:val="21"/>
              </w:rPr>
              <w:t>-</w:t>
            </w:r>
          </w:p>
        </w:tc>
        <w:tc>
          <w:tcPr>
            <w:tcW w:w="1844" w:type="dxa"/>
          </w:tcPr>
          <w:p>
            <w:pPr>
              <w:pStyle w:val="TableParagraph"/>
              <w:spacing w:before="88"/>
              <w:ind w:right="5"/>
              <w:jc w:val="right"/>
              <w:rPr>
                <w:sz w:val="21"/>
              </w:rPr>
            </w:pPr>
            <w:r>
              <w:rPr>
                <w:w w:val="100"/>
                <w:sz w:val="21"/>
              </w:rPr>
              <w:t>-</w:t>
            </w:r>
          </w:p>
        </w:tc>
      </w:tr>
      <w:tr>
        <w:trPr>
          <w:trHeight w:val="417" w:hRule="atLeast"/>
        </w:trPr>
        <w:tc>
          <w:tcPr>
            <w:tcW w:w="643" w:type="dxa"/>
          </w:tcPr>
          <w:p>
            <w:pPr>
              <w:pStyle w:val="TableParagraph"/>
              <w:spacing w:before="136"/>
              <w:ind w:left="8"/>
              <w:jc w:val="center"/>
              <w:rPr>
                <w:sz w:val="21"/>
              </w:rPr>
            </w:pPr>
            <w:r>
              <w:rPr>
                <w:w w:val="100"/>
                <w:sz w:val="21"/>
              </w:rPr>
              <w:t>P</w:t>
            </w:r>
          </w:p>
        </w:tc>
        <w:tc>
          <w:tcPr>
            <w:tcW w:w="3692" w:type="dxa"/>
          </w:tcPr>
          <w:p>
            <w:pPr>
              <w:pStyle w:val="TableParagraph"/>
              <w:spacing w:before="125"/>
              <w:ind w:left="14"/>
              <w:rPr>
                <w:rFonts w:ascii="宋体" w:eastAsia="宋体" w:hint="eastAsia"/>
                <w:sz w:val="21"/>
              </w:rPr>
            </w:pPr>
            <w:r>
              <w:rPr>
                <w:rFonts w:ascii="宋体" w:eastAsia="宋体" w:hint="eastAsia"/>
                <w:sz w:val="21"/>
              </w:rPr>
              <w:t>教育</w:t>
            </w:r>
          </w:p>
        </w:tc>
        <w:tc>
          <w:tcPr>
            <w:tcW w:w="2187" w:type="dxa"/>
          </w:tcPr>
          <w:p>
            <w:pPr>
              <w:pStyle w:val="TableParagraph"/>
              <w:spacing w:before="88"/>
              <w:ind w:right="-15"/>
              <w:jc w:val="right"/>
              <w:rPr>
                <w:sz w:val="21"/>
              </w:rPr>
            </w:pPr>
            <w:r>
              <w:rPr>
                <w:w w:val="100"/>
                <w:sz w:val="21"/>
              </w:rPr>
              <w:t>-</w:t>
            </w:r>
          </w:p>
        </w:tc>
        <w:tc>
          <w:tcPr>
            <w:tcW w:w="1844" w:type="dxa"/>
          </w:tcPr>
          <w:p>
            <w:pPr>
              <w:pStyle w:val="TableParagraph"/>
              <w:spacing w:before="88"/>
              <w:ind w:right="5"/>
              <w:jc w:val="right"/>
              <w:rPr>
                <w:sz w:val="21"/>
              </w:rPr>
            </w:pPr>
            <w:r>
              <w:rPr>
                <w:w w:val="100"/>
                <w:sz w:val="21"/>
              </w:rPr>
              <w:t>-</w:t>
            </w:r>
          </w:p>
        </w:tc>
      </w:tr>
    </w:tbl>
    <w:p>
      <w:pPr>
        <w:spacing w:after="0"/>
        <w:jc w:val="right"/>
        <w:rPr>
          <w:sz w:val="21"/>
        </w:rPr>
        <w:sectPr>
          <w:pgSz w:w="11910" w:h="16840"/>
          <w:pgMar w:header="877" w:footer="995" w:top="1420" w:bottom="1180" w:left="1640" w:right="920"/>
        </w:sectPr>
      </w:pPr>
    </w:p>
    <w:tbl>
      <w:tblPr>
        <w:tblW w:w="0" w:type="auto"/>
        <w:jc w:val="left"/>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3"/>
        <w:gridCol w:w="3692"/>
        <w:gridCol w:w="2187"/>
        <w:gridCol w:w="1844"/>
      </w:tblGrid>
      <w:tr>
        <w:trPr>
          <w:trHeight w:val="415" w:hRule="atLeast"/>
        </w:trPr>
        <w:tc>
          <w:tcPr>
            <w:tcW w:w="643" w:type="dxa"/>
          </w:tcPr>
          <w:p>
            <w:pPr>
              <w:pStyle w:val="TableParagraph"/>
              <w:spacing w:before="134"/>
              <w:ind w:left="249"/>
              <w:rPr>
                <w:sz w:val="21"/>
              </w:rPr>
            </w:pPr>
            <w:r>
              <w:rPr>
                <w:w w:val="100"/>
                <w:sz w:val="21"/>
              </w:rPr>
              <w:t>Q</w:t>
            </w:r>
          </w:p>
        </w:tc>
        <w:tc>
          <w:tcPr>
            <w:tcW w:w="3692" w:type="dxa"/>
          </w:tcPr>
          <w:p>
            <w:pPr>
              <w:pStyle w:val="TableParagraph"/>
              <w:spacing w:before="124"/>
              <w:ind w:left="14"/>
              <w:rPr>
                <w:rFonts w:ascii="宋体" w:eastAsia="宋体" w:hint="eastAsia"/>
                <w:sz w:val="21"/>
              </w:rPr>
            </w:pPr>
            <w:r>
              <w:rPr>
                <w:rFonts w:ascii="宋体" w:eastAsia="宋体" w:hint="eastAsia"/>
                <w:sz w:val="21"/>
              </w:rPr>
              <w:t>卫生和社会工作</w:t>
            </w:r>
          </w:p>
        </w:tc>
        <w:tc>
          <w:tcPr>
            <w:tcW w:w="2187" w:type="dxa"/>
          </w:tcPr>
          <w:p>
            <w:pPr>
              <w:pStyle w:val="TableParagraph"/>
              <w:spacing w:before="88"/>
              <w:ind w:right="-15"/>
              <w:jc w:val="right"/>
              <w:rPr>
                <w:sz w:val="21"/>
              </w:rPr>
            </w:pPr>
            <w:r>
              <w:rPr>
                <w:w w:val="100"/>
                <w:sz w:val="21"/>
              </w:rPr>
              <w:t>-</w:t>
            </w:r>
          </w:p>
        </w:tc>
        <w:tc>
          <w:tcPr>
            <w:tcW w:w="1844" w:type="dxa"/>
          </w:tcPr>
          <w:p>
            <w:pPr>
              <w:pStyle w:val="TableParagraph"/>
              <w:spacing w:before="88"/>
              <w:ind w:right="5"/>
              <w:jc w:val="right"/>
              <w:rPr>
                <w:sz w:val="21"/>
              </w:rPr>
            </w:pPr>
            <w:r>
              <w:rPr>
                <w:w w:val="100"/>
                <w:sz w:val="21"/>
              </w:rPr>
              <w:t>-</w:t>
            </w:r>
          </w:p>
        </w:tc>
      </w:tr>
      <w:tr>
        <w:trPr>
          <w:trHeight w:val="414" w:hRule="atLeast"/>
        </w:trPr>
        <w:tc>
          <w:tcPr>
            <w:tcW w:w="643" w:type="dxa"/>
          </w:tcPr>
          <w:p>
            <w:pPr>
              <w:pStyle w:val="TableParagraph"/>
              <w:spacing w:before="136"/>
              <w:ind w:left="261"/>
              <w:rPr>
                <w:sz w:val="21"/>
              </w:rPr>
            </w:pPr>
            <w:r>
              <w:rPr>
                <w:w w:val="100"/>
                <w:sz w:val="21"/>
              </w:rPr>
              <w:t>R</w:t>
            </w:r>
          </w:p>
        </w:tc>
        <w:tc>
          <w:tcPr>
            <w:tcW w:w="3692" w:type="dxa"/>
          </w:tcPr>
          <w:p>
            <w:pPr>
              <w:pStyle w:val="TableParagraph"/>
              <w:spacing w:before="125"/>
              <w:ind w:left="14"/>
              <w:rPr>
                <w:rFonts w:ascii="宋体" w:eastAsia="宋体" w:hint="eastAsia"/>
                <w:sz w:val="21"/>
              </w:rPr>
            </w:pPr>
            <w:r>
              <w:rPr>
                <w:rFonts w:ascii="宋体" w:eastAsia="宋体" w:hint="eastAsia"/>
                <w:sz w:val="21"/>
              </w:rPr>
              <w:t>文化、体育和娱乐业</w:t>
            </w:r>
          </w:p>
        </w:tc>
        <w:tc>
          <w:tcPr>
            <w:tcW w:w="2187" w:type="dxa"/>
          </w:tcPr>
          <w:p>
            <w:pPr>
              <w:pStyle w:val="TableParagraph"/>
              <w:spacing w:before="88"/>
              <w:ind w:right="-15"/>
              <w:jc w:val="right"/>
              <w:rPr>
                <w:sz w:val="21"/>
              </w:rPr>
            </w:pPr>
            <w:r>
              <w:rPr>
                <w:w w:val="100"/>
                <w:sz w:val="21"/>
              </w:rPr>
              <w:t>-</w:t>
            </w:r>
          </w:p>
        </w:tc>
        <w:tc>
          <w:tcPr>
            <w:tcW w:w="1844" w:type="dxa"/>
          </w:tcPr>
          <w:p>
            <w:pPr>
              <w:pStyle w:val="TableParagraph"/>
              <w:spacing w:before="88"/>
              <w:ind w:right="5"/>
              <w:jc w:val="right"/>
              <w:rPr>
                <w:sz w:val="21"/>
              </w:rPr>
            </w:pPr>
            <w:r>
              <w:rPr>
                <w:w w:val="100"/>
                <w:sz w:val="21"/>
              </w:rPr>
              <w:t>-</w:t>
            </w:r>
          </w:p>
        </w:tc>
      </w:tr>
      <w:tr>
        <w:trPr>
          <w:trHeight w:val="414" w:hRule="atLeast"/>
        </w:trPr>
        <w:tc>
          <w:tcPr>
            <w:tcW w:w="643" w:type="dxa"/>
          </w:tcPr>
          <w:p>
            <w:pPr>
              <w:pStyle w:val="TableParagraph"/>
              <w:spacing w:before="136"/>
              <w:ind w:left="270"/>
              <w:rPr>
                <w:sz w:val="21"/>
              </w:rPr>
            </w:pPr>
            <w:r>
              <w:rPr>
                <w:w w:val="100"/>
                <w:sz w:val="21"/>
              </w:rPr>
              <w:t>S</w:t>
            </w:r>
          </w:p>
        </w:tc>
        <w:tc>
          <w:tcPr>
            <w:tcW w:w="3692" w:type="dxa"/>
          </w:tcPr>
          <w:p>
            <w:pPr>
              <w:pStyle w:val="TableParagraph"/>
              <w:spacing w:before="125"/>
              <w:ind w:left="14"/>
              <w:rPr>
                <w:rFonts w:ascii="宋体" w:eastAsia="宋体" w:hint="eastAsia"/>
                <w:sz w:val="21"/>
              </w:rPr>
            </w:pPr>
            <w:r>
              <w:rPr>
                <w:rFonts w:ascii="宋体" w:eastAsia="宋体" w:hint="eastAsia"/>
                <w:sz w:val="21"/>
              </w:rPr>
              <w:t>综合</w:t>
            </w:r>
          </w:p>
        </w:tc>
        <w:tc>
          <w:tcPr>
            <w:tcW w:w="2187" w:type="dxa"/>
          </w:tcPr>
          <w:p>
            <w:pPr>
              <w:pStyle w:val="TableParagraph"/>
              <w:spacing w:before="88"/>
              <w:ind w:right="-15"/>
              <w:jc w:val="right"/>
              <w:rPr>
                <w:sz w:val="21"/>
              </w:rPr>
            </w:pPr>
            <w:r>
              <w:rPr>
                <w:sz w:val="21"/>
              </w:rPr>
              <w:t>16,584.00</w:t>
            </w:r>
          </w:p>
        </w:tc>
        <w:tc>
          <w:tcPr>
            <w:tcW w:w="1844" w:type="dxa"/>
          </w:tcPr>
          <w:p>
            <w:pPr>
              <w:pStyle w:val="TableParagraph"/>
              <w:spacing w:before="88"/>
              <w:ind w:right="4"/>
              <w:jc w:val="right"/>
              <w:rPr>
                <w:sz w:val="21"/>
              </w:rPr>
            </w:pPr>
            <w:r>
              <w:rPr>
                <w:sz w:val="21"/>
              </w:rPr>
              <w:t>0.01</w:t>
            </w:r>
          </w:p>
        </w:tc>
      </w:tr>
      <w:tr>
        <w:trPr>
          <w:trHeight w:val="417" w:hRule="atLeast"/>
        </w:trPr>
        <w:tc>
          <w:tcPr>
            <w:tcW w:w="643" w:type="dxa"/>
          </w:tcPr>
          <w:p>
            <w:pPr>
              <w:pStyle w:val="TableParagraph"/>
              <w:spacing w:before="0"/>
              <w:rPr>
                <w:rFonts w:ascii="Times New Roman"/>
                <w:sz w:val="20"/>
              </w:rPr>
            </w:pPr>
          </w:p>
        </w:tc>
        <w:tc>
          <w:tcPr>
            <w:tcW w:w="3692" w:type="dxa"/>
          </w:tcPr>
          <w:p>
            <w:pPr>
              <w:pStyle w:val="TableParagraph"/>
              <w:spacing w:before="125"/>
              <w:ind w:left="14"/>
              <w:rPr>
                <w:rFonts w:ascii="宋体" w:eastAsia="宋体" w:hint="eastAsia"/>
                <w:sz w:val="21"/>
              </w:rPr>
            </w:pPr>
            <w:r>
              <w:rPr>
                <w:rFonts w:ascii="宋体" w:eastAsia="宋体" w:hint="eastAsia"/>
                <w:sz w:val="21"/>
              </w:rPr>
              <w:t>合计</w:t>
            </w:r>
          </w:p>
        </w:tc>
        <w:tc>
          <w:tcPr>
            <w:tcW w:w="2187" w:type="dxa"/>
          </w:tcPr>
          <w:p>
            <w:pPr>
              <w:pStyle w:val="TableParagraph"/>
              <w:spacing w:before="88"/>
              <w:ind w:right="-15"/>
              <w:jc w:val="right"/>
              <w:rPr>
                <w:sz w:val="21"/>
              </w:rPr>
            </w:pPr>
            <w:r>
              <w:rPr>
                <w:sz w:val="21"/>
              </w:rPr>
              <w:t>2,526,901.00</w:t>
            </w:r>
          </w:p>
        </w:tc>
        <w:tc>
          <w:tcPr>
            <w:tcW w:w="1844" w:type="dxa"/>
          </w:tcPr>
          <w:p>
            <w:pPr>
              <w:pStyle w:val="TableParagraph"/>
              <w:spacing w:before="88"/>
              <w:ind w:right="4"/>
              <w:jc w:val="right"/>
              <w:rPr>
                <w:sz w:val="21"/>
              </w:rPr>
            </w:pPr>
            <w:r>
              <w:rPr>
                <w:sz w:val="21"/>
              </w:rPr>
              <w:t>0.77</w:t>
            </w:r>
          </w:p>
        </w:tc>
      </w:tr>
    </w:tbl>
    <w:p>
      <w:pPr>
        <w:pStyle w:val="ListParagraph"/>
        <w:numPr>
          <w:ilvl w:val="1"/>
          <w:numId w:val="24"/>
        </w:numPr>
        <w:tabs>
          <w:tab w:pos="480" w:val="left" w:leader="none"/>
        </w:tabs>
        <w:spacing w:line="240" w:lineRule="auto" w:before="109" w:after="0"/>
        <w:ind w:left="479" w:right="0" w:hanging="320"/>
        <w:jc w:val="left"/>
        <w:rPr>
          <w:sz w:val="21"/>
        </w:rPr>
      </w:pPr>
      <w:r>
        <w:rPr>
          <w:spacing w:val="-3"/>
          <w:sz w:val="21"/>
        </w:rPr>
        <w:t>报告期末按公允价值占基金资产净值比例大小排序的前十名股票投资明细</w:t>
      </w:r>
    </w:p>
    <w:p>
      <w:pPr>
        <w:pStyle w:val="BodyText"/>
        <w:spacing w:before="7"/>
        <w:rPr>
          <w:sz w:val="7"/>
        </w:rPr>
      </w:pPr>
    </w:p>
    <w:tbl>
      <w:tblPr>
        <w:tblW w:w="0" w:type="auto"/>
        <w:jc w:val="left"/>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1277"/>
        <w:gridCol w:w="1702"/>
        <w:gridCol w:w="1277"/>
        <w:gridCol w:w="1841"/>
        <w:gridCol w:w="1561"/>
      </w:tblGrid>
      <w:tr>
        <w:trPr>
          <w:trHeight w:val="966" w:hRule="atLeast"/>
        </w:trPr>
        <w:tc>
          <w:tcPr>
            <w:tcW w:w="708" w:type="dxa"/>
          </w:tcPr>
          <w:p>
            <w:pPr>
              <w:pStyle w:val="TableParagraph"/>
              <w:spacing w:before="7"/>
              <w:rPr>
                <w:rFonts w:ascii="宋体"/>
                <w:sz w:val="28"/>
              </w:rPr>
            </w:pPr>
          </w:p>
          <w:p>
            <w:pPr>
              <w:pStyle w:val="TableParagraph"/>
              <w:spacing w:before="0"/>
              <w:ind w:left="132" w:right="106"/>
              <w:jc w:val="center"/>
              <w:rPr>
                <w:rFonts w:ascii="宋体" w:eastAsia="宋体" w:hint="eastAsia"/>
                <w:sz w:val="21"/>
              </w:rPr>
            </w:pPr>
            <w:r>
              <w:rPr>
                <w:rFonts w:ascii="宋体" w:eastAsia="宋体" w:hint="eastAsia"/>
                <w:sz w:val="21"/>
              </w:rPr>
              <w:t>序号</w:t>
            </w:r>
          </w:p>
        </w:tc>
        <w:tc>
          <w:tcPr>
            <w:tcW w:w="1277" w:type="dxa"/>
          </w:tcPr>
          <w:p>
            <w:pPr>
              <w:pStyle w:val="TableParagraph"/>
              <w:spacing w:before="7"/>
              <w:rPr>
                <w:rFonts w:ascii="宋体"/>
                <w:sz w:val="28"/>
              </w:rPr>
            </w:pPr>
          </w:p>
          <w:p>
            <w:pPr>
              <w:pStyle w:val="TableParagraph"/>
              <w:spacing w:before="0"/>
              <w:ind w:left="206" w:right="180"/>
              <w:jc w:val="center"/>
              <w:rPr>
                <w:rFonts w:ascii="宋体" w:eastAsia="宋体" w:hint="eastAsia"/>
                <w:sz w:val="21"/>
              </w:rPr>
            </w:pPr>
            <w:r>
              <w:rPr>
                <w:rFonts w:ascii="宋体" w:eastAsia="宋体" w:hint="eastAsia"/>
                <w:sz w:val="21"/>
              </w:rPr>
              <w:t>股票代码</w:t>
            </w:r>
          </w:p>
        </w:tc>
        <w:tc>
          <w:tcPr>
            <w:tcW w:w="1702" w:type="dxa"/>
          </w:tcPr>
          <w:p>
            <w:pPr>
              <w:pStyle w:val="TableParagraph"/>
              <w:spacing w:before="7"/>
              <w:rPr>
                <w:rFonts w:ascii="宋体"/>
                <w:sz w:val="28"/>
              </w:rPr>
            </w:pPr>
          </w:p>
          <w:p>
            <w:pPr>
              <w:pStyle w:val="TableParagraph"/>
              <w:spacing w:before="0"/>
              <w:ind w:left="99" w:right="70"/>
              <w:jc w:val="center"/>
              <w:rPr>
                <w:rFonts w:ascii="宋体" w:eastAsia="宋体" w:hint="eastAsia"/>
                <w:sz w:val="21"/>
              </w:rPr>
            </w:pPr>
            <w:r>
              <w:rPr>
                <w:rFonts w:ascii="宋体" w:eastAsia="宋体" w:hint="eastAsia"/>
                <w:sz w:val="21"/>
              </w:rPr>
              <w:t>股票名称</w:t>
            </w:r>
          </w:p>
        </w:tc>
        <w:tc>
          <w:tcPr>
            <w:tcW w:w="1277" w:type="dxa"/>
          </w:tcPr>
          <w:p>
            <w:pPr>
              <w:pStyle w:val="TableParagraph"/>
              <w:spacing w:before="7"/>
              <w:rPr>
                <w:rFonts w:ascii="宋体"/>
                <w:sz w:val="28"/>
              </w:rPr>
            </w:pPr>
          </w:p>
          <w:p>
            <w:pPr>
              <w:pStyle w:val="TableParagraph"/>
              <w:spacing w:before="0"/>
              <w:ind w:left="266"/>
              <w:rPr>
                <w:sz w:val="21"/>
              </w:rPr>
            </w:pPr>
            <w:r>
              <w:rPr>
                <w:rFonts w:ascii="宋体" w:eastAsia="宋体" w:hint="eastAsia"/>
                <w:sz w:val="21"/>
              </w:rPr>
              <w:t>数量</w:t>
            </w:r>
            <w:r>
              <w:rPr>
                <w:sz w:val="21"/>
              </w:rPr>
              <w:t>(</w:t>
            </w:r>
            <w:r>
              <w:rPr>
                <w:rFonts w:ascii="宋体" w:eastAsia="宋体" w:hint="eastAsia"/>
                <w:sz w:val="21"/>
              </w:rPr>
              <w:t>股</w:t>
            </w:r>
            <w:r>
              <w:rPr>
                <w:sz w:val="21"/>
              </w:rPr>
              <w:t>)</w:t>
            </w:r>
          </w:p>
        </w:tc>
        <w:tc>
          <w:tcPr>
            <w:tcW w:w="1841" w:type="dxa"/>
          </w:tcPr>
          <w:p>
            <w:pPr>
              <w:pStyle w:val="TableParagraph"/>
              <w:spacing w:before="7"/>
              <w:rPr>
                <w:rFonts w:ascii="宋体"/>
                <w:sz w:val="28"/>
              </w:rPr>
            </w:pPr>
          </w:p>
          <w:p>
            <w:pPr>
              <w:pStyle w:val="TableParagraph"/>
              <w:spacing w:before="0"/>
              <w:ind w:left="340"/>
              <w:rPr>
                <w:sz w:val="21"/>
              </w:rPr>
            </w:pPr>
            <w:r>
              <w:rPr>
                <w:rFonts w:ascii="宋体" w:eastAsia="宋体" w:hint="eastAsia"/>
                <w:sz w:val="21"/>
              </w:rPr>
              <w:t>公允价值</w:t>
            </w:r>
            <w:r>
              <w:rPr>
                <w:sz w:val="21"/>
              </w:rPr>
              <w:t>(</w:t>
            </w:r>
            <w:r>
              <w:rPr>
                <w:rFonts w:ascii="宋体" w:eastAsia="宋体" w:hint="eastAsia"/>
                <w:sz w:val="21"/>
              </w:rPr>
              <w:t>元</w:t>
            </w:r>
            <w:r>
              <w:rPr>
                <w:sz w:val="21"/>
              </w:rPr>
              <w:t>)</w:t>
            </w:r>
          </w:p>
        </w:tc>
        <w:tc>
          <w:tcPr>
            <w:tcW w:w="1561" w:type="dxa"/>
          </w:tcPr>
          <w:p>
            <w:pPr>
              <w:pStyle w:val="TableParagraph"/>
              <w:spacing w:before="133"/>
              <w:ind w:left="139" w:right="112"/>
              <w:jc w:val="center"/>
              <w:rPr>
                <w:rFonts w:ascii="宋体" w:eastAsia="宋体" w:hint="eastAsia"/>
                <w:sz w:val="21"/>
              </w:rPr>
            </w:pPr>
            <w:r>
              <w:rPr>
                <w:rFonts w:ascii="宋体" w:eastAsia="宋体" w:hint="eastAsia"/>
                <w:sz w:val="21"/>
              </w:rPr>
              <w:t>占基金资产净</w:t>
            </w:r>
          </w:p>
          <w:p>
            <w:pPr>
              <w:pStyle w:val="TableParagraph"/>
              <w:spacing w:before="4"/>
              <w:rPr>
                <w:rFonts w:ascii="宋体"/>
                <w:sz w:val="15"/>
              </w:rPr>
            </w:pPr>
          </w:p>
          <w:p>
            <w:pPr>
              <w:pStyle w:val="TableParagraph"/>
              <w:spacing w:before="0"/>
              <w:ind w:left="139" w:right="111"/>
              <w:jc w:val="center"/>
              <w:rPr>
                <w:sz w:val="21"/>
              </w:rPr>
            </w:pPr>
            <w:r>
              <w:rPr>
                <w:rFonts w:ascii="宋体" w:eastAsia="宋体" w:hint="eastAsia"/>
                <w:sz w:val="21"/>
              </w:rPr>
              <w:t>值比例</w:t>
            </w:r>
            <w:r>
              <w:rPr>
                <w:sz w:val="21"/>
              </w:rPr>
              <w:t>(</w:t>
            </w:r>
            <w:r>
              <w:rPr>
                <w:rFonts w:ascii="宋体" w:eastAsia="宋体" w:hint="eastAsia"/>
                <w:sz w:val="21"/>
              </w:rPr>
              <w:t>％</w:t>
            </w:r>
            <w:r>
              <w:rPr>
                <w:sz w:val="21"/>
              </w:rPr>
              <w:t>)</w:t>
            </w:r>
          </w:p>
        </w:tc>
      </w:tr>
      <w:tr>
        <w:trPr>
          <w:trHeight w:val="312" w:hRule="atLeast"/>
        </w:trPr>
        <w:tc>
          <w:tcPr>
            <w:tcW w:w="708" w:type="dxa"/>
          </w:tcPr>
          <w:p>
            <w:pPr>
              <w:pStyle w:val="TableParagraph"/>
              <w:spacing w:before="28"/>
              <w:ind w:left="8"/>
              <w:jc w:val="center"/>
              <w:rPr>
                <w:sz w:val="21"/>
              </w:rPr>
            </w:pPr>
            <w:r>
              <w:rPr>
                <w:w w:val="100"/>
                <w:sz w:val="21"/>
              </w:rPr>
              <w:t>1</w:t>
            </w:r>
          </w:p>
        </w:tc>
        <w:tc>
          <w:tcPr>
            <w:tcW w:w="1277" w:type="dxa"/>
          </w:tcPr>
          <w:p>
            <w:pPr>
              <w:pStyle w:val="TableParagraph"/>
              <w:spacing w:before="28"/>
              <w:ind w:left="190" w:right="180"/>
              <w:jc w:val="center"/>
              <w:rPr>
                <w:sz w:val="21"/>
              </w:rPr>
            </w:pPr>
            <w:r>
              <w:rPr>
                <w:sz w:val="21"/>
              </w:rPr>
              <w:t>600276</w:t>
            </w:r>
          </w:p>
        </w:tc>
        <w:tc>
          <w:tcPr>
            <w:tcW w:w="1702" w:type="dxa"/>
          </w:tcPr>
          <w:p>
            <w:pPr>
              <w:pStyle w:val="TableParagraph"/>
              <w:ind w:left="79" w:right="70"/>
              <w:jc w:val="center"/>
              <w:rPr>
                <w:rFonts w:ascii="宋体" w:eastAsia="宋体" w:hint="eastAsia"/>
                <w:sz w:val="21"/>
              </w:rPr>
            </w:pPr>
            <w:r>
              <w:rPr>
                <w:rFonts w:ascii="宋体" w:eastAsia="宋体" w:hint="eastAsia"/>
                <w:sz w:val="21"/>
              </w:rPr>
              <w:t>恒瑞医药</w:t>
            </w:r>
          </w:p>
        </w:tc>
        <w:tc>
          <w:tcPr>
            <w:tcW w:w="1277" w:type="dxa"/>
          </w:tcPr>
          <w:p>
            <w:pPr>
              <w:pStyle w:val="TableParagraph"/>
              <w:spacing w:before="28"/>
              <w:ind w:right="95"/>
              <w:jc w:val="right"/>
              <w:rPr>
                <w:sz w:val="21"/>
              </w:rPr>
            </w:pPr>
            <w:r>
              <w:rPr>
                <w:sz w:val="21"/>
              </w:rPr>
              <w:t>5,900</w:t>
            </w:r>
          </w:p>
        </w:tc>
        <w:tc>
          <w:tcPr>
            <w:tcW w:w="1841" w:type="dxa"/>
          </w:tcPr>
          <w:p>
            <w:pPr>
              <w:pStyle w:val="TableParagraph"/>
              <w:spacing w:before="28"/>
              <w:ind w:right="93"/>
              <w:jc w:val="right"/>
              <w:rPr>
                <w:sz w:val="21"/>
              </w:rPr>
            </w:pPr>
            <w:r>
              <w:rPr>
                <w:sz w:val="21"/>
              </w:rPr>
              <w:t>544,570.00</w:t>
            </w:r>
          </w:p>
        </w:tc>
        <w:tc>
          <w:tcPr>
            <w:tcW w:w="1561" w:type="dxa"/>
          </w:tcPr>
          <w:p>
            <w:pPr>
              <w:pStyle w:val="TableParagraph"/>
              <w:spacing w:before="28"/>
              <w:ind w:right="95"/>
              <w:jc w:val="right"/>
              <w:rPr>
                <w:sz w:val="21"/>
              </w:rPr>
            </w:pPr>
            <w:r>
              <w:rPr>
                <w:sz w:val="21"/>
              </w:rPr>
              <w:t>0.17</w:t>
            </w:r>
          </w:p>
        </w:tc>
      </w:tr>
      <w:tr>
        <w:trPr>
          <w:trHeight w:val="311" w:hRule="atLeast"/>
        </w:trPr>
        <w:tc>
          <w:tcPr>
            <w:tcW w:w="708" w:type="dxa"/>
          </w:tcPr>
          <w:p>
            <w:pPr>
              <w:pStyle w:val="TableParagraph"/>
              <w:spacing w:before="28"/>
              <w:ind w:left="8"/>
              <w:jc w:val="center"/>
              <w:rPr>
                <w:sz w:val="21"/>
              </w:rPr>
            </w:pPr>
            <w:r>
              <w:rPr>
                <w:w w:val="100"/>
                <w:sz w:val="21"/>
              </w:rPr>
              <w:t>2</w:t>
            </w:r>
          </w:p>
        </w:tc>
        <w:tc>
          <w:tcPr>
            <w:tcW w:w="1277" w:type="dxa"/>
          </w:tcPr>
          <w:p>
            <w:pPr>
              <w:pStyle w:val="TableParagraph"/>
              <w:spacing w:before="28"/>
              <w:ind w:left="190" w:right="180"/>
              <w:jc w:val="center"/>
              <w:rPr>
                <w:sz w:val="21"/>
              </w:rPr>
            </w:pPr>
            <w:r>
              <w:rPr>
                <w:sz w:val="21"/>
              </w:rPr>
              <w:t>600031</w:t>
            </w:r>
          </w:p>
        </w:tc>
        <w:tc>
          <w:tcPr>
            <w:tcW w:w="1702" w:type="dxa"/>
          </w:tcPr>
          <w:p>
            <w:pPr>
              <w:pStyle w:val="TableParagraph"/>
              <w:ind w:left="79" w:right="70"/>
              <w:jc w:val="center"/>
              <w:rPr>
                <w:rFonts w:ascii="宋体" w:eastAsia="宋体" w:hint="eastAsia"/>
                <w:sz w:val="21"/>
              </w:rPr>
            </w:pPr>
            <w:r>
              <w:rPr>
                <w:rFonts w:ascii="宋体" w:eastAsia="宋体" w:hint="eastAsia"/>
                <w:sz w:val="21"/>
              </w:rPr>
              <w:t>三一重工</w:t>
            </w:r>
          </w:p>
        </w:tc>
        <w:tc>
          <w:tcPr>
            <w:tcW w:w="1277" w:type="dxa"/>
          </w:tcPr>
          <w:p>
            <w:pPr>
              <w:pStyle w:val="TableParagraph"/>
              <w:spacing w:before="28"/>
              <w:ind w:right="95"/>
              <w:jc w:val="right"/>
              <w:rPr>
                <w:sz w:val="21"/>
              </w:rPr>
            </w:pPr>
            <w:r>
              <w:rPr>
                <w:sz w:val="21"/>
              </w:rPr>
              <w:t>9,400</w:t>
            </w:r>
          </w:p>
        </w:tc>
        <w:tc>
          <w:tcPr>
            <w:tcW w:w="1841" w:type="dxa"/>
          </w:tcPr>
          <w:p>
            <w:pPr>
              <w:pStyle w:val="TableParagraph"/>
              <w:spacing w:before="28"/>
              <w:ind w:right="93"/>
              <w:jc w:val="right"/>
              <w:rPr>
                <w:sz w:val="21"/>
              </w:rPr>
            </w:pPr>
            <w:r>
              <w:rPr>
                <w:sz w:val="21"/>
              </w:rPr>
              <w:t>176,344.00</w:t>
            </w:r>
          </w:p>
        </w:tc>
        <w:tc>
          <w:tcPr>
            <w:tcW w:w="1561" w:type="dxa"/>
          </w:tcPr>
          <w:p>
            <w:pPr>
              <w:pStyle w:val="TableParagraph"/>
              <w:spacing w:before="28"/>
              <w:ind w:right="95"/>
              <w:jc w:val="right"/>
              <w:rPr>
                <w:sz w:val="21"/>
              </w:rPr>
            </w:pPr>
            <w:r>
              <w:rPr>
                <w:sz w:val="21"/>
              </w:rPr>
              <w:t>0.05</w:t>
            </w:r>
          </w:p>
        </w:tc>
      </w:tr>
      <w:tr>
        <w:trPr>
          <w:trHeight w:val="311" w:hRule="atLeast"/>
        </w:trPr>
        <w:tc>
          <w:tcPr>
            <w:tcW w:w="708" w:type="dxa"/>
          </w:tcPr>
          <w:p>
            <w:pPr>
              <w:pStyle w:val="TableParagraph"/>
              <w:spacing w:before="28"/>
              <w:ind w:left="8"/>
              <w:jc w:val="center"/>
              <w:rPr>
                <w:sz w:val="21"/>
              </w:rPr>
            </w:pPr>
            <w:r>
              <w:rPr>
                <w:w w:val="100"/>
                <w:sz w:val="21"/>
              </w:rPr>
              <w:t>3</w:t>
            </w:r>
          </w:p>
        </w:tc>
        <w:tc>
          <w:tcPr>
            <w:tcW w:w="1277" w:type="dxa"/>
          </w:tcPr>
          <w:p>
            <w:pPr>
              <w:pStyle w:val="TableParagraph"/>
              <w:spacing w:before="28"/>
              <w:ind w:left="190" w:right="180"/>
              <w:jc w:val="center"/>
              <w:rPr>
                <w:sz w:val="21"/>
              </w:rPr>
            </w:pPr>
            <w:r>
              <w:rPr>
                <w:sz w:val="21"/>
              </w:rPr>
              <w:t>603444</w:t>
            </w:r>
          </w:p>
        </w:tc>
        <w:tc>
          <w:tcPr>
            <w:tcW w:w="1702" w:type="dxa"/>
          </w:tcPr>
          <w:p>
            <w:pPr>
              <w:pStyle w:val="TableParagraph"/>
              <w:ind w:left="82" w:right="70"/>
              <w:jc w:val="center"/>
              <w:rPr>
                <w:rFonts w:ascii="宋体" w:eastAsia="宋体" w:hint="eastAsia"/>
                <w:sz w:val="21"/>
              </w:rPr>
            </w:pPr>
            <w:r>
              <w:rPr>
                <w:rFonts w:ascii="宋体" w:eastAsia="宋体" w:hint="eastAsia"/>
                <w:sz w:val="21"/>
              </w:rPr>
              <w:t>吉比特</w:t>
            </w:r>
          </w:p>
        </w:tc>
        <w:tc>
          <w:tcPr>
            <w:tcW w:w="1277" w:type="dxa"/>
          </w:tcPr>
          <w:p>
            <w:pPr>
              <w:pStyle w:val="TableParagraph"/>
              <w:spacing w:before="28"/>
              <w:ind w:right="95"/>
              <w:jc w:val="right"/>
              <w:rPr>
                <w:sz w:val="21"/>
              </w:rPr>
            </w:pPr>
            <w:r>
              <w:rPr>
                <w:sz w:val="21"/>
              </w:rPr>
              <w:t>300</w:t>
            </w:r>
          </w:p>
        </w:tc>
        <w:tc>
          <w:tcPr>
            <w:tcW w:w="1841" w:type="dxa"/>
          </w:tcPr>
          <w:p>
            <w:pPr>
              <w:pStyle w:val="TableParagraph"/>
              <w:spacing w:before="28"/>
              <w:ind w:right="93"/>
              <w:jc w:val="right"/>
              <w:rPr>
                <w:sz w:val="21"/>
              </w:rPr>
            </w:pPr>
            <w:r>
              <w:rPr>
                <w:sz w:val="21"/>
              </w:rPr>
              <w:t>164,703.00</w:t>
            </w:r>
          </w:p>
        </w:tc>
        <w:tc>
          <w:tcPr>
            <w:tcW w:w="1561" w:type="dxa"/>
          </w:tcPr>
          <w:p>
            <w:pPr>
              <w:pStyle w:val="TableParagraph"/>
              <w:spacing w:before="28"/>
              <w:ind w:right="95"/>
              <w:jc w:val="right"/>
              <w:rPr>
                <w:sz w:val="21"/>
              </w:rPr>
            </w:pPr>
            <w:r>
              <w:rPr>
                <w:sz w:val="21"/>
              </w:rPr>
              <w:t>0.05</w:t>
            </w:r>
          </w:p>
        </w:tc>
      </w:tr>
      <w:tr>
        <w:trPr>
          <w:trHeight w:val="311" w:hRule="atLeast"/>
        </w:trPr>
        <w:tc>
          <w:tcPr>
            <w:tcW w:w="708" w:type="dxa"/>
          </w:tcPr>
          <w:p>
            <w:pPr>
              <w:pStyle w:val="TableParagraph"/>
              <w:spacing w:before="28"/>
              <w:ind w:left="8"/>
              <w:jc w:val="center"/>
              <w:rPr>
                <w:sz w:val="21"/>
              </w:rPr>
            </w:pPr>
            <w:r>
              <w:rPr>
                <w:w w:val="100"/>
                <w:sz w:val="21"/>
              </w:rPr>
              <w:t>4</w:t>
            </w:r>
          </w:p>
        </w:tc>
        <w:tc>
          <w:tcPr>
            <w:tcW w:w="1277" w:type="dxa"/>
          </w:tcPr>
          <w:p>
            <w:pPr>
              <w:pStyle w:val="TableParagraph"/>
              <w:spacing w:before="28"/>
              <w:ind w:left="190" w:right="180"/>
              <w:jc w:val="center"/>
              <w:rPr>
                <w:sz w:val="21"/>
              </w:rPr>
            </w:pPr>
            <w:r>
              <w:rPr>
                <w:sz w:val="21"/>
              </w:rPr>
              <w:t>601012</w:t>
            </w:r>
          </w:p>
        </w:tc>
        <w:tc>
          <w:tcPr>
            <w:tcW w:w="1702" w:type="dxa"/>
          </w:tcPr>
          <w:p>
            <w:pPr>
              <w:pStyle w:val="TableParagraph"/>
              <w:ind w:left="79" w:right="70"/>
              <w:jc w:val="center"/>
              <w:rPr>
                <w:rFonts w:ascii="宋体" w:eastAsia="宋体" w:hint="eastAsia"/>
                <w:sz w:val="21"/>
              </w:rPr>
            </w:pPr>
            <w:r>
              <w:rPr>
                <w:rFonts w:ascii="宋体" w:eastAsia="宋体" w:hint="eastAsia"/>
                <w:sz w:val="21"/>
              </w:rPr>
              <w:t>隆基股份</w:t>
            </w:r>
          </w:p>
        </w:tc>
        <w:tc>
          <w:tcPr>
            <w:tcW w:w="1277" w:type="dxa"/>
          </w:tcPr>
          <w:p>
            <w:pPr>
              <w:pStyle w:val="TableParagraph"/>
              <w:spacing w:before="28"/>
              <w:ind w:right="95"/>
              <w:jc w:val="right"/>
              <w:rPr>
                <w:sz w:val="21"/>
              </w:rPr>
            </w:pPr>
            <w:r>
              <w:rPr>
                <w:sz w:val="21"/>
              </w:rPr>
              <w:t>4,000</w:t>
            </w:r>
          </w:p>
        </w:tc>
        <w:tc>
          <w:tcPr>
            <w:tcW w:w="1841" w:type="dxa"/>
          </w:tcPr>
          <w:p>
            <w:pPr>
              <w:pStyle w:val="TableParagraph"/>
              <w:spacing w:before="28"/>
              <w:ind w:right="93"/>
              <w:jc w:val="right"/>
              <w:rPr>
                <w:sz w:val="21"/>
              </w:rPr>
            </w:pPr>
            <w:r>
              <w:rPr>
                <w:sz w:val="21"/>
              </w:rPr>
              <w:t>162,920.00</w:t>
            </w:r>
          </w:p>
        </w:tc>
        <w:tc>
          <w:tcPr>
            <w:tcW w:w="1561" w:type="dxa"/>
          </w:tcPr>
          <w:p>
            <w:pPr>
              <w:pStyle w:val="TableParagraph"/>
              <w:spacing w:before="28"/>
              <w:ind w:right="95"/>
              <w:jc w:val="right"/>
              <w:rPr>
                <w:sz w:val="21"/>
              </w:rPr>
            </w:pPr>
            <w:r>
              <w:rPr>
                <w:sz w:val="21"/>
              </w:rPr>
              <w:t>0.05</w:t>
            </w:r>
          </w:p>
        </w:tc>
      </w:tr>
      <w:tr>
        <w:trPr>
          <w:trHeight w:val="314" w:hRule="atLeast"/>
        </w:trPr>
        <w:tc>
          <w:tcPr>
            <w:tcW w:w="708" w:type="dxa"/>
          </w:tcPr>
          <w:p>
            <w:pPr>
              <w:pStyle w:val="TableParagraph"/>
              <w:spacing w:before="30"/>
              <w:ind w:left="8"/>
              <w:jc w:val="center"/>
              <w:rPr>
                <w:sz w:val="21"/>
              </w:rPr>
            </w:pPr>
            <w:r>
              <w:rPr>
                <w:w w:val="100"/>
                <w:sz w:val="21"/>
              </w:rPr>
              <w:t>5</w:t>
            </w:r>
          </w:p>
        </w:tc>
        <w:tc>
          <w:tcPr>
            <w:tcW w:w="1277" w:type="dxa"/>
          </w:tcPr>
          <w:p>
            <w:pPr>
              <w:pStyle w:val="TableParagraph"/>
              <w:spacing w:before="30"/>
              <w:ind w:left="190" w:right="180"/>
              <w:jc w:val="center"/>
              <w:rPr>
                <w:sz w:val="21"/>
              </w:rPr>
            </w:pPr>
            <w:r>
              <w:rPr>
                <w:sz w:val="21"/>
              </w:rPr>
              <w:t>603259</w:t>
            </w:r>
          </w:p>
        </w:tc>
        <w:tc>
          <w:tcPr>
            <w:tcW w:w="1702" w:type="dxa"/>
          </w:tcPr>
          <w:p>
            <w:pPr>
              <w:pStyle w:val="TableParagraph"/>
              <w:spacing w:before="25"/>
              <w:ind w:left="79" w:right="70"/>
              <w:jc w:val="center"/>
              <w:rPr>
                <w:rFonts w:ascii="宋体" w:eastAsia="宋体" w:hint="eastAsia"/>
                <w:sz w:val="21"/>
              </w:rPr>
            </w:pPr>
            <w:r>
              <w:rPr>
                <w:rFonts w:ascii="宋体" w:eastAsia="宋体" w:hint="eastAsia"/>
                <w:sz w:val="21"/>
              </w:rPr>
              <w:t>药明康德</w:t>
            </w:r>
          </w:p>
        </w:tc>
        <w:tc>
          <w:tcPr>
            <w:tcW w:w="1277" w:type="dxa"/>
          </w:tcPr>
          <w:p>
            <w:pPr>
              <w:pStyle w:val="TableParagraph"/>
              <w:spacing w:before="30"/>
              <w:ind w:right="95"/>
              <w:jc w:val="right"/>
              <w:rPr>
                <w:sz w:val="21"/>
              </w:rPr>
            </w:pPr>
            <w:r>
              <w:rPr>
                <w:sz w:val="21"/>
              </w:rPr>
              <w:t>1,600</w:t>
            </w:r>
          </w:p>
        </w:tc>
        <w:tc>
          <w:tcPr>
            <w:tcW w:w="1841" w:type="dxa"/>
          </w:tcPr>
          <w:p>
            <w:pPr>
              <w:pStyle w:val="TableParagraph"/>
              <w:spacing w:before="30"/>
              <w:ind w:right="93"/>
              <w:jc w:val="right"/>
              <w:rPr>
                <w:sz w:val="21"/>
              </w:rPr>
            </w:pPr>
            <w:r>
              <w:rPr>
                <w:sz w:val="21"/>
              </w:rPr>
              <w:t>154,560.00</w:t>
            </w:r>
          </w:p>
        </w:tc>
        <w:tc>
          <w:tcPr>
            <w:tcW w:w="1561" w:type="dxa"/>
          </w:tcPr>
          <w:p>
            <w:pPr>
              <w:pStyle w:val="TableParagraph"/>
              <w:spacing w:before="30"/>
              <w:ind w:right="95"/>
              <w:jc w:val="right"/>
              <w:rPr>
                <w:sz w:val="21"/>
              </w:rPr>
            </w:pPr>
            <w:r>
              <w:rPr>
                <w:sz w:val="21"/>
              </w:rPr>
              <w:t>0.05</w:t>
            </w:r>
          </w:p>
        </w:tc>
      </w:tr>
      <w:tr>
        <w:trPr>
          <w:trHeight w:val="311" w:hRule="atLeast"/>
        </w:trPr>
        <w:tc>
          <w:tcPr>
            <w:tcW w:w="708" w:type="dxa"/>
          </w:tcPr>
          <w:p>
            <w:pPr>
              <w:pStyle w:val="TableParagraph"/>
              <w:spacing w:before="28"/>
              <w:ind w:left="8"/>
              <w:jc w:val="center"/>
              <w:rPr>
                <w:sz w:val="21"/>
              </w:rPr>
            </w:pPr>
            <w:r>
              <w:rPr>
                <w:w w:val="100"/>
                <w:sz w:val="21"/>
              </w:rPr>
              <w:t>6</w:t>
            </w:r>
          </w:p>
        </w:tc>
        <w:tc>
          <w:tcPr>
            <w:tcW w:w="1277" w:type="dxa"/>
          </w:tcPr>
          <w:p>
            <w:pPr>
              <w:pStyle w:val="TableParagraph"/>
              <w:spacing w:before="28"/>
              <w:ind w:left="190" w:right="180"/>
              <w:jc w:val="center"/>
              <w:rPr>
                <w:sz w:val="21"/>
              </w:rPr>
            </w:pPr>
            <w:r>
              <w:rPr>
                <w:sz w:val="21"/>
              </w:rPr>
              <w:t>600570</w:t>
            </w:r>
          </w:p>
        </w:tc>
        <w:tc>
          <w:tcPr>
            <w:tcW w:w="1702" w:type="dxa"/>
          </w:tcPr>
          <w:p>
            <w:pPr>
              <w:pStyle w:val="TableParagraph"/>
              <w:ind w:left="79" w:right="70"/>
              <w:jc w:val="center"/>
              <w:rPr>
                <w:rFonts w:ascii="宋体" w:eastAsia="宋体" w:hint="eastAsia"/>
                <w:sz w:val="21"/>
              </w:rPr>
            </w:pPr>
            <w:r>
              <w:rPr>
                <w:rFonts w:ascii="宋体" w:eastAsia="宋体" w:hint="eastAsia"/>
                <w:sz w:val="21"/>
              </w:rPr>
              <w:t>恒生电子</w:t>
            </w:r>
          </w:p>
        </w:tc>
        <w:tc>
          <w:tcPr>
            <w:tcW w:w="1277" w:type="dxa"/>
          </w:tcPr>
          <w:p>
            <w:pPr>
              <w:pStyle w:val="TableParagraph"/>
              <w:spacing w:before="28"/>
              <w:ind w:right="95"/>
              <w:jc w:val="right"/>
              <w:rPr>
                <w:sz w:val="21"/>
              </w:rPr>
            </w:pPr>
            <w:r>
              <w:rPr>
                <w:sz w:val="21"/>
              </w:rPr>
              <w:t>1,200</w:t>
            </w:r>
          </w:p>
        </w:tc>
        <w:tc>
          <w:tcPr>
            <w:tcW w:w="1841" w:type="dxa"/>
          </w:tcPr>
          <w:p>
            <w:pPr>
              <w:pStyle w:val="TableParagraph"/>
              <w:spacing w:before="28"/>
              <w:ind w:right="93"/>
              <w:jc w:val="right"/>
              <w:rPr>
                <w:sz w:val="21"/>
              </w:rPr>
            </w:pPr>
            <w:r>
              <w:rPr>
                <w:sz w:val="21"/>
              </w:rPr>
              <w:t>129,240.00</w:t>
            </w:r>
          </w:p>
        </w:tc>
        <w:tc>
          <w:tcPr>
            <w:tcW w:w="1561" w:type="dxa"/>
          </w:tcPr>
          <w:p>
            <w:pPr>
              <w:pStyle w:val="TableParagraph"/>
              <w:spacing w:before="28"/>
              <w:ind w:right="95"/>
              <w:jc w:val="right"/>
              <w:rPr>
                <w:sz w:val="21"/>
              </w:rPr>
            </w:pPr>
            <w:r>
              <w:rPr>
                <w:sz w:val="21"/>
              </w:rPr>
              <w:t>0.04</w:t>
            </w:r>
          </w:p>
        </w:tc>
      </w:tr>
      <w:tr>
        <w:trPr>
          <w:trHeight w:val="311" w:hRule="atLeast"/>
        </w:trPr>
        <w:tc>
          <w:tcPr>
            <w:tcW w:w="708" w:type="dxa"/>
          </w:tcPr>
          <w:p>
            <w:pPr>
              <w:pStyle w:val="TableParagraph"/>
              <w:spacing w:before="28"/>
              <w:ind w:left="8"/>
              <w:jc w:val="center"/>
              <w:rPr>
                <w:sz w:val="21"/>
              </w:rPr>
            </w:pPr>
            <w:r>
              <w:rPr>
                <w:w w:val="100"/>
                <w:sz w:val="21"/>
              </w:rPr>
              <w:t>7</w:t>
            </w:r>
          </w:p>
        </w:tc>
        <w:tc>
          <w:tcPr>
            <w:tcW w:w="1277" w:type="dxa"/>
          </w:tcPr>
          <w:p>
            <w:pPr>
              <w:pStyle w:val="TableParagraph"/>
              <w:spacing w:before="28"/>
              <w:ind w:left="190" w:right="180"/>
              <w:jc w:val="center"/>
              <w:rPr>
                <w:sz w:val="21"/>
              </w:rPr>
            </w:pPr>
            <w:r>
              <w:rPr>
                <w:sz w:val="21"/>
              </w:rPr>
              <w:t>600309</w:t>
            </w:r>
          </w:p>
        </w:tc>
        <w:tc>
          <w:tcPr>
            <w:tcW w:w="1702" w:type="dxa"/>
          </w:tcPr>
          <w:p>
            <w:pPr>
              <w:pStyle w:val="TableParagraph"/>
              <w:ind w:left="79" w:right="70"/>
              <w:jc w:val="center"/>
              <w:rPr>
                <w:rFonts w:ascii="宋体" w:eastAsia="宋体" w:hint="eastAsia"/>
                <w:sz w:val="21"/>
              </w:rPr>
            </w:pPr>
            <w:r>
              <w:rPr>
                <w:rFonts w:ascii="宋体" w:eastAsia="宋体" w:hint="eastAsia"/>
                <w:sz w:val="21"/>
              </w:rPr>
              <w:t>万华化学</w:t>
            </w:r>
          </w:p>
        </w:tc>
        <w:tc>
          <w:tcPr>
            <w:tcW w:w="1277" w:type="dxa"/>
          </w:tcPr>
          <w:p>
            <w:pPr>
              <w:pStyle w:val="TableParagraph"/>
              <w:spacing w:before="28"/>
              <w:ind w:right="95"/>
              <w:jc w:val="right"/>
              <w:rPr>
                <w:sz w:val="21"/>
              </w:rPr>
            </w:pPr>
            <w:r>
              <w:rPr>
                <w:sz w:val="21"/>
              </w:rPr>
              <w:t>2,400</w:t>
            </w:r>
          </w:p>
        </w:tc>
        <w:tc>
          <w:tcPr>
            <w:tcW w:w="1841" w:type="dxa"/>
          </w:tcPr>
          <w:p>
            <w:pPr>
              <w:pStyle w:val="TableParagraph"/>
              <w:spacing w:before="28"/>
              <w:ind w:right="93"/>
              <w:jc w:val="right"/>
              <w:rPr>
                <w:sz w:val="21"/>
              </w:rPr>
            </w:pPr>
            <w:r>
              <w:rPr>
                <w:sz w:val="21"/>
              </w:rPr>
              <w:t>119,976.00</w:t>
            </w:r>
          </w:p>
        </w:tc>
        <w:tc>
          <w:tcPr>
            <w:tcW w:w="1561" w:type="dxa"/>
          </w:tcPr>
          <w:p>
            <w:pPr>
              <w:pStyle w:val="TableParagraph"/>
              <w:spacing w:before="28"/>
              <w:ind w:right="95"/>
              <w:jc w:val="right"/>
              <w:rPr>
                <w:sz w:val="21"/>
              </w:rPr>
            </w:pPr>
            <w:r>
              <w:rPr>
                <w:sz w:val="21"/>
              </w:rPr>
              <w:t>0.04</w:t>
            </w:r>
          </w:p>
        </w:tc>
      </w:tr>
      <w:tr>
        <w:trPr>
          <w:trHeight w:val="311" w:hRule="atLeast"/>
        </w:trPr>
        <w:tc>
          <w:tcPr>
            <w:tcW w:w="708" w:type="dxa"/>
          </w:tcPr>
          <w:p>
            <w:pPr>
              <w:pStyle w:val="TableParagraph"/>
              <w:spacing w:before="28"/>
              <w:ind w:left="8"/>
              <w:jc w:val="center"/>
              <w:rPr>
                <w:sz w:val="21"/>
              </w:rPr>
            </w:pPr>
            <w:r>
              <w:rPr>
                <w:w w:val="100"/>
                <w:sz w:val="21"/>
              </w:rPr>
              <w:t>8</w:t>
            </w:r>
          </w:p>
        </w:tc>
        <w:tc>
          <w:tcPr>
            <w:tcW w:w="1277" w:type="dxa"/>
          </w:tcPr>
          <w:p>
            <w:pPr>
              <w:pStyle w:val="TableParagraph"/>
              <w:spacing w:before="28"/>
              <w:ind w:left="190" w:right="180"/>
              <w:jc w:val="center"/>
              <w:rPr>
                <w:sz w:val="21"/>
              </w:rPr>
            </w:pPr>
            <w:r>
              <w:rPr>
                <w:sz w:val="21"/>
              </w:rPr>
              <w:t>600588</w:t>
            </w:r>
          </w:p>
        </w:tc>
        <w:tc>
          <w:tcPr>
            <w:tcW w:w="1702" w:type="dxa"/>
          </w:tcPr>
          <w:p>
            <w:pPr>
              <w:pStyle w:val="TableParagraph"/>
              <w:ind w:left="79" w:right="70"/>
              <w:jc w:val="center"/>
              <w:rPr>
                <w:rFonts w:ascii="宋体" w:eastAsia="宋体" w:hint="eastAsia"/>
                <w:sz w:val="21"/>
              </w:rPr>
            </w:pPr>
            <w:r>
              <w:rPr>
                <w:rFonts w:ascii="宋体" w:eastAsia="宋体" w:hint="eastAsia"/>
                <w:sz w:val="21"/>
              </w:rPr>
              <w:t>用友网络</w:t>
            </w:r>
          </w:p>
        </w:tc>
        <w:tc>
          <w:tcPr>
            <w:tcW w:w="1277" w:type="dxa"/>
          </w:tcPr>
          <w:p>
            <w:pPr>
              <w:pStyle w:val="TableParagraph"/>
              <w:spacing w:before="28"/>
              <w:ind w:right="95"/>
              <w:jc w:val="right"/>
              <w:rPr>
                <w:sz w:val="21"/>
              </w:rPr>
            </w:pPr>
            <w:r>
              <w:rPr>
                <w:sz w:val="21"/>
              </w:rPr>
              <w:t>2,400</w:t>
            </w:r>
          </w:p>
        </w:tc>
        <w:tc>
          <w:tcPr>
            <w:tcW w:w="1841" w:type="dxa"/>
          </w:tcPr>
          <w:p>
            <w:pPr>
              <w:pStyle w:val="TableParagraph"/>
              <w:spacing w:before="28"/>
              <w:ind w:right="93"/>
              <w:jc w:val="right"/>
              <w:rPr>
                <w:sz w:val="21"/>
              </w:rPr>
            </w:pPr>
            <w:r>
              <w:rPr>
                <w:sz w:val="21"/>
              </w:rPr>
              <w:t>105,840.00</w:t>
            </w:r>
          </w:p>
        </w:tc>
        <w:tc>
          <w:tcPr>
            <w:tcW w:w="1561" w:type="dxa"/>
          </w:tcPr>
          <w:p>
            <w:pPr>
              <w:pStyle w:val="TableParagraph"/>
              <w:spacing w:before="28"/>
              <w:ind w:right="95"/>
              <w:jc w:val="right"/>
              <w:rPr>
                <w:sz w:val="21"/>
              </w:rPr>
            </w:pPr>
            <w:r>
              <w:rPr>
                <w:sz w:val="21"/>
              </w:rPr>
              <w:t>0.03</w:t>
            </w:r>
          </w:p>
        </w:tc>
      </w:tr>
      <w:tr>
        <w:trPr>
          <w:trHeight w:val="311" w:hRule="atLeast"/>
        </w:trPr>
        <w:tc>
          <w:tcPr>
            <w:tcW w:w="708" w:type="dxa"/>
          </w:tcPr>
          <w:p>
            <w:pPr>
              <w:pStyle w:val="TableParagraph"/>
              <w:spacing w:before="28"/>
              <w:ind w:left="8"/>
              <w:jc w:val="center"/>
              <w:rPr>
                <w:sz w:val="21"/>
              </w:rPr>
            </w:pPr>
            <w:r>
              <w:rPr>
                <w:w w:val="100"/>
                <w:sz w:val="21"/>
              </w:rPr>
              <w:t>9</w:t>
            </w:r>
          </w:p>
        </w:tc>
        <w:tc>
          <w:tcPr>
            <w:tcW w:w="1277" w:type="dxa"/>
          </w:tcPr>
          <w:p>
            <w:pPr>
              <w:pStyle w:val="TableParagraph"/>
              <w:spacing w:before="28"/>
              <w:ind w:left="190" w:right="180"/>
              <w:jc w:val="center"/>
              <w:rPr>
                <w:sz w:val="21"/>
              </w:rPr>
            </w:pPr>
            <w:r>
              <w:rPr>
                <w:sz w:val="21"/>
              </w:rPr>
              <w:t>600745</w:t>
            </w:r>
          </w:p>
        </w:tc>
        <w:tc>
          <w:tcPr>
            <w:tcW w:w="1702" w:type="dxa"/>
          </w:tcPr>
          <w:p>
            <w:pPr>
              <w:pStyle w:val="TableParagraph"/>
              <w:ind w:left="79" w:right="70"/>
              <w:jc w:val="center"/>
              <w:rPr>
                <w:rFonts w:ascii="宋体" w:eastAsia="宋体" w:hint="eastAsia"/>
                <w:sz w:val="21"/>
              </w:rPr>
            </w:pPr>
            <w:r>
              <w:rPr>
                <w:rFonts w:ascii="宋体" w:eastAsia="宋体" w:hint="eastAsia"/>
                <w:sz w:val="21"/>
              </w:rPr>
              <w:t>闻泰科技</w:t>
            </w:r>
          </w:p>
        </w:tc>
        <w:tc>
          <w:tcPr>
            <w:tcW w:w="1277" w:type="dxa"/>
          </w:tcPr>
          <w:p>
            <w:pPr>
              <w:pStyle w:val="TableParagraph"/>
              <w:spacing w:before="28"/>
              <w:ind w:right="95"/>
              <w:jc w:val="right"/>
              <w:rPr>
                <w:sz w:val="21"/>
              </w:rPr>
            </w:pPr>
            <w:r>
              <w:rPr>
                <w:sz w:val="21"/>
              </w:rPr>
              <w:t>800</w:t>
            </w:r>
          </w:p>
        </w:tc>
        <w:tc>
          <w:tcPr>
            <w:tcW w:w="1841" w:type="dxa"/>
          </w:tcPr>
          <w:p>
            <w:pPr>
              <w:pStyle w:val="TableParagraph"/>
              <w:spacing w:before="28"/>
              <w:ind w:right="93"/>
              <w:jc w:val="right"/>
              <w:rPr>
                <w:sz w:val="21"/>
              </w:rPr>
            </w:pPr>
            <w:r>
              <w:rPr>
                <w:sz w:val="21"/>
              </w:rPr>
              <w:t>100,760.00</w:t>
            </w:r>
          </w:p>
        </w:tc>
        <w:tc>
          <w:tcPr>
            <w:tcW w:w="1561" w:type="dxa"/>
          </w:tcPr>
          <w:p>
            <w:pPr>
              <w:pStyle w:val="TableParagraph"/>
              <w:spacing w:before="28"/>
              <w:ind w:right="95"/>
              <w:jc w:val="right"/>
              <w:rPr>
                <w:sz w:val="21"/>
              </w:rPr>
            </w:pPr>
            <w:r>
              <w:rPr>
                <w:sz w:val="21"/>
              </w:rPr>
              <w:t>0.03</w:t>
            </w:r>
          </w:p>
        </w:tc>
      </w:tr>
      <w:tr>
        <w:trPr>
          <w:trHeight w:val="313" w:hRule="atLeast"/>
        </w:trPr>
        <w:tc>
          <w:tcPr>
            <w:tcW w:w="708" w:type="dxa"/>
          </w:tcPr>
          <w:p>
            <w:pPr>
              <w:pStyle w:val="TableParagraph"/>
              <w:spacing w:before="28"/>
              <w:ind w:left="117" w:right="106"/>
              <w:jc w:val="center"/>
              <w:rPr>
                <w:sz w:val="21"/>
              </w:rPr>
            </w:pPr>
            <w:r>
              <w:rPr>
                <w:sz w:val="21"/>
              </w:rPr>
              <w:t>10</w:t>
            </w:r>
          </w:p>
        </w:tc>
        <w:tc>
          <w:tcPr>
            <w:tcW w:w="1277" w:type="dxa"/>
          </w:tcPr>
          <w:p>
            <w:pPr>
              <w:pStyle w:val="TableParagraph"/>
              <w:spacing w:before="28"/>
              <w:ind w:left="190" w:right="180"/>
              <w:jc w:val="center"/>
              <w:rPr>
                <w:sz w:val="21"/>
              </w:rPr>
            </w:pPr>
            <w:r>
              <w:rPr>
                <w:sz w:val="21"/>
              </w:rPr>
              <w:t>603986</w:t>
            </w:r>
          </w:p>
        </w:tc>
        <w:tc>
          <w:tcPr>
            <w:tcW w:w="1702" w:type="dxa"/>
          </w:tcPr>
          <w:p>
            <w:pPr>
              <w:pStyle w:val="TableParagraph"/>
              <w:ind w:left="79" w:right="70"/>
              <w:jc w:val="center"/>
              <w:rPr>
                <w:rFonts w:ascii="宋体" w:eastAsia="宋体" w:hint="eastAsia"/>
                <w:sz w:val="21"/>
              </w:rPr>
            </w:pPr>
            <w:r>
              <w:rPr>
                <w:rFonts w:ascii="宋体" w:eastAsia="宋体" w:hint="eastAsia"/>
                <w:sz w:val="21"/>
              </w:rPr>
              <w:t>兆易创新</w:t>
            </w:r>
          </w:p>
        </w:tc>
        <w:tc>
          <w:tcPr>
            <w:tcW w:w="1277" w:type="dxa"/>
          </w:tcPr>
          <w:p>
            <w:pPr>
              <w:pStyle w:val="TableParagraph"/>
              <w:spacing w:before="28"/>
              <w:ind w:right="95"/>
              <w:jc w:val="right"/>
              <w:rPr>
                <w:sz w:val="21"/>
              </w:rPr>
            </w:pPr>
            <w:r>
              <w:rPr>
                <w:sz w:val="21"/>
              </w:rPr>
              <w:t>400</w:t>
            </w:r>
          </w:p>
        </w:tc>
        <w:tc>
          <w:tcPr>
            <w:tcW w:w="1841" w:type="dxa"/>
          </w:tcPr>
          <w:p>
            <w:pPr>
              <w:pStyle w:val="TableParagraph"/>
              <w:spacing w:before="28"/>
              <w:ind w:right="93"/>
              <w:jc w:val="right"/>
              <w:rPr>
                <w:sz w:val="21"/>
              </w:rPr>
            </w:pPr>
            <w:r>
              <w:rPr>
                <w:sz w:val="21"/>
              </w:rPr>
              <w:t>94,364.00</w:t>
            </w:r>
          </w:p>
        </w:tc>
        <w:tc>
          <w:tcPr>
            <w:tcW w:w="1561" w:type="dxa"/>
          </w:tcPr>
          <w:p>
            <w:pPr>
              <w:pStyle w:val="TableParagraph"/>
              <w:spacing w:before="28"/>
              <w:ind w:right="95"/>
              <w:jc w:val="right"/>
              <w:rPr>
                <w:sz w:val="21"/>
              </w:rPr>
            </w:pPr>
            <w:r>
              <w:rPr>
                <w:sz w:val="21"/>
              </w:rPr>
              <w:t>0.03</w:t>
            </w:r>
          </w:p>
        </w:tc>
      </w:tr>
    </w:tbl>
    <w:p>
      <w:pPr>
        <w:pStyle w:val="ListParagraph"/>
        <w:numPr>
          <w:ilvl w:val="1"/>
          <w:numId w:val="24"/>
        </w:numPr>
        <w:tabs>
          <w:tab w:pos="480" w:val="left" w:leader="none"/>
        </w:tabs>
        <w:spacing w:line="417" w:lineRule="auto" w:before="100" w:after="0"/>
        <w:ind w:left="580" w:right="5081" w:hanging="420"/>
        <w:jc w:val="left"/>
        <w:rPr>
          <w:sz w:val="21"/>
        </w:rPr>
      </w:pPr>
      <w:r>
        <w:rPr>
          <w:spacing w:val="-3"/>
          <w:sz w:val="21"/>
        </w:rPr>
        <w:t>报告期末按债券品种分类的债券投资组合本基金本报告期末未持有债券。</w:t>
      </w:r>
    </w:p>
    <w:p>
      <w:pPr>
        <w:pStyle w:val="ListParagraph"/>
        <w:numPr>
          <w:ilvl w:val="1"/>
          <w:numId w:val="24"/>
        </w:numPr>
        <w:tabs>
          <w:tab w:pos="480" w:val="left" w:leader="none"/>
        </w:tabs>
        <w:spacing w:line="417" w:lineRule="auto" w:before="0" w:after="0"/>
        <w:ind w:left="580" w:right="2138" w:hanging="420"/>
        <w:jc w:val="left"/>
        <w:rPr>
          <w:sz w:val="21"/>
        </w:rPr>
      </w:pPr>
      <w:r>
        <w:rPr>
          <w:spacing w:val="-3"/>
          <w:sz w:val="21"/>
        </w:rPr>
        <w:t>报告期末按公允价值占基金资产净值比例大小排序的前五名债券投资明细本基金本报告期末未持有债券。</w:t>
      </w:r>
    </w:p>
    <w:p>
      <w:pPr>
        <w:pStyle w:val="ListParagraph"/>
        <w:numPr>
          <w:ilvl w:val="1"/>
          <w:numId w:val="24"/>
        </w:numPr>
        <w:tabs>
          <w:tab w:pos="480" w:val="left" w:leader="none"/>
        </w:tabs>
        <w:spacing w:line="417" w:lineRule="auto" w:before="0" w:after="0"/>
        <w:ind w:left="580" w:right="1298" w:hanging="420"/>
        <w:jc w:val="left"/>
        <w:rPr>
          <w:sz w:val="21"/>
        </w:rPr>
      </w:pPr>
      <w:r>
        <w:rPr>
          <w:spacing w:val="-3"/>
          <w:sz w:val="21"/>
        </w:rPr>
        <w:t>报告期末按公允价值占基金资产净值比例大小排序的前十名资产支持证券投资明细本基金本报告期末未持有资产支持证券。</w:t>
      </w:r>
    </w:p>
    <w:p>
      <w:pPr>
        <w:pStyle w:val="ListParagraph"/>
        <w:numPr>
          <w:ilvl w:val="1"/>
          <w:numId w:val="24"/>
        </w:numPr>
        <w:tabs>
          <w:tab w:pos="480" w:val="left" w:leader="none"/>
        </w:tabs>
        <w:spacing w:line="417" w:lineRule="auto" w:before="0" w:after="0"/>
        <w:ind w:left="580" w:right="1930" w:hanging="420"/>
        <w:jc w:val="left"/>
        <w:rPr>
          <w:sz w:val="21"/>
        </w:rPr>
      </w:pPr>
      <w:r>
        <w:rPr>
          <w:spacing w:val="-3"/>
          <w:sz w:val="21"/>
        </w:rPr>
        <w:t>报告期末按公允价值占基金资产净值比例大小排序的前五名贵金属投资明细本基金本报告期末未持有贵金属。</w:t>
      </w:r>
    </w:p>
    <w:p>
      <w:pPr>
        <w:pStyle w:val="ListParagraph"/>
        <w:numPr>
          <w:ilvl w:val="1"/>
          <w:numId w:val="24"/>
        </w:numPr>
        <w:tabs>
          <w:tab w:pos="480" w:val="left" w:leader="none"/>
        </w:tabs>
        <w:spacing w:line="417" w:lineRule="auto" w:before="0" w:after="0"/>
        <w:ind w:left="580" w:right="2138" w:hanging="420"/>
        <w:jc w:val="left"/>
        <w:rPr>
          <w:sz w:val="21"/>
        </w:rPr>
      </w:pPr>
      <w:r>
        <w:rPr>
          <w:spacing w:val="-3"/>
          <w:sz w:val="21"/>
        </w:rPr>
        <w:t>报告期末按公允价值占基金资产净值比例大小排序的前五名权证投资明细本基金本报告期末未持有权证。</w:t>
      </w:r>
    </w:p>
    <w:p>
      <w:pPr>
        <w:pStyle w:val="ListParagraph"/>
        <w:numPr>
          <w:ilvl w:val="1"/>
          <w:numId w:val="24"/>
        </w:numPr>
        <w:tabs>
          <w:tab w:pos="588" w:val="left" w:leader="none"/>
        </w:tabs>
        <w:spacing w:line="269" w:lineRule="exact" w:before="0" w:after="0"/>
        <w:ind w:left="587" w:right="0" w:hanging="428"/>
        <w:jc w:val="left"/>
        <w:rPr>
          <w:sz w:val="21"/>
        </w:rPr>
      </w:pPr>
      <w:r>
        <w:rPr>
          <w:spacing w:val="-3"/>
          <w:sz w:val="21"/>
        </w:rPr>
        <w:t>报告期末本基金投资的股指期货交易情况说明</w:t>
      </w:r>
    </w:p>
    <w:p>
      <w:pPr>
        <w:pStyle w:val="BodyText"/>
        <w:spacing w:before="6"/>
        <w:rPr>
          <w:sz w:val="15"/>
        </w:rPr>
      </w:pPr>
    </w:p>
    <w:p>
      <w:pPr>
        <w:pStyle w:val="ListParagraph"/>
        <w:numPr>
          <w:ilvl w:val="2"/>
          <w:numId w:val="24"/>
        </w:numPr>
        <w:tabs>
          <w:tab w:pos="746" w:val="left" w:leader="none"/>
        </w:tabs>
        <w:spacing w:line="417" w:lineRule="auto" w:before="1" w:after="0"/>
        <w:ind w:left="580" w:right="4184" w:hanging="420"/>
        <w:jc w:val="left"/>
        <w:rPr>
          <w:sz w:val="21"/>
        </w:rPr>
      </w:pPr>
      <w:r>
        <w:rPr>
          <w:spacing w:val="-3"/>
          <w:sz w:val="21"/>
        </w:rPr>
        <w:t>报告期末本基金投资的股指期货持仓和损益明细本基金本报告期末无股指期货投资。</w:t>
      </w:r>
    </w:p>
    <w:p>
      <w:pPr>
        <w:pStyle w:val="ListParagraph"/>
        <w:numPr>
          <w:ilvl w:val="2"/>
          <w:numId w:val="24"/>
        </w:numPr>
        <w:tabs>
          <w:tab w:pos="746" w:val="left" w:leader="none"/>
        </w:tabs>
        <w:spacing w:line="417" w:lineRule="auto" w:before="0" w:after="0"/>
        <w:ind w:left="580" w:right="5398" w:hanging="420"/>
        <w:jc w:val="left"/>
        <w:rPr>
          <w:sz w:val="21"/>
        </w:rPr>
      </w:pPr>
      <w:r>
        <w:rPr>
          <w:spacing w:val="-3"/>
          <w:sz w:val="21"/>
        </w:rPr>
        <w:t>本基金投资股指期货的投资政策 </w:t>
      </w:r>
      <w:r>
        <w:rPr>
          <w:spacing w:val="-4"/>
          <w:sz w:val="21"/>
        </w:rPr>
        <w:t>本基金本报告期末无股指期货投资。</w:t>
      </w:r>
    </w:p>
    <w:p>
      <w:pPr>
        <w:spacing w:after="0" w:line="417" w:lineRule="auto"/>
        <w:jc w:val="left"/>
        <w:rPr>
          <w:sz w:val="21"/>
        </w:rPr>
        <w:sectPr>
          <w:pgSz w:w="11910" w:h="16840"/>
          <w:pgMar w:header="877" w:footer="995" w:top="1420" w:bottom="1180" w:left="1640" w:right="920"/>
        </w:sectPr>
      </w:pPr>
    </w:p>
    <w:p>
      <w:pPr>
        <w:pStyle w:val="ListParagraph"/>
        <w:numPr>
          <w:ilvl w:val="1"/>
          <w:numId w:val="24"/>
        </w:numPr>
        <w:tabs>
          <w:tab w:pos="588" w:val="left" w:leader="none"/>
        </w:tabs>
        <w:spacing w:line="240" w:lineRule="auto" w:before="110" w:after="0"/>
        <w:ind w:left="587" w:right="0" w:hanging="428"/>
        <w:jc w:val="both"/>
        <w:rPr>
          <w:sz w:val="21"/>
        </w:rPr>
      </w:pPr>
      <w:r>
        <w:rPr>
          <w:spacing w:val="-3"/>
          <w:sz w:val="21"/>
        </w:rPr>
        <w:t>报告期末本基金投资的国债期货交易情况说明</w:t>
      </w:r>
    </w:p>
    <w:p>
      <w:pPr>
        <w:pStyle w:val="BodyText"/>
        <w:spacing w:before="6"/>
        <w:rPr>
          <w:sz w:val="15"/>
        </w:rPr>
      </w:pPr>
    </w:p>
    <w:p>
      <w:pPr>
        <w:pStyle w:val="ListParagraph"/>
        <w:numPr>
          <w:ilvl w:val="2"/>
          <w:numId w:val="24"/>
        </w:numPr>
        <w:tabs>
          <w:tab w:pos="746" w:val="left" w:leader="none"/>
        </w:tabs>
        <w:spacing w:line="240" w:lineRule="auto" w:before="0" w:after="0"/>
        <w:ind w:left="746" w:right="0" w:hanging="586"/>
        <w:jc w:val="both"/>
        <w:rPr>
          <w:sz w:val="21"/>
        </w:rPr>
      </w:pPr>
      <w:r>
        <w:rPr>
          <w:spacing w:val="-3"/>
          <w:sz w:val="21"/>
        </w:rPr>
        <w:t>本期国债期货投资政策</w:t>
      </w:r>
    </w:p>
    <w:p>
      <w:pPr>
        <w:pStyle w:val="BodyText"/>
        <w:spacing w:before="7"/>
        <w:rPr>
          <w:sz w:val="15"/>
        </w:rPr>
      </w:pPr>
    </w:p>
    <w:p>
      <w:pPr>
        <w:pStyle w:val="BodyText"/>
        <w:ind w:left="580"/>
      </w:pPr>
      <w:r>
        <w:rPr/>
        <w:t>本基金本报告期末无国债期货投资。</w:t>
      </w:r>
    </w:p>
    <w:p>
      <w:pPr>
        <w:pStyle w:val="BodyText"/>
        <w:spacing w:before="7"/>
        <w:rPr>
          <w:sz w:val="15"/>
        </w:rPr>
      </w:pPr>
    </w:p>
    <w:p>
      <w:pPr>
        <w:pStyle w:val="ListParagraph"/>
        <w:numPr>
          <w:ilvl w:val="2"/>
          <w:numId w:val="24"/>
        </w:numPr>
        <w:tabs>
          <w:tab w:pos="746" w:val="left" w:leader="none"/>
        </w:tabs>
        <w:spacing w:line="417" w:lineRule="auto" w:before="0" w:after="0"/>
        <w:ind w:left="580" w:right="4184" w:hanging="420"/>
        <w:jc w:val="left"/>
        <w:rPr>
          <w:sz w:val="21"/>
        </w:rPr>
      </w:pPr>
      <w:r>
        <w:rPr>
          <w:spacing w:val="-3"/>
          <w:sz w:val="21"/>
        </w:rPr>
        <w:t>报告期末本基金投资的国债期货持仓和损益明细本基金本报告期末无国债期货投资。</w:t>
      </w:r>
    </w:p>
    <w:p>
      <w:pPr>
        <w:pStyle w:val="ListParagraph"/>
        <w:numPr>
          <w:ilvl w:val="2"/>
          <w:numId w:val="24"/>
        </w:numPr>
        <w:tabs>
          <w:tab w:pos="746" w:val="left" w:leader="none"/>
        </w:tabs>
        <w:spacing w:line="269" w:lineRule="exact" w:before="0" w:after="0"/>
        <w:ind w:left="746" w:right="0" w:hanging="586"/>
        <w:jc w:val="left"/>
        <w:rPr>
          <w:sz w:val="21"/>
        </w:rPr>
      </w:pPr>
      <w:r>
        <w:rPr>
          <w:spacing w:val="-3"/>
          <w:sz w:val="21"/>
        </w:rPr>
        <w:t>本期国债期货投资评价</w:t>
      </w:r>
    </w:p>
    <w:p>
      <w:pPr>
        <w:pStyle w:val="BodyText"/>
        <w:spacing w:before="7"/>
        <w:rPr>
          <w:sz w:val="15"/>
        </w:rPr>
      </w:pPr>
    </w:p>
    <w:p>
      <w:pPr>
        <w:pStyle w:val="BodyText"/>
        <w:ind w:left="580"/>
      </w:pPr>
      <w:r>
        <w:rPr/>
        <w:t>本基金本报告期末无国债期货投资。</w:t>
      </w:r>
    </w:p>
    <w:p>
      <w:pPr>
        <w:pStyle w:val="BodyText"/>
        <w:spacing w:before="7"/>
        <w:rPr>
          <w:sz w:val="15"/>
        </w:rPr>
      </w:pPr>
    </w:p>
    <w:p>
      <w:pPr>
        <w:pStyle w:val="ListParagraph"/>
        <w:numPr>
          <w:ilvl w:val="1"/>
          <w:numId w:val="24"/>
        </w:numPr>
        <w:tabs>
          <w:tab w:pos="588" w:val="left" w:leader="none"/>
        </w:tabs>
        <w:spacing w:line="240" w:lineRule="auto" w:before="0" w:after="0"/>
        <w:ind w:left="587" w:right="0" w:hanging="428"/>
        <w:jc w:val="both"/>
        <w:rPr>
          <w:sz w:val="21"/>
        </w:rPr>
      </w:pPr>
      <w:r>
        <w:rPr>
          <w:spacing w:val="-3"/>
          <w:sz w:val="21"/>
        </w:rPr>
        <w:t>投资组合报告附注</w:t>
      </w:r>
    </w:p>
    <w:p>
      <w:pPr>
        <w:pStyle w:val="BodyText"/>
        <w:spacing w:before="7"/>
        <w:rPr>
          <w:sz w:val="15"/>
        </w:rPr>
      </w:pPr>
    </w:p>
    <w:p>
      <w:pPr>
        <w:pStyle w:val="ListParagraph"/>
        <w:numPr>
          <w:ilvl w:val="2"/>
          <w:numId w:val="24"/>
        </w:numPr>
        <w:tabs>
          <w:tab w:pos="746" w:val="left" w:leader="none"/>
        </w:tabs>
        <w:spacing w:line="417" w:lineRule="auto" w:before="0" w:after="0"/>
        <w:ind w:left="160" w:right="871" w:firstLine="0"/>
        <w:jc w:val="both"/>
        <w:rPr>
          <w:sz w:val="21"/>
        </w:rPr>
      </w:pPr>
      <w:r>
        <w:rPr>
          <w:spacing w:val="-6"/>
          <w:sz w:val="21"/>
        </w:rPr>
        <w:t>本基金投资的前十名证券的发行主体中，闻泰科技股份有限公司出现在报告编制日前</w:t>
      </w:r>
      <w:r>
        <w:rPr>
          <w:spacing w:val="-19"/>
          <w:sz w:val="21"/>
        </w:rPr>
        <w:t>一年内受到监管部门公开谴责、处罚的情况。本基金为指数型联接基金，主要采取复制策略， </w:t>
      </w:r>
      <w:r>
        <w:rPr>
          <w:spacing w:val="-12"/>
          <w:sz w:val="21"/>
        </w:rPr>
        <w:t>闻泰科技系目标 </w:t>
      </w:r>
      <w:r>
        <w:rPr>
          <w:rFonts w:ascii="Calibri" w:eastAsia="Calibri"/>
          <w:sz w:val="21"/>
        </w:rPr>
        <w:t>ETF</w:t>
      </w:r>
      <w:r>
        <w:rPr>
          <w:rFonts w:ascii="Calibri" w:eastAsia="Calibri"/>
          <w:spacing w:val="20"/>
          <w:sz w:val="21"/>
        </w:rPr>
        <w:t> </w:t>
      </w:r>
      <w:r>
        <w:rPr>
          <w:spacing w:val="-11"/>
          <w:sz w:val="21"/>
        </w:rPr>
        <w:t>的原指数成份股，该股票的投资决策程序符合相关法律法规及基金合同</w:t>
      </w:r>
      <w:r>
        <w:rPr>
          <w:spacing w:val="-7"/>
          <w:sz w:val="21"/>
        </w:rPr>
        <w:t>的要求。</w:t>
      </w:r>
    </w:p>
    <w:p>
      <w:pPr>
        <w:pStyle w:val="ListParagraph"/>
        <w:numPr>
          <w:ilvl w:val="2"/>
          <w:numId w:val="24"/>
        </w:numPr>
        <w:tabs>
          <w:tab w:pos="746" w:val="left" w:leader="none"/>
        </w:tabs>
        <w:spacing w:line="268" w:lineRule="exact" w:before="0" w:after="0"/>
        <w:ind w:left="746" w:right="0" w:hanging="586"/>
        <w:jc w:val="both"/>
        <w:rPr>
          <w:sz w:val="21"/>
        </w:rPr>
      </w:pPr>
      <w:r>
        <w:rPr>
          <w:spacing w:val="-3"/>
          <w:sz w:val="21"/>
        </w:rPr>
        <w:t>基金投资的前十名股票未超出基金合同规定的备选股票库。</w:t>
      </w:r>
    </w:p>
    <w:p>
      <w:pPr>
        <w:pStyle w:val="BodyText"/>
        <w:spacing w:before="6"/>
        <w:rPr>
          <w:sz w:val="15"/>
        </w:rPr>
      </w:pPr>
    </w:p>
    <w:p>
      <w:pPr>
        <w:pStyle w:val="ListParagraph"/>
        <w:numPr>
          <w:ilvl w:val="2"/>
          <w:numId w:val="24"/>
        </w:numPr>
        <w:tabs>
          <w:tab w:pos="746" w:val="left" w:leader="none"/>
        </w:tabs>
        <w:spacing w:line="240" w:lineRule="auto" w:before="1" w:after="0"/>
        <w:ind w:left="746" w:right="0" w:hanging="586"/>
        <w:jc w:val="both"/>
        <w:rPr>
          <w:sz w:val="21"/>
        </w:rPr>
      </w:pPr>
      <w:r>
        <w:rPr>
          <w:spacing w:val="-3"/>
          <w:sz w:val="21"/>
        </w:rPr>
        <w:t>其他资产构成</w:t>
      </w:r>
    </w:p>
    <w:p>
      <w:pPr>
        <w:pStyle w:val="BodyText"/>
        <w:spacing w:before="9"/>
        <w:rPr>
          <w:sz w:val="7"/>
        </w:rPr>
      </w:pPr>
    </w:p>
    <w:tbl>
      <w:tblPr>
        <w:tblW w:w="0" w:type="auto"/>
        <w:jc w:val="left"/>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11"/>
        <w:gridCol w:w="2535"/>
        <w:gridCol w:w="4719"/>
      </w:tblGrid>
      <w:tr>
        <w:trPr>
          <w:trHeight w:val="496" w:hRule="atLeast"/>
        </w:trPr>
        <w:tc>
          <w:tcPr>
            <w:tcW w:w="1111" w:type="dxa"/>
          </w:tcPr>
          <w:p>
            <w:pPr>
              <w:pStyle w:val="TableParagraph"/>
              <w:spacing w:before="131"/>
              <w:ind w:left="333" w:right="307"/>
              <w:jc w:val="center"/>
              <w:rPr>
                <w:rFonts w:ascii="宋体" w:eastAsia="宋体" w:hint="eastAsia"/>
                <w:sz w:val="21"/>
              </w:rPr>
            </w:pPr>
            <w:r>
              <w:rPr>
                <w:rFonts w:ascii="宋体" w:eastAsia="宋体" w:hint="eastAsia"/>
                <w:sz w:val="21"/>
              </w:rPr>
              <w:t>序号</w:t>
            </w:r>
          </w:p>
        </w:tc>
        <w:tc>
          <w:tcPr>
            <w:tcW w:w="2535" w:type="dxa"/>
          </w:tcPr>
          <w:p>
            <w:pPr>
              <w:pStyle w:val="TableParagraph"/>
              <w:spacing w:before="131"/>
              <w:ind w:left="1044" w:right="1020"/>
              <w:jc w:val="center"/>
              <w:rPr>
                <w:rFonts w:ascii="宋体" w:eastAsia="宋体" w:hint="eastAsia"/>
                <w:sz w:val="21"/>
              </w:rPr>
            </w:pPr>
            <w:r>
              <w:rPr>
                <w:rFonts w:ascii="宋体" w:eastAsia="宋体" w:hint="eastAsia"/>
                <w:sz w:val="21"/>
              </w:rPr>
              <w:t>名称</w:t>
            </w:r>
          </w:p>
        </w:tc>
        <w:tc>
          <w:tcPr>
            <w:tcW w:w="4719" w:type="dxa"/>
          </w:tcPr>
          <w:p>
            <w:pPr>
              <w:pStyle w:val="TableParagraph"/>
              <w:spacing w:before="131"/>
              <w:ind w:left="1968" w:right="1942"/>
              <w:jc w:val="center"/>
              <w:rPr>
                <w:sz w:val="21"/>
              </w:rPr>
            </w:pPr>
            <w:r>
              <w:rPr>
                <w:rFonts w:ascii="宋体" w:eastAsia="宋体" w:hint="eastAsia"/>
                <w:sz w:val="21"/>
              </w:rPr>
              <w:t>金额</w:t>
            </w:r>
            <w:r>
              <w:rPr>
                <w:sz w:val="21"/>
              </w:rPr>
              <w:t>(</w:t>
            </w:r>
            <w:r>
              <w:rPr>
                <w:rFonts w:ascii="宋体" w:eastAsia="宋体" w:hint="eastAsia"/>
                <w:sz w:val="21"/>
              </w:rPr>
              <w:t>元</w:t>
            </w:r>
            <w:r>
              <w:rPr>
                <w:sz w:val="21"/>
              </w:rPr>
              <w:t>)</w:t>
            </w:r>
          </w:p>
        </w:tc>
      </w:tr>
      <w:tr>
        <w:trPr>
          <w:trHeight w:val="496" w:hRule="atLeast"/>
        </w:trPr>
        <w:tc>
          <w:tcPr>
            <w:tcW w:w="1111" w:type="dxa"/>
          </w:tcPr>
          <w:p>
            <w:pPr>
              <w:pStyle w:val="TableParagraph"/>
              <w:spacing w:before="136"/>
              <w:ind w:left="23"/>
              <w:jc w:val="center"/>
              <w:rPr>
                <w:sz w:val="21"/>
              </w:rPr>
            </w:pPr>
            <w:r>
              <w:rPr>
                <w:w w:val="100"/>
                <w:sz w:val="21"/>
              </w:rPr>
              <w:t>1</w:t>
            </w:r>
          </w:p>
        </w:tc>
        <w:tc>
          <w:tcPr>
            <w:tcW w:w="2535" w:type="dxa"/>
          </w:tcPr>
          <w:p>
            <w:pPr>
              <w:pStyle w:val="TableParagraph"/>
              <w:spacing w:before="130"/>
              <w:ind w:left="119"/>
              <w:rPr>
                <w:rFonts w:ascii="宋体" w:eastAsia="宋体" w:hint="eastAsia"/>
                <w:sz w:val="21"/>
              </w:rPr>
            </w:pPr>
            <w:r>
              <w:rPr>
                <w:rFonts w:ascii="宋体" w:eastAsia="宋体" w:hint="eastAsia"/>
                <w:sz w:val="21"/>
              </w:rPr>
              <w:t>存出保证金</w:t>
            </w:r>
          </w:p>
        </w:tc>
        <w:tc>
          <w:tcPr>
            <w:tcW w:w="4719" w:type="dxa"/>
          </w:tcPr>
          <w:p>
            <w:pPr>
              <w:pStyle w:val="TableParagraph"/>
              <w:spacing w:before="136"/>
              <w:ind w:right="95"/>
              <w:jc w:val="right"/>
              <w:rPr>
                <w:sz w:val="21"/>
              </w:rPr>
            </w:pPr>
            <w:r>
              <w:rPr>
                <w:sz w:val="21"/>
              </w:rPr>
              <w:t>20,043.52</w:t>
            </w:r>
          </w:p>
        </w:tc>
      </w:tr>
      <w:tr>
        <w:trPr>
          <w:trHeight w:val="498" w:hRule="atLeast"/>
        </w:trPr>
        <w:tc>
          <w:tcPr>
            <w:tcW w:w="1111" w:type="dxa"/>
          </w:tcPr>
          <w:p>
            <w:pPr>
              <w:pStyle w:val="TableParagraph"/>
              <w:spacing w:before="138"/>
              <w:ind w:left="23"/>
              <w:jc w:val="center"/>
              <w:rPr>
                <w:sz w:val="21"/>
              </w:rPr>
            </w:pPr>
            <w:r>
              <w:rPr>
                <w:w w:val="100"/>
                <w:sz w:val="21"/>
              </w:rPr>
              <w:t>2</w:t>
            </w:r>
          </w:p>
        </w:tc>
        <w:tc>
          <w:tcPr>
            <w:tcW w:w="2535" w:type="dxa"/>
          </w:tcPr>
          <w:p>
            <w:pPr>
              <w:pStyle w:val="TableParagraph"/>
              <w:spacing w:before="133"/>
              <w:ind w:left="119"/>
              <w:rPr>
                <w:rFonts w:ascii="宋体" w:eastAsia="宋体" w:hint="eastAsia"/>
                <w:sz w:val="21"/>
              </w:rPr>
            </w:pPr>
            <w:r>
              <w:rPr>
                <w:rFonts w:ascii="宋体" w:eastAsia="宋体" w:hint="eastAsia"/>
                <w:sz w:val="21"/>
              </w:rPr>
              <w:t>应收证券清算款</w:t>
            </w:r>
          </w:p>
        </w:tc>
        <w:tc>
          <w:tcPr>
            <w:tcW w:w="4719" w:type="dxa"/>
          </w:tcPr>
          <w:p>
            <w:pPr>
              <w:pStyle w:val="TableParagraph"/>
              <w:spacing w:before="138"/>
              <w:ind w:right="95"/>
              <w:jc w:val="right"/>
              <w:rPr>
                <w:sz w:val="21"/>
              </w:rPr>
            </w:pPr>
            <w:r>
              <w:rPr>
                <w:w w:val="100"/>
                <w:sz w:val="21"/>
              </w:rPr>
              <w:t>-</w:t>
            </w:r>
          </w:p>
        </w:tc>
      </w:tr>
      <w:tr>
        <w:trPr>
          <w:trHeight w:val="496" w:hRule="atLeast"/>
        </w:trPr>
        <w:tc>
          <w:tcPr>
            <w:tcW w:w="1111" w:type="dxa"/>
          </w:tcPr>
          <w:p>
            <w:pPr>
              <w:pStyle w:val="TableParagraph"/>
              <w:spacing w:before="136"/>
              <w:ind w:left="23"/>
              <w:jc w:val="center"/>
              <w:rPr>
                <w:sz w:val="21"/>
              </w:rPr>
            </w:pPr>
            <w:r>
              <w:rPr>
                <w:w w:val="100"/>
                <w:sz w:val="21"/>
              </w:rPr>
              <w:t>3</w:t>
            </w:r>
          </w:p>
        </w:tc>
        <w:tc>
          <w:tcPr>
            <w:tcW w:w="2535" w:type="dxa"/>
          </w:tcPr>
          <w:p>
            <w:pPr>
              <w:pStyle w:val="TableParagraph"/>
              <w:spacing w:before="130"/>
              <w:ind w:left="119"/>
              <w:rPr>
                <w:rFonts w:ascii="宋体" w:eastAsia="宋体" w:hint="eastAsia"/>
                <w:sz w:val="21"/>
              </w:rPr>
            </w:pPr>
            <w:r>
              <w:rPr>
                <w:rFonts w:ascii="宋体" w:eastAsia="宋体" w:hint="eastAsia"/>
                <w:sz w:val="21"/>
              </w:rPr>
              <w:t>应收股利</w:t>
            </w:r>
          </w:p>
        </w:tc>
        <w:tc>
          <w:tcPr>
            <w:tcW w:w="4719" w:type="dxa"/>
          </w:tcPr>
          <w:p>
            <w:pPr>
              <w:pStyle w:val="TableParagraph"/>
              <w:spacing w:before="136"/>
              <w:ind w:right="95"/>
              <w:jc w:val="right"/>
              <w:rPr>
                <w:sz w:val="21"/>
              </w:rPr>
            </w:pPr>
            <w:r>
              <w:rPr>
                <w:w w:val="100"/>
                <w:sz w:val="21"/>
              </w:rPr>
              <w:t>-</w:t>
            </w:r>
          </w:p>
        </w:tc>
      </w:tr>
      <w:tr>
        <w:trPr>
          <w:trHeight w:val="496" w:hRule="atLeast"/>
        </w:trPr>
        <w:tc>
          <w:tcPr>
            <w:tcW w:w="1111" w:type="dxa"/>
          </w:tcPr>
          <w:p>
            <w:pPr>
              <w:pStyle w:val="TableParagraph"/>
              <w:spacing w:before="136"/>
              <w:ind w:left="23"/>
              <w:jc w:val="center"/>
              <w:rPr>
                <w:sz w:val="21"/>
              </w:rPr>
            </w:pPr>
            <w:r>
              <w:rPr>
                <w:w w:val="100"/>
                <w:sz w:val="21"/>
              </w:rPr>
              <w:t>4</w:t>
            </w:r>
          </w:p>
        </w:tc>
        <w:tc>
          <w:tcPr>
            <w:tcW w:w="2535" w:type="dxa"/>
          </w:tcPr>
          <w:p>
            <w:pPr>
              <w:pStyle w:val="TableParagraph"/>
              <w:spacing w:before="130"/>
              <w:ind w:left="119"/>
              <w:rPr>
                <w:rFonts w:ascii="宋体" w:eastAsia="宋体" w:hint="eastAsia"/>
                <w:sz w:val="21"/>
              </w:rPr>
            </w:pPr>
            <w:r>
              <w:rPr>
                <w:rFonts w:ascii="宋体" w:eastAsia="宋体" w:hint="eastAsia"/>
                <w:sz w:val="21"/>
              </w:rPr>
              <w:t>应收利息</w:t>
            </w:r>
          </w:p>
        </w:tc>
        <w:tc>
          <w:tcPr>
            <w:tcW w:w="4719" w:type="dxa"/>
          </w:tcPr>
          <w:p>
            <w:pPr>
              <w:pStyle w:val="TableParagraph"/>
              <w:spacing w:before="136"/>
              <w:ind w:right="94"/>
              <w:jc w:val="right"/>
              <w:rPr>
                <w:sz w:val="21"/>
              </w:rPr>
            </w:pPr>
            <w:r>
              <w:rPr>
                <w:sz w:val="21"/>
              </w:rPr>
              <w:t>3,844.66</w:t>
            </w:r>
          </w:p>
        </w:tc>
      </w:tr>
      <w:tr>
        <w:trPr>
          <w:trHeight w:val="496" w:hRule="atLeast"/>
        </w:trPr>
        <w:tc>
          <w:tcPr>
            <w:tcW w:w="1111" w:type="dxa"/>
          </w:tcPr>
          <w:p>
            <w:pPr>
              <w:pStyle w:val="TableParagraph"/>
              <w:spacing w:before="136"/>
              <w:ind w:left="23"/>
              <w:jc w:val="center"/>
              <w:rPr>
                <w:sz w:val="21"/>
              </w:rPr>
            </w:pPr>
            <w:r>
              <w:rPr>
                <w:w w:val="100"/>
                <w:sz w:val="21"/>
              </w:rPr>
              <w:t>5</w:t>
            </w:r>
          </w:p>
        </w:tc>
        <w:tc>
          <w:tcPr>
            <w:tcW w:w="2535" w:type="dxa"/>
          </w:tcPr>
          <w:p>
            <w:pPr>
              <w:pStyle w:val="TableParagraph"/>
              <w:spacing w:before="130"/>
              <w:ind w:left="119"/>
              <w:rPr>
                <w:rFonts w:ascii="宋体" w:eastAsia="宋体" w:hint="eastAsia"/>
                <w:sz w:val="21"/>
              </w:rPr>
            </w:pPr>
            <w:r>
              <w:rPr>
                <w:rFonts w:ascii="宋体" w:eastAsia="宋体" w:hint="eastAsia"/>
                <w:sz w:val="21"/>
              </w:rPr>
              <w:t>应收申购款</w:t>
            </w:r>
          </w:p>
        </w:tc>
        <w:tc>
          <w:tcPr>
            <w:tcW w:w="4719" w:type="dxa"/>
          </w:tcPr>
          <w:p>
            <w:pPr>
              <w:pStyle w:val="TableParagraph"/>
              <w:spacing w:before="136"/>
              <w:ind w:right="95"/>
              <w:jc w:val="right"/>
              <w:rPr>
                <w:sz w:val="21"/>
              </w:rPr>
            </w:pPr>
            <w:r>
              <w:rPr>
                <w:sz w:val="21"/>
              </w:rPr>
              <w:t>5,895,621.13</w:t>
            </w:r>
          </w:p>
        </w:tc>
      </w:tr>
      <w:tr>
        <w:trPr>
          <w:trHeight w:val="499" w:hRule="atLeast"/>
        </w:trPr>
        <w:tc>
          <w:tcPr>
            <w:tcW w:w="1111" w:type="dxa"/>
          </w:tcPr>
          <w:p>
            <w:pPr>
              <w:pStyle w:val="TableParagraph"/>
              <w:spacing w:before="138"/>
              <w:ind w:left="23"/>
              <w:jc w:val="center"/>
              <w:rPr>
                <w:sz w:val="21"/>
              </w:rPr>
            </w:pPr>
            <w:r>
              <w:rPr>
                <w:w w:val="100"/>
                <w:sz w:val="21"/>
              </w:rPr>
              <w:t>6</w:t>
            </w:r>
          </w:p>
        </w:tc>
        <w:tc>
          <w:tcPr>
            <w:tcW w:w="2535" w:type="dxa"/>
          </w:tcPr>
          <w:p>
            <w:pPr>
              <w:pStyle w:val="TableParagraph"/>
              <w:spacing w:before="133"/>
              <w:ind w:left="119"/>
              <w:rPr>
                <w:rFonts w:ascii="宋体" w:eastAsia="宋体" w:hint="eastAsia"/>
                <w:sz w:val="21"/>
              </w:rPr>
            </w:pPr>
            <w:r>
              <w:rPr>
                <w:rFonts w:ascii="宋体" w:eastAsia="宋体" w:hint="eastAsia"/>
                <w:sz w:val="21"/>
              </w:rPr>
              <w:t>其他应收款</w:t>
            </w:r>
          </w:p>
        </w:tc>
        <w:tc>
          <w:tcPr>
            <w:tcW w:w="4719" w:type="dxa"/>
          </w:tcPr>
          <w:p>
            <w:pPr>
              <w:pStyle w:val="TableParagraph"/>
              <w:spacing w:before="138"/>
              <w:ind w:right="95"/>
              <w:jc w:val="right"/>
              <w:rPr>
                <w:sz w:val="21"/>
              </w:rPr>
            </w:pPr>
            <w:r>
              <w:rPr>
                <w:w w:val="100"/>
                <w:sz w:val="21"/>
              </w:rPr>
              <w:t>-</w:t>
            </w:r>
          </w:p>
        </w:tc>
      </w:tr>
      <w:tr>
        <w:trPr>
          <w:trHeight w:val="496" w:hRule="atLeast"/>
        </w:trPr>
        <w:tc>
          <w:tcPr>
            <w:tcW w:w="1111" w:type="dxa"/>
          </w:tcPr>
          <w:p>
            <w:pPr>
              <w:pStyle w:val="TableParagraph"/>
              <w:spacing w:before="136"/>
              <w:ind w:left="23"/>
              <w:jc w:val="center"/>
              <w:rPr>
                <w:sz w:val="21"/>
              </w:rPr>
            </w:pPr>
            <w:r>
              <w:rPr>
                <w:w w:val="100"/>
                <w:sz w:val="21"/>
              </w:rPr>
              <w:t>7</w:t>
            </w:r>
          </w:p>
        </w:tc>
        <w:tc>
          <w:tcPr>
            <w:tcW w:w="2535" w:type="dxa"/>
          </w:tcPr>
          <w:p>
            <w:pPr>
              <w:pStyle w:val="TableParagraph"/>
              <w:spacing w:before="130"/>
              <w:ind w:left="119"/>
              <w:rPr>
                <w:rFonts w:ascii="宋体" w:eastAsia="宋体" w:hint="eastAsia"/>
                <w:sz w:val="21"/>
              </w:rPr>
            </w:pPr>
            <w:r>
              <w:rPr>
                <w:rFonts w:ascii="宋体" w:eastAsia="宋体" w:hint="eastAsia"/>
                <w:sz w:val="21"/>
              </w:rPr>
              <w:t>待摊费用</w:t>
            </w:r>
          </w:p>
        </w:tc>
        <w:tc>
          <w:tcPr>
            <w:tcW w:w="4719" w:type="dxa"/>
          </w:tcPr>
          <w:p>
            <w:pPr>
              <w:pStyle w:val="TableParagraph"/>
              <w:spacing w:before="136"/>
              <w:ind w:right="95"/>
              <w:jc w:val="right"/>
              <w:rPr>
                <w:sz w:val="21"/>
              </w:rPr>
            </w:pPr>
            <w:r>
              <w:rPr>
                <w:w w:val="100"/>
                <w:sz w:val="21"/>
              </w:rPr>
              <w:t>-</w:t>
            </w:r>
          </w:p>
        </w:tc>
      </w:tr>
      <w:tr>
        <w:trPr>
          <w:trHeight w:val="496" w:hRule="atLeast"/>
        </w:trPr>
        <w:tc>
          <w:tcPr>
            <w:tcW w:w="1111" w:type="dxa"/>
          </w:tcPr>
          <w:p>
            <w:pPr>
              <w:pStyle w:val="TableParagraph"/>
              <w:spacing w:before="136"/>
              <w:ind w:left="23"/>
              <w:jc w:val="center"/>
              <w:rPr>
                <w:sz w:val="21"/>
              </w:rPr>
            </w:pPr>
            <w:r>
              <w:rPr>
                <w:w w:val="100"/>
                <w:sz w:val="21"/>
              </w:rPr>
              <w:t>8</w:t>
            </w:r>
          </w:p>
        </w:tc>
        <w:tc>
          <w:tcPr>
            <w:tcW w:w="2535" w:type="dxa"/>
          </w:tcPr>
          <w:p>
            <w:pPr>
              <w:pStyle w:val="TableParagraph"/>
              <w:spacing w:before="130"/>
              <w:ind w:left="119"/>
              <w:rPr>
                <w:rFonts w:ascii="宋体" w:eastAsia="宋体" w:hint="eastAsia"/>
                <w:sz w:val="21"/>
              </w:rPr>
            </w:pPr>
            <w:r>
              <w:rPr>
                <w:rFonts w:ascii="宋体" w:eastAsia="宋体" w:hint="eastAsia"/>
                <w:sz w:val="21"/>
              </w:rPr>
              <w:t>其他</w:t>
            </w:r>
          </w:p>
        </w:tc>
        <w:tc>
          <w:tcPr>
            <w:tcW w:w="4719" w:type="dxa"/>
          </w:tcPr>
          <w:p>
            <w:pPr>
              <w:pStyle w:val="TableParagraph"/>
              <w:spacing w:before="136"/>
              <w:ind w:right="95"/>
              <w:jc w:val="right"/>
              <w:rPr>
                <w:sz w:val="21"/>
              </w:rPr>
            </w:pPr>
            <w:r>
              <w:rPr>
                <w:sz w:val="21"/>
              </w:rPr>
              <w:t>141,454.60</w:t>
            </w:r>
          </w:p>
        </w:tc>
      </w:tr>
      <w:tr>
        <w:trPr>
          <w:trHeight w:val="498" w:hRule="atLeast"/>
        </w:trPr>
        <w:tc>
          <w:tcPr>
            <w:tcW w:w="1111" w:type="dxa"/>
          </w:tcPr>
          <w:p>
            <w:pPr>
              <w:pStyle w:val="TableParagraph"/>
              <w:spacing w:before="136"/>
              <w:ind w:left="23"/>
              <w:jc w:val="center"/>
              <w:rPr>
                <w:sz w:val="21"/>
              </w:rPr>
            </w:pPr>
            <w:r>
              <w:rPr>
                <w:w w:val="100"/>
                <w:sz w:val="21"/>
              </w:rPr>
              <w:t>9</w:t>
            </w:r>
          </w:p>
        </w:tc>
        <w:tc>
          <w:tcPr>
            <w:tcW w:w="2535" w:type="dxa"/>
          </w:tcPr>
          <w:p>
            <w:pPr>
              <w:pStyle w:val="TableParagraph"/>
              <w:spacing w:before="130"/>
              <w:ind w:left="119"/>
              <w:rPr>
                <w:rFonts w:ascii="宋体" w:eastAsia="宋体" w:hint="eastAsia"/>
                <w:sz w:val="21"/>
              </w:rPr>
            </w:pPr>
            <w:r>
              <w:rPr>
                <w:rFonts w:ascii="宋体" w:eastAsia="宋体" w:hint="eastAsia"/>
                <w:sz w:val="21"/>
              </w:rPr>
              <w:t>合计</w:t>
            </w:r>
          </w:p>
        </w:tc>
        <w:tc>
          <w:tcPr>
            <w:tcW w:w="4719" w:type="dxa"/>
          </w:tcPr>
          <w:p>
            <w:pPr>
              <w:pStyle w:val="TableParagraph"/>
              <w:spacing w:before="136"/>
              <w:ind w:right="95"/>
              <w:jc w:val="right"/>
              <w:rPr>
                <w:sz w:val="21"/>
              </w:rPr>
            </w:pPr>
            <w:r>
              <w:rPr>
                <w:sz w:val="21"/>
              </w:rPr>
              <w:t>6,060,963.91</w:t>
            </w:r>
          </w:p>
        </w:tc>
      </w:tr>
    </w:tbl>
    <w:p>
      <w:pPr>
        <w:pStyle w:val="ListParagraph"/>
        <w:numPr>
          <w:ilvl w:val="2"/>
          <w:numId w:val="24"/>
        </w:numPr>
        <w:tabs>
          <w:tab w:pos="746" w:val="left" w:leader="none"/>
        </w:tabs>
        <w:spacing w:line="240" w:lineRule="auto" w:before="100" w:after="0"/>
        <w:ind w:left="746" w:right="0" w:hanging="586"/>
        <w:jc w:val="both"/>
        <w:rPr>
          <w:sz w:val="21"/>
        </w:rPr>
      </w:pPr>
      <w:r>
        <w:rPr>
          <w:spacing w:val="-3"/>
          <w:sz w:val="21"/>
        </w:rPr>
        <w:t>报告期末持有的处于转股期的可转换债券明细</w:t>
      </w:r>
    </w:p>
    <w:p>
      <w:pPr>
        <w:pStyle w:val="BodyText"/>
        <w:spacing w:before="6"/>
        <w:rPr>
          <w:sz w:val="15"/>
        </w:rPr>
      </w:pPr>
    </w:p>
    <w:p>
      <w:pPr>
        <w:pStyle w:val="BodyText"/>
        <w:spacing w:before="1"/>
        <w:ind w:left="580"/>
      </w:pPr>
      <w:r>
        <w:rPr/>
        <w:t>本基金本报告期末未持有处于转股期的可转换债券。</w:t>
      </w:r>
    </w:p>
    <w:p>
      <w:pPr>
        <w:pStyle w:val="BodyText"/>
        <w:spacing w:before="6"/>
        <w:rPr>
          <w:sz w:val="15"/>
        </w:rPr>
      </w:pPr>
    </w:p>
    <w:p>
      <w:pPr>
        <w:pStyle w:val="ListParagraph"/>
        <w:numPr>
          <w:ilvl w:val="2"/>
          <w:numId w:val="24"/>
        </w:numPr>
        <w:tabs>
          <w:tab w:pos="746" w:val="left" w:leader="none"/>
        </w:tabs>
        <w:spacing w:line="240" w:lineRule="auto" w:before="0" w:after="0"/>
        <w:ind w:left="746" w:right="0" w:hanging="586"/>
        <w:jc w:val="both"/>
        <w:rPr>
          <w:sz w:val="21"/>
        </w:rPr>
      </w:pPr>
      <w:r>
        <w:rPr>
          <w:spacing w:val="-3"/>
          <w:sz w:val="21"/>
        </w:rPr>
        <w:t>报告期末前十名股票中存在流通受限情况的说明</w:t>
      </w:r>
    </w:p>
    <w:p>
      <w:pPr>
        <w:pStyle w:val="BodyText"/>
        <w:spacing w:before="7"/>
        <w:rPr>
          <w:sz w:val="15"/>
        </w:rPr>
      </w:pPr>
    </w:p>
    <w:p>
      <w:pPr>
        <w:pStyle w:val="BodyText"/>
        <w:ind w:left="580"/>
      </w:pPr>
      <w:r>
        <w:rPr/>
        <w:t>本基金本报告期末前十名股票中不存在流通受限情况。</w:t>
      </w:r>
    </w:p>
    <w:p>
      <w:pPr>
        <w:spacing w:after="0"/>
        <w:sectPr>
          <w:pgSz w:w="11910" w:h="16840"/>
          <w:pgMar w:header="877" w:footer="995" w:top="1420" w:bottom="1180" w:left="1640" w:right="920"/>
        </w:sectPr>
      </w:pPr>
    </w:p>
    <w:p>
      <w:pPr>
        <w:pStyle w:val="ListParagraph"/>
        <w:numPr>
          <w:ilvl w:val="2"/>
          <w:numId w:val="24"/>
        </w:numPr>
        <w:tabs>
          <w:tab w:pos="746" w:val="left" w:leader="none"/>
        </w:tabs>
        <w:spacing w:line="240" w:lineRule="auto" w:before="110" w:after="0"/>
        <w:ind w:left="746" w:right="0" w:hanging="586"/>
        <w:jc w:val="left"/>
        <w:rPr>
          <w:sz w:val="21"/>
        </w:rPr>
      </w:pPr>
      <w:r>
        <w:rPr>
          <w:spacing w:val="-3"/>
          <w:sz w:val="21"/>
        </w:rPr>
        <w:t>投资组合报告附注的其他文字描述部分</w:t>
      </w:r>
    </w:p>
    <w:p>
      <w:pPr>
        <w:pStyle w:val="BodyText"/>
        <w:spacing w:before="6"/>
        <w:rPr>
          <w:sz w:val="15"/>
        </w:rPr>
      </w:pPr>
    </w:p>
    <w:p>
      <w:pPr>
        <w:pStyle w:val="BodyText"/>
        <w:ind w:left="580"/>
      </w:pPr>
      <w:r>
        <w:rPr/>
        <w:t>由于四舍五入的原因，分项之和与合计项之间可能存在尾差。</w:t>
      </w:r>
    </w:p>
    <w:p>
      <w:pPr>
        <w:spacing w:after="0"/>
        <w:sectPr>
          <w:pgSz w:w="11910" w:h="16840"/>
          <w:pgMar w:header="877" w:footer="995" w:top="1420" w:bottom="1180" w:left="1640" w:right="920"/>
        </w:sectPr>
      </w:pPr>
    </w:p>
    <w:p>
      <w:pPr>
        <w:pStyle w:val="BodyText"/>
        <w:spacing w:before="7"/>
        <w:rPr>
          <w:sz w:val="29"/>
        </w:rPr>
      </w:pPr>
    </w:p>
    <w:p>
      <w:pPr>
        <w:pStyle w:val="Heading1"/>
      </w:pPr>
      <w:bookmarkStart w:name="_bookmark9" w:id="10"/>
      <w:bookmarkEnd w:id="10"/>
      <w:r>
        <w:rPr>
          <w:b w:val="0"/>
        </w:rPr>
      </w:r>
      <w:r>
        <w:rPr/>
        <w:t>十、基金的业绩</w:t>
      </w:r>
    </w:p>
    <w:p>
      <w:pPr>
        <w:pStyle w:val="BodyText"/>
        <w:rPr>
          <w:b/>
          <w:sz w:val="20"/>
        </w:rPr>
      </w:pPr>
    </w:p>
    <w:p>
      <w:pPr>
        <w:pStyle w:val="BodyText"/>
        <w:spacing w:before="2"/>
        <w:rPr>
          <w:b/>
        </w:rPr>
      </w:pPr>
    </w:p>
    <w:p>
      <w:pPr>
        <w:pStyle w:val="BodyText"/>
        <w:spacing w:line="417" w:lineRule="auto"/>
        <w:ind w:left="160" w:right="871" w:firstLine="419"/>
        <w:jc w:val="both"/>
      </w:pPr>
      <w:r>
        <w:rPr>
          <w:spacing w:val="-9"/>
        </w:rPr>
        <w:t>基金管理人依照恪尽职守、诚实信用、谨慎勤勉的原则管理和运用基金财产，但不保证</w:t>
      </w:r>
      <w:r>
        <w:rPr>
          <w:spacing w:val="-12"/>
        </w:rPr>
        <w:t>基金一定盈利，也不保证最低收益。基金的过往业绩并不代表其未来表现。投资有风险，投</w:t>
      </w:r>
      <w:r>
        <w:rPr>
          <w:spacing w:val="-6"/>
        </w:rPr>
        <w:t>资者在做出投资决策前应仔细阅读本基金的招募说明书。</w:t>
      </w:r>
    </w:p>
    <w:p>
      <w:pPr>
        <w:pStyle w:val="BodyText"/>
        <w:spacing w:line="417" w:lineRule="auto"/>
        <w:ind w:left="160" w:right="871" w:firstLine="422"/>
      </w:pPr>
      <w:r>
        <w:rPr>
          <w:spacing w:val="-7"/>
        </w:rPr>
        <w:t>下述基金业绩指标不包括持有人认购或交易基金的各项费用，计入费用后实际收益水平</w:t>
      </w:r>
      <w:r>
        <w:rPr>
          <w:spacing w:val="-5"/>
        </w:rPr>
        <w:t>要低于所列数字。</w:t>
      </w:r>
    </w:p>
    <w:p>
      <w:pPr>
        <w:pStyle w:val="BodyText"/>
        <w:ind w:left="160"/>
      </w:pPr>
      <w:r>
        <w:rPr>
          <w:spacing w:val="3"/>
        </w:rPr>
        <w:t>华夏战略新兴成指</w:t>
      </w:r>
      <w:r>
        <w:rPr>
          <w:rFonts w:ascii="Times New Roman" w:eastAsia="Times New Roman"/>
        </w:rPr>
        <w:t>ETF</w:t>
      </w:r>
      <w:r>
        <w:rPr>
          <w:rFonts w:ascii="Times New Roman" w:eastAsia="Times New Roman"/>
          <w:spacing w:val="2"/>
        </w:rPr>
        <w:t> </w:t>
      </w:r>
      <w:r>
        <w:rPr>
          <w:spacing w:val="-15"/>
        </w:rPr>
        <w:t>联接 </w:t>
      </w:r>
      <w:r>
        <w:rPr>
          <w:rFonts w:ascii="Times New Roman" w:eastAsia="Times New Roman"/>
        </w:rPr>
        <w:t>A</w:t>
      </w:r>
      <w:r>
        <w:rPr/>
        <w:t>：</w:t>
      </w:r>
    </w:p>
    <w:p>
      <w:pPr>
        <w:pStyle w:val="BodyText"/>
        <w:spacing w:before="10"/>
        <w:rPr>
          <w:sz w:val="7"/>
        </w:rPr>
      </w:pPr>
    </w:p>
    <w:tbl>
      <w:tblPr>
        <w:tblW w:w="0" w:type="auto"/>
        <w:jc w:val="left"/>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20"/>
        <w:gridCol w:w="1352"/>
        <w:gridCol w:w="1349"/>
        <w:gridCol w:w="1352"/>
        <w:gridCol w:w="1349"/>
        <w:gridCol w:w="1062"/>
        <w:gridCol w:w="992"/>
      </w:tblGrid>
      <w:tr>
        <w:trPr>
          <w:trHeight w:val="935" w:hRule="atLeast"/>
        </w:trPr>
        <w:tc>
          <w:tcPr>
            <w:tcW w:w="1620" w:type="dxa"/>
          </w:tcPr>
          <w:p>
            <w:pPr>
              <w:pStyle w:val="TableParagraph"/>
              <w:spacing w:before="1"/>
              <w:rPr>
                <w:rFonts w:ascii="宋体"/>
                <w:sz w:val="26"/>
              </w:rPr>
            </w:pPr>
          </w:p>
          <w:p>
            <w:pPr>
              <w:pStyle w:val="TableParagraph"/>
              <w:spacing w:before="0"/>
              <w:ind w:left="580" w:right="569"/>
              <w:jc w:val="center"/>
              <w:rPr>
                <w:rFonts w:ascii="宋体" w:eastAsia="宋体" w:hint="eastAsia"/>
                <w:sz w:val="21"/>
              </w:rPr>
            </w:pPr>
            <w:r>
              <w:rPr>
                <w:rFonts w:ascii="宋体" w:eastAsia="宋体" w:hint="eastAsia"/>
                <w:sz w:val="21"/>
              </w:rPr>
              <w:t>阶段</w:t>
            </w:r>
          </w:p>
        </w:tc>
        <w:tc>
          <w:tcPr>
            <w:tcW w:w="1352" w:type="dxa"/>
          </w:tcPr>
          <w:p>
            <w:pPr>
              <w:pStyle w:val="TableParagraph"/>
              <w:spacing w:line="278" w:lineRule="auto" w:before="178"/>
              <w:ind w:left="357" w:right="137" w:hanging="209"/>
              <w:rPr>
                <w:rFonts w:ascii="宋体" w:hAnsi="宋体" w:eastAsia="宋体" w:hint="eastAsia"/>
                <w:sz w:val="21"/>
              </w:rPr>
            </w:pPr>
            <w:r>
              <w:rPr>
                <w:rFonts w:ascii="宋体" w:hAnsi="宋体" w:eastAsia="宋体" w:hint="eastAsia"/>
                <w:sz w:val="21"/>
              </w:rPr>
              <w:t>份额净值增长率①</w:t>
            </w:r>
          </w:p>
        </w:tc>
        <w:tc>
          <w:tcPr>
            <w:tcW w:w="1349" w:type="dxa"/>
          </w:tcPr>
          <w:p>
            <w:pPr>
              <w:pStyle w:val="TableParagraph"/>
              <w:spacing w:line="278" w:lineRule="auto"/>
              <w:ind w:left="145" w:right="137"/>
              <w:jc w:val="center"/>
              <w:rPr>
                <w:rFonts w:ascii="宋体" w:eastAsia="宋体" w:hint="eastAsia"/>
                <w:sz w:val="21"/>
              </w:rPr>
            </w:pPr>
            <w:r>
              <w:rPr>
                <w:rFonts w:ascii="宋体" w:eastAsia="宋体" w:hint="eastAsia"/>
                <w:sz w:val="21"/>
              </w:rPr>
              <w:t>份额净值增长率标准差</w:t>
            </w:r>
          </w:p>
          <w:p>
            <w:pPr>
              <w:pStyle w:val="TableParagraph"/>
              <w:spacing w:line="269" w:lineRule="exact" w:before="0"/>
              <w:ind w:left="4"/>
              <w:jc w:val="center"/>
              <w:rPr>
                <w:rFonts w:ascii="宋体" w:hAnsi="宋体"/>
                <w:sz w:val="21"/>
              </w:rPr>
            </w:pPr>
            <w:r>
              <w:rPr>
                <w:rFonts w:ascii="宋体" w:hAnsi="宋体"/>
                <w:w w:val="100"/>
                <w:sz w:val="21"/>
              </w:rPr>
              <w:t>②</w:t>
            </w:r>
          </w:p>
        </w:tc>
        <w:tc>
          <w:tcPr>
            <w:tcW w:w="1352" w:type="dxa"/>
          </w:tcPr>
          <w:p>
            <w:pPr>
              <w:pStyle w:val="TableParagraph"/>
              <w:spacing w:line="278" w:lineRule="auto" w:before="178"/>
              <w:ind w:left="148" w:right="137"/>
              <w:rPr>
                <w:rFonts w:ascii="宋体" w:hAnsi="宋体" w:eastAsia="宋体" w:hint="eastAsia"/>
                <w:sz w:val="21"/>
              </w:rPr>
            </w:pPr>
            <w:r>
              <w:rPr>
                <w:rFonts w:ascii="宋体" w:hAnsi="宋体" w:eastAsia="宋体" w:hint="eastAsia"/>
                <w:sz w:val="21"/>
              </w:rPr>
              <w:t>业绩比较基准收益率③</w:t>
            </w:r>
          </w:p>
        </w:tc>
        <w:tc>
          <w:tcPr>
            <w:tcW w:w="1349" w:type="dxa"/>
          </w:tcPr>
          <w:p>
            <w:pPr>
              <w:pStyle w:val="TableParagraph"/>
              <w:spacing w:line="278" w:lineRule="auto"/>
              <w:ind w:left="145" w:right="138"/>
              <w:jc w:val="center"/>
              <w:rPr>
                <w:rFonts w:ascii="宋体" w:eastAsia="宋体" w:hint="eastAsia"/>
                <w:sz w:val="21"/>
              </w:rPr>
            </w:pPr>
            <w:r>
              <w:rPr>
                <w:rFonts w:ascii="宋体" w:eastAsia="宋体" w:hint="eastAsia"/>
                <w:sz w:val="21"/>
              </w:rPr>
              <w:t>业绩比较基准收益率标</w:t>
            </w:r>
          </w:p>
          <w:p>
            <w:pPr>
              <w:pStyle w:val="TableParagraph"/>
              <w:spacing w:line="269" w:lineRule="exact" w:before="0"/>
              <w:ind w:left="139" w:right="137"/>
              <w:jc w:val="center"/>
              <w:rPr>
                <w:rFonts w:ascii="宋体" w:hAnsi="宋体" w:eastAsia="宋体" w:hint="eastAsia"/>
                <w:sz w:val="21"/>
              </w:rPr>
            </w:pPr>
            <w:r>
              <w:rPr>
                <w:rFonts w:ascii="宋体" w:hAnsi="宋体" w:eastAsia="宋体" w:hint="eastAsia"/>
                <w:sz w:val="21"/>
              </w:rPr>
              <w:t>准差④</w:t>
            </w:r>
          </w:p>
        </w:tc>
        <w:tc>
          <w:tcPr>
            <w:tcW w:w="1062" w:type="dxa"/>
          </w:tcPr>
          <w:p>
            <w:pPr>
              <w:pStyle w:val="TableParagraph"/>
              <w:spacing w:before="1"/>
              <w:rPr>
                <w:rFonts w:ascii="宋体"/>
                <w:sz w:val="26"/>
              </w:rPr>
            </w:pPr>
          </w:p>
          <w:p>
            <w:pPr>
              <w:pStyle w:val="TableParagraph"/>
              <w:spacing w:before="0"/>
              <w:ind w:left="212"/>
              <w:rPr>
                <w:rFonts w:ascii="宋体" w:hAnsi="宋体" w:eastAsia="宋体" w:hint="eastAsia"/>
                <w:sz w:val="21"/>
              </w:rPr>
            </w:pPr>
            <w:r>
              <w:rPr>
                <w:rFonts w:ascii="宋体" w:hAnsi="宋体" w:eastAsia="宋体" w:hint="eastAsia"/>
                <w:sz w:val="21"/>
              </w:rPr>
              <w:t>①－③</w:t>
            </w:r>
          </w:p>
        </w:tc>
        <w:tc>
          <w:tcPr>
            <w:tcW w:w="992" w:type="dxa"/>
          </w:tcPr>
          <w:p>
            <w:pPr>
              <w:pStyle w:val="TableParagraph"/>
              <w:spacing w:before="1"/>
              <w:rPr>
                <w:rFonts w:ascii="宋体"/>
                <w:sz w:val="26"/>
              </w:rPr>
            </w:pPr>
          </w:p>
          <w:p>
            <w:pPr>
              <w:pStyle w:val="TableParagraph"/>
              <w:spacing w:before="0"/>
              <w:ind w:left="159" w:right="152"/>
              <w:jc w:val="center"/>
              <w:rPr>
                <w:rFonts w:ascii="宋体" w:hAnsi="宋体" w:eastAsia="宋体" w:hint="eastAsia"/>
                <w:sz w:val="21"/>
              </w:rPr>
            </w:pPr>
            <w:r>
              <w:rPr>
                <w:rFonts w:ascii="宋体" w:hAnsi="宋体" w:eastAsia="宋体" w:hint="eastAsia"/>
                <w:sz w:val="21"/>
              </w:rPr>
              <w:t>②－④</w:t>
            </w:r>
          </w:p>
        </w:tc>
      </w:tr>
      <w:tr>
        <w:trPr>
          <w:trHeight w:val="935" w:hRule="atLeast"/>
        </w:trPr>
        <w:tc>
          <w:tcPr>
            <w:tcW w:w="1620" w:type="dxa"/>
          </w:tcPr>
          <w:p>
            <w:pPr>
              <w:pStyle w:val="TableParagraph"/>
              <w:ind w:left="107"/>
              <w:rPr>
                <w:rFonts w:ascii="Times New Roman" w:eastAsia="Times New Roman"/>
                <w:sz w:val="21"/>
              </w:rPr>
            </w:pPr>
            <w:r>
              <w:rPr>
                <w:rFonts w:ascii="Times New Roman" w:eastAsia="Times New Roman"/>
                <w:sz w:val="21"/>
              </w:rPr>
              <w:t>2019 </w:t>
            </w:r>
            <w:r>
              <w:rPr>
                <w:rFonts w:ascii="宋体" w:eastAsia="宋体" w:hint="eastAsia"/>
                <w:sz w:val="21"/>
              </w:rPr>
              <w:t>年 </w:t>
            </w:r>
            <w:r>
              <w:rPr>
                <w:rFonts w:ascii="Times New Roman" w:eastAsia="Times New Roman"/>
                <w:sz w:val="21"/>
              </w:rPr>
              <w:t>6 </w:t>
            </w:r>
            <w:r>
              <w:rPr>
                <w:rFonts w:ascii="宋体" w:eastAsia="宋体" w:hint="eastAsia"/>
                <w:sz w:val="21"/>
              </w:rPr>
              <w:t>月 </w:t>
            </w:r>
            <w:r>
              <w:rPr>
                <w:rFonts w:ascii="Times New Roman" w:eastAsia="Times New Roman"/>
                <w:sz w:val="21"/>
              </w:rPr>
              <w:t>5</w:t>
            </w:r>
          </w:p>
          <w:p>
            <w:pPr>
              <w:pStyle w:val="TableParagraph"/>
              <w:spacing w:before="43"/>
              <w:ind w:left="107"/>
              <w:rPr>
                <w:rFonts w:ascii="Times New Roman" w:eastAsia="Times New Roman"/>
                <w:sz w:val="21"/>
              </w:rPr>
            </w:pPr>
            <w:r>
              <w:rPr>
                <w:rFonts w:ascii="宋体" w:eastAsia="宋体" w:hint="eastAsia"/>
                <w:spacing w:val="-20"/>
                <w:sz w:val="21"/>
              </w:rPr>
              <w:t>日至 </w:t>
            </w:r>
            <w:r>
              <w:rPr>
                <w:rFonts w:ascii="Times New Roman" w:eastAsia="Times New Roman"/>
                <w:sz w:val="21"/>
              </w:rPr>
              <w:t>2019 </w:t>
            </w:r>
            <w:r>
              <w:rPr>
                <w:rFonts w:ascii="宋体" w:eastAsia="宋体" w:hint="eastAsia"/>
                <w:spacing w:val="-30"/>
                <w:sz w:val="21"/>
              </w:rPr>
              <w:t>年 </w:t>
            </w:r>
            <w:r>
              <w:rPr>
                <w:rFonts w:ascii="Times New Roman" w:eastAsia="Times New Roman"/>
                <w:sz w:val="21"/>
              </w:rPr>
              <w:t>12</w:t>
            </w:r>
          </w:p>
          <w:p>
            <w:pPr>
              <w:pStyle w:val="TableParagraph"/>
              <w:spacing w:before="43"/>
              <w:ind w:left="107"/>
              <w:rPr>
                <w:rFonts w:ascii="宋体" w:eastAsia="宋体" w:hint="eastAsia"/>
                <w:sz w:val="21"/>
              </w:rPr>
            </w:pPr>
            <w:r>
              <w:rPr>
                <w:rFonts w:ascii="宋体" w:eastAsia="宋体" w:hint="eastAsia"/>
                <w:sz w:val="21"/>
              </w:rPr>
              <w:t>月 </w:t>
            </w:r>
            <w:r>
              <w:rPr>
                <w:rFonts w:ascii="Times New Roman" w:eastAsia="Times New Roman"/>
                <w:sz w:val="21"/>
              </w:rPr>
              <w:t>31 </w:t>
            </w:r>
            <w:r>
              <w:rPr>
                <w:rFonts w:ascii="宋体" w:eastAsia="宋体" w:hint="eastAsia"/>
                <w:sz w:val="21"/>
              </w:rPr>
              <w:t>日</w:t>
            </w:r>
          </w:p>
        </w:tc>
        <w:tc>
          <w:tcPr>
            <w:tcW w:w="1352" w:type="dxa"/>
          </w:tcPr>
          <w:p>
            <w:pPr>
              <w:pStyle w:val="TableParagraph"/>
              <w:spacing w:before="0"/>
              <w:rPr>
                <w:rFonts w:ascii="宋体"/>
                <w:sz w:val="27"/>
              </w:rPr>
            </w:pPr>
          </w:p>
          <w:p>
            <w:pPr>
              <w:pStyle w:val="TableParagraph"/>
              <w:spacing w:before="0"/>
              <w:ind w:left="350"/>
              <w:rPr>
                <w:rFonts w:ascii="Times New Roman"/>
                <w:sz w:val="21"/>
              </w:rPr>
            </w:pPr>
            <w:r>
              <w:rPr>
                <w:rFonts w:ascii="Times New Roman"/>
                <w:sz w:val="21"/>
              </w:rPr>
              <w:t>22.22%</w:t>
            </w:r>
          </w:p>
        </w:tc>
        <w:tc>
          <w:tcPr>
            <w:tcW w:w="1349" w:type="dxa"/>
          </w:tcPr>
          <w:p>
            <w:pPr>
              <w:pStyle w:val="TableParagraph"/>
              <w:spacing w:before="0"/>
              <w:rPr>
                <w:rFonts w:ascii="宋体"/>
                <w:sz w:val="27"/>
              </w:rPr>
            </w:pPr>
          </w:p>
          <w:p>
            <w:pPr>
              <w:pStyle w:val="TableParagraph"/>
              <w:spacing w:before="0"/>
              <w:ind w:left="400"/>
              <w:rPr>
                <w:rFonts w:ascii="Times New Roman"/>
                <w:sz w:val="21"/>
              </w:rPr>
            </w:pPr>
            <w:r>
              <w:rPr>
                <w:rFonts w:ascii="Times New Roman"/>
                <w:sz w:val="21"/>
              </w:rPr>
              <w:t>0.87%</w:t>
            </w:r>
          </w:p>
        </w:tc>
        <w:tc>
          <w:tcPr>
            <w:tcW w:w="1352" w:type="dxa"/>
          </w:tcPr>
          <w:p>
            <w:pPr>
              <w:pStyle w:val="TableParagraph"/>
              <w:spacing w:before="0"/>
              <w:rPr>
                <w:rFonts w:ascii="宋体"/>
                <w:sz w:val="27"/>
              </w:rPr>
            </w:pPr>
          </w:p>
          <w:p>
            <w:pPr>
              <w:pStyle w:val="TableParagraph"/>
              <w:spacing w:before="0"/>
              <w:ind w:left="331" w:right="322"/>
              <w:jc w:val="center"/>
              <w:rPr>
                <w:rFonts w:ascii="Times New Roman"/>
                <w:sz w:val="21"/>
              </w:rPr>
            </w:pPr>
            <w:r>
              <w:rPr>
                <w:rFonts w:ascii="Times New Roman"/>
                <w:sz w:val="21"/>
              </w:rPr>
              <w:t>24.72%</w:t>
            </w:r>
          </w:p>
        </w:tc>
        <w:tc>
          <w:tcPr>
            <w:tcW w:w="1349" w:type="dxa"/>
          </w:tcPr>
          <w:p>
            <w:pPr>
              <w:pStyle w:val="TableParagraph"/>
              <w:spacing w:before="0"/>
              <w:rPr>
                <w:rFonts w:ascii="宋体"/>
                <w:sz w:val="27"/>
              </w:rPr>
            </w:pPr>
          </w:p>
          <w:p>
            <w:pPr>
              <w:pStyle w:val="TableParagraph"/>
              <w:spacing w:before="0"/>
              <w:ind w:left="142" w:right="137"/>
              <w:jc w:val="center"/>
              <w:rPr>
                <w:rFonts w:ascii="Times New Roman"/>
                <w:sz w:val="21"/>
              </w:rPr>
            </w:pPr>
            <w:r>
              <w:rPr>
                <w:rFonts w:ascii="Times New Roman"/>
                <w:sz w:val="21"/>
              </w:rPr>
              <w:t>1.07%</w:t>
            </w:r>
          </w:p>
        </w:tc>
        <w:tc>
          <w:tcPr>
            <w:tcW w:w="1062" w:type="dxa"/>
          </w:tcPr>
          <w:p>
            <w:pPr>
              <w:pStyle w:val="TableParagraph"/>
              <w:spacing w:before="0"/>
              <w:rPr>
                <w:rFonts w:ascii="宋体"/>
                <w:sz w:val="27"/>
              </w:rPr>
            </w:pPr>
          </w:p>
          <w:p>
            <w:pPr>
              <w:pStyle w:val="TableParagraph"/>
              <w:spacing w:before="0"/>
              <w:ind w:left="222"/>
              <w:rPr>
                <w:rFonts w:ascii="Times New Roman"/>
                <w:sz w:val="21"/>
              </w:rPr>
            </w:pPr>
            <w:r>
              <w:rPr>
                <w:rFonts w:ascii="Times New Roman"/>
                <w:sz w:val="21"/>
              </w:rPr>
              <w:t>-2.50%</w:t>
            </w:r>
          </w:p>
        </w:tc>
        <w:tc>
          <w:tcPr>
            <w:tcW w:w="992" w:type="dxa"/>
          </w:tcPr>
          <w:p>
            <w:pPr>
              <w:pStyle w:val="TableParagraph"/>
              <w:spacing w:before="0"/>
              <w:rPr>
                <w:rFonts w:ascii="宋体"/>
                <w:sz w:val="27"/>
              </w:rPr>
            </w:pPr>
          </w:p>
          <w:p>
            <w:pPr>
              <w:pStyle w:val="TableParagraph"/>
              <w:spacing w:before="0"/>
              <w:ind w:left="158" w:right="152"/>
              <w:jc w:val="center"/>
              <w:rPr>
                <w:rFonts w:ascii="Times New Roman"/>
                <w:sz w:val="21"/>
              </w:rPr>
            </w:pPr>
            <w:r>
              <w:rPr>
                <w:rFonts w:ascii="Times New Roman"/>
                <w:sz w:val="21"/>
              </w:rPr>
              <w:t>-0.20%</w:t>
            </w:r>
          </w:p>
        </w:tc>
      </w:tr>
      <w:tr>
        <w:trPr>
          <w:trHeight w:val="938" w:hRule="atLeast"/>
        </w:trPr>
        <w:tc>
          <w:tcPr>
            <w:tcW w:w="1620" w:type="dxa"/>
          </w:tcPr>
          <w:p>
            <w:pPr>
              <w:pStyle w:val="TableParagraph"/>
              <w:spacing w:before="25"/>
              <w:ind w:left="107"/>
              <w:rPr>
                <w:rFonts w:ascii="Times New Roman" w:eastAsia="Times New Roman"/>
                <w:sz w:val="21"/>
              </w:rPr>
            </w:pPr>
            <w:r>
              <w:rPr>
                <w:rFonts w:ascii="Times New Roman" w:eastAsia="Times New Roman"/>
                <w:sz w:val="21"/>
              </w:rPr>
              <w:t>2020 </w:t>
            </w:r>
            <w:r>
              <w:rPr>
                <w:rFonts w:ascii="宋体" w:eastAsia="宋体" w:hint="eastAsia"/>
                <w:sz w:val="21"/>
              </w:rPr>
              <w:t>年 </w:t>
            </w:r>
            <w:r>
              <w:rPr>
                <w:rFonts w:ascii="Times New Roman" w:eastAsia="Times New Roman"/>
                <w:sz w:val="21"/>
              </w:rPr>
              <w:t>1 </w:t>
            </w:r>
            <w:r>
              <w:rPr>
                <w:rFonts w:ascii="宋体" w:eastAsia="宋体" w:hint="eastAsia"/>
                <w:sz w:val="21"/>
              </w:rPr>
              <w:t>月 </w:t>
            </w:r>
            <w:r>
              <w:rPr>
                <w:rFonts w:ascii="Times New Roman" w:eastAsia="Times New Roman"/>
                <w:sz w:val="21"/>
              </w:rPr>
              <w:t>1</w:t>
            </w:r>
          </w:p>
          <w:p>
            <w:pPr>
              <w:pStyle w:val="TableParagraph"/>
              <w:spacing w:before="43"/>
              <w:ind w:left="107"/>
              <w:rPr>
                <w:rFonts w:ascii="Times New Roman" w:eastAsia="Times New Roman"/>
                <w:sz w:val="21"/>
              </w:rPr>
            </w:pPr>
            <w:r>
              <w:rPr>
                <w:rFonts w:ascii="宋体" w:eastAsia="宋体" w:hint="eastAsia"/>
                <w:sz w:val="21"/>
              </w:rPr>
              <w:t>日至 </w:t>
            </w:r>
            <w:r>
              <w:rPr>
                <w:rFonts w:ascii="Times New Roman" w:eastAsia="Times New Roman"/>
                <w:sz w:val="21"/>
              </w:rPr>
              <w:t>2020 </w:t>
            </w:r>
            <w:r>
              <w:rPr>
                <w:rFonts w:ascii="宋体" w:eastAsia="宋体" w:hint="eastAsia"/>
                <w:sz w:val="21"/>
              </w:rPr>
              <w:t>年 </w:t>
            </w:r>
            <w:r>
              <w:rPr>
                <w:rFonts w:ascii="Times New Roman" w:eastAsia="Times New Roman"/>
                <w:sz w:val="21"/>
              </w:rPr>
              <w:t>6</w:t>
            </w:r>
          </w:p>
          <w:p>
            <w:pPr>
              <w:pStyle w:val="TableParagraph"/>
              <w:spacing w:before="43"/>
              <w:ind w:left="107"/>
              <w:rPr>
                <w:rFonts w:ascii="宋体" w:eastAsia="宋体" w:hint="eastAsia"/>
                <w:sz w:val="21"/>
              </w:rPr>
            </w:pPr>
            <w:r>
              <w:rPr>
                <w:rFonts w:ascii="宋体" w:eastAsia="宋体" w:hint="eastAsia"/>
                <w:sz w:val="21"/>
              </w:rPr>
              <w:t>月 </w:t>
            </w:r>
            <w:r>
              <w:rPr>
                <w:rFonts w:ascii="Times New Roman" w:eastAsia="Times New Roman"/>
                <w:sz w:val="21"/>
              </w:rPr>
              <w:t>30 </w:t>
            </w:r>
            <w:r>
              <w:rPr>
                <w:rFonts w:ascii="宋体" w:eastAsia="宋体" w:hint="eastAsia"/>
                <w:sz w:val="21"/>
              </w:rPr>
              <w:t>日</w:t>
            </w:r>
          </w:p>
        </w:tc>
        <w:tc>
          <w:tcPr>
            <w:tcW w:w="1352" w:type="dxa"/>
          </w:tcPr>
          <w:p>
            <w:pPr>
              <w:pStyle w:val="TableParagraph"/>
              <w:spacing w:before="2"/>
              <w:rPr>
                <w:rFonts w:ascii="宋体"/>
                <w:sz w:val="27"/>
              </w:rPr>
            </w:pPr>
          </w:p>
          <w:p>
            <w:pPr>
              <w:pStyle w:val="TableParagraph"/>
              <w:spacing w:before="0"/>
              <w:ind w:left="350"/>
              <w:rPr>
                <w:rFonts w:ascii="Times New Roman"/>
                <w:sz w:val="21"/>
              </w:rPr>
            </w:pPr>
            <w:r>
              <w:rPr>
                <w:rFonts w:ascii="Times New Roman"/>
                <w:sz w:val="21"/>
              </w:rPr>
              <w:t>35.08%</w:t>
            </w:r>
          </w:p>
        </w:tc>
        <w:tc>
          <w:tcPr>
            <w:tcW w:w="1349" w:type="dxa"/>
          </w:tcPr>
          <w:p>
            <w:pPr>
              <w:pStyle w:val="TableParagraph"/>
              <w:spacing w:before="2"/>
              <w:rPr>
                <w:rFonts w:ascii="宋体"/>
                <w:sz w:val="27"/>
              </w:rPr>
            </w:pPr>
          </w:p>
          <w:p>
            <w:pPr>
              <w:pStyle w:val="TableParagraph"/>
              <w:spacing w:before="0"/>
              <w:ind w:left="400"/>
              <w:rPr>
                <w:rFonts w:ascii="Times New Roman"/>
                <w:sz w:val="21"/>
              </w:rPr>
            </w:pPr>
            <w:r>
              <w:rPr>
                <w:rFonts w:ascii="Times New Roman"/>
                <w:sz w:val="21"/>
              </w:rPr>
              <w:t>1.78%</w:t>
            </w:r>
          </w:p>
        </w:tc>
        <w:tc>
          <w:tcPr>
            <w:tcW w:w="1352" w:type="dxa"/>
          </w:tcPr>
          <w:p>
            <w:pPr>
              <w:pStyle w:val="TableParagraph"/>
              <w:spacing w:before="2"/>
              <w:rPr>
                <w:rFonts w:ascii="宋体"/>
                <w:sz w:val="27"/>
              </w:rPr>
            </w:pPr>
          </w:p>
          <w:p>
            <w:pPr>
              <w:pStyle w:val="TableParagraph"/>
              <w:spacing w:before="0"/>
              <w:ind w:left="331" w:right="322"/>
              <w:jc w:val="center"/>
              <w:rPr>
                <w:rFonts w:ascii="Times New Roman"/>
                <w:sz w:val="21"/>
              </w:rPr>
            </w:pPr>
            <w:r>
              <w:rPr>
                <w:rFonts w:ascii="Times New Roman"/>
                <w:sz w:val="21"/>
              </w:rPr>
              <w:t>30.85%</w:t>
            </w:r>
          </w:p>
        </w:tc>
        <w:tc>
          <w:tcPr>
            <w:tcW w:w="1349" w:type="dxa"/>
          </w:tcPr>
          <w:p>
            <w:pPr>
              <w:pStyle w:val="TableParagraph"/>
              <w:spacing w:before="2"/>
              <w:rPr>
                <w:rFonts w:ascii="宋体"/>
                <w:sz w:val="27"/>
              </w:rPr>
            </w:pPr>
          </w:p>
          <w:p>
            <w:pPr>
              <w:pStyle w:val="TableParagraph"/>
              <w:spacing w:before="0"/>
              <w:ind w:left="142" w:right="137"/>
              <w:jc w:val="center"/>
              <w:rPr>
                <w:rFonts w:ascii="Times New Roman"/>
                <w:sz w:val="21"/>
              </w:rPr>
            </w:pPr>
            <w:r>
              <w:rPr>
                <w:rFonts w:ascii="Times New Roman"/>
                <w:sz w:val="21"/>
              </w:rPr>
              <w:t>1.84%</w:t>
            </w:r>
          </w:p>
        </w:tc>
        <w:tc>
          <w:tcPr>
            <w:tcW w:w="1062" w:type="dxa"/>
          </w:tcPr>
          <w:p>
            <w:pPr>
              <w:pStyle w:val="TableParagraph"/>
              <w:spacing w:before="2"/>
              <w:rPr>
                <w:rFonts w:ascii="宋体"/>
                <w:sz w:val="27"/>
              </w:rPr>
            </w:pPr>
          </w:p>
          <w:p>
            <w:pPr>
              <w:pStyle w:val="TableParagraph"/>
              <w:spacing w:before="0"/>
              <w:ind w:left="258"/>
              <w:rPr>
                <w:rFonts w:ascii="Times New Roman"/>
                <w:sz w:val="21"/>
              </w:rPr>
            </w:pPr>
            <w:r>
              <w:rPr>
                <w:rFonts w:ascii="Times New Roman"/>
                <w:sz w:val="21"/>
              </w:rPr>
              <w:t>4.23%</w:t>
            </w:r>
          </w:p>
        </w:tc>
        <w:tc>
          <w:tcPr>
            <w:tcW w:w="992" w:type="dxa"/>
          </w:tcPr>
          <w:p>
            <w:pPr>
              <w:pStyle w:val="TableParagraph"/>
              <w:spacing w:before="2"/>
              <w:rPr>
                <w:rFonts w:ascii="宋体"/>
                <w:sz w:val="27"/>
              </w:rPr>
            </w:pPr>
          </w:p>
          <w:p>
            <w:pPr>
              <w:pStyle w:val="TableParagraph"/>
              <w:spacing w:before="0"/>
              <w:ind w:left="158" w:right="152"/>
              <w:jc w:val="center"/>
              <w:rPr>
                <w:rFonts w:ascii="Times New Roman"/>
                <w:sz w:val="21"/>
              </w:rPr>
            </w:pPr>
            <w:r>
              <w:rPr>
                <w:rFonts w:ascii="Times New Roman"/>
                <w:sz w:val="21"/>
              </w:rPr>
              <w:t>-0.06%</w:t>
            </w:r>
          </w:p>
        </w:tc>
      </w:tr>
    </w:tbl>
    <w:p>
      <w:pPr>
        <w:pStyle w:val="BodyText"/>
        <w:spacing w:before="99"/>
        <w:ind w:left="160"/>
      </w:pPr>
      <w:r>
        <w:rPr>
          <w:spacing w:val="3"/>
        </w:rPr>
        <w:t>华夏战略新兴成指</w:t>
      </w:r>
      <w:r>
        <w:rPr>
          <w:rFonts w:ascii="Times New Roman" w:eastAsia="Times New Roman"/>
        </w:rPr>
        <w:t>ETF</w:t>
      </w:r>
      <w:r>
        <w:rPr>
          <w:rFonts w:ascii="Times New Roman" w:eastAsia="Times New Roman"/>
          <w:spacing w:val="2"/>
        </w:rPr>
        <w:t> </w:t>
      </w:r>
      <w:r>
        <w:rPr>
          <w:spacing w:val="-15"/>
        </w:rPr>
        <w:t>联接 </w:t>
      </w:r>
      <w:r>
        <w:rPr>
          <w:rFonts w:ascii="Times New Roman" w:eastAsia="Times New Roman"/>
        </w:rPr>
        <w:t>C</w:t>
      </w:r>
      <w:r>
        <w:rPr/>
        <w:t>：</w:t>
      </w:r>
    </w:p>
    <w:p>
      <w:pPr>
        <w:pStyle w:val="BodyText"/>
        <w:spacing w:before="10"/>
        <w:rPr>
          <w:sz w:val="7"/>
        </w:rPr>
      </w:pPr>
    </w:p>
    <w:tbl>
      <w:tblPr>
        <w:tblW w:w="0" w:type="auto"/>
        <w:jc w:val="left"/>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20"/>
        <w:gridCol w:w="1352"/>
        <w:gridCol w:w="1349"/>
        <w:gridCol w:w="1352"/>
        <w:gridCol w:w="1349"/>
        <w:gridCol w:w="1062"/>
        <w:gridCol w:w="992"/>
      </w:tblGrid>
      <w:tr>
        <w:trPr>
          <w:trHeight w:val="935" w:hRule="atLeast"/>
        </w:trPr>
        <w:tc>
          <w:tcPr>
            <w:tcW w:w="1620" w:type="dxa"/>
          </w:tcPr>
          <w:p>
            <w:pPr>
              <w:pStyle w:val="TableParagraph"/>
              <w:spacing w:before="1"/>
              <w:rPr>
                <w:rFonts w:ascii="宋体"/>
                <w:sz w:val="26"/>
              </w:rPr>
            </w:pPr>
          </w:p>
          <w:p>
            <w:pPr>
              <w:pStyle w:val="TableParagraph"/>
              <w:spacing w:before="0"/>
              <w:ind w:left="580" w:right="569"/>
              <w:jc w:val="center"/>
              <w:rPr>
                <w:rFonts w:ascii="宋体" w:eastAsia="宋体" w:hint="eastAsia"/>
                <w:sz w:val="21"/>
              </w:rPr>
            </w:pPr>
            <w:r>
              <w:rPr>
                <w:rFonts w:ascii="宋体" w:eastAsia="宋体" w:hint="eastAsia"/>
                <w:sz w:val="21"/>
              </w:rPr>
              <w:t>阶段</w:t>
            </w:r>
          </w:p>
        </w:tc>
        <w:tc>
          <w:tcPr>
            <w:tcW w:w="1352" w:type="dxa"/>
          </w:tcPr>
          <w:p>
            <w:pPr>
              <w:pStyle w:val="TableParagraph"/>
              <w:spacing w:line="278" w:lineRule="auto" w:before="178"/>
              <w:ind w:left="357" w:right="137" w:hanging="209"/>
              <w:rPr>
                <w:rFonts w:ascii="宋体" w:hAnsi="宋体" w:eastAsia="宋体" w:hint="eastAsia"/>
                <w:sz w:val="21"/>
              </w:rPr>
            </w:pPr>
            <w:r>
              <w:rPr>
                <w:rFonts w:ascii="宋体" w:hAnsi="宋体" w:eastAsia="宋体" w:hint="eastAsia"/>
                <w:sz w:val="21"/>
              </w:rPr>
              <w:t>份额净值增长率①</w:t>
            </w:r>
          </w:p>
        </w:tc>
        <w:tc>
          <w:tcPr>
            <w:tcW w:w="1349" w:type="dxa"/>
          </w:tcPr>
          <w:p>
            <w:pPr>
              <w:pStyle w:val="TableParagraph"/>
              <w:spacing w:line="278" w:lineRule="auto"/>
              <w:ind w:left="145" w:right="137"/>
              <w:jc w:val="center"/>
              <w:rPr>
                <w:rFonts w:ascii="宋体" w:eastAsia="宋体" w:hint="eastAsia"/>
                <w:sz w:val="21"/>
              </w:rPr>
            </w:pPr>
            <w:r>
              <w:rPr>
                <w:rFonts w:ascii="宋体" w:eastAsia="宋体" w:hint="eastAsia"/>
                <w:sz w:val="21"/>
              </w:rPr>
              <w:t>份额净值增长率标准差</w:t>
            </w:r>
          </w:p>
          <w:p>
            <w:pPr>
              <w:pStyle w:val="TableParagraph"/>
              <w:spacing w:line="269" w:lineRule="exact" w:before="0"/>
              <w:ind w:left="4"/>
              <w:jc w:val="center"/>
              <w:rPr>
                <w:rFonts w:ascii="宋体" w:hAnsi="宋体"/>
                <w:sz w:val="21"/>
              </w:rPr>
            </w:pPr>
            <w:r>
              <w:rPr>
                <w:rFonts w:ascii="宋体" w:hAnsi="宋体"/>
                <w:w w:val="100"/>
                <w:sz w:val="21"/>
              </w:rPr>
              <w:t>②</w:t>
            </w:r>
          </w:p>
        </w:tc>
        <w:tc>
          <w:tcPr>
            <w:tcW w:w="1352" w:type="dxa"/>
          </w:tcPr>
          <w:p>
            <w:pPr>
              <w:pStyle w:val="TableParagraph"/>
              <w:spacing w:line="278" w:lineRule="auto" w:before="178"/>
              <w:ind w:left="148" w:right="137"/>
              <w:rPr>
                <w:rFonts w:ascii="宋体" w:hAnsi="宋体" w:eastAsia="宋体" w:hint="eastAsia"/>
                <w:sz w:val="21"/>
              </w:rPr>
            </w:pPr>
            <w:r>
              <w:rPr>
                <w:rFonts w:ascii="宋体" w:hAnsi="宋体" w:eastAsia="宋体" w:hint="eastAsia"/>
                <w:sz w:val="21"/>
              </w:rPr>
              <w:t>业绩比较基准收益率③</w:t>
            </w:r>
          </w:p>
        </w:tc>
        <w:tc>
          <w:tcPr>
            <w:tcW w:w="1349" w:type="dxa"/>
          </w:tcPr>
          <w:p>
            <w:pPr>
              <w:pStyle w:val="TableParagraph"/>
              <w:spacing w:line="278" w:lineRule="auto"/>
              <w:ind w:left="145" w:right="138"/>
              <w:jc w:val="center"/>
              <w:rPr>
                <w:rFonts w:ascii="宋体" w:eastAsia="宋体" w:hint="eastAsia"/>
                <w:sz w:val="21"/>
              </w:rPr>
            </w:pPr>
            <w:r>
              <w:rPr>
                <w:rFonts w:ascii="宋体" w:eastAsia="宋体" w:hint="eastAsia"/>
                <w:sz w:val="21"/>
              </w:rPr>
              <w:t>业绩比较基准收益率标</w:t>
            </w:r>
          </w:p>
          <w:p>
            <w:pPr>
              <w:pStyle w:val="TableParagraph"/>
              <w:spacing w:line="269" w:lineRule="exact" w:before="0"/>
              <w:ind w:left="139" w:right="137"/>
              <w:jc w:val="center"/>
              <w:rPr>
                <w:rFonts w:ascii="宋体" w:hAnsi="宋体" w:eastAsia="宋体" w:hint="eastAsia"/>
                <w:sz w:val="21"/>
              </w:rPr>
            </w:pPr>
            <w:r>
              <w:rPr>
                <w:rFonts w:ascii="宋体" w:hAnsi="宋体" w:eastAsia="宋体" w:hint="eastAsia"/>
                <w:sz w:val="21"/>
              </w:rPr>
              <w:t>准差④</w:t>
            </w:r>
          </w:p>
        </w:tc>
        <w:tc>
          <w:tcPr>
            <w:tcW w:w="1062" w:type="dxa"/>
          </w:tcPr>
          <w:p>
            <w:pPr>
              <w:pStyle w:val="TableParagraph"/>
              <w:spacing w:before="1"/>
              <w:rPr>
                <w:rFonts w:ascii="宋体"/>
                <w:sz w:val="26"/>
              </w:rPr>
            </w:pPr>
          </w:p>
          <w:p>
            <w:pPr>
              <w:pStyle w:val="TableParagraph"/>
              <w:spacing w:before="0"/>
              <w:ind w:left="212"/>
              <w:rPr>
                <w:rFonts w:ascii="宋体" w:hAnsi="宋体" w:eastAsia="宋体" w:hint="eastAsia"/>
                <w:sz w:val="21"/>
              </w:rPr>
            </w:pPr>
            <w:r>
              <w:rPr>
                <w:rFonts w:ascii="宋体" w:hAnsi="宋体" w:eastAsia="宋体" w:hint="eastAsia"/>
                <w:sz w:val="21"/>
              </w:rPr>
              <w:t>①－③</w:t>
            </w:r>
          </w:p>
        </w:tc>
        <w:tc>
          <w:tcPr>
            <w:tcW w:w="992" w:type="dxa"/>
          </w:tcPr>
          <w:p>
            <w:pPr>
              <w:pStyle w:val="TableParagraph"/>
              <w:spacing w:before="1"/>
              <w:rPr>
                <w:rFonts w:ascii="宋体"/>
                <w:sz w:val="26"/>
              </w:rPr>
            </w:pPr>
          </w:p>
          <w:p>
            <w:pPr>
              <w:pStyle w:val="TableParagraph"/>
              <w:spacing w:before="0"/>
              <w:ind w:left="159" w:right="152"/>
              <w:jc w:val="center"/>
              <w:rPr>
                <w:rFonts w:ascii="宋体" w:hAnsi="宋体" w:eastAsia="宋体" w:hint="eastAsia"/>
                <w:sz w:val="21"/>
              </w:rPr>
            </w:pPr>
            <w:r>
              <w:rPr>
                <w:rFonts w:ascii="宋体" w:hAnsi="宋体" w:eastAsia="宋体" w:hint="eastAsia"/>
                <w:sz w:val="21"/>
              </w:rPr>
              <w:t>②－④</w:t>
            </w:r>
          </w:p>
        </w:tc>
      </w:tr>
      <w:tr>
        <w:trPr>
          <w:trHeight w:val="935" w:hRule="atLeast"/>
        </w:trPr>
        <w:tc>
          <w:tcPr>
            <w:tcW w:w="1620" w:type="dxa"/>
          </w:tcPr>
          <w:p>
            <w:pPr>
              <w:pStyle w:val="TableParagraph"/>
              <w:ind w:left="107"/>
              <w:rPr>
                <w:rFonts w:ascii="Times New Roman" w:eastAsia="Times New Roman"/>
                <w:sz w:val="21"/>
              </w:rPr>
            </w:pPr>
            <w:r>
              <w:rPr>
                <w:rFonts w:ascii="Times New Roman" w:eastAsia="Times New Roman"/>
                <w:sz w:val="21"/>
              </w:rPr>
              <w:t>2019 </w:t>
            </w:r>
            <w:r>
              <w:rPr>
                <w:rFonts w:ascii="宋体" w:eastAsia="宋体" w:hint="eastAsia"/>
                <w:sz w:val="21"/>
              </w:rPr>
              <w:t>年 </w:t>
            </w:r>
            <w:r>
              <w:rPr>
                <w:rFonts w:ascii="Times New Roman" w:eastAsia="Times New Roman"/>
                <w:sz w:val="21"/>
              </w:rPr>
              <w:t>6 </w:t>
            </w:r>
            <w:r>
              <w:rPr>
                <w:rFonts w:ascii="宋体" w:eastAsia="宋体" w:hint="eastAsia"/>
                <w:sz w:val="21"/>
              </w:rPr>
              <w:t>月 </w:t>
            </w:r>
            <w:r>
              <w:rPr>
                <w:rFonts w:ascii="Times New Roman" w:eastAsia="Times New Roman"/>
                <w:sz w:val="21"/>
              </w:rPr>
              <w:t>5</w:t>
            </w:r>
          </w:p>
          <w:p>
            <w:pPr>
              <w:pStyle w:val="TableParagraph"/>
              <w:spacing w:before="43"/>
              <w:ind w:left="107"/>
              <w:rPr>
                <w:rFonts w:ascii="Times New Roman" w:eastAsia="Times New Roman"/>
                <w:sz w:val="21"/>
              </w:rPr>
            </w:pPr>
            <w:r>
              <w:rPr>
                <w:rFonts w:ascii="宋体" w:eastAsia="宋体" w:hint="eastAsia"/>
                <w:spacing w:val="-20"/>
                <w:sz w:val="21"/>
              </w:rPr>
              <w:t>日至 </w:t>
            </w:r>
            <w:r>
              <w:rPr>
                <w:rFonts w:ascii="Times New Roman" w:eastAsia="Times New Roman"/>
                <w:sz w:val="21"/>
              </w:rPr>
              <w:t>2019 </w:t>
            </w:r>
            <w:r>
              <w:rPr>
                <w:rFonts w:ascii="宋体" w:eastAsia="宋体" w:hint="eastAsia"/>
                <w:spacing w:val="-30"/>
                <w:sz w:val="21"/>
              </w:rPr>
              <w:t>年 </w:t>
            </w:r>
            <w:r>
              <w:rPr>
                <w:rFonts w:ascii="Times New Roman" w:eastAsia="Times New Roman"/>
                <w:sz w:val="21"/>
              </w:rPr>
              <w:t>12</w:t>
            </w:r>
          </w:p>
          <w:p>
            <w:pPr>
              <w:pStyle w:val="TableParagraph"/>
              <w:spacing w:before="43"/>
              <w:ind w:left="107"/>
              <w:rPr>
                <w:rFonts w:ascii="宋体" w:eastAsia="宋体" w:hint="eastAsia"/>
                <w:sz w:val="21"/>
              </w:rPr>
            </w:pPr>
            <w:r>
              <w:rPr>
                <w:rFonts w:ascii="宋体" w:eastAsia="宋体" w:hint="eastAsia"/>
                <w:sz w:val="21"/>
              </w:rPr>
              <w:t>月 </w:t>
            </w:r>
            <w:r>
              <w:rPr>
                <w:rFonts w:ascii="Times New Roman" w:eastAsia="Times New Roman"/>
                <w:sz w:val="21"/>
              </w:rPr>
              <w:t>31 </w:t>
            </w:r>
            <w:r>
              <w:rPr>
                <w:rFonts w:ascii="宋体" w:eastAsia="宋体" w:hint="eastAsia"/>
                <w:sz w:val="21"/>
              </w:rPr>
              <w:t>日</w:t>
            </w:r>
          </w:p>
        </w:tc>
        <w:tc>
          <w:tcPr>
            <w:tcW w:w="1352" w:type="dxa"/>
          </w:tcPr>
          <w:p>
            <w:pPr>
              <w:pStyle w:val="TableParagraph"/>
              <w:spacing w:before="0"/>
              <w:rPr>
                <w:rFonts w:ascii="宋体"/>
                <w:sz w:val="27"/>
              </w:rPr>
            </w:pPr>
          </w:p>
          <w:p>
            <w:pPr>
              <w:pStyle w:val="TableParagraph"/>
              <w:spacing w:before="0"/>
              <w:ind w:left="350"/>
              <w:rPr>
                <w:rFonts w:ascii="Times New Roman"/>
                <w:sz w:val="21"/>
              </w:rPr>
            </w:pPr>
            <w:r>
              <w:rPr>
                <w:rFonts w:ascii="Times New Roman"/>
                <w:sz w:val="21"/>
              </w:rPr>
              <w:t>22.01%</w:t>
            </w:r>
          </w:p>
        </w:tc>
        <w:tc>
          <w:tcPr>
            <w:tcW w:w="1349" w:type="dxa"/>
          </w:tcPr>
          <w:p>
            <w:pPr>
              <w:pStyle w:val="TableParagraph"/>
              <w:spacing w:before="0"/>
              <w:rPr>
                <w:rFonts w:ascii="宋体"/>
                <w:sz w:val="27"/>
              </w:rPr>
            </w:pPr>
          </w:p>
          <w:p>
            <w:pPr>
              <w:pStyle w:val="TableParagraph"/>
              <w:spacing w:before="0"/>
              <w:ind w:left="400"/>
              <w:rPr>
                <w:rFonts w:ascii="Times New Roman"/>
                <w:sz w:val="21"/>
              </w:rPr>
            </w:pPr>
            <w:r>
              <w:rPr>
                <w:rFonts w:ascii="Times New Roman"/>
                <w:sz w:val="21"/>
              </w:rPr>
              <w:t>0.88%</w:t>
            </w:r>
          </w:p>
        </w:tc>
        <w:tc>
          <w:tcPr>
            <w:tcW w:w="1352" w:type="dxa"/>
          </w:tcPr>
          <w:p>
            <w:pPr>
              <w:pStyle w:val="TableParagraph"/>
              <w:spacing w:before="0"/>
              <w:rPr>
                <w:rFonts w:ascii="宋体"/>
                <w:sz w:val="27"/>
              </w:rPr>
            </w:pPr>
          </w:p>
          <w:p>
            <w:pPr>
              <w:pStyle w:val="TableParagraph"/>
              <w:spacing w:before="0"/>
              <w:ind w:left="331" w:right="322"/>
              <w:jc w:val="center"/>
              <w:rPr>
                <w:rFonts w:ascii="Times New Roman"/>
                <w:sz w:val="21"/>
              </w:rPr>
            </w:pPr>
            <w:r>
              <w:rPr>
                <w:rFonts w:ascii="Times New Roman"/>
                <w:sz w:val="21"/>
              </w:rPr>
              <w:t>24.72%</w:t>
            </w:r>
          </w:p>
        </w:tc>
        <w:tc>
          <w:tcPr>
            <w:tcW w:w="1349" w:type="dxa"/>
          </w:tcPr>
          <w:p>
            <w:pPr>
              <w:pStyle w:val="TableParagraph"/>
              <w:spacing w:before="0"/>
              <w:rPr>
                <w:rFonts w:ascii="宋体"/>
                <w:sz w:val="27"/>
              </w:rPr>
            </w:pPr>
          </w:p>
          <w:p>
            <w:pPr>
              <w:pStyle w:val="TableParagraph"/>
              <w:spacing w:before="0"/>
              <w:ind w:left="142" w:right="137"/>
              <w:jc w:val="center"/>
              <w:rPr>
                <w:rFonts w:ascii="Times New Roman"/>
                <w:sz w:val="21"/>
              </w:rPr>
            </w:pPr>
            <w:r>
              <w:rPr>
                <w:rFonts w:ascii="Times New Roman"/>
                <w:sz w:val="21"/>
              </w:rPr>
              <w:t>1.07%</w:t>
            </w:r>
          </w:p>
        </w:tc>
        <w:tc>
          <w:tcPr>
            <w:tcW w:w="1062" w:type="dxa"/>
          </w:tcPr>
          <w:p>
            <w:pPr>
              <w:pStyle w:val="TableParagraph"/>
              <w:spacing w:before="0"/>
              <w:rPr>
                <w:rFonts w:ascii="宋体"/>
                <w:sz w:val="27"/>
              </w:rPr>
            </w:pPr>
          </w:p>
          <w:p>
            <w:pPr>
              <w:pStyle w:val="TableParagraph"/>
              <w:spacing w:before="0"/>
              <w:ind w:left="222"/>
              <w:rPr>
                <w:rFonts w:ascii="Times New Roman"/>
                <w:sz w:val="21"/>
              </w:rPr>
            </w:pPr>
            <w:r>
              <w:rPr>
                <w:rFonts w:ascii="Times New Roman"/>
                <w:sz w:val="21"/>
              </w:rPr>
              <w:t>-2.71%</w:t>
            </w:r>
          </w:p>
        </w:tc>
        <w:tc>
          <w:tcPr>
            <w:tcW w:w="992" w:type="dxa"/>
          </w:tcPr>
          <w:p>
            <w:pPr>
              <w:pStyle w:val="TableParagraph"/>
              <w:spacing w:before="0"/>
              <w:rPr>
                <w:rFonts w:ascii="宋体"/>
                <w:sz w:val="27"/>
              </w:rPr>
            </w:pPr>
          </w:p>
          <w:p>
            <w:pPr>
              <w:pStyle w:val="TableParagraph"/>
              <w:spacing w:before="0"/>
              <w:ind w:left="158" w:right="152"/>
              <w:jc w:val="center"/>
              <w:rPr>
                <w:rFonts w:ascii="Times New Roman"/>
                <w:sz w:val="21"/>
              </w:rPr>
            </w:pPr>
            <w:r>
              <w:rPr>
                <w:rFonts w:ascii="Times New Roman"/>
                <w:sz w:val="21"/>
              </w:rPr>
              <w:t>-0.19%</w:t>
            </w:r>
          </w:p>
        </w:tc>
      </w:tr>
      <w:tr>
        <w:trPr>
          <w:trHeight w:val="936" w:hRule="atLeast"/>
        </w:trPr>
        <w:tc>
          <w:tcPr>
            <w:tcW w:w="1620" w:type="dxa"/>
          </w:tcPr>
          <w:p>
            <w:pPr>
              <w:pStyle w:val="TableParagraph"/>
              <w:ind w:left="107"/>
              <w:rPr>
                <w:rFonts w:ascii="Times New Roman" w:eastAsia="Times New Roman"/>
                <w:sz w:val="21"/>
              </w:rPr>
            </w:pPr>
            <w:r>
              <w:rPr>
                <w:rFonts w:ascii="Times New Roman" w:eastAsia="Times New Roman"/>
                <w:sz w:val="21"/>
              </w:rPr>
              <w:t>2020 </w:t>
            </w:r>
            <w:r>
              <w:rPr>
                <w:rFonts w:ascii="宋体" w:eastAsia="宋体" w:hint="eastAsia"/>
                <w:sz w:val="21"/>
              </w:rPr>
              <w:t>年 </w:t>
            </w:r>
            <w:r>
              <w:rPr>
                <w:rFonts w:ascii="Times New Roman" w:eastAsia="Times New Roman"/>
                <w:sz w:val="21"/>
              </w:rPr>
              <w:t>1 </w:t>
            </w:r>
            <w:r>
              <w:rPr>
                <w:rFonts w:ascii="宋体" w:eastAsia="宋体" w:hint="eastAsia"/>
                <w:sz w:val="21"/>
              </w:rPr>
              <w:t>月 </w:t>
            </w:r>
            <w:r>
              <w:rPr>
                <w:rFonts w:ascii="Times New Roman" w:eastAsia="Times New Roman"/>
                <w:sz w:val="21"/>
              </w:rPr>
              <w:t>1</w:t>
            </w:r>
          </w:p>
          <w:p>
            <w:pPr>
              <w:pStyle w:val="TableParagraph"/>
              <w:spacing w:before="43"/>
              <w:ind w:left="107"/>
              <w:rPr>
                <w:rFonts w:ascii="Times New Roman" w:eastAsia="Times New Roman"/>
                <w:sz w:val="21"/>
              </w:rPr>
            </w:pPr>
            <w:r>
              <w:rPr>
                <w:rFonts w:ascii="宋体" w:eastAsia="宋体" w:hint="eastAsia"/>
                <w:sz w:val="21"/>
              </w:rPr>
              <w:t>日至 </w:t>
            </w:r>
            <w:r>
              <w:rPr>
                <w:rFonts w:ascii="Times New Roman" w:eastAsia="Times New Roman"/>
                <w:sz w:val="21"/>
              </w:rPr>
              <w:t>2020 </w:t>
            </w:r>
            <w:r>
              <w:rPr>
                <w:rFonts w:ascii="宋体" w:eastAsia="宋体" w:hint="eastAsia"/>
                <w:sz w:val="21"/>
              </w:rPr>
              <w:t>年 </w:t>
            </w:r>
            <w:r>
              <w:rPr>
                <w:rFonts w:ascii="Times New Roman" w:eastAsia="Times New Roman"/>
                <w:sz w:val="21"/>
              </w:rPr>
              <w:t>6</w:t>
            </w:r>
          </w:p>
          <w:p>
            <w:pPr>
              <w:pStyle w:val="TableParagraph"/>
              <w:spacing w:before="44"/>
              <w:ind w:left="107"/>
              <w:rPr>
                <w:rFonts w:ascii="宋体" w:eastAsia="宋体" w:hint="eastAsia"/>
                <w:sz w:val="21"/>
              </w:rPr>
            </w:pPr>
            <w:r>
              <w:rPr>
                <w:rFonts w:ascii="宋体" w:eastAsia="宋体" w:hint="eastAsia"/>
                <w:sz w:val="21"/>
              </w:rPr>
              <w:t>月 </w:t>
            </w:r>
            <w:r>
              <w:rPr>
                <w:rFonts w:ascii="Times New Roman" w:eastAsia="Times New Roman"/>
                <w:sz w:val="21"/>
              </w:rPr>
              <w:t>30 </w:t>
            </w:r>
            <w:r>
              <w:rPr>
                <w:rFonts w:ascii="宋体" w:eastAsia="宋体" w:hint="eastAsia"/>
                <w:sz w:val="21"/>
              </w:rPr>
              <w:t>日</w:t>
            </w:r>
          </w:p>
        </w:tc>
        <w:tc>
          <w:tcPr>
            <w:tcW w:w="1352" w:type="dxa"/>
          </w:tcPr>
          <w:p>
            <w:pPr>
              <w:pStyle w:val="TableParagraph"/>
              <w:spacing w:before="0"/>
              <w:rPr>
                <w:rFonts w:ascii="宋体"/>
                <w:sz w:val="27"/>
              </w:rPr>
            </w:pPr>
          </w:p>
          <w:p>
            <w:pPr>
              <w:pStyle w:val="TableParagraph"/>
              <w:spacing w:before="0"/>
              <w:ind w:left="350"/>
              <w:rPr>
                <w:rFonts w:ascii="Times New Roman"/>
                <w:sz w:val="21"/>
              </w:rPr>
            </w:pPr>
            <w:r>
              <w:rPr>
                <w:rFonts w:ascii="Times New Roman"/>
                <w:sz w:val="21"/>
              </w:rPr>
              <w:t>34.88%</w:t>
            </w:r>
          </w:p>
        </w:tc>
        <w:tc>
          <w:tcPr>
            <w:tcW w:w="1349" w:type="dxa"/>
          </w:tcPr>
          <w:p>
            <w:pPr>
              <w:pStyle w:val="TableParagraph"/>
              <w:spacing w:before="0"/>
              <w:rPr>
                <w:rFonts w:ascii="宋体"/>
                <w:sz w:val="27"/>
              </w:rPr>
            </w:pPr>
          </w:p>
          <w:p>
            <w:pPr>
              <w:pStyle w:val="TableParagraph"/>
              <w:spacing w:before="0"/>
              <w:ind w:left="400"/>
              <w:rPr>
                <w:rFonts w:ascii="Times New Roman"/>
                <w:sz w:val="21"/>
              </w:rPr>
            </w:pPr>
            <w:r>
              <w:rPr>
                <w:rFonts w:ascii="Times New Roman"/>
                <w:sz w:val="21"/>
              </w:rPr>
              <w:t>1.78%</w:t>
            </w:r>
          </w:p>
        </w:tc>
        <w:tc>
          <w:tcPr>
            <w:tcW w:w="1352" w:type="dxa"/>
          </w:tcPr>
          <w:p>
            <w:pPr>
              <w:pStyle w:val="TableParagraph"/>
              <w:spacing w:before="0"/>
              <w:rPr>
                <w:rFonts w:ascii="宋体"/>
                <w:sz w:val="27"/>
              </w:rPr>
            </w:pPr>
          </w:p>
          <w:p>
            <w:pPr>
              <w:pStyle w:val="TableParagraph"/>
              <w:spacing w:before="0"/>
              <w:ind w:left="331" w:right="322"/>
              <w:jc w:val="center"/>
              <w:rPr>
                <w:rFonts w:ascii="Times New Roman"/>
                <w:sz w:val="21"/>
              </w:rPr>
            </w:pPr>
            <w:r>
              <w:rPr>
                <w:rFonts w:ascii="Times New Roman"/>
                <w:sz w:val="21"/>
              </w:rPr>
              <w:t>30.85%</w:t>
            </w:r>
          </w:p>
        </w:tc>
        <w:tc>
          <w:tcPr>
            <w:tcW w:w="1349" w:type="dxa"/>
          </w:tcPr>
          <w:p>
            <w:pPr>
              <w:pStyle w:val="TableParagraph"/>
              <w:spacing w:before="0"/>
              <w:rPr>
                <w:rFonts w:ascii="宋体"/>
                <w:sz w:val="27"/>
              </w:rPr>
            </w:pPr>
          </w:p>
          <w:p>
            <w:pPr>
              <w:pStyle w:val="TableParagraph"/>
              <w:spacing w:before="0"/>
              <w:ind w:left="142" w:right="137"/>
              <w:jc w:val="center"/>
              <w:rPr>
                <w:rFonts w:ascii="Times New Roman"/>
                <w:sz w:val="21"/>
              </w:rPr>
            </w:pPr>
            <w:r>
              <w:rPr>
                <w:rFonts w:ascii="Times New Roman"/>
                <w:sz w:val="21"/>
              </w:rPr>
              <w:t>1.84%</w:t>
            </w:r>
          </w:p>
        </w:tc>
        <w:tc>
          <w:tcPr>
            <w:tcW w:w="1062" w:type="dxa"/>
          </w:tcPr>
          <w:p>
            <w:pPr>
              <w:pStyle w:val="TableParagraph"/>
              <w:spacing w:before="0"/>
              <w:rPr>
                <w:rFonts w:ascii="宋体"/>
                <w:sz w:val="27"/>
              </w:rPr>
            </w:pPr>
          </w:p>
          <w:p>
            <w:pPr>
              <w:pStyle w:val="TableParagraph"/>
              <w:spacing w:before="0"/>
              <w:ind w:left="258"/>
              <w:rPr>
                <w:rFonts w:ascii="Times New Roman"/>
                <w:sz w:val="21"/>
              </w:rPr>
            </w:pPr>
            <w:r>
              <w:rPr>
                <w:rFonts w:ascii="Times New Roman"/>
                <w:sz w:val="21"/>
              </w:rPr>
              <w:t>4.03%</w:t>
            </w:r>
          </w:p>
        </w:tc>
        <w:tc>
          <w:tcPr>
            <w:tcW w:w="992" w:type="dxa"/>
          </w:tcPr>
          <w:p>
            <w:pPr>
              <w:pStyle w:val="TableParagraph"/>
              <w:spacing w:before="0"/>
              <w:rPr>
                <w:rFonts w:ascii="宋体"/>
                <w:sz w:val="27"/>
              </w:rPr>
            </w:pPr>
          </w:p>
          <w:p>
            <w:pPr>
              <w:pStyle w:val="TableParagraph"/>
              <w:spacing w:before="0"/>
              <w:ind w:left="158" w:right="152"/>
              <w:jc w:val="center"/>
              <w:rPr>
                <w:rFonts w:ascii="Times New Roman"/>
                <w:sz w:val="21"/>
              </w:rPr>
            </w:pPr>
            <w:r>
              <w:rPr>
                <w:rFonts w:ascii="Times New Roman"/>
                <w:sz w:val="21"/>
              </w:rPr>
              <w:t>-0.06%</w:t>
            </w:r>
          </w:p>
        </w:tc>
      </w:tr>
    </w:tbl>
    <w:p>
      <w:pPr>
        <w:spacing w:after="0"/>
        <w:jc w:val="center"/>
        <w:rPr>
          <w:rFonts w:ascii="Times New Roman"/>
          <w:sz w:val="21"/>
        </w:rPr>
        <w:sectPr>
          <w:pgSz w:w="11910" w:h="16840"/>
          <w:pgMar w:header="877" w:footer="995" w:top="1420" w:bottom="1180" w:left="1640" w:right="920"/>
        </w:sectPr>
      </w:pPr>
    </w:p>
    <w:p>
      <w:pPr>
        <w:pStyle w:val="BodyText"/>
        <w:spacing w:before="7"/>
        <w:rPr>
          <w:sz w:val="29"/>
        </w:rPr>
      </w:pPr>
    </w:p>
    <w:p>
      <w:pPr>
        <w:pStyle w:val="Heading1"/>
      </w:pPr>
      <w:bookmarkStart w:name="_bookmark10" w:id="11"/>
      <w:bookmarkEnd w:id="11"/>
      <w:r>
        <w:rPr>
          <w:b w:val="0"/>
        </w:rPr>
      </w:r>
      <w:r>
        <w:rPr/>
        <w:t>十一、基金的财产</w:t>
      </w:r>
    </w:p>
    <w:p>
      <w:pPr>
        <w:pStyle w:val="BodyText"/>
        <w:rPr>
          <w:b/>
          <w:sz w:val="20"/>
        </w:rPr>
      </w:pPr>
    </w:p>
    <w:p>
      <w:pPr>
        <w:pStyle w:val="BodyText"/>
        <w:spacing w:before="8"/>
        <w:rPr>
          <w:b/>
          <w:sz w:val="15"/>
        </w:rPr>
      </w:pPr>
    </w:p>
    <w:p>
      <w:pPr>
        <w:pStyle w:val="BodyText"/>
        <w:spacing w:before="71"/>
        <w:ind w:left="580"/>
      </w:pPr>
      <w:r>
        <w:rPr/>
        <w:t>（一）基金资产总值</w:t>
      </w:r>
    </w:p>
    <w:p>
      <w:pPr>
        <w:pStyle w:val="BodyText"/>
        <w:spacing w:before="7"/>
        <w:rPr>
          <w:sz w:val="15"/>
        </w:rPr>
      </w:pPr>
    </w:p>
    <w:p>
      <w:pPr>
        <w:pStyle w:val="BodyText"/>
        <w:spacing w:line="417" w:lineRule="auto"/>
        <w:ind w:left="160" w:right="871" w:firstLine="419"/>
      </w:pPr>
      <w:r>
        <w:rPr>
          <w:spacing w:val="-8"/>
        </w:rPr>
        <w:t>基金资产总值是指购买的各类证券及票据价值、银行存款本息和基金应收的申购基金款</w:t>
      </w:r>
      <w:r>
        <w:rPr>
          <w:spacing w:val="-5"/>
        </w:rPr>
        <w:t>以及其他投资所形成的价值总和。</w:t>
      </w:r>
    </w:p>
    <w:p>
      <w:pPr>
        <w:pStyle w:val="BodyText"/>
        <w:spacing w:line="269" w:lineRule="exact"/>
        <w:ind w:left="580"/>
      </w:pPr>
      <w:r>
        <w:rPr/>
        <w:t>（二）基金资产净值</w:t>
      </w:r>
    </w:p>
    <w:p>
      <w:pPr>
        <w:pStyle w:val="BodyText"/>
        <w:spacing w:before="7"/>
        <w:rPr>
          <w:sz w:val="15"/>
        </w:rPr>
      </w:pPr>
    </w:p>
    <w:p>
      <w:pPr>
        <w:pStyle w:val="BodyText"/>
        <w:ind w:left="580"/>
      </w:pPr>
      <w:r>
        <w:rPr/>
        <w:t>基金资产净值是指基金资产总值减去基金负债后的价值。</w:t>
      </w:r>
    </w:p>
    <w:p>
      <w:pPr>
        <w:pStyle w:val="BodyText"/>
        <w:spacing w:before="7"/>
        <w:rPr>
          <w:sz w:val="15"/>
        </w:rPr>
      </w:pPr>
    </w:p>
    <w:p>
      <w:pPr>
        <w:pStyle w:val="BodyText"/>
        <w:ind w:left="580"/>
      </w:pPr>
      <w:r>
        <w:rPr/>
        <w:t>（三）基金财产的账户</w:t>
      </w:r>
    </w:p>
    <w:p>
      <w:pPr>
        <w:pStyle w:val="BodyText"/>
        <w:spacing w:before="7"/>
        <w:rPr>
          <w:sz w:val="15"/>
        </w:rPr>
      </w:pPr>
    </w:p>
    <w:p>
      <w:pPr>
        <w:pStyle w:val="BodyText"/>
        <w:spacing w:line="417" w:lineRule="auto"/>
        <w:ind w:left="160" w:right="871" w:firstLine="419"/>
        <w:jc w:val="both"/>
      </w:pPr>
      <w:r>
        <w:rPr>
          <w:spacing w:val="-9"/>
        </w:rPr>
        <w:t>基金托管人根据相关法律法规、规范性文件为本基金开立资金账户、证券账户以及投资</w:t>
      </w:r>
      <w:r>
        <w:rPr>
          <w:spacing w:val="-10"/>
        </w:rPr>
        <w:t>所需的其他专用账户。开立的基金专用账户与基金管理人、基金托管人、基金销售机构和基</w:t>
      </w:r>
      <w:r>
        <w:rPr>
          <w:spacing w:val="-5"/>
        </w:rPr>
        <w:t>金登记机构自有的财产账户以及其他基金财产账户相独立。</w:t>
      </w:r>
    </w:p>
    <w:p>
      <w:pPr>
        <w:pStyle w:val="BodyText"/>
        <w:spacing w:line="269" w:lineRule="exact"/>
        <w:ind w:left="580"/>
      </w:pPr>
      <w:r>
        <w:rPr/>
        <w:t>（四）基金财产的保管和处分</w:t>
      </w:r>
    </w:p>
    <w:p>
      <w:pPr>
        <w:pStyle w:val="BodyText"/>
        <w:spacing w:before="6"/>
        <w:rPr>
          <w:sz w:val="15"/>
        </w:rPr>
      </w:pPr>
    </w:p>
    <w:p>
      <w:pPr>
        <w:pStyle w:val="BodyText"/>
        <w:spacing w:line="417" w:lineRule="auto" w:before="1"/>
        <w:ind w:left="160" w:right="871" w:firstLine="419"/>
        <w:jc w:val="both"/>
      </w:pPr>
      <w:r>
        <w:rPr>
          <w:spacing w:val="-9"/>
        </w:rPr>
        <w:t>本基金财产独立于基金管理人、基金托管人和基金销售机构的财产，并由基金托管人保</w:t>
      </w:r>
      <w:r>
        <w:rPr>
          <w:spacing w:val="-13"/>
        </w:rPr>
        <w:t>管。基金管理人、基金托管人、基金登记机构和基金销售机构以其自有的财产承担其自身的</w:t>
      </w:r>
      <w:r>
        <w:rPr>
          <w:spacing w:val="-19"/>
        </w:rPr>
        <w:t>法律责任，其债权人不得对本基金财产行使请求冻结、扣押或其他权利。除依法律法规和《基</w:t>
      </w:r>
      <w:r>
        <w:rPr>
          <w:spacing w:val="-8"/>
        </w:rPr>
        <w:t>金合同》的规定处分外，基金财产不得被处分。</w:t>
      </w:r>
    </w:p>
    <w:p>
      <w:pPr>
        <w:pStyle w:val="BodyText"/>
        <w:spacing w:line="417" w:lineRule="auto"/>
        <w:ind w:left="160" w:right="871" w:firstLine="419"/>
        <w:jc w:val="both"/>
      </w:pPr>
      <w:r>
        <w:rPr>
          <w:spacing w:val="-11"/>
        </w:rPr>
        <w:t>基金管理人、基金托管人因依法解散、被依法撤销或者被依法宣告破产等原因进行清算的，基金财产不属于其清算财产。基金管理人管理运作基金财产所产生的债权，不得与其固</w:t>
      </w:r>
      <w:r>
        <w:rPr>
          <w:spacing w:val="-13"/>
        </w:rPr>
        <w:t>有资产产生的债务相互抵销；基金管理人管理运作不同基金的基金财产所产生的债权债务不</w:t>
      </w:r>
      <w:r>
        <w:rPr>
          <w:spacing w:val="-6"/>
        </w:rPr>
        <w:t>得相互抵销。</w:t>
      </w:r>
    </w:p>
    <w:p>
      <w:pPr>
        <w:spacing w:after="0" w:line="417" w:lineRule="auto"/>
        <w:jc w:val="both"/>
        <w:sectPr>
          <w:pgSz w:w="11910" w:h="16840"/>
          <w:pgMar w:header="877" w:footer="995" w:top="1420" w:bottom="1180" w:left="1640" w:right="920"/>
        </w:sectPr>
      </w:pPr>
    </w:p>
    <w:p>
      <w:pPr>
        <w:pStyle w:val="BodyText"/>
        <w:spacing w:before="7"/>
        <w:rPr>
          <w:sz w:val="29"/>
        </w:rPr>
      </w:pPr>
    </w:p>
    <w:p>
      <w:pPr>
        <w:pStyle w:val="Heading1"/>
        <w:ind w:left="10"/>
      </w:pPr>
      <w:bookmarkStart w:name="_bookmark11" w:id="12"/>
      <w:bookmarkEnd w:id="12"/>
      <w:r>
        <w:rPr>
          <w:b w:val="0"/>
        </w:rPr>
      </w:r>
      <w:r>
        <w:rPr/>
        <w:t>十二、基金资产的估值</w:t>
      </w:r>
    </w:p>
    <w:p>
      <w:pPr>
        <w:pStyle w:val="BodyText"/>
        <w:rPr>
          <w:b/>
          <w:sz w:val="20"/>
        </w:rPr>
      </w:pPr>
    </w:p>
    <w:p>
      <w:pPr>
        <w:pStyle w:val="BodyText"/>
        <w:spacing w:before="8"/>
        <w:rPr>
          <w:b/>
          <w:sz w:val="15"/>
        </w:rPr>
      </w:pPr>
    </w:p>
    <w:p>
      <w:pPr>
        <w:pStyle w:val="BodyText"/>
        <w:spacing w:before="71"/>
        <w:ind w:left="580"/>
      </w:pPr>
      <w:r>
        <w:rPr/>
        <w:t>（一）估值日</w:t>
      </w:r>
    </w:p>
    <w:p>
      <w:pPr>
        <w:pStyle w:val="BodyText"/>
        <w:spacing w:before="7"/>
        <w:rPr>
          <w:sz w:val="15"/>
        </w:rPr>
      </w:pPr>
    </w:p>
    <w:p>
      <w:pPr>
        <w:pStyle w:val="BodyText"/>
        <w:spacing w:line="417" w:lineRule="auto"/>
        <w:ind w:left="160" w:right="874" w:firstLine="419"/>
      </w:pPr>
      <w:r>
        <w:rPr/>
        <w:t>本基金的估值日为本基金相关的证券交易场所的交易日以及国家法律法规规定需要对外披露基金净值的非交易日。</w:t>
      </w:r>
    </w:p>
    <w:p>
      <w:pPr>
        <w:pStyle w:val="BodyText"/>
        <w:spacing w:line="269" w:lineRule="exact"/>
        <w:ind w:left="580"/>
      </w:pPr>
      <w:r>
        <w:rPr/>
        <w:t>（二）估值对象</w:t>
      </w:r>
    </w:p>
    <w:p>
      <w:pPr>
        <w:pStyle w:val="BodyText"/>
        <w:spacing w:before="7"/>
        <w:rPr>
          <w:sz w:val="15"/>
        </w:rPr>
      </w:pPr>
    </w:p>
    <w:p>
      <w:pPr>
        <w:pStyle w:val="BodyText"/>
        <w:spacing w:line="417" w:lineRule="auto"/>
        <w:ind w:left="160" w:right="873" w:firstLine="419"/>
      </w:pPr>
      <w:r>
        <w:rPr>
          <w:spacing w:val="-7"/>
        </w:rPr>
        <w:t>基金所拥有的目标 </w:t>
      </w:r>
      <w:r>
        <w:rPr>
          <w:rFonts w:ascii="Calibri" w:eastAsia="Calibri"/>
        </w:rPr>
        <w:t>ETF </w:t>
      </w:r>
      <w:r>
        <w:rPr>
          <w:spacing w:val="-11"/>
        </w:rPr>
        <w:t>份额、股票、权证、债券和银行存款本息、应收款项、其他投资</w:t>
      </w:r>
      <w:r>
        <w:rPr>
          <w:spacing w:val="-6"/>
        </w:rPr>
        <w:t>等资产及负债。</w:t>
      </w:r>
    </w:p>
    <w:p>
      <w:pPr>
        <w:pStyle w:val="BodyText"/>
        <w:ind w:left="580"/>
      </w:pPr>
      <w:r>
        <w:rPr/>
        <w:t>（三）估值方法</w:t>
      </w:r>
    </w:p>
    <w:p>
      <w:pPr>
        <w:pStyle w:val="BodyText"/>
        <w:spacing w:before="7"/>
        <w:rPr>
          <w:sz w:val="15"/>
        </w:rPr>
      </w:pPr>
    </w:p>
    <w:p>
      <w:pPr>
        <w:pStyle w:val="BodyText"/>
        <w:ind w:left="580"/>
        <w:jc w:val="both"/>
      </w:pPr>
      <w:r>
        <w:rPr>
          <w:rFonts w:ascii="Calibri" w:eastAsia="Calibri"/>
        </w:rPr>
        <w:t>1</w:t>
      </w:r>
      <w:r>
        <w:rPr/>
        <w:t>、目标 </w:t>
      </w:r>
      <w:r>
        <w:rPr>
          <w:rFonts w:ascii="Calibri" w:eastAsia="Calibri"/>
        </w:rPr>
        <w:t>ETF </w:t>
      </w:r>
      <w:r>
        <w:rPr/>
        <w:t>估值方法</w:t>
      </w:r>
    </w:p>
    <w:p>
      <w:pPr>
        <w:pStyle w:val="BodyText"/>
        <w:spacing w:before="6"/>
        <w:rPr>
          <w:sz w:val="15"/>
        </w:rPr>
      </w:pPr>
    </w:p>
    <w:p>
      <w:pPr>
        <w:pStyle w:val="BodyText"/>
        <w:spacing w:line="417" w:lineRule="auto" w:before="1"/>
        <w:ind w:left="160" w:right="871" w:firstLine="419"/>
        <w:jc w:val="both"/>
      </w:pPr>
      <w:r>
        <w:rPr>
          <w:spacing w:val="-8"/>
        </w:rPr>
        <w:t>本基金投资的目标 </w:t>
      </w:r>
      <w:r>
        <w:rPr>
          <w:rFonts w:ascii="Calibri" w:eastAsia="Calibri"/>
        </w:rPr>
        <w:t>ETF </w:t>
      </w:r>
      <w:r>
        <w:rPr>
          <w:spacing w:val="3"/>
        </w:rPr>
        <w:t>份额按照估值日目标</w:t>
      </w:r>
      <w:r>
        <w:rPr>
          <w:rFonts w:ascii="Calibri" w:eastAsia="Calibri"/>
        </w:rPr>
        <w:t>ETF </w:t>
      </w:r>
      <w:r>
        <w:rPr>
          <w:spacing w:val="-10"/>
        </w:rPr>
        <w:t>的基金份额净值估值。如果基金管理人认为按上述价格不能客观反映其公允价值的，基金管理人可根据具体情况与基金托管人协商</w:t>
      </w:r>
      <w:r>
        <w:rPr>
          <w:spacing w:val="-5"/>
        </w:rPr>
        <w:t>后，按最能反映其公允价值的价格估值。</w:t>
      </w:r>
    </w:p>
    <w:p>
      <w:pPr>
        <w:pStyle w:val="BodyText"/>
        <w:spacing w:line="269" w:lineRule="exact"/>
        <w:ind w:left="580"/>
      </w:pPr>
      <w:r>
        <w:rPr>
          <w:rFonts w:ascii="Calibri" w:eastAsia="Calibri"/>
        </w:rPr>
        <w:t>2</w:t>
      </w:r>
      <w:r>
        <w:rPr/>
        <w:t>、证券交易所上市的有价证券的估值</w:t>
      </w:r>
    </w:p>
    <w:p>
      <w:pPr>
        <w:pStyle w:val="BodyText"/>
        <w:spacing w:before="6"/>
        <w:rPr>
          <w:sz w:val="15"/>
        </w:rPr>
      </w:pPr>
    </w:p>
    <w:p>
      <w:pPr>
        <w:pStyle w:val="ListParagraph"/>
        <w:numPr>
          <w:ilvl w:val="3"/>
          <w:numId w:val="24"/>
        </w:numPr>
        <w:tabs>
          <w:tab w:pos="1110" w:val="left" w:leader="none"/>
        </w:tabs>
        <w:spacing w:line="417" w:lineRule="auto" w:before="1" w:after="0"/>
        <w:ind w:left="160" w:right="871" w:firstLine="419"/>
        <w:jc w:val="both"/>
        <w:rPr>
          <w:sz w:val="21"/>
        </w:rPr>
      </w:pPr>
      <w:r>
        <w:rPr>
          <w:spacing w:val="-6"/>
          <w:sz w:val="21"/>
        </w:rPr>
        <w:t>交易所上市的有价证券</w:t>
      </w:r>
      <w:r>
        <w:rPr>
          <w:sz w:val="21"/>
        </w:rPr>
        <w:t>（</w:t>
      </w:r>
      <w:r>
        <w:rPr>
          <w:spacing w:val="-3"/>
          <w:sz w:val="21"/>
        </w:rPr>
        <w:t>包括股票等</w:t>
      </w:r>
      <w:r>
        <w:rPr>
          <w:spacing w:val="-67"/>
          <w:sz w:val="21"/>
        </w:rPr>
        <w:t>）</w:t>
      </w:r>
      <w:r>
        <w:rPr>
          <w:spacing w:val="-11"/>
          <w:sz w:val="21"/>
        </w:rPr>
        <w:t>，以其估值日在证券交易所挂牌的市价</w:t>
      </w:r>
      <w:r>
        <w:rPr>
          <w:spacing w:val="-3"/>
          <w:sz w:val="21"/>
        </w:rPr>
        <w:t>（ </w:t>
      </w:r>
      <w:r>
        <w:rPr>
          <w:spacing w:val="-1"/>
          <w:sz w:val="21"/>
        </w:rPr>
        <w:t>收盘价</w:t>
      </w:r>
      <w:r>
        <w:rPr>
          <w:spacing w:val="-32"/>
          <w:sz w:val="21"/>
        </w:rPr>
        <w:t>）</w:t>
      </w:r>
      <w:r>
        <w:rPr>
          <w:spacing w:val="-11"/>
          <w:sz w:val="21"/>
        </w:rPr>
        <w:t>估值；估值日无交易的，且最近交易日后经济环境未发生重大变化或证券发行机构</w:t>
      </w:r>
      <w:r>
        <w:rPr>
          <w:spacing w:val="-10"/>
          <w:sz w:val="21"/>
        </w:rPr>
        <w:t>未发生影响证券价格的重大事件的，以最近交易日的市价</w:t>
      </w:r>
      <w:r>
        <w:rPr>
          <w:spacing w:val="-3"/>
          <w:sz w:val="21"/>
        </w:rPr>
        <w:t>（</w:t>
      </w:r>
      <w:r>
        <w:rPr>
          <w:spacing w:val="-2"/>
          <w:sz w:val="21"/>
        </w:rPr>
        <w:t>收盘价</w:t>
      </w:r>
      <w:r>
        <w:rPr>
          <w:spacing w:val="-27"/>
          <w:sz w:val="21"/>
        </w:rPr>
        <w:t>）</w:t>
      </w:r>
      <w:r>
        <w:rPr>
          <w:spacing w:val="-6"/>
          <w:sz w:val="21"/>
        </w:rPr>
        <w:t>估值；如最近交易日后经济环境发生了重大变化或证券发行机构发生影响证券价格的重大事件的，可参考类似投资</w:t>
      </w:r>
      <w:r>
        <w:rPr>
          <w:spacing w:val="-3"/>
          <w:sz w:val="21"/>
        </w:rPr>
        <w:t>品种的现行市价及重大变化因素，调整最近交易市价，确定公允价格。</w:t>
      </w:r>
    </w:p>
    <w:p>
      <w:pPr>
        <w:pStyle w:val="ListParagraph"/>
        <w:numPr>
          <w:ilvl w:val="3"/>
          <w:numId w:val="24"/>
        </w:numPr>
        <w:tabs>
          <w:tab w:pos="1110" w:val="left" w:leader="none"/>
        </w:tabs>
        <w:spacing w:line="417" w:lineRule="auto" w:before="0" w:after="0"/>
        <w:ind w:left="160" w:right="871" w:firstLine="419"/>
        <w:jc w:val="left"/>
        <w:rPr>
          <w:sz w:val="21"/>
        </w:rPr>
      </w:pPr>
      <w:r>
        <w:rPr>
          <w:spacing w:val="-5"/>
          <w:sz w:val="21"/>
        </w:rPr>
        <w:t>在交易所市场上市交易或挂牌转让的固定收益品种</w:t>
      </w:r>
      <w:r>
        <w:rPr>
          <w:sz w:val="21"/>
        </w:rPr>
        <w:t>（</w:t>
      </w:r>
      <w:r>
        <w:rPr>
          <w:spacing w:val="-3"/>
          <w:sz w:val="21"/>
        </w:rPr>
        <w:t>另有规定的除外</w:t>
      </w:r>
      <w:r>
        <w:rPr>
          <w:spacing w:val="-71"/>
          <w:sz w:val="21"/>
        </w:rPr>
        <w:t>）</w:t>
      </w:r>
      <w:r>
        <w:rPr>
          <w:spacing w:val="-19"/>
          <w:sz w:val="21"/>
        </w:rPr>
        <w:t>，选取第 </w:t>
      </w:r>
      <w:r>
        <w:rPr>
          <w:spacing w:val="-3"/>
          <w:sz w:val="21"/>
        </w:rPr>
        <w:t>三方估值机构提供的相应品种当日的估值净价估值。</w:t>
      </w:r>
    </w:p>
    <w:p>
      <w:pPr>
        <w:pStyle w:val="ListParagraph"/>
        <w:numPr>
          <w:ilvl w:val="3"/>
          <w:numId w:val="24"/>
        </w:numPr>
        <w:tabs>
          <w:tab w:pos="1110" w:val="left" w:leader="none"/>
        </w:tabs>
        <w:spacing w:line="240" w:lineRule="auto" w:before="0" w:after="0"/>
        <w:ind w:left="1109" w:right="0" w:hanging="530"/>
        <w:jc w:val="left"/>
        <w:rPr>
          <w:sz w:val="21"/>
        </w:rPr>
      </w:pPr>
      <w:r>
        <w:rPr>
          <w:spacing w:val="-3"/>
          <w:sz w:val="21"/>
        </w:rPr>
        <w:t>对在交易所市场上市交易的可转换债券，选取每日收盘价作为估值全价。</w:t>
      </w:r>
    </w:p>
    <w:p>
      <w:pPr>
        <w:pStyle w:val="BodyText"/>
        <w:spacing w:before="6"/>
        <w:rPr>
          <w:sz w:val="15"/>
        </w:rPr>
      </w:pPr>
    </w:p>
    <w:p>
      <w:pPr>
        <w:pStyle w:val="ListParagraph"/>
        <w:numPr>
          <w:ilvl w:val="3"/>
          <w:numId w:val="24"/>
        </w:numPr>
        <w:tabs>
          <w:tab w:pos="1112" w:val="left" w:leader="none"/>
        </w:tabs>
        <w:spacing w:line="417" w:lineRule="auto" w:before="0" w:after="0"/>
        <w:ind w:left="160" w:right="874" w:firstLine="419"/>
        <w:jc w:val="left"/>
        <w:rPr>
          <w:sz w:val="21"/>
        </w:rPr>
      </w:pPr>
      <w:r>
        <w:rPr>
          <w:spacing w:val="-3"/>
          <w:sz w:val="21"/>
        </w:rPr>
        <w:t>对在交易所市场挂牌转让的资产支持证券和私募债券，估值日不存在活跃市场时采用估值技术确定其公允价值进行估值。在成本能够近似体现公允价值时按成本估值。</w:t>
      </w:r>
    </w:p>
    <w:p>
      <w:pPr>
        <w:pStyle w:val="BodyText"/>
        <w:spacing w:line="269" w:lineRule="exact"/>
        <w:ind w:left="580"/>
      </w:pPr>
      <w:r>
        <w:rPr>
          <w:rFonts w:ascii="Calibri" w:eastAsia="Calibri"/>
        </w:rPr>
        <w:t>3</w:t>
      </w:r>
      <w:r>
        <w:rPr/>
        <w:t>、处于未上市期间的有价证券应区分如下情况处理：</w:t>
      </w:r>
    </w:p>
    <w:p>
      <w:pPr>
        <w:pStyle w:val="BodyText"/>
        <w:spacing w:before="6"/>
        <w:rPr>
          <w:sz w:val="15"/>
        </w:rPr>
      </w:pPr>
    </w:p>
    <w:p>
      <w:pPr>
        <w:pStyle w:val="ListParagraph"/>
        <w:numPr>
          <w:ilvl w:val="0"/>
          <w:numId w:val="25"/>
        </w:numPr>
        <w:tabs>
          <w:tab w:pos="1112" w:val="left" w:leader="none"/>
        </w:tabs>
        <w:spacing w:line="417" w:lineRule="auto" w:before="1" w:after="0"/>
        <w:ind w:left="160" w:right="874" w:firstLine="419"/>
        <w:jc w:val="left"/>
        <w:rPr>
          <w:sz w:val="21"/>
        </w:rPr>
      </w:pPr>
      <w:r>
        <w:rPr>
          <w:spacing w:val="-3"/>
          <w:sz w:val="21"/>
        </w:rPr>
        <w:t>送股、转增股、配股和公开增发的新股，按估值日在证券交易所挂牌的同一股票的估值方法估值；该日无交易的，以最近一日的市价</w:t>
      </w:r>
      <w:r>
        <w:rPr>
          <w:sz w:val="21"/>
        </w:rPr>
        <w:t>（</w:t>
      </w:r>
      <w:r>
        <w:rPr>
          <w:spacing w:val="-3"/>
          <w:sz w:val="21"/>
        </w:rPr>
        <w:t>收盘价</w:t>
      </w:r>
      <w:r>
        <w:rPr>
          <w:sz w:val="21"/>
        </w:rPr>
        <w:t>）</w:t>
      </w:r>
      <w:r>
        <w:rPr>
          <w:spacing w:val="-2"/>
          <w:sz w:val="21"/>
        </w:rPr>
        <w:t>估值。</w:t>
      </w:r>
    </w:p>
    <w:p>
      <w:pPr>
        <w:pStyle w:val="ListParagraph"/>
        <w:numPr>
          <w:ilvl w:val="0"/>
          <w:numId w:val="25"/>
        </w:numPr>
        <w:tabs>
          <w:tab w:pos="1112" w:val="left" w:leader="none"/>
        </w:tabs>
        <w:spacing w:line="417" w:lineRule="auto" w:before="0" w:after="0"/>
        <w:ind w:left="160" w:right="874" w:firstLine="419"/>
        <w:jc w:val="left"/>
        <w:rPr>
          <w:sz w:val="21"/>
        </w:rPr>
      </w:pPr>
      <w:r>
        <w:rPr>
          <w:spacing w:val="-3"/>
          <w:sz w:val="21"/>
        </w:rPr>
        <w:t>首次公开发行未上市的股票、债券，采用估值技术确定公允价值，在估值技术难以可靠计量公允价值的情况下，按成本估值。</w:t>
      </w:r>
    </w:p>
    <w:p>
      <w:pPr>
        <w:spacing w:after="0" w:line="417" w:lineRule="auto"/>
        <w:jc w:val="left"/>
        <w:rPr>
          <w:sz w:val="21"/>
        </w:rPr>
        <w:sectPr>
          <w:pgSz w:w="11910" w:h="16840"/>
          <w:pgMar w:header="877" w:footer="995" w:top="1420" w:bottom="1180" w:left="1640" w:right="920"/>
        </w:sectPr>
      </w:pPr>
    </w:p>
    <w:p>
      <w:pPr>
        <w:pStyle w:val="ListParagraph"/>
        <w:numPr>
          <w:ilvl w:val="0"/>
          <w:numId w:val="25"/>
        </w:numPr>
        <w:tabs>
          <w:tab w:pos="1112" w:val="left" w:leader="none"/>
        </w:tabs>
        <w:spacing w:line="417" w:lineRule="auto" w:before="110" w:after="0"/>
        <w:ind w:left="160" w:right="871" w:firstLine="419"/>
        <w:jc w:val="both"/>
        <w:rPr>
          <w:sz w:val="21"/>
        </w:rPr>
      </w:pPr>
      <w:r>
        <w:rPr>
          <w:spacing w:val="-3"/>
          <w:sz w:val="21"/>
        </w:rPr>
        <w:t>对在交易所市场发行未上市或未挂牌转让的债券，对存在活跃市场的情况下，应</w:t>
      </w:r>
      <w:r>
        <w:rPr>
          <w:spacing w:val="-7"/>
          <w:sz w:val="21"/>
        </w:rPr>
        <w:t>以活跃市场上未经调整的报价作为计量日的公允价值进行估值；对于活跃市场报价未能代表</w:t>
      </w:r>
      <w:r>
        <w:rPr>
          <w:spacing w:val="-11"/>
          <w:sz w:val="21"/>
        </w:rPr>
        <w:t>计量日公允价值的情况下，应对市场报价进行调整，确认计量日的公允价值；对于不存在市</w:t>
      </w:r>
      <w:r>
        <w:rPr>
          <w:spacing w:val="-6"/>
          <w:sz w:val="21"/>
        </w:rPr>
        <w:t>场活动或市场活动很少的情况下，则采用估值技术确定公允价值。</w:t>
      </w:r>
    </w:p>
    <w:p>
      <w:pPr>
        <w:pStyle w:val="ListParagraph"/>
        <w:numPr>
          <w:ilvl w:val="0"/>
          <w:numId w:val="25"/>
        </w:numPr>
        <w:tabs>
          <w:tab w:pos="1112" w:val="left" w:leader="none"/>
        </w:tabs>
        <w:spacing w:line="417" w:lineRule="auto" w:before="0" w:after="0"/>
        <w:ind w:left="160" w:right="871" w:firstLine="419"/>
        <w:jc w:val="both"/>
        <w:rPr>
          <w:sz w:val="21"/>
        </w:rPr>
      </w:pPr>
      <w:r>
        <w:rPr>
          <w:spacing w:val="-3"/>
          <w:sz w:val="21"/>
        </w:rPr>
        <w:t>首次公开发行有明确锁定期的股票，同一股票在交易所上市后，按交易所上市的</w:t>
      </w:r>
      <w:r>
        <w:rPr>
          <w:spacing w:val="-9"/>
          <w:sz w:val="21"/>
        </w:rPr>
        <w:t>同一股票的估值方法估值；非公开发行有明确锁定期的股票，按监管机构或行业协会有关规</w:t>
      </w:r>
      <w:r>
        <w:rPr>
          <w:spacing w:val="-5"/>
          <w:sz w:val="21"/>
        </w:rPr>
        <w:t>定确定公允价值。</w:t>
      </w:r>
    </w:p>
    <w:p>
      <w:pPr>
        <w:pStyle w:val="BodyText"/>
        <w:spacing w:line="417" w:lineRule="auto"/>
        <w:ind w:left="160" w:right="871" w:firstLine="419"/>
        <w:jc w:val="both"/>
      </w:pPr>
      <w:r>
        <w:rPr>
          <w:rFonts w:ascii="Calibri" w:eastAsia="Calibri"/>
        </w:rPr>
        <w:t>4</w:t>
      </w:r>
      <w:r>
        <w:rPr>
          <w:spacing w:val="-3"/>
        </w:rPr>
        <w:t>、对全国银行间市场上不含权的固定收益品种，按照第三方估值机构提供的相应品种</w:t>
      </w:r>
      <w:r>
        <w:rPr>
          <w:spacing w:val="-10"/>
        </w:rPr>
        <w:t>当日的估值净价估值。对银行间市场上含权的固定收益品种，按照第三方估值机构提供的相应品种当日的唯一估值净价或推荐估值净价估值。对于含投资人回售权的固定收益品种，回</w:t>
      </w:r>
      <w:r>
        <w:rPr>
          <w:spacing w:val="-11"/>
        </w:rPr>
        <w:t>售登记截止日</w:t>
      </w:r>
      <w:r>
        <w:rPr/>
        <w:t>（</w:t>
      </w:r>
      <w:r>
        <w:rPr>
          <w:spacing w:val="-3"/>
        </w:rPr>
        <w:t>含当日</w:t>
      </w:r>
      <w:r>
        <w:rPr>
          <w:spacing w:val="-34"/>
        </w:rPr>
        <w:t>）</w:t>
      </w:r>
      <w:r>
        <w:rPr>
          <w:spacing w:val="-5"/>
        </w:rPr>
        <w:t>后未行使回售权的按照长待偿期所对应的价格进行估值。对银行间</w:t>
      </w:r>
      <w:r>
        <w:rPr>
          <w:spacing w:val="-11"/>
        </w:rPr>
        <w:t>市场未上市，且第三方估值机构未提供估值价格的债券，在发行利率与二级市场利率不存在</w:t>
      </w:r>
      <w:r>
        <w:rPr>
          <w:spacing w:val="-6"/>
        </w:rPr>
        <w:t>明显差异，未上市期间市场利率没有发生大的变动的情况下，按成本估值。</w:t>
      </w:r>
    </w:p>
    <w:p>
      <w:pPr>
        <w:pStyle w:val="BodyText"/>
        <w:spacing w:line="268" w:lineRule="exact"/>
        <w:ind w:left="580"/>
      </w:pPr>
      <w:r>
        <w:rPr>
          <w:rFonts w:ascii="Calibri" w:eastAsia="Calibri"/>
        </w:rPr>
        <w:t>5</w:t>
      </w:r>
      <w:r>
        <w:rPr/>
        <w:t>、同一证券同时在两个或两个以上市场交易的，按证券所处的市场分别估值。</w:t>
      </w:r>
    </w:p>
    <w:p>
      <w:pPr>
        <w:pStyle w:val="BodyText"/>
        <w:spacing w:before="6"/>
        <w:rPr>
          <w:sz w:val="15"/>
        </w:rPr>
      </w:pPr>
    </w:p>
    <w:p>
      <w:pPr>
        <w:pStyle w:val="BodyText"/>
        <w:spacing w:line="417" w:lineRule="auto"/>
        <w:ind w:left="160" w:right="820" w:firstLine="419"/>
      </w:pPr>
      <w:r>
        <w:rPr>
          <w:rFonts w:ascii="Calibri" w:eastAsia="Calibri"/>
        </w:rPr>
        <w:t>6</w:t>
      </w:r>
      <w:r>
        <w:rPr/>
        <w:t>、存款的估值方法</w:t>
      </w:r>
      <w:r>
        <w:rPr>
          <w:rFonts w:ascii="Calibri" w:eastAsia="Calibri"/>
        </w:rPr>
        <w:t>,</w:t>
      </w:r>
      <w:r>
        <w:rPr/>
        <w:t>持有的银行定期存款或通知存款以本金列示，按协议或合同利率逐日确认利息收入。</w:t>
      </w:r>
    </w:p>
    <w:p>
      <w:pPr>
        <w:pStyle w:val="BodyText"/>
        <w:spacing w:line="269" w:lineRule="exact"/>
        <w:ind w:left="580"/>
      </w:pPr>
      <w:r>
        <w:rPr>
          <w:rFonts w:ascii="Calibri" w:eastAsia="Calibri"/>
        </w:rPr>
        <w:t>7</w:t>
      </w:r>
      <w:r>
        <w:rPr/>
        <w:t>、本基金可以采用第三方估值机构按照上述公允价值确定原则提供的估值价格数据。</w:t>
      </w:r>
    </w:p>
    <w:p>
      <w:pPr>
        <w:pStyle w:val="BodyText"/>
        <w:spacing w:before="7"/>
        <w:rPr>
          <w:sz w:val="15"/>
        </w:rPr>
      </w:pPr>
    </w:p>
    <w:p>
      <w:pPr>
        <w:pStyle w:val="BodyText"/>
        <w:spacing w:line="417" w:lineRule="auto"/>
        <w:ind w:left="160" w:right="874" w:firstLine="419"/>
      </w:pPr>
      <w:r>
        <w:rPr>
          <w:rFonts w:ascii="Calibri" w:eastAsia="Calibri"/>
        </w:rPr>
        <w:t>8</w:t>
      </w:r>
      <w:r>
        <w:rPr/>
        <w:t>、如有确凿证据表明按上述方法进行估值不能客观反映其公允价值的，基金管理人可根据具体情况与基金托管人商定后，按最能反映公允价值的价格估值。</w:t>
      </w:r>
    </w:p>
    <w:p>
      <w:pPr>
        <w:pStyle w:val="BodyText"/>
        <w:spacing w:line="269" w:lineRule="exact"/>
        <w:ind w:left="580"/>
      </w:pPr>
      <w:r>
        <w:rPr>
          <w:rFonts w:ascii="Calibri" w:eastAsia="Calibri"/>
        </w:rPr>
        <w:t>9</w:t>
      </w:r>
      <w:r>
        <w:rPr/>
        <w:t>、其他资产按法律法规或监管机构有关规定进行估值。</w:t>
      </w:r>
    </w:p>
    <w:p>
      <w:pPr>
        <w:pStyle w:val="BodyText"/>
        <w:spacing w:before="7"/>
        <w:rPr>
          <w:sz w:val="15"/>
        </w:rPr>
      </w:pPr>
    </w:p>
    <w:p>
      <w:pPr>
        <w:pStyle w:val="BodyText"/>
        <w:spacing w:line="417" w:lineRule="auto"/>
        <w:ind w:left="160" w:right="873" w:firstLine="419"/>
      </w:pPr>
      <w:r>
        <w:rPr>
          <w:rFonts w:ascii="Calibri" w:eastAsia="Calibri"/>
        </w:rPr>
        <w:t>10</w:t>
      </w:r>
      <w:r>
        <w:rPr>
          <w:spacing w:val="-10"/>
        </w:rPr>
        <w:t>、当发生大额申购或赎回情形时，基金管理人可以采用摆动定价机制，以确保基金估</w:t>
      </w:r>
      <w:r>
        <w:rPr>
          <w:spacing w:val="-5"/>
        </w:rPr>
        <w:t>值的公平性。</w:t>
      </w:r>
    </w:p>
    <w:p>
      <w:pPr>
        <w:pStyle w:val="BodyText"/>
        <w:spacing w:line="417" w:lineRule="auto"/>
        <w:ind w:left="160" w:right="873" w:firstLine="419"/>
      </w:pPr>
      <w:r>
        <w:rPr>
          <w:rFonts w:ascii="Calibri" w:eastAsia="Calibri"/>
        </w:rPr>
        <w:t>11</w:t>
      </w:r>
      <w:r>
        <w:rPr>
          <w:spacing w:val="-10"/>
        </w:rPr>
        <w:t>、相关法律法规以及监管部门有强制规定的，从其规定。如有新增事项，按国家最新</w:t>
      </w:r>
      <w:r>
        <w:rPr>
          <w:spacing w:val="-5"/>
        </w:rPr>
        <w:t>规定估值。</w:t>
      </w:r>
    </w:p>
    <w:p>
      <w:pPr>
        <w:pStyle w:val="BodyText"/>
        <w:spacing w:line="269" w:lineRule="exact"/>
        <w:ind w:left="580"/>
      </w:pPr>
      <w:r>
        <w:rPr/>
        <w:t>（四）估值程序</w:t>
      </w:r>
    </w:p>
    <w:p>
      <w:pPr>
        <w:pStyle w:val="BodyText"/>
        <w:spacing w:before="7"/>
        <w:rPr>
          <w:sz w:val="15"/>
        </w:rPr>
      </w:pPr>
    </w:p>
    <w:p>
      <w:pPr>
        <w:pStyle w:val="BodyText"/>
        <w:spacing w:line="417" w:lineRule="auto"/>
        <w:ind w:left="160" w:right="874" w:firstLine="419"/>
      </w:pPr>
      <w:r>
        <w:rPr>
          <w:rFonts w:ascii="Calibri" w:eastAsia="Calibri"/>
        </w:rPr>
        <w:t>1</w:t>
      </w:r>
      <w:r>
        <w:rPr/>
        <w:t>、基金份额净值是按照每个工作日闭市后，基金资产净值除以当日基金份额的余额数量计算，精确到 </w:t>
      </w:r>
      <w:r>
        <w:rPr>
          <w:rFonts w:ascii="Calibri" w:eastAsia="Calibri"/>
        </w:rPr>
        <w:t>0.0001 </w:t>
      </w:r>
      <w:r>
        <w:rPr/>
        <w:t>元，小数点后第 </w:t>
      </w:r>
      <w:r>
        <w:rPr>
          <w:rFonts w:ascii="Calibri" w:eastAsia="Calibri"/>
        </w:rPr>
        <w:t>5 </w:t>
      </w:r>
      <w:r>
        <w:rPr/>
        <w:t>位四舍五入。国家另有规定的，从其规定。</w:t>
      </w:r>
    </w:p>
    <w:p>
      <w:pPr>
        <w:pStyle w:val="BodyText"/>
        <w:spacing w:line="269" w:lineRule="exact"/>
        <w:ind w:left="580"/>
      </w:pPr>
      <w:r>
        <w:rPr/>
        <w:t>每个工作日计算基金资产净值及基金份额净值，并按规定公告。</w:t>
      </w:r>
    </w:p>
    <w:p>
      <w:pPr>
        <w:pStyle w:val="BodyText"/>
        <w:spacing w:before="7"/>
        <w:rPr>
          <w:sz w:val="15"/>
        </w:rPr>
      </w:pPr>
    </w:p>
    <w:p>
      <w:pPr>
        <w:pStyle w:val="BodyText"/>
        <w:spacing w:line="417" w:lineRule="auto"/>
        <w:ind w:left="160" w:right="871" w:firstLine="419"/>
      </w:pPr>
      <w:r>
        <w:rPr>
          <w:rFonts w:ascii="Calibri" w:eastAsia="Calibri"/>
        </w:rPr>
        <w:t>2</w:t>
      </w:r>
      <w:r>
        <w:rPr>
          <w:spacing w:val="-3"/>
        </w:rPr>
        <w:t>、基金管理人应每个工作日对基金资产估值。但基金管理人根据法律法规或基金合同</w:t>
      </w:r>
      <w:r>
        <w:rPr>
          <w:spacing w:val="-10"/>
        </w:rPr>
        <w:t>的规定暂停估值时除外。基金管理人每个工作日对基金资产估值后，将基金份额净值结果发</w:t>
      </w:r>
    </w:p>
    <w:p>
      <w:pPr>
        <w:spacing w:after="0" w:line="417" w:lineRule="auto"/>
        <w:sectPr>
          <w:pgSz w:w="11910" w:h="16840"/>
          <w:pgMar w:header="877" w:footer="995" w:top="1420" w:bottom="1180" w:left="1640" w:right="920"/>
        </w:sectPr>
      </w:pPr>
    </w:p>
    <w:p>
      <w:pPr>
        <w:pStyle w:val="BodyText"/>
        <w:spacing w:line="417" w:lineRule="auto" w:before="110"/>
        <w:ind w:left="160" w:right="871"/>
      </w:pPr>
      <w:r>
        <w:rPr>
          <w:spacing w:val="-11"/>
        </w:rPr>
        <w:t>送基金托管人，经基金托管人复核无误后，由基金管理人依据基金合同和相关法律法规的规</w:t>
      </w:r>
      <w:r>
        <w:rPr>
          <w:spacing w:val="-6"/>
        </w:rPr>
        <w:t>定对外公布。</w:t>
      </w:r>
    </w:p>
    <w:p>
      <w:pPr>
        <w:pStyle w:val="BodyText"/>
        <w:spacing w:line="269" w:lineRule="exact"/>
        <w:ind w:left="580"/>
      </w:pPr>
      <w:r>
        <w:rPr/>
        <w:t>（五）估值错误的处理</w:t>
      </w:r>
    </w:p>
    <w:p>
      <w:pPr>
        <w:pStyle w:val="BodyText"/>
        <w:spacing w:before="6"/>
        <w:rPr>
          <w:sz w:val="15"/>
        </w:rPr>
      </w:pPr>
    </w:p>
    <w:p>
      <w:pPr>
        <w:pStyle w:val="BodyText"/>
        <w:spacing w:line="417" w:lineRule="auto"/>
        <w:ind w:left="160" w:right="768" w:firstLine="419"/>
      </w:pPr>
      <w:r>
        <w:rPr>
          <w:spacing w:val="-3"/>
        </w:rPr>
        <w:t>基金管理人和基金托管人将采取必要、适当、合理的措施确保基金资产估值的准确性、</w:t>
      </w:r>
      <w:r>
        <w:rPr>
          <w:spacing w:val="-8"/>
        </w:rPr>
        <w:t>及时性。当基金份额净值小数点后 </w:t>
      </w:r>
      <w:r>
        <w:rPr>
          <w:rFonts w:ascii="Calibri" w:eastAsia="Calibri"/>
        </w:rPr>
        <w:t>4 </w:t>
      </w:r>
      <w:r>
        <w:rPr>
          <w:spacing w:val="-3"/>
        </w:rPr>
        <w:t>位以内</w:t>
      </w:r>
      <w:r>
        <w:rPr>
          <w:rFonts w:ascii="Calibri" w:eastAsia="Calibri"/>
        </w:rPr>
        <w:t>(</w:t>
      </w:r>
      <w:r>
        <w:rPr>
          <w:spacing w:val="-18"/>
        </w:rPr>
        <w:t>含第 </w:t>
      </w:r>
      <w:r>
        <w:rPr>
          <w:rFonts w:ascii="Calibri" w:eastAsia="Calibri"/>
        </w:rPr>
        <w:t>4 </w:t>
      </w:r>
      <w:r>
        <w:rPr/>
        <w:t>位</w:t>
      </w:r>
      <w:r>
        <w:rPr>
          <w:rFonts w:ascii="Calibri" w:eastAsia="Calibri"/>
        </w:rPr>
        <w:t>)</w:t>
      </w:r>
      <w:r>
        <w:rPr>
          <w:spacing w:val="-4"/>
        </w:rPr>
        <w:t>发生估值错误时，视为基金份额净值错误。</w:t>
      </w:r>
    </w:p>
    <w:p>
      <w:pPr>
        <w:pStyle w:val="BodyText"/>
        <w:spacing w:line="269" w:lineRule="exact"/>
        <w:ind w:left="580"/>
      </w:pPr>
      <w:r>
        <w:rPr/>
        <w:t>基金合同的当事人应按照以下约定处理：</w:t>
      </w:r>
    </w:p>
    <w:p>
      <w:pPr>
        <w:pStyle w:val="BodyText"/>
        <w:spacing w:before="8"/>
        <w:rPr>
          <w:sz w:val="15"/>
        </w:rPr>
      </w:pPr>
    </w:p>
    <w:p>
      <w:pPr>
        <w:pStyle w:val="BodyText"/>
        <w:ind w:left="580"/>
      </w:pPr>
      <w:r>
        <w:rPr>
          <w:rFonts w:ascii="Calibri" w:eastAsia="Calibri"/>
        </w:rPr>
        <w:t>1</w:t>
      </w:r>
      <w:r>
        <w:rPr/>
        <w:t>、估值错误类型</w:t>
      </w:r>
    </w:p>
    <w:p>
      <w:pPr>
        <w:pStyle w:val="BodyText"/>
        <w:spacing w:before="6"/>
        <w:rPr>
          <w:sz w:val="15"/>
        </w:rPr>
      </w:pPr>
    </w:p>
    <w:p>
      <w:pPr>
        <w:pStyle w:val="BodyText"/>
        <w:spacing w:line="417" w:lineRule="auto" w:before="1"/>
        <w:ind w:left="160" w:right="770" w:firstLine="419"/>
      </w:pPr>
      <w:r>
        <w:rPr>
          <w:spacing w:val="-9"/>
        </w:rPr>
        <w:t>本基金运作过程中，如果由于基金管理人或基金托管人、或登记机构、或销售机构、或</w:t>
      </w:r>
      <w:r>
        <w:rPr>
          <w:spacing w:val="-10"/>
        </w:rPr>
        <w:t>投资人自身的过错造成估值错误，导致其他当事人遭受损失的，过错的责任人应当对由于该估值错误遭受损失当事人</w:t>
      </w:r>
      <w:r>
        <w:rPr>
          <w:rFonts w:ascii="Calibri" w:hAnsi="Calibri" w:eastAsia="Calibri"/>
          <w:spacing w:val="-10"/>
        </w:rPr>
        <w:t>(</w:t>
      </w:r>
      <w:r>
        <w:rPr>
          <w:spacing w:val="-10"/>
        </w:rPr>
        <w:t>“受损方”</w:t>
      </w:r>
      <w:r>
        <w:rPr>
          <w:rFonts w:ascii="Calibri" w:hAnsi="Calibri" w:eastAsia="Calibri"/>
          <w:spacing w:val="-10"/>
        </w:rPr>
        <w:t>)</w:t>
      </w:r>
      <w:r>
        <w:rPr>
          <w:spacing w:val="-9"/>
        </w:rPr>
        <w:t>的直接损失按下述“估值错误处理原则”给予赔偿， </w:t>
      </w:r>
      <w:r>
        <w:rPr>
          <w:spacing w:val="-2"/>
        </w:rPr>
        <w:t>承担赔偿责任。</w:t>
      </w:r>
    </w:p>
    <w:p>
      <w:pPr>
        <w:pStyle w:val="BodyText"/>
        <w:spacing w:line="417" w:lineRule="auto"/>
        <w:ind w:left="160" w:right="871" w:firstLine="419"/>
      </w:pPr>
      <w:r>
        <w:rPr>
          <w:spacing w:val="-16"/>
        </w:rPr>
        <w:t>上述估值错误的主要类型包括但不限于：资料申报差错、数据传输差错、数据计算差错、</w:t>
      </w:r>
      <w:r>
        <w:rPr>
          <w:spacing w:val="-7"/>
        </w:rPr>
        <w:t>系统故障差错、下达指令差错等。</w:t>
      </w:r>
    </w:p>
    <w:p>
      <w:pPr>
        <w:pStyle w:val="BodyText"/>
        <w:ind w:left="580"/>
      </w:pPr>
      <w:r>
        <w:rPr>
          <w:rFonts w:ascii="Calibri" w:eastAsia="Calibri"/>
        </w:rPr>
        <w:t>2</w:t>
      </w:r>
      <w:r>
        <w:rPr/>
        <w:t>、估值错误处理原则</w:t>
      </w:r>
    </w:p>
    <w:p>
      <w:pPr>
        <w:pStyle w:val="BodyText"/>
        <w:spacing w:before="5"/>
        <w:rPr>
          <w:sz w:val="15"/>
        </w:rPr>
      </w:pPr>
    </w:p>
    <w:p>
      <w:pPr>
        <w:pStyle w:val="ListParagraph"/>
        <w:numPr>
          <w:ilvl w:val="0"/>
          <w:numId w:val="26"/>
        </w:numPr>
        <w:tabs>
          <w:tab w:pos="1112" w:val="left" w:leader="none"/>
        </w:tabs>
        <w:spacing w:line="417" w:lineRule="auto" w:before="1" w:after="0"/>
        <w:ind w:left="160" w:right="871" w:firstLine="419"/>
        <w:jc w:val="both"/>
        <w:rPr>
          <w:sz w:val="21"/>
        </w:rPr>
      </w:pPr>
      <w:r>
        <w:rPr>
          <w:spacing w:val="-13"/>
          <w:sz w:val="21"/>
        </w:rPr>
        <w:t>估值错误已发生，但尚未给当事人造成损失时，估值错误责任方应及时协调各方</w:t>
      </w:r>
      <w:r>
        <w:rPr>
          <w:spacing w:val="-10"/>
          <w:sz w:val="21"/>
        </w:rPr>
        <w:t>，及时进行更正，因更正估值错误发生的费用由估值错误责任方承担；由于估值错误责任方</w:t>
      </w:r>
      <w:r>
        <w:rPr>
          <w:spacing w:val="-12"/>
          <w:sz w:val="21"/>
        </w:rPr>
        <w:t>未及时更正已产生的估值错误，给当事人造成损失的，由估值错误责任方对直接损失承担赔</w:t>
      </w:r>
      <w:r>
        <w:rPr>
          <w:spacing w:val="-11"/>
          <w:sz w:val="21"/>
        </w:rPr>
        <w:t>偿责任；若估值错误责任方已经积极协调，并且有协助义务的当事人有足够的时间进行更正</w:t>
      </w:r>
      <w:r>
        <w:rPr>
          <w:spacing w:val="-7"/>
          <w:sz w:val="21"/>
        </w:rPr>
        <w:t>而未更正，则其应当承担相应赔偿责任。</w:t>
      </w:r>
    </w:p>
    <w:p>
      <w:pPr>
        <w:pStyle w:val="ListParagraph"/>
        <w:numPr>
          <w:ilvl w:val="0"/>
          <w:numId w:val="26"/>
        </w:numPr>
        <w:tabs>
          <w:tab w:pos="1112" w:val="left" w:leader="none"/>
        </w:tabs>
        <w:spacing w:line="417" w:lineRule="auto" w:before="0" w:after="0"/>
        <w:ind w:left="160" w:right="874" w:firstLine="419"/>
        <w:jc w:val="left"/>
        <w:rPr>
          <w:sz w:val="21"/>
        </w:rPr>
      </w:pPr>
      <w:r>
        <w:rPr>
          <w:spacing w:val="-3"/>
          <w:sz w:val="21"/>
        </w:rPr>
        <w:t>估值错误的责任方对有关当事人的直接损失负责，不对间接损失负责，并且仅对估值错误的有关直接当事人负责，不对第三方负责。</w:t>
      </w:r>
    </w:p>
    <w:p>
      <w:pPr>
        <w:pStyle w:val="ListParagraph"/>
        <w:numPr>
          <w:ilvl w:val="0"/>
          <w:numId w:val="26"/>
        </w:numPr>
        <w:tabs>
          <w:tab w:pos="1112" w:val="left" w:leader="none"/>
        </w:tabs>
        <w:spacing w:line="417" w:lineRule="auto" w:before="0" w:after="0"/>
        <w:ind w:left="160" w:right="770" w:firstLine="419"/>
        <w:jc w:val="both"/>
        <w:rPr>
          <w:sz w:val="21"/>
        </w:rPr>
      </w:pPr>
      <w:r>
        <w:rPr>
          <w:spacing w:val="-3"/>
          <w:sz w:val="21"/>
        </w:rPr>
        <w:t>因估值错误而获得不当得利的当事人负有及时返还不当得利的义务。但估值错误</w:t>
      </w:r>
      <w:r>
        <w:rPr>
          <w:spacing w:val="-11"/>
          <w:sz w:val="21"/>
        </w:rPr>
        <w:t>责任方仍应对估值错误负责。如果由于获得不当得利的当事人不返还或不全部返还不当得利</w:t>
      </w:r>
      <w:r>
        <w:rPr>
          <w:spacing w:val="-6"/>
          <w:sz w:val="21"/>
        </w:rPr>
        <w:t>造成其他当事人的利益损失</w:t>
      </w:r>
      <w:r>
        <w:rPr>
          <w:rFonts w:ascii="Calibri" w:hAnsi="Calibri" w:eastAsia="Calibri"/>
          <w:sz w:val="21"/>
        </w:rPr>
        <w:t>(</w:t>
      </w:r>
      <w:r>
        <w:rPr>
          <w:spacing w:val="-2"/>
          <w:sz w:val="21"/>
        </w:rPr>
        <w:t>“受损方”</w:t>
      </w:r>
      <w:r>
        <w:rPr>
          <w:rFonts w:ascii="Calibri" w:hAnsi="Calibri" w:eastAsia="Calibri"/>
          <w:spacing w:val="-4"/>
          <w:sz w:val="21"/>
        </w:rPr>
        <w:t>)</w:t>
      </w:r>
      <w:r>
        <w:rPr>
          <w:spacing w:val="-4"/>
          <w:sz w:val="21"/>
        </w:rPr>
        <w:t>，则估值错误责任方应赔偿受损方的损失，并在其</w:t>
      </w:r>
      <w:r>
        <w:rPr>
          <w:spacing w:val="-6"/>
          <w:sz w:val="21"/>
        </w:rPr>
        <w:t>支付的赔偿金额的范围内对获得不当得利的当事人享有要求交付不当得利的权利；如果获得</w:t>
      </w:r>
      <w:r>
        <w:rPr>
          <w:spacing w:val="-8"/>
          <w:sz w:val="21"/>
        </w:rPr>
        <w:t>不当得利的当事人已经将此部分不当得利返还给受损方，则受损方应当将其已经获得的赔偿</w:t>
      </w:r>
      <w:r>
        <w:rPr>
          <w:spacing w:val="-5"/>
          <w:sz w:val="21"/>
        </w:rPr>
        <w:t>额加上已经获得的不当得利返还的总和超过其实际损失的差额部分支付给估值错误责任方。</w:t>
      </w:r>
    </w:p>
    <w:p>
      <w:pPr>
        <w:pStyle w:val="ListParagraph"/>
        <w:numPr>
          <w:ilvl w:val="0"/>
          <w:numId w:val="26"/>
        </w:numPr>
        <w:tabs>
          <w:tab w:pos="1110" w:val="left" w:leader="none"/>
        </w:tabs>
        <w:spacing w:line="268" w:lineRule="exact" w:before="0" w:after="0"/>
        <w:ind w:left="1109" w:right="0" w:hanging="530"/>
        <w:jc w:val="left"/>
        <w:rPr>
          <w:sz w:val="21"/>
        </w:rPr>
      </w:pPr>
      <w:r>
        <w:rPr>
          <w:spacing w:val="-3"/>
          <w:sz w:val="21"/>
        </w:rPr>
        <w:t>估值错误调整采用尽量恢复至假设未发生估值错误的正确情形的方式。</w:t>
      </w:r>
    </w:p>
    <w:p>
      <w:pPr>
        <w:pStyle w:val="BodyText"/>
        <w:spacing w:before="6"/>
        <w:rPr>
          <w:sz w:val="15"/>
        </w:rPr>
      </w:pPr>
    </w:p>
    <w:p>
      <w:pPr>
        <w:pStyle w:val="BodyText"/>
        <w:ind w:left="580"/>
      </w:pPr>
      <w:r>
        <w:rPr>
          <w:rFonts w:ascii="Calibri" w:eastAsia="Calibri"/>
        </w:rPr>
        <w:t>3</w:t>
      </w:r>
      <w:r>
        <w:rPr/>
        <w:t>、估值错误处理程序</w:t>
      </w:r>
    </w:p>
    <w:p>
      <w:pPr>
        <w:spacing w:after="0"/>
        <w:sectPr>
          <w:pgSz w:w="11910" w:h="16840"/>
          <w:pgMar w:header="877" w:footer="995" w:top="1420" w:bottom="1180" w:left="1640" w:right="920"/>
        </w:sectPr>
      </w:pPr>
    </w:p>
    <w:p>
      <w:pPr>
        <w:pStyle w:val="BodyText"/>
        <w:spacing w:before="110"/>
        <w:ind w:left="580"/>
      </w:pPr>
      <w:r>
        <w:rPr/>
        <w:t>估值错误被发现后，有关的当事人应当及时进行处理，处理的程序如下：</w:t>
      </w:r>
    </w:p>
    <w:p>
      <w:pPr>
        <w:pStyle w:val="BodyText"/>
        <w:spacing w:before="6"/>
        <w:rPr>
          <w:sz w:val="15"/>
        </w:rPr>
      </w:pPr>
    </w:p>
    <w:p>
      <w:pPr>
        <w:pStyle w:val="ListParagraph"/>
        <w:numPr>
          <w:ilvl w:val="0"/>
          <w:numId w:val="27"/>
        </w:numPr>
        <w:tabs>
          <w:tab w:pos="1112" w:val="left" w:leader="none"/>
        </w:tabs>
        <w:spacing w:line="417" w:lineRule="auto" w:before="0" w:after="0"/>
        <w:ind w:left="160" w:right="874" w:firstLine="419"/>
        <w:jc w:val="left"/>
        <w:rPr>
          <w:sz w:val="21"/>
        </w:rPr>
      </w:pPr>
      <w:r>
        <w:rPr>
          <w:spacing w:val="-3"/>
          <w:sz w:val="21"/>
        </w:rPr>
        <w:t>查明估值错误发生的原因，列明所有的当事人，并根据估值错误发生的原因确定估值错误的责任方；</w:t>
      </w:r>
    </w:p>
    <w:p>
      <w:pPr>
        <w:pStyle w:val="ListParagraph"/>
        <w:numPr>
          <w:ilvl w:val="0"/>
          <w:numId w:val="27"/>
        </w:numPr>
        <w:tabs>
          <w:tab w:pos="1110" w:val="left" w:leader="none"/>
        </w:tabs>
        <w:spacing w:line="269" w:lineRule="exact" w:before="0" w:after="0"/>
        <w:ind w:left="1109" w:right="0" w:hanging="530"/>
        <w:jc w:val="left"/>
        <w:rPr>
          <w:sz w:val="21"/>
        </w:rPr>
      </w:pPr>
      <w:r>
        <w:rPr>
          <w:spacing w:val="-3"/>
          <w:sz w:val="21"/>
        </w:rPr>
        <w:t>根据估值错误处理原则或当事人协商的方法对因估值错误造成的损失进行评估；</w:t>
      </w:r>
    </w:p>
    <w:p>
      <w:pPr>
        <w:pStyle w:val="BodyText"/>
        <w:spacing w:before="7"/>
        <w:rPr>
          <w:sz w:val="15"/>
        </w:rPr>
      </w:pPr>
    </w:p>
    <w:p>
      <w:pPr>
        <w:pStyle w:val="ListParagraph"/>
        <w:numPr>
          <w:ilvl w:val="0"/>
          <w:numId w:val="27"/>
        </w:numPr>
        <w:tabs>
          <w:tab w:pos="1112" w:val="left" w:leader="none"/>
        </w:tabs>
        <w:spacing w:line="417" w:lineRule="auto" w:before="0" w:after="0"/>
        <w:ind w:left="160" w:right="874" w:firstLine="419"/>
        <w:jc w:val="left"/>
        <w:rPr>
          <w:sz w:val="21"/>
        </w:rPr>
      </w:pPr>
      <w:r>
        <w:rPr>
          <w:spacing w:val="-3"/>
          <w:sz w:val="21"/>
        </w:rPr>
        <w:t>根据估值错误处理原则或当事人协商的方法由估值错误的责任方进行更正和赔偿损失；</w:t>
      </w:r>
    </w:p>
    <w:p>
      <w:pPr>
        <w:pStyle w:val="ListParagraph"/>
        <w:numPr>
          <w:ilvl w:val="0"/>
          <w:numId w:val="27"/>
        </w:numPr>
        <w:tabs>
          <w:tab w:pos="1112" w:val="left" w:leader="none"/>
        </w:tabs>
        <w:spacing w:line="417" w:lineRule="auto" w:before="0" w:after="0"/>
        <w:ind w:left="160" w:right="874" w:firstLine="419"/>
        <w:jc w:val="left"/>
        <w:rPr>
          <w:sz w:val="21"/>
        </w:rPr>
      </w:pPr>
      <w:r>
        <w:rPr>
          <w:spacing w:val="-3"/>
          <w:sz w:val="21"/>
        </w:rPr>
        <w:t>根据估值错误处理的方法，需要修改基金登记机构交易数据的，由基金登记机构进行更正。</w:t>
      </w:r>
    </w:p>
    <w:p>
      <w:pPr>
        <w:pStyle w:val="BodyText"/>
        <w:ind w:left="580"/>
      </w:pPr>
      <w:r>
        <w:rPr>
          <w:rFonts w:ascii="Calibri" w:eastAsia="Calibri"/>
        </w:rPr>
        <w:t>4</w:t>
      </w:r>
      <w:r>
        <w:rPr/>
        <w:t>、基金份额净值估值错误处理的方法如下：</w:t>
      </w:r>
    </w:p>
    <w:p>
      <w:pPr>
        <w:pStyle w:val="BodyText"/>
        <w:spacing w:before="7"/>
        <w:rPr>
          <w:sz w:val="15"/>
        </w:rPr>
      </w:pPr>
    </w:p>
    <w:p>
      <w:pPr>
        <w:pStyle w:val="ListParagraph"/>
        <w:numPr>
          <w:ilvl w:val="0"/>
          <w:numId w:val="28"/>
        </w:numPr>
        <w:tabs>
          <w:tab w:pos="1112" w:val="left" w:leader="none"/>
        </w:tabs>
        <w:spacing w:line="417" w:lineRule="auto" w:before="0" w:after="0"/>
        <w:ind w:left="160" w:right="874" w:firstLine="419"/>
        <w:jc w:val="left"/>
        <w:rPr>
          <w:sz w:val="21"/>
        </w:rPr>
      </w:pPr>
      <w:r>
        <w:rPr>
          <w:spacing w:val="-11"/>
          <w:sz w:val="21"/>
        </w:rPr>
        <w:t>基金份额净值计算出现错误时，基金管理人应当立即予以纠正，通报基金托管人</w:t>
      </w:r>
      <w:r>
        <w:rPr>
          <w:spacing w:val="-7"/>
          <w:sz w:val="21"/>
        </w:rPr>
        <w:t>，并采取合理的措施防止损失进一步扩大。</w:t>
      </w:r>
    </w:p>
    <w:p>
      <w:pPr>
        <w:pStyle w:val="ListParagraph"/>
        <w:numPr>
          <w:ilvl w:val="0"/>
          <w:numId w:val="28"/>
        </w:numPr>
        <w:tabs>
          <w:tab w:pos="1112" w:val="left" w:leader="none"/>
        </w:tabs>
        <w:spacing w:line="417" w:lineRule="auto" w:before="0" w:after="0"/>
        <w:ind w:left="160" w:right="874" w:firstLine="419"/>
        <w:jc w:val="left"/>
        <w:rPr>
          <w:sz w:val="21"/>
        </w:rPr>
      </w:pPr>
      <w:r>
        <w:rPr>
          <w:spacing w:val="-1"/>
          <w:sz w:val="21"/>
        </w:rPr>
        <w:t>错误偏差达到基金份额净值的 </w:t>
      </w:r>
      <w:r>
        <w:rPr>
          <w:rFonts w:ascii="Calibri" w:eastAsia="Calibri"/>
          <w:sz w:val="21"/>
        </w:rPr>
        <w:t>0.25%</w:t>
      </w:r>
      <w:r>
        <w:rPr>
          <w:spacing w:val="-3"/>
          <w:sz w:val="21"/>
        </w:rPr>
        <w:t>时，基金管理人应当通报基金托管人并报中</w:t>
      </w:r>
      <w:r>
        <w:rPr>
          <w:spacing w:val="-6"/>
          <w:sz w:val="21"/>
        </w:rPr>
        <w:t>国证监会备案；错误偏差达到基金份额净值的 </w:t>
      </w:r>
      <w:r>
        <w:rPr>
          <w:rFonts w:ascii="Calibri" w:eastAsia="Calibri"/>
          <w:sz w:val="21"/>
        </w:rPr>
        <w:t>0.5%</w:t>
      </w:r>
      <w:r>
        <w:rPr>
          <w:spacing w:val="-3"/>
          <w:sz w:val="21"/>
        </w:rPr>
        <w:t>时，基金管理人应当公告。</w:t>
      </w:r>
    </w:p>
    <w:p>
      <w:pPr>
        <w:pStyle w:val="ListParagraph"/>
        <w:numPr>
          <w:ilvl w:val="0"/>
          <w:numId w:val="28"/>
        </w:numPr>
        <w:tabs>
          <w:tab w:pos="1112" w:val="left" w:leader="none"/>
        </w:tabs>
        <w:spacing w:line="417" w:lineRule="auto" w:before="0" w:after="0"/>
        <w:ind w:left="160" w:right="873" w:firstLine="419"/>
        <w:jc w:val="left"/>
        <w:rPr>
          <w:sz w:val="21"/>
        </w:rPr>
      </w:pPr>
      <w:r>
        <w:rPr>
          <w:spacing w:val="-3"/>
          <w:sz w:val="21"/>
        </w:rPr>
        <w:t>前述内容如法律法规或监管机关另有规定的，从其规定处理。如果行业另有通行做法，双方当事人应本着平等和保护基金份额持有人利益的原则进行协商。</w:t>
      </w:r>
    </w:p>
    <w:p>
      <w:pPr>
        <w:pStyle w:val="BodyText"/>
        <w:ind w:left="580"/>
      </w:pPr>
      <w:r>
        <w:rPr/>
        <w:t>（六）暂停估值的情形</w:t>
      </w:r>
    </w:p>
    <w:p>
      <w:pPr>
        <w:pStyle w:val="BodyText"/>
        <w:spacing w:before="6"/>
        <w:rPr>
          <w:sz w:val="15"/>
        </w:rPr>
      </w:pPr>
    </w:p>
    <w:p>
      <w:pPr>
        <w:pStyle w:val="BodyText"/>
        <w:ind w:left="580"/>
      </w:pPr>
      <w:r>
        <w:rPr>
          <w:rFonts w:ascii="Calibri" w:eastAsia="Calibri"/>
        </w:rPr>
        <w:t>1</w:t>
      </w:r>
      <w:r>
        <w:rPr>
          <w:spacing w:val="-3"/>
        </w:rPr>
        <w:t>、基金投资所涉及的证券交易市场遇法定节假日或因其他原因暂停营业时；</w:t>
      </w:r>
    </w:p>
    <w:p>
      <w:pPr>
        <w:pStyle w:val="BodyText"/>
        <w:spacing w:before="7"/>
        <w:rPr>
          <w:sz w:val="15"/>
        </w:rPr>
      </w:pPr>
    </w:p>
    <w:p>
      <w:pPr>
        <w:pStyle w:val="BodyText"/>
        <w:ind w:left="580"/>
      </w:pPr>
      <w:r>
        <w:rPr>
          <w:rFonts w:ascii="Calibri" w:eastAsia="Calibri"/>
        </w:rPr>
        <w:t>2</w:t>
      </w:r>
      <w:r>
        <w:rPr>
          <w:spacing w:val="-3"/>
        </w:rPr>
        <w:t>、因不可抗力致使基金管理人、基金托管人无法准确评估基金资产价值时；</w:t>
      </w:r>
    </w:p>
    <w:p>
      <w:pPr>
        <w:pStyle w:val="BodyText"/>
        <w:spacing w:before="6"/>
        <w:rPr>
          <w:sz w:val="15"/>
        </w:rPr>
      </w:pPr>
    </w:p>
    <w:p>
      <w:pPr>
        <w:pStyle w:val="BodyText"/>
        <w:spacing w:before="1"/>
        <w:ind w:left="580"/>
        <w:jc w:val="both"/>
      </w:pPr>
      <w:r>
        <w:rPr>
          <w:rFonts w:ascii="Calibri" w:eastAsia="Calibri"/>
        </w:rPr>
        <w:t>3</w:t>
      </w:r>
      <w:r>
        <w:rPr/>
        <w:t>、基金所投资的目标 </w:t>
      </w:r>
      <w:r>
        <w:rPr>
          <w:rFonts w:ascii="Calibri" w:eastAsia="Calibri"/>
        </w:rPr>
        <w:t>ETF </w:t>
      </w:r>
      <w:r>
        <w:rPr/>
        <w:t>暂停估值或暂停公告基金份额净值时；</w:t>
      </w:r>
    </w:p>
    <w:p>
      <w:pPr>
        <w:pStyle w:val="BodyText"/>
        <w:spacing w:before="6"/>
        <w:rPr>
          <w:sz w:val="15"/>
        </w:rPr>
      </w:pPr>
    </w:p>
    <w:p>
      <w:pPr>
        <w:pStyle w:val="BodyText"/>
        <w:spacing w:line="417" w:lineRule="auto"/>
        <w:ind w:left="160" w:right="871" w:firstLine="419"/>
        <w:jc w:val="both"/>
      </w:pPr>
      <w:r>
        <w:rPr>
          <w:rFonts w:ascii="Calibri" w:eastAsia="Calibri"/>
        </w:rPr>
        <w:t>4</w:t>
      </w:r>
      <w:r>
        <w:rPr>
          <w:spacing w:val="-6"/>
        </w:rPr>
        <w:t>、当前一估值日基金资产净值 </w:t>
      </w:r>
      <w:r>
        <w:rPr>
          <w:rFonts w:ascii="Calibri" w:eastAsia="Calibri"/>
        </w:rPr>
        <w:t>50%</w:t>
      </w:r>
      <w:r>
        <w:rPr>
          <w:spacing w:val="-3"/>
        </w:rPr>
        <w:t>以上的资产出现无可参考的活跃市场价格且采用估</w:t>
      </w:r>
      <w:r>
        <w:rPr>
          <w:spacing w:val="-8"/>
        </w:rPr>
        <w:t>值技术仍导致公允价值存在重大不确定性时，经与基金托管人协商确认后，基金管理人应当</w:t>
      </w:r>
      <w:r>
        <w:rPr>
          <w:spacing w:val="-5"/>
        </w:rPr>
        <w:t>暂停基金估值；</w:t>
      </w:r>
    </w:p>
    <w:p>
      <w:pPr>
        <w:pStyle w:val="BodyText"/>
        <w:ind w:left="580"/>
      </w:pPr>
      <w:r>
        <w:rPr>
          <w:rFonts w:ascii="Calibri" w:eastAsia="Calibri"/>
        </w:rPr>
        <w:t>5</w:t>
      </w:r>
      <w:r>
        <w:rPr/>
        <w:t>、中国证监会和基金合同认定的其他情形。</w:t>
      </w:r>
    </w:p>
    <w:p>
      <w:pPr>
        <w:pStyle w:val="BodyText"/>
        <w:spacing w:before="7"/>
        <w:rPr>
          <w:sz w:val="15"/>
        </w:rPr>
      </w:pPr>
    </w:p>
    <w:p>
      <w:pPr>
        <w:pStyle w:val="BodyText"/>
        <w:ind w:left="580"/>
      </w:pPr>
      <w:r>
        <w:rPr/>
        <w:t>（七）基金净值的确认</w:t>
      </w:r>
    </w:p>
    <w:p>
      <w:pPr>
        <w:pStyle w:val="BodyText"/>
        <w:spacing w:before="7"/>
        <w:rPr>
          <w:sz w:val="15"/>
        </w:rPr>
      </w:pPr>
    </w:p>
    <w:p>
      <w:pPr>
        <w:pStyle w:val="BodyText"/>
        <w:spacing w:line="417" w:lineRule="auto"/>
        <w:ind w:left="160" w:right="768" w:firstLine="419"/>
      </w:pPr>
      <w:r>
        <w:rPr>
          <w:spacing w:val="-3"/>
        </w:rPr>
        <w:t>用于基金信息披露的基金净值信息由基金管理人负责计算，基金托管人负责进行复核。基金管理人应于每个开放日交易结束后计算当日的基金资产净值和基金份额净值并发送给 </w:t>
      </w:r>
      <w:r>
        <w:rPr>
          <w:spacing w:val="-11"/>
        </w:rPr>
        <w:t>基金托管人。基金托管人对净值计算结果复核确认后发送给基金管理人，由基金管理人对基</w:t>
      </w:r>
      <w:r>
        <w:rPr>
          <w:spacing w:val="-6"/>
        </w:rPr>
        <w:t>金净值予以公布。</w:t>
      </w:r>
    </w:p>
    <w:p>
      <w:pPr>
        <w:pStyle w:val="BodyText"/>
        <w:spacing w:line="269" w:lineRule="exact"/>
        <w:ind w:left="580"/>
      </w:pPr>
      <w:r>
        <w:rPr/>
        <w:t>（八）特殊情况的处理</w:t>
      </w:r>
    </w:p>
    <w:p>
      <w:pPr>
        <w:pStyle w:val="BodyText"/>
        <w:spacing w:before="6"/>
        <w:rPr>
          <w:sz w:val="15"/>
        </w:rPr>
      </w:pPr>
    </w:p>
    <w:p>
      <w:pPr>
        <w:pStyle w:val="BodyText"/>
        <w:spacing w:before="1"/>
        <w:ind w:left="580"/>
        <w:jc w:val="both"/>
      </w:pPr>
      <w:r>
        <w:rPr>
          <w:rFonts w:ascii="Calibri" w:eastAsia="Calibri"/>
        </w:rPr>
        <w:t>1</w:t>
      </w:r>
      <w:r>
        <w:rPr/>
        <w:t>、基金管理人或基金托管人按估值方法的第 </w:t>
      </w:r>
      <w:r>
        <w:rPr>
          <w:rFonts w:ascii="Calibri" w:eastAsia="Calibri"/>
        </w:rPr>
        <w:t>8 </w:t>
      </w:r>
      <w:r>
        <w:rPr/>
        <w:t>项进行估值时，所造成的误差不作为基</w:t>
      </w:r>
    </w:p>
    <w:p>
      <w:pPr>
        <w:spacing w:after="0"/>
        <w:jc w:val="both"/>
        <w:sectPr>
          <w:pgSz w:w="11910" w:h="16840"/>
          <w:pgMar w:header="877" w:footer="995" w:top="1420" w:bottom="1180" w:left="1640" w:right="920"/>
        </w:sectPr>
      </w:pPr>
    </w:p>
    <w:p>
      <w:pPr>
        <w:pStyle w:val="BodyText"/>
        <w:spacing w:before="110"/>
        <w:ind w:left="160"/>
      </w:pPr>
      <w:r>
        <w:rPr/>
        <w:t>金资产估值错误处理。</w:t>
      </w:r>
    </w:p>
    <w:p>
      <w:pPr>
        <w:pStyle w:val="BodyText"/>
        <w:spacing w:before="6"/>
        <w:rPr>
          <w:sz w:val="15"/>
        </w:rPr>
      </w:pPr>
    </w:p>
    <w:p>
      <w:pPr>
        <w:pStyle w:val="BodyText"/>
        <w:spacing w:line="417" w:lineRule="auto"/>
        <w:ind w:left="160" w:right="770" w:firstLine="419"/>
        <w:jc w:val="both"/>
      </w:pPr>
      <w:r>
        <w:rPr>
          <w:rFonts w:ascii="Calibri" w:eastAsia="Calibri"/>
        </w:rPr>
        <w:t>2</w:t>
      </w:r>
      <w:r>
        <w:rPr>
          <w:spacing w:val="-3"/>
        </w:rPr>
        <w:t>、由于证券交易场所及其登记结算公司发送的数据错误，有关会计制度变化或由于其</w:t>
      </w:r>
      <w:r>
        <w:rPr>
          <w:spacing w:val="-19"/>
        </w:rPr>
        <w:t>他不可抗力原因，基金管理人和基金托管人虽然已经采取必要、适当、合理的措施进行检查， </w:t>
      </w:r>
      <w:r>
        <w:rPr>
          <w:spacing w:val="-13"/>
        </w:rPr>
        <w:t>但是未能发现该错误的，由此造成的基金份额净值错误，基金管理人和基金托管人应免除赔</w:t>
      </w:r>
      <w:r>
        <w:rPr>
          <w:spacing w:val="-6"/>
        </w:rPr>
        <w:t>偿责任，但基金管理人和基金托管人应当积极采取必要的措施减轻或消除由此造成的影响。</w:t>
      </w:r>
    </w:p>
    <w:p>
      <w:pPr>
        <w:spacing w:after="0" w:line="417" w:lineRule="auto"/>
        <w:jc w:val="both"/>
        <w:sectPr>
          <w:pgSz w:w="11910" w:h="16840"/>
          <w:pgMar w:header="877" w:footer="995" w:top="1420" w:bottom="1180" w:left="1640" w:right="920"/>
        </w:sectPr>
      </w:pPr>
    </w:p>
    <w:p>
      <w:pPr>
        <w:pStyle w:val="BodyText"/>
        <w:spacing w:before="7"/>
        <w:rPr>
          <w:sz w:val="29"/>
        </w:rPr>
      </w:pPr>
    </w:p>
    <w:p>
      <w:pPr>
        <w:pStyle w:val="Heading1"/>
        <w:ind w:left="10"/>
      </w:pPr>
      <w:bookmarkStart w:name="_bookmark12" w:id="13"/>
      <w:bookmarkEnd w:id="13"/>
      <w:r>
        <w:rPr>
          <w:b w:val="0"/>
        </w:rPr>
      </w:r>
      <w:r>
        <w:rPr/>
        <w:t>十三、基金的收益与分配</w:t>
      </w:r>
    </w:p>
    <w:p>
      <w:pPr>
        <w:pStyle w:val="BodyText"/>
        <w:rPr>
          <w:b/>
          <w:sz w:val="20"/>
        </w:rPr>
      </w:pPr>
    </w:p>
    <w:p>
      <w:pPr>
        <w:pStyle w:val="BodyText"/>
        <w:spacing w:before="8"/>
        <w:rPr>
          <w:b/>
          <w:sz w:val="15"/>
        </w:rPr>
      </w:pPr>
    </w:p>
    <w:p>
      <w:pPr>
        <w:pStyle w:val="BodyText"/>
        <w:spacing w:before="71"/>
        <w:ind w:left="580"/>
      </w:pPr>
      <w:r>
        <w:rPr/>
        <w:t>（一）基金利润的构成</w:t>
      </w:r>
    </w:p>
    <w:p>
      <w:pPr>
        <w:pStyle w:val="BodyText"/>
        <w:spacing w:before="7"/>
        <w:rPr>
          <w:sz w:val="15"/>
        </w:rPr>
      </w:pPr>
    </w:p>
    <w:p>
      <w:pPr>
        <w:pStyle w:val="BodyText"/>
        <w:spacing w:line="417" w:lineRule="auto"/>
        <w:ind w:left="160" w:right="871" w:firstLine="419"/>
      </w:pPr>
      <w:r>
        <w:rPr>
          <w:spacing w:val="-10"/>
        </w:rPr>
        <w:t>基金利润指基金利息收入、投资收益、公允价值变动收益和其他收入扣除相关费用后的</w:t>
      </w:r>
      <w:r>
        <w:rPr>
          <w:spacing w:val="-5"/>
        </w:rPr>
        <w:t>余额，基金已实现收益指基金利润减去公允价值变动收益后的余额。</w:t>
      </w:r>
    </w:p>
    <w:p>
      <w:pPr>
        <w:pStyle w:val="BodyText"/>
        <w:spacing w:line="269" w:lineRule="exact"/>
        <w:ind w:left="580"/>
      </w:pPr>
      <w:r>
        <w:rPr/>
        <w:t>（二）基金可供分配利润</w:t>
      </w:r>
    </w:p>
    <w:p>
      <w:pPr>
        <w:pStyle w:val="BodyText"/>
        <w:spacing w:before="7"/>
        <w:rPr>
          <w:sz w:val="15"/>
        </w:rPr>
      </w:pPr>
    </w:p>
    <w:p>
      <w:pPr>
        <w:pStyle w:val="BodyText"/>
        <w:spacing w:line="417" w:lineRule="auto"/>
        <w:ind w:left="160" w:right="874" w:firstLine="419"/>
      </w:pPr>
      <w:r>
        <w:rPr/>
        <w:t>基金可供分配利润指截至收益分配基准日基金未分配利润与未分配利润中已实现收益的孰低数。</w:t>
      </w:r>
    </w:p>
    <w:p>
      <w:pPr>
        <w:pStyle w:val="BodyText"/>
        <w:ind w:left="580"/>
      </w:pPr>
      <w:r>
        <w:rPr/>
        <w:t>（三）基金收益分配原则</w:t>
      </w:r>
    </w:p>
    <w:p>
      <w:pPr>
        <w:pStyle w:val="BodyText"/>
        <w:spacing w:before="7"/>
        <w:rPr>
          <w:sz w:val="15"/>
        </w:rPr>
      </w:pPr>
    </w:p>
    <w:p>
      <w:pPr>
        <w:pStyle w:val="BodyText"/>
        <w:spacing w:line="417" w:lineRule="auto"/>
        <w:ind w:left="160" w:right="873" w:firstLine="472"/>
        <w:jc w:val="both"/>
      </w:pPr>
      <w:r>
        <w:rPr>
          <w:rFonts w:ascii="Calibri" w:eastAsia="Calibri"/>
        </w:rPr>
        <w:t>1</w:t>
      </w:r>
      <w:r>
        <w:rPr>
          <w:spacing w:val="-4"/>
        </w:rPr>
        <w:t>、在符合有关基金分红条件的前提下，本基金每年收益分配次数最多为 </w:t>
      </w:r>
      <w:r>
        <w:rPr>
          <w:rFonts w:ascii="Calibri" w:eastAsia="Calibri"/>
        </w:rPr>
        <w:t>12 </w:t>
      </w:r>
      <w:r>
        <w:rPr>
          <w:spacing w:val="-1"/>
        </w:rPr>
        <w:t>次，每次</w:t>
      </w:r>
      <w:r>
        <w:rPr>
          <w:spacing w:val="-5"/>
        </w:rPr>
        <w:t>收益分配比例不得低于该次可供分配利润的 </w:t>
      </w:r>
      <w:r>
        <w:rPr>
          <w:rFonts w:ascii="Calibri" w:eastAsia="Calibri"/>
          <w:spacing w:val="-9"/>
        </w:rPr>
        <w:t>20%</w:t>
      </w:r>
      <w:r>
        <w:rPr>
          <w:spacing w:val="-13"/>
        </w:rPr>
        <w:t>，若《基金合同》生效不满 </w:t>
      </w:r>
      <w:r>
        <w:rPr>
          <w:rFonts w:ascii="Calibri" w:eastAsia="Calibri"/>
        </w:rPr>
        <w:t>3 </w:t>
      </w:r>
      <w:r>
        <w:rPr>
          <w:spacing w:val="-3"/>
        </w:rPr>
        <w:t>个月可不进行收益分配。</w:t>
      </w:r>
    </w:p>
    <w:p>
      <w:pPr>
        <w:pStyle w:val="BodyText"/>
        <w:spacing w:line="417" w:lineRule="auto"/>
        <w:ind w:left="160" w:right="871" w:firstLine="419"/>
        <w:jc w:val="both"/>
      </w:pPr>
      <w:r>
        <w:rPr>
          <w:rFonts w:ascii="Calibri" w:eastAsia="Calibri"/>
        </w:rPr>
        <w:t>2</w:t>
      </w:r>
      <w:r>
        <w:rPr>
          <w:spacing w:val="-3"/>
        </w:rPr>
        <w:t>、本基金收益分配方式分两种：现金分红与红利再投资，投资者可选择现金红利或将</w:t>
      </w:r>
      <w:r>
        <w:rPr>
          <w:spacing w:val="-8"/>
        </w:rPr>
        <w:t>现金红利自动转为基金份额进行再投资；若基金份额持有人不选择，本基金默认的收益分配</w:t>
      </w:r>
      <w:r>
        <w:rPr>
          <w:spacing w:val="-5"/>
        </w:rPr>
        <w:t>方式是现金分红。</w:t>
      </w:r>
    </w:p>
    <w:p>
      <w:pPr>
        <w:pStyle w:val="BodyText"/>
        <w:spacing w:line="417" w:lineRule="auto"/>
        <w:ind w:left="160" w:right="874" w:firstLine="419"/>
      </w:pPr>
      <w:r>
        <w:rPr>
          <w:rFonts w:ascii="Calibri" w:eastAsia="Calibri"/>
        </w:rPr>
        <w:t>3</w:t>
      </w:r>
      <w:r>
        <w:rPr/>
        <w:t>、基金收益分配后基金份额净值不能低于面值；即基金收益分配基准日的基金份额净值减去每单位基金份额收益分配金额后不能低于面值。</w:t>
      </w:r>
    </w:p>
    <w:p>
      <w:pPr>
        <w:pStyle w:val="BodyText"/>
        <w:spacing w:line="417" w:lineRule="auto"/>
        <w:ind w:left="160" w:right="871" w:firstLine="419"/>
        <w:jc w:val="both"/>
      </w:pPr>
      <w:r>
        <w:rPr>
          <w:rFonts w:ascii="Calibri" w:eastAsia="Calibri"/>
        </w:rPr>
        <w:t>4</w:t>
      </w:r>
      <w:r>
        <w:rPr>
          <w:spacing w:val="-3"/>
        </w:rPr>
        <w:t>、由于基金费用的不同，不同类别的基金份额在收益分配数额方面可能有所不同，基</w:t>
      </w:r>
      <w:r>
        <w:rPr>
          <w:spacing w:val="-7"/>
        </w:rPr>
        <w:t>金管理人可对各类别基金份额分别制定收益分配方案，同一类别的每份基金份额享有同等分配权。</w:t>
      </w:r>
    </w:p>
    <w:p>
      <w:pPr>
        <w:pStyle w:val="BodyText"/>
        <w:spacing w:line="269" w:lineRule="exact"/>
        <w:ind w:left="580"/>
      </w:pPr>
      <w:r>
        <w:rPr>
          <w:rFonts w:ascii="Calibri" w:eastAsia="Calibri"/>
        </w:rPr>
        <w:t>5</w:t>
      </w:r>
      <w:r>
        <w:rPr/>
        <w:t>、法律法规或监管机关另有规定的，从其规定。</w:t>
      </w:r>
    </w:p>
    <w:p>
      <w:pPr>
        <w:pStyle w:val="BodyText"/>
        <w:spacing w:before="6"/>
        <w:rPr>
          <w:sz w:val="15"/>
        </w:rPr>
      </w:pPr>
    </w:p>
    <w:p>
      <w:pPr>
        <w:pStyle w:val="BodyText"/>
        <w:spacing w:line="417" w:lineRule="auto"/>
        <w:ind w:left="160" w:right="662" w:firstLine="419"/>
      </w:pPr>
      <w:r>
        <w:rPr>
          <w:spacing w:val="-6"/>
        </w:rPr>
        <w:t>在不违反法律法规且对现有基金份额持有人利益无实质不利影响的情况下，基金管理人、</w:t>
      </w:r>
      <w:r>
        <w:rPr>
          <w:spacing w:val="-10"/>
        </w:rPr>
        <w:t>登记机构在与基金托管人协商一致，并按照监管部门要求履行适当程序后可对基金收益分配 </w:t>
      </w:r>
      <w:r>
        <w:rPr>
          <w:spacing w:val="-5"/>
        </w:rPr>
        <w:t>原则进行调整，不需召开基金份额持有人大会，但应于变更实施日前在指定媒介公告。</w:t>
      </w:r>
    </w:p>
    <w:p>
      <w:pPr>
        <w:pStyle w:val="BodyText"/>
        <w:spacing w:line="269" w:lineRule="exact"/>
        <w:ind w:left="580"/>
      </w:pPr>
      <w:r>
        <w:rPr/>
        <w:t>（四）收益分配方案</w:t>
      </w:r>
    </w:p>
    <w:p>
      <w:pPr>
        <w:pStyle w:val="BodyText"/>
        <w:spacing w:before="7"/>
        <w:rPr>
          <w:sz w:val="15"/>
        </w:rPr>
      </w:pPr>
    </w:p>
    <w:p>
      <w:pPr>
        <w:pStyle w:val="BodyText"/>
        <w:spacing w:line="417" w:lineRule="auto"/>
        <w:ind w:left="160" w:right="768" w:firstLine="419"/>
      </w:pPr>
      <w:r>
        <w:rPr/>
        <w:t>基金收益分配方案中应载明截止收益分配基准日的可供分配利润、基金收益分配对象、分配时间、分配数额及比例、分配方式等内容。</w:t>
      </w:r>
    </w:p>
    <w:p>
      <w:pPr>
        <w:pStyle w:val="BodyText"/>
        <w:spacing w:line="269" w:lineRule="exact"/>
        <w:ind w:left="580"/>
      </w:pPr>
      <w:r>
        <w:rPr/>
        <w:t>（五）收益分配方案的确定、公告与实施</w:t>
      </w:r>
    </w:p>
    <w:p>
      <w:pPr>
        <w:pStyle w:val="BodyText"/>
        <w:spacing w:before="7"/>
        <w:rPr>
          <w:sz w:val="15"/>
        </w:rPr>
      </w:pPr>
    </w:p>
    <w:p>
      <w:pPr>
        <w:pStyle w:val="BodyText"/>
        <w:ind w:left="633"/>
      </w:pPr>
      <w:r>
        <w:rPr/>
        <w:t>本基金收益分配方案由基金管理人拟定，并由基金托管人复核，在 </w:t>
      </w:r>
      <w:r>
        <w:rPr>
          <w:rFonts w:ascii="Calibri" w:eastAsia="Calibri"/>
        </w:rPr>
        <w:t>2 </w:t>
      </w:r>
      <w:r>
        <w:rPr/>
        <w:t>日内在指定媒介</w:t>
      </w:r>
    </w:p>
    <w:p>
      <w:pPr>
        <w:spacing w:after="0"/>
        <w:sectPr>
          <w:pgSz w:w="11910" w:h="16840"/>
          <w:pgMar w:header="877" w:footer="995" w:top="1420" w:bottom="1180" w:left="1640" w:right="920"/>
        </w:sectPr>
      </w:pPr>
    </w:p>
    <w:p>
      <w:pPr>
        <w:pStyle w:val="BodyText"/>
        <w:spacing w:before="110"/>
        <w:ind w:left="160"/>
      </w:pPr>
      <w:r>
        <w:rPr/>
        <w:t>公告。</w:t>
      </w:r>
    </w:p>
    <w:p>
      <w:pPr>
        <w:pStyle w:val="BodyText"/>
        <w:spacing w:before="6"/>
        <w:rPr>
          <w:sz w:val="15"/>
        </w:rPr>
      </w:pPr>
    </w:p>
    <w:p>
      <w:pPr>
        <w:pStyle w:val="BodyText"/>
        <w:ind w:left="580"/>
      </w:pPr>
      <w:r>
        <w:rPr/>
        <w:t>基金红利发放日距离收益分配基准日（即可供分配利润计算截止日）的时间不得超过</w:t>
      </w:r>
    </w:p>
    <w:p>
      <w:pPr>
        <w:pStyle w:val="BodyText"/>
        <w:spacing w:before="7"/>
        <w:rPr>
          <w:sz w:val="15"/>
        </w:rPr>
      </w:pPr>
    </w:p>
    <w:p>
      <w:pPr>
        <w:pStyle w:val="BodyText"/>
        <w:ind w:left="160"/>
      </w:pPr>
      <w:r>
        <w:rPr>
          <w:rFonts w:ascii="Calibri" w:eastAsia="Calibri"/>
        </w:rPr>
        <w:t>15 </w:t>
      </w:r>
      <w:r>
        <w:rPr/>
        <w:t>个工作日。</w:t>
      </w:r>
    </w:p>
    <w:p>
      <w:pPr>
        <w:pStyle w:val="BodyText"/>
        <w:spacing w:before="7"/>
        <w:rPr>
          <w:sz w:val="15"/>
        </w:rPr>
      </w:pPr>
    </w:p>
    <w:p>
      <w:pPr>
        <w:pStyle w:val="BodyText"/>
        <w:ind w:left="580"/>
      </w:pPr>
      <w:r>
        <w:rPr/>
        <w:t>（六）基金收益分配中发生的费用</w:t>
      </w:r>
    </w:p>
    <w:p>
      <w:pPr>
        <w:pStyle w:val="BodyText"/>
        <w:spacing w:before="7"/>
        <w:rPr>
          <w:sz w:val="15"/>
        </w:rPr>
      </w:pPr>
    </w:p>
    <w:p>
      <w:pPr>
        <w:pStyle w:val="BodyText"/>
        <w:spacing w:line="417" w:lineRule="auto"/>
        <w:ind w:left="160" w:right="768" w:firstLine="419"/>
      </w:pPr>
      <w:r>
        <w:rPr>
          <w:spacing w:val="-6"/>
        </w:rPr>
        <w:t>基金收益分配时所发生的银行转账或其他手续费用由投资者自行承担。当投资者的现金</w:t>
      </w:r>
      <w:r>
        <w:rPr>
          <w:spacing w:val="-11"/>
        </w:rPr>
        <w:t>红利小于一定金额，不足以支付银行转账或其他手续费用时，基金登记机构可将基金份额持</w:t>
      </w:r>
      <w:r>
        <w:rPr>
          <w:spacing w:val="-6"/>
        </w:rPr>
        <w:t>有人的现金红利自动转为同一类别的基金份额。红利再投资的计算方法，依照《业务规则》执行。</w:t>
      </w:r>
    </w:p>
    <w:p>
      <w:pPr>
        <w:spacing w:after="0" w:line="417" w:lineRule="auto"/>
        <w:sectPr>
          <w:pgSz w:w="11910" w:h="16840"/>
          <w:pgMar w:header="877" w:footer="995" w:top="1420" w:bottom="1180" w:left="1640" w:right="920"/>
        </w:sectPr>
      </w:pPr>
    </w:p>
    <w:p>
      <w:pPr>
        <w:pStyle w:val="BodyText"/>
        <w:spacing w:before="7"/>
        <w:rPr>
          <w:sz w:val="29"/>
        </w:rPr>
      </w:pPr>
    </w:p>
    <w:p>
      <w:pPr>
        <w:pStyle w:val="Heading1"/>
        <w:ind w:left="10"/>
      </w:pPr>
      <w:bookmarkStart w:name="_bookmark13" w:id="14"/>
      <w:bookmarkEnd w:id="14"/>
      <w:r>
        <w:rPr>
          <w:b w:val="0"/>
        </w:rPr>
      </w:r>
      <w:r>
        <w:rPr/>
        <w:t>十四、基金的费用与税收</w:t>
      </w:r>
    </w:p>
    <w:p>
      <w:pPr>
        <w:pStyle w:val="BodyText"/>
        <w:rPr>
          <w:b/>
          <w:sz w:val="20"/>
        </w:rPr>
      </w:pPr>
    </w:p>
    <w:p>
      <w:pPr>
        <w:pStyle w:val="BodyText"/>
        <w:spacing w:before="8"/>
        <w:rPr>
          <w:b/>
          <w:sz w:val="15"/>
        </w:rPr>
      </w:pPr>
    </w:p>
    <w:p>
      <w:pPr>
        <w:pStyle w:val="BodyText"/>
        <w:spacing w:before="71"/>
        <w:ind w:left="633"/>
      </w:pPr>
      <w:r>
        <w:rPr/>
        <w:t>（一）基金费用的种类</w:t>
      </w:r>
    </w:p>
    <w:p>
      <w:pPr>
        <w:pStyle w:val="BodyText"/>
        <w:spacing w:before="7"/>
        <w:rPr>
          <w:sz w:val="15"/>
        </w:rPr>
      </w:pPr>
    </w:p>
    <w:p>
      <w:pPr>
        <w:pStyle w:val="BodyText"/>
        <w:ind w:left="633"/>
      </w:pPr>
      <w:r>
        <w:rPr>
          <w:rFonts w:ascii="Calibri" w:eastAsia="Calibri"/>
        </w:rPr>
        <w:t>1</w:t>
      </w:r>
      <w:r>
        <w:rPr>
          <w:spacing w:val="-3"/>
        </w:rPr>
        <w:t>、基金管理人的管理费；</w:t>
      </w:r>
    </w:p>
    <w:p>
      <w:pPr>
        <w:pStyle w:val="BodyText"/>
        <w:spacing w:before="7"/>
        <w:rPr>
          <w:sz w:val="15"/>
        </w:rPr>
      </w:pPr>
    </w:p>
    <w:p>
      <w:pPr>
        <w:pStyle w:val="BodyText"/>
        <w:ind w:left="633"/>
      </w:pPr>
      <w:r>
        <w:rPr>
          <w:rFonts w:ascii="Calibri" w:eastAsia="Calibri"/>
        </w:rPr>
        <w:t>2</w:t>
      </w:r>
      <w:r>
        <w:rPr>
          <w:spacing w:val="-3"/>
        </w:rPr>
        <w:t>、基金托管人的托管费；</w:t>
      </w:r>
    </w:p>
    <w:p>
      <w:pPr>
        <w:pStyle w:val="BodyText"/>
        <w:spacing w:before="6"/>
        <w:rPr>
          <w:sz w:val="15"/>
        </w:rPr>
      </w:pPr>
    </w:p>
    <w:p>
      <w:pPr>
        <w:pStyle w:val="BodyText"/>
        <w:ind w:left="633"/>
      </w:pPr>
      <w:r>
        <w:rPr>
          <w:rFonts w:ascii="Calibri" w:eastAsia="Calibri"/>
        </w:rPr>
        <w:t>3</w:t>
      </w:r>
      <w:r>
        <w:rPr/>
        <w:t>、基金的销售服务费；</w:t>
      </w:r>
    </w:p>
    <w:p>
      <w:pPr>
        <w:pStyle w:val="BodyText"/>
        <w:spacing w:before="7"/>
        <w:rPr>
          <w:sz w:val="15"/>
        </w:rPr>
      </w:pPr>
    </w:p>
    <w:p>
      <w:pPr>
        <w:pStyle w:val="BodyText"/>
        <w:spacing w:line="417" w:lineRule="auto"/>
        <w:ind w:left="160" w:right="875" w:firstLine="472"/>
      </w:pPr>
      <w:r>
        <w:rPr>
          <w:rFonts w:ascii="Calibri" w:eastAsia="Calibri"/>
        </w:rPr>
        <w:t>4</w:t>
      </w:r>
      <w:r>
        <w:rPr>
          <w:spacing w:val="-7"/>
        </w:rPr>
        <w:t>、除法律法规、中国证监会另有规定外，《基金合同》生效后与基金相关的信息披露</w:t>
      </w:r>
      <w:r>
        <w:rPr/>
        <w:t>费用；</w:t>
      </w:r>
    </w:p>
    <w:p>
      <w:pPr>
        <w:pStyle w:val="BodyText"/>
        <w:spacing w:before="1"/>
        <w:ind w:left="633"/>
      </w:pPr>
      <w:r>
        <w:rPr>
          <w:rFonts w:ascii="Calibri" w:eastAsia="Calibri"/>
        </w:rPr>
        <w:t>5</w:t>
      </w:r>
      <w:r>
        <w:rPr/>
        <w:t>、《基金合同》生效后与基金相关的会计师费、律师费、仲裁费和诉讼费；</w:t>
      </w:r>
    </w:p>
    <w:p>
      <w:pPr>
        <w:pStyle w:val="BodyText"/>
        <w:spacing w:before="6"/>
        <w:rPr>
          <w:sz w:val="15"/>
        </w:rPr>
      </w:pPr>
    </w:p>
    <w:p>
      <w:pPr>
        <w:pStyle w:val="BodyText"/>
        <w:ind w:left="633"/>
      </w:pPr>
      <w:r>
        <w:rPr>
          <w:rFonts w:ascii="Calibri" w:eastAsia="Calibri"/>
        </w:rPr>
        <w:t>6</w:t>
      </w:r>
      <w:r>
        <w:rPr/>
        <w:t>、基金份额持有人大会费用；</w:t>
      </w:r>
    </w:p>
    <w:p>
      <w:pPr>
        <w:pStyle w:val="BodyText"/>
        <w:spacing w:before="7"/>
        <w:rPr>
          <w:sz w:val="15"/>
        </w:rPr>
      </w:pPr>
    </w:p>
    <w:p>
      <w:pPr>
        <w:pStyle w:val="BodyText"/>
        <w:spacing w:line="417" w:lineRule="auto"/>
        <w:ind w:left="160" w:right="873" w:firstLine="472"/>
        <w:jc w:val="both"/>
      </w:pPr>
      <w:r>
        <w:rPr>
          <w:rFonts w:ascii="Calibri" w:eastAsia="Calibri"/>
        </w:rPr>
        <w:t>7</w:t>
      </w:r>
      <w:r>
        <w:rPr>
          <w:spacing w:val="-9"/>
        </w:rPr>
        <w:t>、基金投资目标 </w:t>
      </w:r>
      <w:r>
        <w:rPr>
          <w:rFonts w:ascii="Calibri" w:eastAsia="Calibri"/>
        </w:rPr>
        <w:t>ETF </w:t>
      </w:r>
      <w:r>
        <w:rPr>
          <w:spacing w:val="-4"/>
        </w:rPr>
        <w:t>的相关费用</w:t>
      </w:r>
      <w:r>
        <w:rPr>
          <w:spacing w:val="-3"/>
        </w:rPr>
        <w:t>（</w:t>
      </w:r>
      <w:r>
        <w:rPr>
          <w:spacing w:val="-8"/>
        </w:rPr>
        <w:t>包括但不限于目标 </w:t>
      </w:r>
      <w:r>
        <w:rPr>
          <w:rFonts w:ascii="Calibri" w:eastAsia="Calibri"/>
        </w:rPr>
        <w:t>ETF </w:t>
      </w:r>
      <w:r>
        <w:rPr>
          <w:spacing w:val="-4"/>
        </w:rPr>
        <w:t>的交易费用、申购赎回费用</w:t>
      </w:r>
      <w:r>
        <w:rPr>
          <w:spacing w:val="-4"/>
          <w:w w:val="100"/>
        </w:rPr>
        <w:t>等</w:t>
      </w:r>
      <w:r>
        <w:rPr>
          <w:spacing w:val="-106"/>
          <w:w w:val="100"/>
        </w:rPr>
        <w:t>）</w:t>
      </w:r>
      <w:r>
        <w:rPr>
          <w:w w:val="100"/>
        </w:rPr>
        <w:t>；</w:t>
      </w:r>
    </w:p>
    <w:p>
      <w:pPr>
        <w:pStyle w:val="BodyText"/>
        <w:spacing w:line="417" w:lineRule="auto"/>
        <w:ind w:left="160" w:right="871" w:firstLine="472"/>
        <w:jc w:val="both"/>
      </w:pPr>
      <w:r>
        <w:rPr>
          <w:rFonts w:ascii="Calibri" w:eastAsia="Calibri"/>
          <w:spacing w:val="3"/>
        </w:rPr>
        <w:t>8</w:t>
      </w:r>
      <w:r>
        <w:rPr/>
        <w:t>、基金的证券</w:t>
      </w:r>
      <w:r>
        <w:rPr>
          <w:rFonts w:ascii="Calibri" w:eastAsia="Calibri"/>
        </w:rPr>
        <w:t>/</w:t>
      </w:r>
      <w:r>
        <w:rPr/>
        <w:t>期货交易或因结算而产生的费用（包括但不限于经手费、印花税、证</w:t>
      </w:r>
      <w:r>
        <w:rPr>
          <w:spacing w:val="-11"/>
        </w:rPr>
        <w:t>管费、过户费、手续费、券商佣金、权证交易的结算费、证券账户相关费用及其他类似性质</w:t>
      </w:r>
      <w:r>
        <w:rPr>
          <w:spacing w:val="-7"/>
          <w:w w:val="100"/>
        </w:rPr>
        <w:t>的费用等</w:t>
      </w:r>
      <w:r>
        <w:rPr>
          <w:spacing w:val="-109"/>
          <w:w w:val="100"/>
        </w:rPr>
        <w:t>）</w:t>
      </w:r>
      <w:r>
        <w:rPr>
          <w:w w:val="100"/>
        </w:rPr>
        <w:t>；</w:t>
      </w:r>
    </w:p>
    <w:p>
      <w:pPr>
        <w:pStyle w:val="BodyText"/>
        <w:ind w:left="633"/>
      </w:pPr>
      <w:r>
        <w:rPr>
          <w:rFonts w:ascii="Calibri" w:eastAsia="Calibri"/>
        </w:rPr>
        <w:t>9</w:t>
      </w:r>
      <w:r>
        <w:rPr/>
        <w:t>、基金的银行汇划费用；</w:t>
      </w:r>
    </w:p>
    <w:p>
      <w:pPr>
        <w:pStyle w:val="BodyText"/>
        <w:spacing w:before="6"/>
        <w:rPr>
          <w:sz w:val="15"/>
        </w:rPr>
      </w:pPr>
    </w:p>
    <w:p>
      <w:pPr>
        <w:pStyle w:val="BodyText"/>
        <w:ind w:left="633"/>
      </w:pPr>
      <w:r>
        <w:rPr>
          <w:rFonts w:ascii="Calibri" w:eastAsia="Calibri"/>
        </w:rPr>
        <w:t>10</w:t>
      </w:r>
      <w:r>
        <w:rPr/>
        <w:t>、基金收益分配中发生的费用；</w:t>
      </w:r>
    </w:p>
    <w:p>
      <w:pPr>
        <w:pStyle w:val="BodyText"/>
        <w:spacing w:before="7"/>
        <w:rPr>
          <w:sz w:val="15"/>
        </w:rPr>
      </w:pPr>
    </w:p>
    <w:p>
      <w:pPr>
        <w:pStyle w:val="BodyText"/>
        <w:ind w:left="633"/>
      </w:pPr>
      <w:r>
        <w:rPr>
          <w:rFonts w:ascii="Calibri" w:eastAsia="Calibri"/>
        </w:rPr>
        <w:t>11</w:t>
      </w:r>
      <w:r>
        <w:rPr/>
        <w:t>、基金的开户费用、账户维护费用；</w:t>
      </w:r>
    </w:p>
    <w:p>
      <w:pPr>
        <w:pStyle w:val="BodyText"/>
        <w:spacing w:before="7"/>
        <w:rPr>
          <w:sz w:val="15"/>
        </w:rPr>
      </w:pPr>
    </w:p>
    <w:p>
      <w:pPr>
        <w:pStyle w:val="BodyText"/>
        <w:ind w:left="633"/>
      </w:pPr>
      <w:r>
        <w:rPr>
          <w:rFonts w:ascii="Calibri" w:eastAsia="Calibri"/>
        </w:rPr>
        <w:t>12</w:t>
      </w:r>
      <w:r>
        <w:rPr/>
        <w:t>、按照国家有关规定和《基金合同》约定，可以在基金财产中列支的其他费用；</w:t>
      </w:r>
    </w:p>
    <w:p>
      <w:pPr>
        <w:pStyle w:val="BodyText"/>
        <w:spacing w:before="6"/>
        <w:rPr>
          <w:sz w:val="15"/>
        </w:rPr>
      </w:pPr>
    </w:p>
    <w:p>
      <w:pPr>
        <w:pStyle w:val="BodyText"/>
        <w:spacing w:before="1"/>
        <w:ind w:left="633"/>
      </w:pPr>
      <w:r>
        <w:rPr/>
        <w:t>（二）基金费用计提方法、计提标准和支付方式</w:t>
      </w:r>
    </w:p>
    <w:p>
      <w:pPr>
        <w:pStyle w:val="BodyText"/>
        <w:spacing w:before="6"/>
        <w:rPr>
          <w:sz w:val="15"/>
        </w:rPr>
      </w:pPr>
    </w:p>
    <w:p>
      <w:pPr>
        <w:pStyle w:val="BodyText"/>
        <w:ind w:left="633"/>
      </w:pPr>
      <w:r>
        <w:rPr>
          <w:rFonts w:ascii="Calibri" w:eastAsia="Calibri"/>
        </w:rPr>
        <w:t>1</w:t>
      </w:r>
      <w:r>
        <w:rPr/>
        <w:t>、基金管理人的管理费</w:t>
      </w:r>
    </w:p>
    <w:p>
      <w:pPr>
        <w:pStyle w:val="BodyText"/>
        <w:spacing w:before="7"/>
        <w:rPr>
          <w:sz w:val="15"/>
        </w:rPr>
      </w:pPr>
    </w:p>
    <w:p>
      <w:pPr>
        <w:pStyle w:val="BodyText"/>
        <w:spacing w:line="417" w:lineRule="auto" w:before="1"/>
        <w:ind w:left="160" w:right="871" w:firstLine="472"/>
      </w:pPr>
      <w:r>
        <w:rPr/>
        <w:t>本基金的管理费按前一日基金资产净值扣除基金资产中目标 </w:t>
      </w:r>
      <w:r>
        <w:rPr>
          <w:rFonts w:ascii="Calibri" w:eastAsia="Calibri"/>
        </w:rPr>
        <w:t>ETF </w:t>
      </w:r>
      <w:r>
        <w:rPr/>
        <w:t>份额所对应资产净值后剩余部分的 </w:t>
      </w:r>
      <w:r>
        <w:rPr>
          <w:rFonts w:ascii="Calibri" w:eastAsia="Calibri"/>
        </w:rPr>
        <w:t>0.50%</w:t>
      </w:r>
      <w:r>
        <w:rPr/>
        <w:t>年费率计提。管理费的计算方法如下：</w:t>
      </w:r>
    </w:p>
    <w:p>
      <w:pPr>
        <w:pStyle w:val="BodyText"/>
        <w:spacing w:line="269" w:lineRule="exact"/>
        <w:ind w:left="633"/>
      </w:pPr>
      <w:r>
        <w:rPr>
          <w:rFonts w:ascii="Calibri" w:hAnsi="Calibri" w:eastAsia="Calibri"/>
        </w:rPr>
        <w:t>H</w:t>
      </w:r>
      <w:r>
        <w:rPr/>
        <w:t>＝</w:t>
      </w:r>
      <w:r>
        <w:rPr>
          <w:rFonts w:ascii="Calibri" w:hAnsi="Calibri" w:eastAsia="Calibri"/>
        </w:rPr>
        <w:t>E×0.50%÷</w:t>
      </w:r>
      <w:r>
        <w:rPr/>
        <w:t>当年天数</w:t>
      </w:r>
    </w:p>
    <w:p>
      <w:pPr>
        <w:pStyle w:val="BodyText"/>
        <w:spacing w:before="6"/>
        <w:rPr>
          <w:sz w:val="15"/>
        </w:rPr>
      </w:pPr>
    </w:p>
    <w:p>
      <w:pPr>
        <w:pStyle w:val="BodyText"/>
        <w:ind w:left="633"/>
      </w:pPr>
      <w:r>
        <w:rPr>
          <w:rFonts w:ascii="Calibri" w:eastAsia="Calibri"/>
        </w:rPr>
        <w:t>H </w:t>
      </w:r>
      <w:r>
        <w:rPr/>
        <w:t>为每日应计提的基金管理费</w:t>
      </w:r>
    </w:p>
    <w:p>
      <w:pPr>
        <w:pStyle w:val="BodyText"/>
        <w:spacing w:before="7"/>
        <w:rPr>
          <w:sz w:val="15"/>
        </w:rPr>
      </w:pPr>
    </w:p>
    <w:p>
      <w:pPr>
        <w:pStyle w:val="BodyText"/>
        <w:spacing w:line="417" w:lineRule="auto"/>
        <w:ind w:left="160" w:right="726" w:firstLine="472"/>
      </w:pPr>
      <w:r>
        <w:rPr>
          <w:rFonts w:ascii="Calibri" w:eastAsia="Calibri"/>
        </w:rPr>
        <w:t>E </w:t>
      </w:r>
      <w:r>
        <w:rPr/>
        <w:t>为前一日的基金资产净值扣除基金资产中目标 </w:t>
      </w:r>
      <w:r>
        <w:rPr>
          <w:rFonts w:ascii="Calibri" w:eastAsia="Calibri"/>
        </w:rPr>
        <w:t>ETF </w:t>
      </w:r>
      <w:r>
        <w:rPr/>
        <w:t>份额所对应资产净值后剩余部分， 若为负数，则</w:t>
      </w:r>
      <w:r>
        <w:rPr>
          <w:rFonts w:ascii="Calibri" w:eastAsia="Calibri"/>
        </w:rPr>
        <w:t>E </w:t>
      </w:r>
      <w:r>
        <w:rPr/>
        <w:t>取 </w:t>
      </w:r>
      <w:r>
        <w:rPr>
          <w:rFonts w:ascii="Calibri" w:eastAsia="Calibri"/>
        </w:rPr>
        <w:t>0</w:t>
      </w:r>
      <w:r>
        <w:rPr/>
        <w:t>。</w:t>
      </w:r>
    </w:p>
    <w:p>
      <w:pPr>
        <w:pStyle w:val="BodyText"/>
        <w:spacing w:line="417" w:lineRule="auto"/>
        <w:ind w:left="160" w:right="871" w:firstLine="472"/>
      </w:pPr>
      <w:r>
        <w:rPr>
          <w:spacing w:val="-1"/>
        </w:rPr>
        <w:t>基金管理费每日计算，逐日累计至每月月末，按月支付，由基金托管人根据与基金管</w:t>
      </w:r>
      <w:r>
        <w:rPr>
          <w:spacing w:val="-9"/>
        </w:rPr>
        <w:t>理人核对一致的财务数据，自动在次月前 </w:t>
      </w:r>
      <w:r>
        <w:rPr>
          <w:rFonts w:ascii="Calibri" w:eastAsia="Calibri"/>
        </w:rPr>
        <w:t>5 </w:t>
      </w:r>
      <w:r>
        <w:rPr>
          <w:spacing w:val="-9"/>
        </w:rPr>
        <w:t>个工作日内，按照指定的账户路径从基金财产中</w:t>
      </w:r>
    </w:p>
    <w:p>
      <w:pPr>
        <w:spacing w:after="0" w:line="417" w:lineRule="auto"/>
        <w:sectPr>
          <w:footerReference w:type="default" r:id="rId145"/>
          <w:pgSz w:w="11910" w:h="16840"/>
          <w:pgMar w:footer="995" w:header="877" w:top="1420" w:bottom="1180" w:left="1640" w:right="920"/>
          <w:pgNumType w:start="110"/>
        </w:sectPr>
      </w:pPr>
    </w:p>
    <w:p>
      <w:pPr>
        <w:pStyle w:val="BodyText"/>
        <w:spacing w:before="110"/>
        <w:ind w:left="160"/>
      </w:pPr>
      <w:r>
        <w:rPr/>
        <w:t>一次性支付给基金管理人。若遇法定节假日、公休假等，支付日期顺延。</w:t>
      </w:r>
    </w:p>
    <w:p>
      <w:pPr>
        <w:pStyle w:val="BodyText"/>
        <w:spacing w:before="6"/>
        <w:rPr>
          <w:sz w:val="15"/>
        </w:rPr>
      </w:pPr>
    </w:p>
    <w:p>
      <w:pPr>
        <w:pStyle w:val="BodyText"/>
        <w:ind w:left="633"/>
      </w:pPr>
      <w:r>
        <w:rPr>
          <w:rFonts w:ascii="Calibri" w:eastAsia="Calibri"/>
        </w:rPr>
        <w:t>2</w:t>
      </w:r>
      <w:r>
        <w:rPr/>
        <w:t>、基金托管人的托管费</w:t>
      </w:r>
    </w:p>
    <w:p>
      <w:pPr>
        <w:pStyle w:val="BodyText"/>
        <w:spacing w:before="7"/>
        <w:rPr>
          <w:sz w:val="15"/>
        </w:rPr>
      </w:pPr>
    </w:p>
    <w:p>
      <w:pPr>
        <w:pStyle w:val="BodyText"/>
        <w:spacing w:line="417" w:lineRule="auto"/>
        <w:ind w:left="160" w:right="871" w:firstLine="472"/>
      </w:pPr>
      <w:r>
        <w:rPr/>
        <w:t>本基金的托管费按前一日基金资产净值扣除基金资产中目标 </w:t>
      </w:r>
      <w:r>
        <w:rPr>
          <w:rFonts w:ascii="Calibri" w:eastAsia="Calibri"/>
        </w:rPr>
        <w:t>ETF </w:t>
      </w:r>
      <w:r>
        <w:rPr/>
        <w:t>份额所对应资产净值后剩余部分的 </w:t>
      </w:r>
      <w:r>
        <w:rPr>
          <w:rFonts w:ascii="Calibri" w:eastAsia="Calibri"/>
        </w:rPr>
        <w:t>0.10%</w:t>
      </w:r>
      <w:r>
        <w:rPr/>
        <w:t>的年费率计提。托管费的计算方法如下：</w:t>
      </w:r>
    </w:p>
    <w:p>
      <w:pPr>
        <w:pStyle w:val="BodyText"/>
        <w:spacing w:line="269" w:lineRule="exact"/>
        <w:ind w:left="633"/>
      </w:pPr>
      <w:r>
        <w:rPr>
          <w:rFonts w:ascii="Calibri" w:hAnsi="Calibri" w:eastAsia="Calibri"/>
        </w:rPr>
        <w:t>H</w:t>
      </w:r>
      <w:r>
        <w:rPr/>
        <w:t>＝</w:t>
      </w:r>
      <w:r>
        <w:rPr>
          <w:rFonts w:ascii="Calibri" w:hAnsi="Calibri" w:eastAsia="Calibri"/>
        </w:rPr>
        <w:t>E×0.10%÷</w:t>
      </w:r>
      <w:r>
        <w:rPr/>
        <w:t>当年天数</w:t>
      </w:r>
    </w:p>
    <w:p>
      <w:pPr>
        <w:pStyle w:val="BodyText"/>
        <w:spacing w:before="7"/>
        <w:rPr>
          <w:sz w:val="15"/>
        </w:rPr>
      </w:pPr>
    </w:p>
    <w:p>
      <w:pPr>
        <w:pStyle w:val="BodyText"/>
        <w:ind w:left="633"/>
        <w:jc w:val="both"/>
      </w:pPr>
      <w:r>
        <w:rPr>
          <w:rFonts w:ascii="Calibri" w:eastAsia="Calibri"/>
        </w:rPr>
        <w:t>H </w:t>
      </w:r>
      <w:r>
        <w:rPr/>
        <w:t>为每日应计提的基金托管费</w:t>
      </w:r>
    </w:p>
    <w:p>
      <w:pPr>
        <w:pStyle w:val="BodyText"/>
        <w:spacing w:before="7"/>
        <w:rPr>
          <w:sz w:val="15"/>
        </w:rPr>
      </w:pPr>
    </w:p>
    <w:p>
      <w:pPr>
        <w:pStyle w:val="BodyText"/>
        <w:spacing w:line="417" w:lineRule="auto"/>
        <w:ind w:left="160" w:right="768" w:firstLine="472"/>
        <w:jc w:val="both"/>
      </w:pPr>
      <w:r>
        <w:rPr>
          <w:rFonts w:ascii="Calibri" w:eastAsia="Calibri"/>
        </w:rPr>
        <w:t>E </w:t>
      </w:r>
      <w:r>
        <w:rPr>
          <w:spacing w:val="-5"/>
        </w:rPr>
        <w:t>为前一日的基金资产净值扣除基金资产中目标 </w:t>
      </w:r>
      <w:r>
        <w:rPr>
          <w:rFonts w:ascii="Calibri" w:eastAsia="Calibri"/>
        </w:rPr>
        <w:t>ETF </w:t>
      </w:r>
      <w:r>
        <w:rPr>
          <w:spacing w:val="-3"/>
        </w:rPr>
        <w:t>份额所对应资产净值后剩余部分， </w:t>
      </w:r>
      <w:r>
        <w:rPr>
          <w:spacing w:val="6"/>
        </w:rPr>
        <w:t>若为负数，则</w:t>
      </w:r>
      <w:r>
        <w:rPr>
          <w:rFonts w:ascii="Calibri" w:eastAsia="Calibri"/>
        </w:rPr>
        <w:t>E </w:t>
      </w:r>
      <w:r>
        <w:rPr>
          <w:spacing w:val="-1"/>
        </w:rPr>
        <w:t>取 </w:t>
      </w:r>
      <w:r>
        <w:rPr>
          <w:rFonts w:ascii="Calibri" w:eastAsia="Calibri"/>
        </w:rPr>
        <w:t>0</w:t>
      </w:r>
      <w:r>
        <w:rPr/>
        <w:t>。</w:t>
      </w:r>
    </w:p>
    <w:p>
      <w:pPr>
        <w:pStyle w:val="BodyText"/>
        <w:spacing w:line="417" w:lineRule="auto"/>
        <w:ind w:left="160" w:right="871" w:firstLine="472"/>
        <w:jc w:val="both"/>
      </w:pPr>
      <w:r>
        <w:rPr>
          <w:spacing w:val="-1"/>
        </w:rPr>
        <w:t>基金托管费每日计算，逐日累计至每月月末，按月支付，由基金托管人根据与基金管</w:t>
      </w:r>
      <w:r>
        <w:rPr>
          <w:spacing w:val="-9"/>
        </w:rPr>
        <w:t>理人核对一致的财务数据，自动在次月前 </w:t>
      </w:r>
      <w:r>
        <w:rPr>
          <w:rFonts w:ascii="Calibri" w:eastAsia="Calibri"/>
        </w:rPr>
        <w:t>5 </w:t>
      </w:r>
      <w:r>
        <w:rPr>
          <w:spacing w:val="-9"/>
        </w:rPr>
        <w:t>个工作日内，按照指定的账户路径从基金财产中</w:t>
      </w:r>
      <w:r>
        <w:rPr>
          <w:spacing w:val="-5"/>
        </w:rPr>
        <w:t>一次性支取。若遇法定节假日、公休日等，支付日期顺延。</w:t>
      </w:r>
    </w:p>
    <w:p>
      <w:pPr>
        <w:pStyle w:val="BodyText"/>
        <w:spacing w:line="269" w:lineRule="exact"/>
        <w:ind w:left="633"/>
      </w:pPr>
      <w:r>
        <w:rPr>
          <w:rFonts w:ascii="Calibri" w:eastAsia="Calibri"/>
        </w:rPr>
        <w:t>3</w:t>
      </w:r>
      <w:r>
        <w:rPr/>
        <w:t>、销售服务费</w:t>
      </w:r>
    </w:p>
    <w:p>
      <w:pPr>
        <w:pStyle w:val="BodyText"/>
        <w:spacing w:before="7"/>
        <w:rPr>
          <w:sz w:val="15"/>
        </w:rPr>
      </w:pPr>
    </w:p>
    <w:p>
      <w:pPr>
        <w:pStyle w:val="BodyText"/>
        <w:spacing w:line="417" w:lineRule="auto"/>
        <w:ind w:left="160" w:right="871" w:firstLine="472"/>
        <w:jc w:val="both"/>
      </w:pPr>
      <w:r>
        <w:rPr>
          <w:spacing w:val="-1"/>
        </w:rPr>
        <w:t>销售服务费可用于本基金市场推广、销售以及基金份额持有人服务等各项费用。本基</w:t>
      </w:r>
      <w:r>
        <w:rPr>
          <w:spacing w:val="-18"/>
          <w:w w:val="100"/>
        </w:rPr>
        <w:t>金份额分为不同的类别，适用不同的销售服务费率。其中，</w:t>
      </w:r>
      <w:r>
        <w:rPr>
          <w:rFonts w:ascii="Calibri" w:eastAsia="Calibri"/>
          <w:w w:val="100"/>
        </w:rPr>
        <w:t>A</w:t>
      </w:r>
      <w:r>
        <w:rPr>
          <w:rFonts w:ascii="Calibri" w:eastAsia="Calibri"/>
          <w:spacing w:val="5"/>
        </w:rPr>
        <w:t> </w:t>
      </w:r>
      <w:r>
        <w:rPr>
          <w:spacing w:val="-3"/>
          <w:w w:val="100"/>
        </w:rPr>
        <w:t>类基金份额不收取销售服务费， </w:t>
      </w:r>
      <w:r>
        <w:rPr>
          <w:rFonts w:ascii="Calibri" w:eastAsia="Calibri"/>
          <w:spacing w:val="-3"/>
        </w:rPr>
        <w:t>C</w:t>
      </w:r>
      <w:r>
        <w:rPr>
          <w:rFonts w:ascii="Calibri" w:eastAsia="Calibri"/>
          <w:spacing w:val="5"/>
        </w:rPr>
        <w:t> </w:t>
      </w:r>
      <w:r>
        <w:rPr>
          <w:spacing w:val="-7"/>
        </w:rPr>
        <w:t>类基金份额销售服务费年费率为 </w:t>
      </w:r>
      <w:r>
        <w:rPr>
          <w:rFonts w:ascii="Calibri" w:eastAsia="Calibri"/>
        </w:rPr>
        <w:t>0.3%</w:t>
      </w:r>
      <w:r>
        <w:rPr/>
        <w:t>。</w:t>
      </w:r>
    </w:p>
    <w:p>
      <w:pPr>
        <w:pStyle w:val="BodyText"/>
        <w:ind w:left="633"/>
      </w:pPr>
      <w:r>
        <w:rPr/>
        <w:t>各类别基金份额的销售服务费计算方法如下：</w:t>
      </w:r>
    </w:p>
    <w:p>
      <w:pPr>
        <w:pStyle w:val="BodyText"/>
        <w:spacing w:before="6"/>
        <w:rPr>
          <w:sz w:val="15"/>
        </w:rPr>
      </w:pPr>
    </w:p>
    <w:p>
      <w:pPr>
        <w:pStyle w:val="BodyText"/>
        <w:ind w:left="633"/>
      </w:pPr>
      <w:r>
        <w:rPr>
          <w:rFonts w:ascii="Calibri" w:hAnsi="Calibri" w:eastAsia="Calibri"/>
        </w:rPr>
        <w:t>H</w:t>
      </w:r>
      <w:r>
        <w:rPr/>
        <w:t>＝</w:t>
      </w:r>
      <w:r>
        <w:rPr>
          <w:rFonts w:ascii="Calibri" w:hAnsi="Calibri" w:eastAsia="Calibri"/>
        </w:rPr>
        <w:t>E</w:t>
      </w:r>
      <w:r>
        <w:rPr/>
        <w:t>×</w:t>
      </w:r>
      <w:r>
        <w:rPr>
          <w:rFonts w:ascii="Calibri" w:hAnsi="Calibri" w:eastAsia="Calibri"/>
        </w:rPr>
        <w:t>R</w:t>
      </w:r>
      <w:r>
        <w:rPr/>
        <w:t>÷当年天数</w:t>
      </w:r>
    </w:p>
    <w:p>
      <w:pPr>
        <w:pStyle w:val="BodyText"/>
        <w:spacing w:before="7"/>
        <w:rPr>
          <w:sz w:val="15"/>
        </w:rPr>
      </w:pPr>
    </w:p>
    <w:p>
      <w:pPr>
        <w:pStyle w:val="BodyText"/>
        <w:ind w:left="633"/>
        <w:jc w:val="both"/>
      </w:pPr>
      <w:r>
        <w:rPr>
          <w:rFonts w:ascii="Calibri" w:eastAsia="Calibri"/>
        </w:rPr>
        <w:t>H </w:t>
      </w:r>
      <w:r>
        <w:rPr/>
        <w:t>为各类别基金份额每日应计提的销售服务费</w:t>
      </w:r>
    </w:p>
    <w:p>
      <w:pPr>
        <w:pStyle w:val="BodyText"/>
        <w:spacing w:before="7"/>
        <w:rPr>
          <w:sz w:val="15"/>
        </w:rPr>
      </w:pPr>
    </w:p>
    <w:p>
      <w:pPr>
        <w:pStyle w:val="BodyText"/>
        <w:ind w:left="633"/>
        <w:jc w:val="both"/>
      </w:pPr>
      <w:r>
        <w:rPr>
          <w:rFonts w:ascii="Calibri" w:eastAsia="Calibri"/>
        </w:rPr>
        <w:t>E</w:t>
      </w:r>
      <w:r>
        <w:rPr>
          <w:rFonts w:ascii="Calibri" w:eastAsia="Calibri"/>
          <w:spacing w:val="15"/>
        </w:rPr>
        <w:t>  </w:t>
      </w:r>
      <w:r>
        <w:rPr>
          <w:spacing w:val="-3"/>
        </w:rPr>
        <w:t>为各类别基金份额前一日基金资产净值</w:t>
      </w:r>
    </w:p>
    <w:p>
      <w:pPr>
        <w:pStyle w:val="BodyText"/>
        <w:spacing w:before="6"/>
        <w:rPr>
          <w:sz w:val="15"/>
        </w:rPr>
      </w:pPr>
    </w:p>
    <w:p>
      <w:pPr>
        <w:pStyle w:val="BodyText"/>
        <w:spacing w:before="1"/>
        <w:ind w:left="633"/>
        <w:jc w:val="both"/>
      </w:pPr>
      <w:r>
        <w:rPr>
          <w:rFonts w:ascii="Calibri" w:eastAsia="Calibri"/>
        </w:rPr>
        <w:t>R</w:t>
      </w:r>
      <w:r>
        <w:rPr>
          <w:rFonts w:ascii="Calibri" w:eastAsia="Calibri"/>
          <w:spacing w:val="16"/>
        </w:rPr>
        <w:t>  </w:t>
      </w:r>
      <w:r>
        <w:rPr>
          <w:spacing w:val="-3"/>
        </w:rPr>
        <w:t>为各类别基金份额适用的销售服务费率</w:t>
      </w:r>
    </w:p>
    <w:p>
      <w:pPr>
        <w:pStyle w:val="BodyText"/>
        <w:spacing w:before="6"/>
        <w:rPr>
          <w:sz w:val="15"/>
        </w:rPr>
      </w:pPr>
    </w:p>
    <w:p>
      <w:pPr>
        <w:pStyle w:val="BodyText"/>
        <w:spacing w:line="417" w:lineRule="auto"/>
        <w:ind w:left="160" w:right="871" w:firstLine="472"/>
        <w:jc w:val="both"/>
      </w:pPr>
      <w:r>
        <w:rPr>
          <w:spacing w:val="-1"/>
        </w:rPr>
        <w:t>销售服务费每日计算，逐日累计至每月月末，按月支付。由基金托管人根据与基金管</w:t>
      </w:r>
      <w:r>
        <w:rPr>
          <w:spacing w:val="-9"/>
        </w:rPr>
        <w:t>理人核对一致的财务数据，自动在月初 </w:t>
      </w:r>
      <w:r>
        <w:rPr>
          <w:rFonts w:ascii="Calibri" w:eastAsia="Calibri"/>
        </w:rPr>
        <w:t>5 </w:t>
      </w:r>
      <w:r>
        <w:rPr>
          <w:spacing w:val="-6"/>
        </w:rPr>
        <w:t>个工作日内从基金财产中一次性划出，经登记机构</w:t>
      </w:r>
      <w:r>
        <w:rPr>
          <w:spacing w:val="-4"/>
        </w:rPr>
        <w:t>分别支付给各个基金销售机构。若遇法定节假日、公休日等，支付日期顺延。</w:t>
      </w:r>
    </w:p>
    <w:p>
      <w:pPr>
        <w:pStyle w:val="BodyText"/>
        <w:spacing w:line="417" w:lineRule="auto"/>
        <w:ind w:left="160" w:right="873" w:firstLine="472"/>
        <w:jc w:val="both"/>
      </w:pPr>
      <w:r>
        <w:rPr/>
        <w:t>上述</w:t>
      </w:r>
      <w:r>
        <w:rPr>
          <w:rFonts w:ascii="Calibri" w:hAnsi="Calibri" w:eastAsia="Calibri"/>
        </w:rPr>
        <w:t>“</w:t>
      </w:r>
      <w:r>
        <w:rPr/>
        <w:t>（一）基金费用的种类</w:t>
      </w:r>
      <w:r>
        <w:rPr>
          <w:rFonts w:ascii="Calibri" w:hAnsi="Calibri" w:eastAsia="Calibri"/>
        </w:rPr>
        <w:t>”</w:t>
      </w:r>
      <w:r>
        <w:rPr/>
        <w:t>中第 </w:t>
      </w:r>
      <w:r>
        <w:rPr>
          <w:rFonts w:ascii="Calibri" w:hAnsi="Calibri" w:eastAsia="Calibri"/>
        </w:rPr>
        <w:t>4</w:t>
      </w:r>
      <w:r>
        <w:rPr/>
        <w:t>－</w:t>
      </w:r>
      <w:r>
        <w:rPr>
          <w:rFonts w:ascii="Calibri" w:hAnsi="Calibri" w:eastAsia="Calibri"/>
        </w:rPr>
        <w:t>12 </w:t>
      </w:r>
      <w:r>
        <w:rPr/>
        <w:t>项费用，根据有关法规及相应协议规定，按费用实际支出金额列入当期费用，由基金托管人从基金财产中支付。</w:t>
      </w:r>
    </w:p>
    <w:p>
      <w:pPr>
        <w:pStyle w:val="BodyText"/>
        <w:spacing w:line="417" w:lineRule="auto"/>
        <w:ind w:left="633" w:right="5977"/>
      </w:pPr>
      <w:r>
        <w:rPr/>
        <w:t>（三）不列入基金费用的项目下列费用不列入基金费用：</w:t>
      </w:r>
    </w:p>
    <w:p>
      <w:pPr>
        <w:pStyle w:val="BodyText"/>
        <w:spacing w:line="417" w:lineRule="auto"/>
        <w:ind w:left="160" w:right="871" w:firstLine="472"/>
      </w:pPr>
      <w:r>
        <w:rPr>
          <w:rFonts w:ascii="Calibri" w:eastAsia="Calibri"/>
        </w:rPr>
        <w:t>1</w:t>
      </w:r>
      <w:r>
        <w:rPr>
          <w:spacing w:val="-8"/>
        </w:rPr>
        <w:t>、基金管理人和基金托管人因未履行或未完全履行义务导致的费用支出或基金财产的损失；</w:t>
      </w:r>
    </w:p>
    <w:p>
      <w:pPr>
        <w:pStyle w:val="BodyText"/>
        <w:ind w:left="633"/>
      </w:pPr>
      <w:r>
        <w:rPr>
          <w:rFonts w:ascii="Calibri" w:eastAsia="Calibri"/>
        </w:rPr>
        <w:t>2</w:t>
      </w:r>
      <w:r>
        <w:rPr/>
        <w:t>、基金管理人和基金托管人处理与基金运作无关的事项发生的费用；</w:t>
      </w:r>
    </w:p>
    <w:p>
      <w:pPr>
        <w:spacing w:after="0"/>
        <w:sectPr>
          <w:pgSz w:w="11910" w:h="16840"/>
          <w:pgMar w:header="877" w:footer="995" w:top="1420" w:bottom="1180" w:left="1640" w:right="920"/>
        </w:sectPr>
      </w:pPr>
    </w:p>
    <w:p>
      <w:pPr>
        <w:pStyle w:val="BodyText"/>
        <w:spacing w:before="110"/>
        <w:ind w:left="633"/>
      </w:pPr>
      <w:r>
        <w:rPr>
          <w:rFonts w:ascii="Calibri" w:eastAsia="Calibri"/>
        </w:rPr>
        <w:t>3</w:t>
      </w:r>
      <w:r>
        <w:rPr/>
        <w:t>、《基金合同》生效前的相关费用；</w:t>
      </w:r>
    </w:p>
    <w:p>
      <w:pPr>
        <w:pStyle w:val="BodyText"/>
        <w:spacing w:before="6"/>
        <w:rPr>
          <w:sz w:val="15"/>
        </w:rPr>
      </w:pPr>
    </w:p>
    <w:p>
      <w:pPr>
        <w:pStyle w:val="BodyText"/>
        <w:ind w:left="633"/>
      </w:pPr>
      <w:r>
        <w:rPr>
          <w:rFonts w:ascii="Calibri" w:eastAsia="Calibri"/>
        </w:rPr>
        <w:t>4</w:t>
      </w:r>
      <w:r>
        <w:rPr/>
        <w:t>、其他根据相关法律法规及中国证监会的有关规定不得列入基金费用的项目。</w:t>
      </w:r>
    </w:p>
    <w:p>
      <w:pPr>
        <w:pStyle w:val="BodyText"/>
        <w:spacing w:before="7"/>
        <w:rPr>
          <w:sz w:val="15"/>
        </w:rPr>
      </w:pPr>
    </w:p>
    <w:p>
      <w:pPr>
        <w:pStyle w:val="BodyText"/>
        <w:ind w:left="580"/>
      </w:pPr>
      <w:r>
        <w:rPr/>
        <w:t>（四）基金销售费用</w:t>
      </w:r>
    </w:p>
    <w:p>
      <w:pPr>
        <w:pStyle w:val="BodyText"/>
        <w:spacing w:before="7"/>
        <w:rPr>
          <w:sz w:val="15"/>
        </w:rPr>
      </w:pPr>
    </w:p>
    <w:p>
      <w:pPr>
        <w:pStyle w:val="BodyText"/>
        <w:spacing w:line="417" w:lineRule="auto"/>
        <w:ind w:left="160" w:right="871" w:firstLine="419"/>
        <w:jc w:val="both"/>
      </w:pPr>
      <w:r>
        <w:rPr>
          <w:spacing w:val="-11"/>
        </w:rPr>
        <w:t>本基金申购费、赎回费的费率水平、计算公式、收取方式和使用方式请详见本招募说明</w:t>
      </w:r>
      <w:r>
        <w:rPr>
          <w:spacing w:val="-9"/>
        </w:rPr>
        <w:t>书“八、基金份额的申购、赎回与转换”中的“</w:t>
      </w:r>
      <w:r>
        <w:rPr>
          <w:spacing w:val="-10"/>
        </w:rPr>
        <w:t>（</w:t>
      </w:r>
      <w:r>
        <w:rPr/>
        <w:t>六</w:t>
      </w:r>
      <w:r>
        <w:rPr>
          <w:spacing w:val="-17"/>
        </w:rPr>
        <w:t>）</w:t>
      </w:r>
      <w:r>
        <w:rPr>
          <w:spacing w:val="-4"/>
        </w:rPr>
        <w:t>申购费与赎回费”与“</w:t>
      </w:r>
      <w:r>
        <w:rPr>
          <w:spacing w:val="-9"/>
        </w:rPr>
        <w:t>（</w:t>
      </w:r>
      <w:r>
        <w:rPr/>
        <w:t>七</w:t>
      </w:r>
      <w:r>
        <w:rPr>
          <w:spacing w:val="-20"/>
        </w:rPr>
        <w:t>）</w:t>
      </w:r>
      <w:r>
        <w:rPr>
          <w:spacing w:val="-2"/>
        </w:rPr>
        <w:t>申购份</w:t>
      </w:r>
      <w:r>
        <w:rPr>
          <w:spacing w:val="-3"/>
        </w:rPr>
        <w:t>额与赎回金额的计算方式”中的相关规定。</w:t>
      </w:r>
    </w:p>
    <w:p>
      <w:pPr>
        <w:pStyle w:val="BodyText"/>
        <w:spacing w:line="269" w:lineRule="exact"/>
        <w:ind w:left="633"/>
      </w:pPr>
      <w:r>
        <w:rPr/>
        <w:t>（五）基金税收</w:t>
      </w:r>
    </w:p>
    <w:p>
      <w:pPr>
        <w:pStyle w:val="BodyText"/>
        <w:spacing w:before="7"/>
        <w:rPr>
          <w:sz w:val="15"/>
        </w:rPr>
      </w:pPr>
    </w:p>
    <w:p>
      <w:pPr>
        <w:pStyle w:val="BodyText"/>
        <w:ind w:left="633"/>
      </w:pPr>
      <w:r>
        <w:rPr/>
        <w:t>本基金运作过程中涉及的各纳税主体，其纳税义务按国家税收法律、法规执行。</w:t>
      </w:r>
    </w:p>
    <w:p>
      <w:pPr>
        <w:spacing w:after="0"/>
        <w:sectPr>
          <w:pgSz w:w="11910" w:h="16840"/>
          <w:pgMar w:header="877" w:footer="995" w:top="1420" w:bottom="1180" w:left="1640" w:right="920"/>
        </w:sectPr>
      </w:pPr>
    </w:p>
    <w:p>
      <w:pPr>
        <w:pStyle w:val="BodyText"/>
        <w:spacing w:before="7"/>
        <w:rPr>
          <w:sz w:val="29"/>
        </w:rPr>
      </w:pPr>
    </w:p>
    <w:p>
      <w:pPr>
        <w:pStyle w:val="Heading1"/>
        <w:ind w:left="10"/>
      </w:pPr>
      <w:bookmarkStart w:name="_bookmark14" w:id="15"/>
      <w:bookmarkEnd w:id="15"/>
      <w:r>
        <w:rPr>
          <w:b w:val="0"/>
        </w:rPr>
      </w:r>
      <w:r>
        <w:rPr/>
        <w:t>十五、基金的会计与审计</w:t>
      </w:r>
    </w:p>
    <w:p>
      <w:pPr>
        <w:pStyle w:val="BodyText"/>
        <w:rPr>
          <w:b/>
          <w:sz w:val="20"/>
        </w:rPr>
      </w:pPr>
    </w:p>
    <w:p>
      <w:pPr>
        <w:pStyle w:val="BodyText"/>
        <w:spacing w:before="8"/>
        <w:rPr>
          <w:b/>
          <w:sz w:val="15"/>
        </w:rPr>
      </w:pPr>
    </w:p>
    <w:p>
      <w:pPr>
        <w:pStyle w:val="BodyText"/>
        <w:spacing w:before="71"/>
        <w:ind w:left="580"/>
      </w:pPr>
      <w:r>
        <w:rPr/>
        <w:t>（一）基金会计政策</w:t>
      </w:r>
    </w:p>
    <w:p>
      <w:pPr>
        <w:pStyle w:val="BodyText"/>
        <w:spacing w:before="7"/>
        <w:rPr>
          <w:sz w:val="15"/>
        </w:rPr>
      </w:pPr>
    </w:p>
    <w:p>
      <w:pPr>
        <w:pStyle w:val="BodyText"/>
        <w:ind w:left="580"/>
      </w:pPr>
      <w:r>
        <w:rPr>
          <w:rFonts w:ascii="Calibri" w:eastAsia="Calibri"/>
        </w:rPr>
        <w:t>1</w:t>
      </w:r>
      <w:r>
        <w:rPr/>
        <w:t>、基金管理人为本基金的基金会计责任方。</w:t>
      </w:r>
    </w:p>
    <w:p>
      <w:pPr>
        <w:pStyle w:val="BodyText"/>
        <w:spacing w:before="7"/>
        <w:rPr>
          <w:sz w:val="15"/>
        </w:rPr>
      </w:pPr>
    </w:p>
    <w:p>
      <w:pPr>
        <w:pStyle w:val="BodyText"/>
        <w:ind w:left="580"/>
      </w:pPr>
      <w:r>
        <w:rPr>
          <w:rFonts w:ascii="Calibri" w:eastAsia="Calibri"/>
        </w:rPr>
        <w:t>2</w:t>
      </w:r>
      <w:r>
        <w:rPr/>
        <w:t>、基金的会计年度为公历年度的 </w:t>
      </w:r>
      <w:r>
        <w:rPr>
          <w:rFonts w:ascii="Calibri" w:eastAsia="Calibri"/>
        </w:rPr>
        <w:t>1 </w:t>
      </w:r>
      <w:r>
        <w:rPr/>
        <w:t>月 </w:t>
      </w:r>
      <w:r>
        <w:rPr>
          <w:rFonts w:ascii="Calibri" w:eastAsia="Calibri"/>
        </w:rPr>
        <w:t>1 </w:t>
      </w:r>
      <w:r>
        <w:rPr/>
        <w:t>日至 </w:t>
      </w:r>
      <w:r>
        <w:rPr>
          <w:rFonts w:ascii="Calibri" w:eastAsia="Calibri"/>
        </w:rPr>
        <w:t>12 </w:t>
      </w:r>
      <w:r>
        <w:rPr/>
        <w:t>月 </w:t>
      </w:r>
      <w:r>
        <w:rPr>
          <w:rFonts w:ascii="Calibri" w:eastAsia="Calibri"/>
        </w:rPr>
        <w:t>31 </w:t>
      </w:r>
      <w:r>
        <w:rPr/>
        <w:t>日。</w:t>
      </w:r>
    </w:p>
    <w:p>
      <w:pPr>
        <w:pStyle w:val="BodyText"/>
        <w:spacing w:before="6"/>
        <w:rPr>
          <w:sz w:val="15"/>
        </w:rPr>
      </w:pPr>
    </w:p>
    <w:p>
      <w:pPr>
        <w:pStyle w:val="BodyText"/>
        <w:ind w:left="580"/>
      </w:pPr>
      <w:r>
        <w:rPr>
          <w:rFonts w:ascii="Calibri" w:eastAsia="Calibri"/>
        </w:rPr>
        <w:t>3</w:t>
      </w:r>
      <w:r>
        <w:rPr/>
        <w:t>、基金核算以人民币为记账本位币，以人民币元为记账单位。</w:t>
      </w:r>
    </w:p>
    <w:p>
      <w:pPr>
        <w:pStyle w:val="BodyText"/>
        <w:spacing w:before="7"/>
        <w:rPr>
          <w:sz w:val="15"/>
        </w:rPr>
      </w:pPr>
    </w:p>
    <w:p>
      <w:pPr>
        <w:pStyle w:val="BodyText"/>
        <w:ind w:left="580"/>
      </w:pPr>
      <w:r>
        <w:rPr>
          <w:rFonts w:ascii="Calibri" w:eastAsia="Calibri"/>
        </w:rPr>
        <w:t>4</w:t>
      </w:r>
      <w:r>
        <w:rPr/>
        <w:t>、会计制度执行国家有关会计制度。</w:t>
      </w:r>
    </w:p>
    <w:p>
      <w:pPr>
        <w:pStyle w:val="BodyText"/>
        <w:spacing w:before="7"/>
        <w:rPr>
          <w:sz w:val="15"/>
        </w:rPr>
      </w:pPr>
    </w:p>
    <w:p>
      <w:pPr>
        <w:pStyle w:val="BodyText"/>
        <w:spacing w:before="1"/>
        <w:ind w:left="580"/>
      </w:pPr>
      <w:r>
        <w:rPr>
          <w:rFonts w:ascii="Calibri" w:eastAsia="Calibri"/>
        </w:rPr>
        <w:t>5</w:t>
      </w:r>
      <w:r>
        <w:rPr/>
        <w:t>、本基金独立建账、独立核算。</w:t>
      </w:r>
    </w:p>
    <w:p>
      <w:pPr>
        <w:pStyle w:val="BodyText"/>
        <w:spacing w:before="6"/>
        <w:rPr>
          <w:sz w:val="15"/>
        </w:rPr>
      </w:pPr>
    </w:p>
    <w:p>
      <w:pPr>
        <w:pStyle w:val="BodyText"/>
        <w:spacing w:line="417" w:lineRule="auto"/>
        <w:ind w:left="160" w:right="874" w:firstLine="419"/>
      </w:pPr>
      <w:r>
        <w:rPr>
          <w:rFonts w:ascii="Calibri" w:eastAsia="Calibri"/>
        </w:rPr>
        <w:t>6</w:t>
      </w:r>
      <w:r>
        <w:rPr/>
        <w:t>、基金管理人及基金托管人各自保留完整的会计账目、凭证并进行日常的会计核算， 按照有关规定编制基金会计报表。</w:t>
      </w:r>
    </w:p>
    <w:p>
      <w:pPr>
        <w:pStyle w:val="BodyText"/>
        <w:spacing w:line="417" w:lineRule="auto"/>
        <w:ind w:left="160" w:right="874" w:firstLine="419"/>
      </w:pPr>
      <w:r>
        <w:rPr>
          <w:rFonts w:ascii="Calibri" w:eastAsia="Calibri"/>
        </w:rPr>
        <w:t>7</w:t>
      </w:r>
      <w:r>
        <w:rPr/>
        <w:t>、基金托管人每月与基金管理人就基金的会计核算、报表编制等进行核对并以书面方式确认。</w:t>
      </w:r>
    </w:p>
    <w:p>
      <w:pPr>
        <w:pStyle w:val="BodyText"/>
        <w:spacing w:line="269" w:lineRule="exact"/>
        <w:ind w:left="580"/>
      </w:pPr>
      <w:r>
        <w:rPr/>
        <w:t>（二）基金的年度审计</w:t>
      </w:r>
    </w:p>
    <w:p>
      <w:pPr>
        <w:pStyle w:val="BodyText"/>
        <w:spacing w:before="7"/>
        <w:rPr>
          <w:sz w:val="15"/>
        </w:rPr>
      </w:pPr>
    </w:p>
    <w:p>
      <w:pPr>
        <w:pStyle w:val="BodyText"/>
        <w:spacing w:line="417" w:lineRule="auto"/>
        <w:ind w:left="160" w:right="874" w:firstLine="419"/>
      </w:pPr>
      <w:r>
        <w:rPr>
          <w:rFonts w:ascii="Calibri" w:eastAsia="Calibri"/>
        </w:rPr>
        <w:t>1</w:t>
      </w:r>
      <w:r>
        <w:rPr/>
        <w:t>、基金管理人聘请与基金管理人、基金托管人相互独立的具有证券从业资格的会计师事务所及其注册会计师对本基金的年度财务报表进行审计。</w:t>
      </w:r>
    </w:p>
    <w:p>
      <w:pPr>
        <w:pStyle w:val="BodyText"/>
        <w:ind w:left="580"/>
      </w:pPr>
      <w:r>
        <w:rPr>
          <w:rFonts w:ascii="Calibri" w:eastAsia="Calibri"/>
        </w:rPr>
        <w:t>2</w:t>
      </w:r>
      <w:r>
        <w:rPr/>
        <w:t>、会计师事务所更换经办注册会计师，应事先征得基金管理人同意。</w:t>
      </w:r>
    </w:p>
    <w:p>
      <w:pPr>
        <w:pStyle w:val="BodyText"/>
        <w:spacing w:before="6"/>
        <w:rPr>
          <w:sz w:val="15"/>
        </w:rPr>
      </w:pPr>
    </w:p>
    <w:p>
      <w:pPr>
        <w:pStyle w:val="BodyText"/>
        <w:spacing w:line="417" w:lineRule="auto" w:before="1"/>
        <w:ind w:left="160" w:right="874" w:firstLine="419"/>
      </w:pPr>
      <w:r>
        <w:rPr>
          <w:rFonts w:ascii="Calibri" w:eastAsia="Calibri"/>
        </w:rPr>
        <w:t>3</w:t>
      </w:r>
      <w:r>
        <w:rPr/>
        <w:t>、基金管理人认为有充足理由更换会计师事务所，须通报基金托管人。更换会计师事务所需在 </w:t>
      </w:r>
      <w:r>
        <w:rPr>
          <w:rFonts w:ascii="Calibri" w:eastAsia="Calibri"/>
        </w:rPr>
        <w:t>2 </w:t>
      </w:r>
      <w:r>
        <w:rPr/>
        <w:t>日内在指定媒介公告。</w:t>
      </w:r>
    </w:p>
    <w:p>
      <w:pPr>
        <w:spacing w:after="0" w:line="417" w:lineRule="auto"/>
        <w:sectPr>
          <w:pgSz w:w="11910" w:h="16840"/>
          <w:pgMar w:header="877" w:footer="995" w:top="1420" w:bottom="1180" w:left="1640" w:right="920"/>
        </w:sectPr>
      </w:pPr>
    </w:p>
    <w:p>
      <w:pPr>
        <w:pStyle w:val="BodyText"/>
        <w:spacing w:before="7"/>
        <w:rPr>
          <w:sz w:val="29"/>
        </w:rPr>
      </w:pPr>
    </w:p>
    <w:p>
      <w:pPr>
        <w:pStyle w:val="Heading1"/>
        <w:ind w:left="10"/>
      </w:pPr>
      <w:bookmarkStart w:name="_bookmark15" w:id="16"/>
      <w:bookmarkEnd w:id="16"/>
      <w:r>
        <w:rPr>
          <w:b w:val="0"/>
        </w:rPr>
      </w:r>
      <w:r>
        <w:rPr/>
        <w:t>十六、基金的信息披露</w:t>
      </w:r>
    </w:p>
    <w:p>
      <w:pPr>
        <w:pStyle w:val="BodyText"/>
        <w:rPr>
          <w:b/>
          <w:sz w:val="20"/>
        </w:rPr>
      </w:pPr>
    </w:p>
    <w:p>
      <w:pPr>
        <w:pStyle w:val="BodyText"/>
        <w:spacing w:before="2"/>
        <w:rPr>
          <w:b/>
        </w:rPr>
      </w:pPr>
    </w:p>
    <w:p>
      <w:pPr>
        <w:pStyle w:val="BodyText"/>
        <w:spacing w:line="417" w:lineRule="auto"/>
        <w:ind w:left="160" w:right="875" w:firstLine="419"/>
      </w:pPr>
      <w:r>
        <w:rPr/>
        <w:t>（</w:t>
      </w:r>
      <w:r>
        <w:rPr>
          <w:spacing w:val="-3"/>
        </w:rPr>
        <w:t>一</w:t>
      </w:r>
      <w:r>
        <w:rPr>
          <w:spacing w:val="-61"/>
        </w:rPr>
        <w:t>）</w:t>
      </w:r>
      <w:r>
        <w:rPr>
          <w:spacing w:val="-16"/>
        </w:rPr>
        <w:t>本基金的信息披露应符合《基金法》</w:t>
      </w:r>
      <w:r>
        <w:rPr>
          <w:spacing w:val="-42"/>
        </w:rPr>
        <w:t>、《运作办法》</w:t>
      </w:r>
      <w:r>
        <w:rPr>
          <w:spacing w:val="-34"/>
        </w:rPr>
        <w:t>、《信息披露办法》</w:t>
      </w:r>
      <w:r>
        <w:rPr>
          <w:spacing w:val="-27"/>
        </w:rPr>
        <w:t>、《基金合同》</w:t>
      </w:r>
      <w:r>
        <w:rPr>
          <w:spacing w:val="-9"/>
        </w:rPr>
        <w:t>及其他有关规定。</w:t>
      </w:r>
    </w:p>
    <w:p>
      <w:pPr>
        <w:pStyle w:val="BodyText"/>
        <w:spacing w:line="269" w:lineRule="exact"/>
        <w:ind w:left="580"/>
      </w:pPr>
      <w:r>
        <w:rPr/>
        <w:t>（二）信息披露义务人</w:t>
      </w:r>
    </w:p>
    <w:p>
      <w:pPr>
        <w:pStyle w:val="BodyText"/>
        <w:spacing w:before="7"/>
        <w:rPr>
          <w:sz w:val="15"/>
        </w:rPr>
      </w:pPr>
    </w:p>
    <w:p>
      <w:pPr>
        <w:pStyle w:val="BodyText"/>
        <w:spacing w:line="417" w:lineRule="auto"/>
        <w:ind w:left="160" w:right="871" w:firstLine="419"/>
      </w:pPr>
      <w:r>
        <w:rPr>
          <w:spacing w:val="-8"/>
        </w:rPr>
        <w:t>本基金信息披露义务人包括基金管理人、基金托管人、召集基金份额持有人大会的基金</w:t>
      </w:r>
      <w:r>
        <w:rPr>
          <w:spacing w:val="-5"/>
        </w:rPr>
        <w:t>份额持有人等法律、行政法规和中国证监会规定的自然人、法人和非法人组织。</w:t>
      </w:r>
    </w:p>
    <w:p>
      <w:pPr>
        <w:pStyle w:val="BodyText"/>
        <w:spacing w:line="417" w:lineRule="auto"/>
        <w:ind w:left="160" w:right="871" w:firstLine="419"/>
        <w:jc w:val="both"/>
      </w:pPr>
      <w:r>
        <w:rPr>
          <w:spacing w:val="-7"/>
        </w:rPr>
        <w:t>本基金信息披露义务人应当以保护基金份额持有人利益为根本出发点，按照法律、行政</w:t>
      </w:r>
      <w:r>
        <w:rPr>
          <w:spacing w:val="-10"/>
        </w:rPr>
        <w:t>法规和中国证监会的规定披露基金信息，并保证所披露信息的真实性、准确性、完整性、及</w:t>
      </w:r>
      <w:r>
        <w:rPr>
          <w:spacing w:val="-5"/>
        </w:rPr>
        <w:t>时性、简明性和易得性。</w:t>
      </w:r>
    </w:p>
    <w:p>
      <w:pPr>
        <w:pStyle w:val="BodyText"/>
        <w:spacing w:line="417" w:lineRule="auto"/>
        <w:ind w:left="160" w:right="871" w:firstLine="419"/>
        <w:jc w:val="both"/>
      </w:pPr>
      <w:r>
        <w:rPr>
          <w:spacing w:val="-7"/>
        </w:rPr>
        <w:t>本基金信息披露义务人应当在中国证监会规定时间内，将应予披露的基金信息通过中国</w:t>
      </w:r>
      <w:r>
        <w:rPr>
          <w:spacing w:val="-9"/>
        </w:rPr>
        <w:t>证监会指定媒介披露，并保证基金投资者能够按照《基金合同》约定的时间和方式查阅或者</w:t>
      </w:r>
      <w:r>
        <w:rPr>
          <w:spacing w:val="-5"/>
        </w:rPr>
        <w:t>复制公开披露的信息资料。</w:t>
      </w:r>
    </w:p>
    <w:p>
      <w:pPr>
        <w:pStyle w:val="BodyText"/>
        <w:spacing w:line="269" w:lineRule="exact"/>
        <w:ind w:left="580"/>
      </w:pPr>
      <w:r>
        <w:rPr/>
        <w:t>（三）本基金信息披露义务人承诺公开披露的基金信息，不得有下列行为：</w:t>
      </w:r>
    </w:p>
    <w:p>
      <w:pPr>
        <w:pStyle w:val="BodyText"/>
        <w:spacing w:before="7"/>
        <w:rPr>
          <w:sz w:val="15"/>
        </w:rPr>
      </w:pPr>
    </w:p>
    <w:p>
      <w:pPr>
        <w:pStyle w:val="BodyText"/>
        <w:ind w:left="580"/>
      </w:pPr>
      <w:r>
        <w:rPr>
          <w:rFonts w:ascii="Calibri" w:eastAsia="Calibri"/>
        </w:rPr>
        <w:t>1</w:t>
      </w:r>
      <w:r>
        <w:rPr/>
        <w:t>、虚假记载、误导性陈述或者重大遗漏。</w:t>
      </w:r>
    </w:p>
    <w:p>
      <w:pPr>
        <w:pStyle w:val="BodyText"/>
        <w:spacing w:before="7"/>
        <w:rPr>
          <w:sz w:val="15"/>
        </w:rPr>
      </w:pPr>
    </w:p>
    <w:p>
      <w:pPr>
        <w:pStyle w:val="BodyText"/>
        <w:ind w:left="580"/>
      </w:pPr>
      <w:r>
        <w:rPr>
          <w:rFonts w:ascii="Calibri" w:eastAsia="Calibri"/>
        </w:rPr>
        <w:t>2</w:t>
      </w:r>
      <w:r>
        <w:rPr/>
        <w:t>、对证券投资业绩进行预测。</w:t>
      </w:r>
    </w:p>
    <w:p>
      <w:pPr>
        <w:pStyle w:val="BodyText"/>
        <w:spacing w:before="6"/>
        <w:rPr>
          <w:sz w:val="15"/>
        </w:rPr>
      </w:pPr>
    </w:p>
    <w:p>
      <w:pPr>
        <w:pStyle w:val="BodyText"/>
        <w:spacing w:before="1"/>
        <w:ind w:left="580"/>
      </w:pPr>
      <w:r>
        <w:rPr>
          <w:rFonts w:ascii="Calibri" w:eastAsia="Calibri"/>
        </w:rPr>
        <w:t>3</w:t>
      </w:r>
      <w:r>
        <w:rPr/>
        <w:t>、违规承诺收益或者承担损失。</w:t>
      </w:r>
    </w:p>
    <w:p>
      <w:pPr>
        <w:pStyle w:val="BodyText"/>
        <w:spacing w:before="6"/>
        <w:rPr>
          <w:sz w:val="15"/>
        </w:rPr>
      </w:pPr>
    </w:p>
    <w:p>
      <w:pPr>
        <w:pStyle w:val="BodyText"/>
        <w:ind w:left="580"/>
      </w:pPr>
      <w:r>
        <w:rPr>
          <w:rFonts w:ascii="Calibri" w:eastAsia="Calibri"/>
        </w:rPr>
        <w:t>4</w:t>
      </w:r>
      <w:r>
        <w:rPr/>
        <w:t>、诋毁其他基金管理人、基金托管人或者基金销售机构。</w:t>
      </w:r>
    </w:p>
    <w:p>
      <w:pPr>
        <w:pStyle w:val="BodyText"/>
        <w:spacing w:before="7"/>
        <w:rPr>
          <w:sz w:val="15"/>
        </w:rPr>
      </w:pPr>
    </w:p>
    <w:p>
      <w:pPr>
        <w:pStyle w:val="BodyText"/>
        <w:ind w:left="580"/>
      </w:pPr>
      <w:r>
        <w:rPr>
          <w:rFonts w:ascii="Calibri" w:eastAsia="Calibri"/>
        </w:rPr>
        <w:t>5</w:t>
      </w:r>
      <w:r>
        <w:rPr/>
        <w:t>、登载任何自然人、法人和非法人组织的祝贺性、恭维性或推荐性文字。</w:t>
      </w:r>
    </w:p>
    <w:p>
      <w:pPr>
        <w:pStyle w:val="BodyText"/>
        <w:spacing w:before="7"/>
        <w:rPr>
          <w:sz w:val="15"/>
        </w:rPr>
      </w:pPr>
    </w:p>
    <w:p>
      <w:pPr>
        <w:pStyle w:val="BodyText"/>
        <w:ind w:left="580"/>
      </w:pPr>
      <w:r>
        <w:rPr>
          <w:rFonts w:ascii="Calibri" w:eastAsia="Calibri"/>
        </w:rPr>
        <w:t>6</w:t>
      </w:r>
      <w:r>
        <w:rPr/>
        <w:t>、中国证监会禁止的其他行为。</w:t>
      </w:r>
    </w:p>
    <w:p>
      <w:pPr>
        <w:pStyle w:val="BodyText"/>
        <w:spacing w:before="6"/>
        <w:rPr>
          <w:sz w:val="15"/>
        </w:rPr>
      </w:pPr>
    </w:p>
    <w:p>
      <w:pPr>
        <w:pStyle w:val="BodyText"/>
        <w:spacing w:line="417" w:lineRule="auto" w:before="1"/>
        <w:ind w:left="160" w:right="871" w:firstLine="419"/>
      </w:pPr>
      <w:r>
        <w:rPr/>
        <w:t>（</w:t>
      </w:r>
      <w:r>
        <w:rPr>
          <w:spacing w:val="-3"/>
        </w:rPr>
        <w:t>四</w:t>
      </w:r>
      <w:r>
        <w:rPr>
          <w:spacing w:val="-32"/>
        </w:rPr>
        <w:t>）</w:t>
      </w:r>
      <w:r>
        <w:rPr>
          <w:spacing w:val="-6"/>
        </w:rPr>
        <w:t>本基金公开披露的信息应采用中文文本。如同时采用外文文本的，基金信息披露</w:t>
      </w:r>
      <w:r>
        <w:rPr>
          <w:spacing w:val="-4"/>
        </w:rPr>
        <w:t>义务人应保证不同文本的内容一致。不同文本之间发生歧义的，以中文文本为准。</w:t>
      </w:r>
    </w:p>
    <w:p>
      <w:pPr>
        <w:pStyle w:val="BodyText"/>
        <w:ind w:left="580"/>
      </w:pPr>
      <w:r>
        <w:rPr/>
        <w:t>本基金公开披露的信息采用阿拉伯数字；除特别说明外，货币单位为人民币元。</w:t>
      </w:r>
    </w:p>
    <w:p>
      <w:pPr>
        <w:pStyle w:val="BodyText"/>
        <w:spacing w:before="6"/>
        <w:rPr>
          <w:sz w:val="15"/>
        </w:rPr>
      </w:pPr>
    </w:p>
    <w:p>
      <w:pPr>
        <w:pStyle w:val="BodyText"/>
        <w:spacing w:line="417" w:lineRule="auto" w:before="1"/>
        <w:ind w:left="580" w:right="6241"/>
      </w:pPr>
      <w:r>
        <w:rPr/>
        <w:t>（五）公开披露的基金信息公开披露的基金信息包括：</w:t>
      </w:r>
    </w:p>
    <w:p>
      <w:pPr>
        <w:pStyle w:val="BodyText"/>
        <w:spacing w:line="269" w:lineRule="exact"/>
        <w:ind w:left="580"/>
      </w:pPr>
      <w:r>
        <w:rPr>
          <w:rFonts w:ascii="Calibri" w:eastAsia="Calibri"/>
        </w:rPr>
        <w:t>1</w:t>
      </w:r>
      <w:r>
        <w:rPr/>
        <w:t>、基金招募说明书、《基金合同》、基金托管协议</w:t>
      </w:r>
    </w:p>
    <w:p>
      <w:pPr>
        <w:pStyle w:val="BodyText"/>
        <w:spacing w:before="6"/>
        <w:rPr>
          <w:sz w:val="15"/>
        </w:rPr>
      </w:pPr>
    </w:p>
    <w:p>
      <w:pPr>
        <w:pStyle w:val="ListParagraph"/>
        <w:numPr>
          <w:ilvl w:val="0"/>
          <w:numId w:val="29"/>
        </w:numPr>
        <w:tabs>
          <w:tab w:pos="1112" w:val="left" w:leader="none"/>
        </w:tabs>
        <w:spacing w:line="417" w:lineRule="auto" w:before="0" w:after="0"/>
        <w:ind w:left="160" w:right="871" w:firstLine="419"/>
        <w:jc w:val="both"/>
        <w:rPr>
          <w:sz w:val="21"/>
        </w:rPr>
      </w:pPr>
      <w:r>
        <w:rPr>
          <w:spacing w:val="-10"/>
          <w:sz w:val="21"/>
        </w:rPr>
        <w:t>《基金合同》是界定《基金合同》当事人的各项权利、义务关系，明确基金份额</w:t>
      </w:r>
      <w:r>
        <w:rPr>
          <w:spacing w:val="-13"/>
          <w:sz w:val="21"/>
        </w:rPr>
        <w:t>持有人大会召开的规则及具体程序，说明基金产品的特性等涉及基金投资者重大利益的事项</w:t>
      </w:r>
      <w:r>
        <w:rPr>
          <w:spacing w:val="-1"/>
          <w:sz w:val="21"/>
        </w:rPr>
        <w:t>的法律文件。</w:t>
      </w:r>
    </w:p>
    <w:p>
      <w:pPr>
        <w:spacing w:after="0" w:line="417" w:lineRule="auto"/>
        <w:jc w:val="both"/>
        <w:rPr>
          <w:sz w:val="21"/>
        </w:rPr>
        <w:sectPr>
          <w:pgSz w:w="11910" w:h="16840"/>
          <w:pgMar w:header="877" w:footer="995" w:top="1420" w:bottom="1180" w:left="1640" w:right="920"/>
        </w:sectPr>
      </w:pPr>
    </w:p>
    <w:p>
      <w:pPr>
        <w:pStyle w:val="ListParagraph"/>
        <w:numPr>
          <w:ilvl w:val="0"/>
          <w:numId w:val="29"/>
        </w:numPr>
        <w:tabs>
          <w:tab w:pos="1112" w:val="left" w:leader="none"/>
        </w:tabs>
        <w:spacing w:line="417" w:lineRule="auto" w:before="110" w:after="0"/>
        <w:ind w:left="160" w:right="871" w:firstLine="419"/>
        <w:jc w:val="both"/>
        <w:rPr>
          <w:sz w:val="21"/>
        </w:rPr>
      </w:pPr>
      <w:r>
        <w:rPr>
          <w:spacing w:val="-3"/>
          <w:sz w:val="21"/>
        </w:rPr>
        <w:t>基金招募说明书应当最大限度地披露影响基金投资者决策的全部事项，说明基金</w:t>
      </w:r>
      <w:r>
        <w:rPr>
          <w:spacing w:val="-11"/>
          <w:sz w:val="21"/>
        </w:rPr>
        <w:t>认购、申购和赎回安排、基金投资、基金产品特性、风险揭示、信息披露及基金份额持有人</w:t>
      </w:r>
      <w:r>
        <w:rPr>
          <w:spacing w:val="-12"/>
          <w:sz w:val="21"/>
        </w:rPr>
        <w:t>服务等内容。基金招募说明书的信息发生重大变更的，基金管理人应当在 </w:t>
      </w:r>
      <w:r>
        <w:rPr>
          <w:rFonts w:ascii="Calibri" w:eastAsia="Calibri"/>
          <w:sz w:val="21"/>
        </w:rPr>
        <w:t>3</w:t>
      </w:r>
      <w:r>
        <w:rPr>
          <w:rFonts w:ascii="Calibri" w:eastAsia="Calibri"/>
          <w:spacing w:val="22"/>
          <w:sz w:val="21"/>
        </w:rPr>
        <w:t> </w:t>
      </w:r>
      <w:r>
        <w:rPr>
          <w:spacing w:val="-7"/>
          <w:sz w:val="21"/>
        </w:rPr>
        <w:t>个工作日内，更</w:t>
      </w:r>
      <w:r>
        <w:rPr>
          <w:spacing w:val="-10"/>
          <w:sz w:val="21"/>
        </w:rPr>
        <w:t>新基金招募说明书并登载在指定网站上。基金招募说明书的其他信息发生变更的，基金管理</w:t>
      </w:r>
      <w:r>
        <w:rPr>
          <w:spacing w:val="-5"/>
          <w:sz w:val="21"/>
        </w:rPr>
        <w:t>人至少每年更新一次。基金合同终止的，基金管理人可以不再更新基金招募说明书。</w:t>
      </w:r>
    </w:p>
    <w:p>
      <w:pPr>
        <w:pStyle w:val="ListParagraph"/>
        <w:numPr>
          <w:ilvl w:val="0"/>
          <w:numId w:val="29"/>
        </w:numPr>
        <w:tabs>
          <w:tab w:pos="1112" w:val="left" w:leader="none"/>
        </w:tabs>
        <w:spacing w:line="417" w:lineRule="auto" w:before="0" w:after="0"/>
        <w:ind w:left="160" w:right="874" w:firstLine="419"/>
        <w:jc w:val="left"/>
        <w:rPr>
          <w:sz w:val="21"/>
        </w:rPr>
      </w:pPr>
      <w:r>
        <w:rPr>
          <w:spacing w:val="-3"/>
          <w:sz w:val="21"/>
        </w:rPr>
        <w:t>基金托管协议是界定基金托管人和基金管理人在基金财产保管及基金运作监督等活动中的权利、义务关系的法律文件。</w:t>
      </w:r>
    </w:p>
    <w:p>
      <w:pPr>
        <w:pStyle w:val="BodyText"/>
        <w:ind w:left="580"/>
      </w:pPr>
      <w:r>
        <w:rPr>
          <w:rFonts w:ascii="Calibri" w:eastAsia="Calibri"/>
        </w:rPr>
        <w:t>2</w:t>
      </w:r>
      <w:r>
        <w:rPr/>
        <w:t>、基金产品资料概要</w:t>
      </w:r>
    </w:p>
    <w:p>
      <w:pPr>
        <w:pStyle w:val="BodyText"/>
        <w:spacing w:before="6"/>
        <w:rPr>
          <w:sz w:val="15"/>
        </w:rPr>
      </w:pPr>
    </w:p>
    <w:p>
      <w:pPr>
        <w:pStyle w:val="BodyText"/>
        <w:spacing w:line="417" w:lineRule="auto"/>
        <w:ind w:left="160" w:right="768" w:firstLine="419"/>
      </w:pPr>
      <w:r>
        <w:rPr>
          <w:spacing w:val="-10"/>
        </w:rPr>
        <w:t>基金管理人根据《信息披露办法》的要求公告基金产品资料概要。基金产品资料概要的信息发生重大变更的，基金管理人应当在 </w:t>
      </w:r>
      <w:r>
        <w:rPr>
          <w:rFonts w:ascii="Calibri" w:eastAsia="Calibri"/>
        </w:rPr>
        <w:t>3 </w:t>
      </w:r>
      <w:r>
        <w:rPr>
          <w:spacing w:val="-9"/>
        </w:rPr>
        <w:t>个工作日内，更新基金产品资料概要，并登载在</w:t>
      </w:r>
      <w:r>
        <w:rPr>
          <w:spacing w:val="-5"/>
        </w:rPr>
        <w:t>指定网站上和基金销售机构网站上或营业网点。基金产品资料概要的其他信息发生变更的， </w:t>
      </w:r>
      <w:r>
        <w:rPr>
          <w:spacing w:val="-10"/>
        </w:rPr>
        <w:t>基金管理人至少每年更新一次。基金合同终止的，基金管理人可以不再更新基金产品资料概要。</w:t>
      </w:r>
    </w:p>
    <w:p>
      <w:pPr>
        <w:pStyle w:val="BodyText"/>
        <w:spacing w:line="268" w:lineRule="exact"/>
        <w:ind w:left="580"/>
      </w:pPr>
      <w:r>
        <w:rPr/>
        <w:t>关于基金产品资料概要编制、披露与更新的要求，自中国证监会规定之日起开始执行。</w:t>
      </w:r>
    </w:p>
    <w:p>
      <w:pPr>
        <w:pStyle w:val="BodyText"/>
        <w:spacing w:before="7"/>
        <w:rPr>
          <w:sz w:val="15"/>
        </w:rPr>
      </w:pPr>
    </w:p>
    <w:p>
      <w:pPr>
        <w:pStyle w:val="BodyText"/>
        <w:ind w:left="580"/>
      </w:pPr>
      <w:r>
        <w:rPr>
          <w:rFonts w:ascii="Calibri" w:eastAsia="Calibri"/>
        </w:rPr>
        <w:t>3</w:t>
      </w:r>
      <w:r>
        <w:rPr/>
        <w:t>、基金份额发售公告</w:t>
      </w:r>
    </w:p>
    <w:p>
      <w:pPr>
        <w:pStyle w:val="BodyText"/>
        <w:spacing w:before="7"/>
        <w:rPr>
          <w:sz w:val="15"/>
        </w:rPr>
      </w:pPr>
    </w:p>
    <w:p>
      <w:pPr>
        <w:pStyle w:val="BodyText"/>
        <w:spacing w:line="417" w:lineRule="auto"/>
        <w:ind w:left="160" w:right="871" w:firstLine="419"/>
      </w:pPr>
      <w:r>
        <w:rPr>
          <w:spacing w:val="-7"/>
        </w:rPr>
        <w:t>基金管理人应当就基金份额发售的具体事宜编制基金份额发售公告，并在披露招募说明</w:t>
      </w:r>
      <w:r>
        <w:rPr>
          <w:spacing w:val="-5"/>
        </w:rPr>
        <w:t>书的当日登载于指定媒介上。</w:t>
      </w:r>
    </w:p>
    <w:p>
      <w:pPr>
        <w:pStyle w:val="BodyText"/>
        <w:spacing w:line="269" w:lineRule="exact"/>
        <w:ind w:left="580"/>
      </w:pPr>
      <w:r>
        <w:rPr>
          <w:rFonts w:ascii="Calibri" w:eastAsia="Calibri"/>
        </w:rPr>
        <w:t>4</w:t>
      </w:r>
      <w:r>
        <w:rPr>
          <w:spacing w:val="-14"/>
        </w:rPr>
        <w:t>、《基金合同》生效公告</w:t>
      </w:r>
    </w:p>
    <w:p>
      <w:pPr>
        <w:pStyle w:val="BodyText"/>
        <w:spacing w:before="6"/>
        <w:rPr>
          <w:sz w:val="15"/>
        </w:rPr>
      </w:pPr>
    </w:p>
    <w:p>
      <w:pPr>
        <w:pStyle w:val="BodyText"/>
        <w:spacing w:line="417" w:lineRule="auto" w:before="1"/>
        <w:ind w:left="160" w:right="871" w:firstLine="419"/>
      </w:pPr>
      <w:r>
        <w:rPr>
          <w:spacing w:val="-7"/>
        </w:rPr>
        <w:t>基金管理人应当在收到中国证监会确认文件的次日在指定媒介上登载《基金合同》生效公告。</w:t>
      </w:r>
    </w:p>
    <w:p>
      <w:pPr>
        <w:pStyle w:val="BodyText"/>
        <w:spacing w:line="269" w:lineRule="exact"/>
        <w:ind w:left="580"/>
      </w:pPr>
      <w:r>
        <w:rPr>
          <w:rFonts w:ascii="Calibri" w:eastAsia="Calibri"/>
        </w:rPr>
        <w:t>5</w:t>
      </w:r>
      <w:r>
        <w:rPr/>
        <w:t>、基金净值信息</w:t>
      </w:r>
    </w:p>
    <w:p>
      <w:pPr>
        <w:pStyle w:val="BodyText"/>
        <w:spacing w:before="7"/>
        <w:rPr>
          <w:sz w:val="15"/>
        </w:rPr>
      </w:pPr>
    </w:p>
    <w:p>
      <w:pPr>
        <w:pStyle w:val="BodyText"/>
        <w:spacing w:line="417" w:lineRule="auto"/>
        <w:ind w:left="160" w:right="871" w:firstLine="419"/>
      </w:pPr>
      <w:r>
        <w:rPr>
          <w:spacing w:val="-8"/>
        </w:rPr>
        <w:t>基金管理人应当在不晚于每个开放日的次日，通过指定网站、基金销售机构网站或者营</w:t>
      </w:r>
      <w:r>
        <w:rPr>
          <w:spacing w:val="-5"/>
        </w:rPr>
        <w:t>业网点，披露开放日的基金份额净值和基金份额累计净值。</w:t>
      </w:r>
    </w:p>
    <w:p>
      <w:pPr>
        <w:pStyle w:val="BodyText"/>
        <w:spacing w:line="417" w:lineRule="auto"/>
        <w:ind w:left="160" w:right="871" w:firstLine="419"/>
      </w:pPr>
      <w:r>
        <w:rPr>
          <w:spacing w:val="-7"/>
        </w:rPr>
        <w:t>基金管理人应当在不晚于半年度和年度最后一日的次日，在指定网站披露半年度和年度</w:t>
      </w:r>
      <w:r>
        <w:rPr>
          <w:spacing w:val="-5"/>
        </w:rPr>
        <w:t>最后一日的基金份额净值和基金份额累计净值。</w:t>
      </w:r>
    </w:p>
    <w:p>
      <w:pPr>
        <w:pStyle w:val="BodyText"/>
        <w:spacing w:line="269" w:lineRule="exact"/>
        <w:ind w:left="580"/>
      </w:pPr>
      <w:r>
        <w:rPr>
          <w:rFonts w:ascii="Calibri" w:eastAsia="Calibri"/>
        </w:rPr>
        <w:t>6</w:t>
      </w:r>
      <w:r>
        <w:rPr/>
        <w:t>、基金份额申购、赎回价格</w:t>
      </w:r>
    </w:p>
    <w:p>
      <w:pPr>
        <w:pStyle w:val="BodyText"/>
        <w:spacing w:before="6"/>
        <w:rPr>
          <w:sz w:val="15"/>
        </w:rPr>
      </w:pPr>
    </w:p>
    <w:p>
      <w:pPr>
        <w:pStyle w:val="BodyText"/>
        <w:spacing w:line="417" w:lineRule="auto"/>
        <w:ind w:left="160" w:right="871" w:firstLine="419"/>
        <w:jc w:val="both"/>
      </w:pPr>
      <w:r>
        <w:rPr>
          <w:spacing w:val="-11"/>
        </w:rPr>
        <w:t>基金管理人应当在《基金合同》、招募说明书等信息披露文件上载明基金份额申购、赎</w:t>
      </w:r>
      <w:r>
        <w:rPr>
          <w:spacing w:val="-13"/>
        </w:rPr>
        <w:t>回价格的计算方式及有关申购、赎回费率，并保证投资者能够在基金销售机构网站或营业网</w:t>
      </w:r>
      <w:r>
        <w:rPr>
          <w:spacing w:val="-6"/>
        </w:rPr>
        <w:t>点查阅或者复制前述信息资料。</w:t>
      </w:r>
    </w:p>
    <w:p>
      <w:pPr>
        <w:pStyle w:val="BodyText"/>
        <w:ind w:left="580"/>
      </w:pPr>
      <w:r>
        <w:rPr>
          <w:rFonts w:ascii="Calibri" w:eastAsia="Calibri"/>
        </w:rPr>
        <w:t>7</w:t>
      </w:r>
      <w:r>
        <w:rPr/>
        <w:t>、基金定期报告，包括基金年度报告、基金中期报告和基金季度报告（含资产组合季</w:t>
      </w:r>
    </w:p>
    <w:p>
      <w:pPr>
        <w:spacing w:after="0"/>
        <w:sectPr>
          <w:pgSz w:w="11910" w:h="16840"/>
          <w:pgMar w:header="877" w:footer="995" w:top="1420" w:bottom="1180" w:left="1640" w:right="920"/>
        </w:sectPr>
      </w:pPr>
    </w:p>
    <w:p>
      <w:pPr>
        <w:pStyle w:val="BodyText"/>
        <w:spacing w:before="110"/>
        <w:ind w:left="160"/>
      </w:pPr>
      <w:r>
        <w:rPr/>
        <w:t>度报告）</w:t>
      </w:r>
    </w:p>
    <w:p>
      <w:pPr>
        <w:pStyle w:val="BodyText"/>
        <w:spacing w:before="6"/>
        <w:rPr>
          <w:sz w:val="15"/>
        </w:rPr>
      </w:pPr>
    </w:p>
    <w:p>
      <w:pPr>
        <w:pStyle w:val="BodyText"/>
        <w:spacing w:line="417" w:lineRule="auto"/>
        <w:ind w:left="160" w:right="871" w:firstLine="419"/>
        <w:jc w:val="both"/>
      </w:pPr>
      <w:r>
        <w:rPr>
          <w:spacing w:val="-6"/>
        </w:rPr>
        <w:t>基金管理人应当在每年结束之日起 </w:t>
      </w:r>
      <w:r>
        <w:rPr>
          <w:rFonts w:ascii="Calibri" w:eastAsia="Calibri"/>
        </w:rPr>
        <w:t>3</w:t>
      </w:r>
      <w:r>
        <w:rPr>
          <w:rFonts w:ascii="Calibri" w:eastAsia="Calibri"/>
          <w:spacing w:val="25"/>
        </w:rPr>
        <w:t> </w:t>
      </w:r>
      <w:r>
        <w:rPr>
          <w:spacing w:val="-12"/>
        </w:rPr>
        <w:t>个月内，编制完成基金年度报告，将年度报告登载在指定网站上，并将年度报告提示性公告登载在指定报刊上。基金年度报告中的财务会计报</w:t>
      </w:r>
      <w:r>
        <w:rPr>
          <w:spacing w:val="-6"/>
        </w:rPr>
        <w:t>告应当经过具有证券、期货相关业务资格的会计师事务所审计。</w:t>
      </w:r>
    </w:p>
    <w:p>
      <w:pPr>
        <w:pStyle w:val="BodyText"/>
        <w:spacing w:line="417" w:lineRule="auto"/>
        <w:ind w:left="160" w:right="871" w:firstLine="419"/>
        <w:jc w:val="both"/>
      </w:pPr>
      <w:r>
        <w:rPr>
          <w:spacing w:val="-5"/>
        </w:rPr>
        <w:t>基金管理人应当在上半年结束之日起 </w:t>
      </w:r>
      <w:r>
        <w:rPr>
          <w:rFonts w:ascii="Calibri" w:eastAsia="Calibri"/>
        </w:rPr>
        <w:t>2</w:t>
      </w:r>
      <w:r>
        <w:rPr>
          <w:rFonts w:ascii="Calibri" w:eastAsia="Calibri"/>
          <w:spacing w:val="21"/>
        </w:rPr>
        <w:t> </w:t>
      </w:r>
      <w:r>
        <w:rPr>
          <w:spacing w:val="-12"/>
        </w:rPr>
        <w:t>个月内，编制完成基金中期报告，将中期报告登</w:t>
      </w:r>
      <w:r>
        <w:rPr>
          <w:spacing w:val="-6"/>
        </w:rPr>
        <w:t>载在指定网站上，并将中期报告提示性公告登载在指定报刊上。</w:t>
      </w:r>
    </w:p>
    <w:p>
      <w:pPr>
        <w:pStyle w:val="BodyText"/>
        <w:spacing w:line="417" w:lineRule="auto"/>
        <w:ind w:left="160" w:right="871" w:firstLine="419"/>
        <w:jc w:val="both"/>
      </w:pPr>
      <w:r>
        <w:rPr>
          <w:spacing w:val="-5"/>
        </w:rPr>
        <w:t>基金管理人应当在季度结束之日起 </w:t>
      </w:r>
      <w:r>
        <w:rPr>
          <w:rFonts w:ascii="Calibri" w:eastAsia="Calibri"/>
        </w:rPr>
        <w:t>15 </w:t>
      </w:r>
      <w:r>
        <w:rPr>
          <w:spacing w:val="-3"/>
        </w:rPr>
        <w:t>个工作日内，编制完成基金季度报告，将季度报告登载在指定网站上，并将季度报告提示性公告登载在指定报刊上。</w:t>
      </w:r>
    </w:p>
    <w:p>
      <w:pPr>
        <w:pStyle w:val="BodyText"/>
        <w:spacing w:line="417" w:lineRule="auto"/>
        <w:ind w:left="160" w:right="873" w:firstLine="419"/>
        <w:jc w:val="both"/>
      </w:pPr>
      <w:r>
        <w:rPr>
          <w:spacing w:val="-10"/>
        </w:rPr>
        <w:t>《基金合同》生效不足 </w:t>
      </w:r>
      <w:r>
        <w:rPr>
          <w:rFonts w:ascii="Calibri" w:eastAsia="Calibri"/>
        </w:rPr>
        <w:t>2 </w:t>
      </w:r>
      <w:r>
        <w:rPr>
          <w:spacing w:val="-9"/>
        </w:rPr>
        <w:t>个月的，基金管理人可以不编制当期季度报告、中期报告或者</w:t>
      </w:r>
      <w:r>
        <w:rPr>
          <w:spacing w:val="-5"/>
        </w:rPr>
        <w:t>年度报告。</w:t>
      </w:r>
    </w:p>
    <w:p>
      <w:pPr>
        <w:pStyle w:val="BodyText"/>
        <w:spacing w:line="417" w:lineRule="auto"/>
        <w:ind w:left="160" w:right="881" w:firstLine="419"/>
      </w:pPr>
      <w:r>
        <w:rPr/>
        <w:t>基金管理人应当在基金年度报告和中期报告中披露基金组合资产情况及其流动性风险分析等。</w:t>
      </w:r>
    </w:p>
    <w:p>
      <w:pPr>
        <w:pStyle w:val="BodyText"/>
        <w:spacing w:line="417" w:lineRule="auto"/>
        <w:ind w:left="160" w:right="768" w:firstLine="419"/>
      </w:pPr>
      <w:r>
        <w:rPr>
          <w:spacing w:val="-5"/>
        </w:rPr>
        <w:t>如报告期内出现单一投资者持有基金份额达到或超过基金总份额 </w:t>
      </w:r>
      <w:r>
        <w:rPr>
          <w:rFonts w:ascii="Calibri" w:hAnsi="Calibri" w:eastAsia="Calibri"/>
        </w:rPr>
        <w:t>20%</w:t>
      </w:r>
      <w:r>
        <w:rPr>
          <w:spacing w:val="-14"/>
        </w:rPr>
        <w:t>的情形，为保障其</w:t>
      </w:r>
      <w:r>
        <w:rPr>
          <w:spacing w:val="-7"/>
        </w:rPr>
        <w:t>他投资者的权益，基金管理人至少应当在基金定期报告“影响投资者决策的其他重要信息” </w:t>
      </w:r>
      <w:r>
        <w:rPr>
          <w:spacing w:val="-11"/>
        </w:rPr>
        <w:t>项下披露该投资者的类别、报告期末持有份额及占比、报告期内持有份额变化情况及产品的</w:t>
      </w:r>
      <w:r>
        <w:rPr>
          <w:spacing w:val="-6"/>
        </w:rPr>
        <w:t>特有风险，中国证监会认定的特殊情形除外。</w:t>
      </w:r>
    </w:p>
    <w:p>
      <w:pPr>
        <w:pStyle w:val="BodyText"/>
        <w:spacing w:line="269" w:lineRule="exact"/>
        <w:ind w:left="580"/>
      </w:pPr>
      <w:r>
        <w:rPr>
          <w:rFonts w:ascii="Calibri" w:eastAsia="Calibri"/>
        </w:rPr>
        <w:t>8</w:t>
      </w:r>
      <w:r>
        <w:rPr/>
        <w:t>、临时报告</w:t>
      </w:r>
    </w:p>
    <w:p>
      <w:pPr>
        <w:pStyle w:val="BodyText"/>
        <w:spacing w:before="6"/>
        <w:rPr>
          <w:sz w:val="15"/>
        </w:rPr>
      </w:pPr>
    </w:p>
    <w:p>
      <w:pPr>
        <w:pStyle w:val="BodyText"/>
        <w:spacing w:line="417" w:lineRule="auto"/>
        <w:ind w:left="160" w:right="873" w:firstLine="419"/>
      </w:pPr>
      <w:r>
        <w:rPr>
          <w:spacing w:val="-10"/>
        </w:rPr>
        <w:t>本基金发生重大事件，有关信息披露义务人应当在 </w:t>
      </w:r>
      <w:r>
        <w:rPr>
          <w:rFonts w:ascii="Calibri" w:eastAsia="Calibri"/>
        </w:rPr>
        <w:t>2 </w:t>
      </w:r>
      <w:r>
        <w:rPr>
          <w:spacing w:val="-8"/>
        </w:rPr>
        <w:t>日内编制临时报告书，并登载在指</w:t>
      </w:r>
      <w:r>
        <w:rPr>
          <w:spacing w:val="-5"/>
        </w:rPr>
        <w:t>定报刊和指定网站上。</w:t>
      </w:r>
    </w:p>
    <w:p>
      <w:pPr>
        <w:pStyle w:val="BodyText"/>
        <w:spacing w:line="417" w:lineRule="auto"/>
        <w:ind w:left="160" w:right="871" w:firstLine="419"/>
      </w:pPr>
      <w:r>
        <w:rPr>
          <w:spacing w:val="-12"/>
        </w:rPr>
        <w:t>前款所称重大事件，是指可能对基金份额持有人权益或者基金份额的价格产生重大影响</w:t>
      </w:r>
      <w:r>
        <w:rPr>
          <w:spacing w:val="-6"/>
        </w:rPr>
        <w:t>的下列事件：</w:t>
      </w:r>
    </w:p>
    <w:p>
      <w:pPr>
        <w:pStyle w:val="ListParagraph"/>
        <w:numPr>
          <w:ilvl w:val="0"/>
          <w:numId w:val="30"/>
        </w:numPr>
        <w:tabs>
          <w:tab w:pos="1110" w:val="left" w:leader="none"/>
        </w:tabs>
        <w:spacing w:line="240" w:lineRule="auto" w:before="0" w:after="0"/>
        <w:ind w:left="1109" w:right="0" w:hanging="530"/>
        <w:jc w:val="left"/>
        <w:rPr>
          <w:sz w:val="21"/>
        </w:rPr>
      </w:pPr>
      <w:r>
        <w:rPr>
          <w:spacing w:val="-3"/>
          <w:sz w:val="21"/>
        </w:rPr>
        <w:t>基金份额持有人大会的召开及决定的事项；</w:t>
      </w:r>
    </w:p>
    <w:p>
      <w:pPr>
        <w:pStyle w:val="BodyText"/>
        <w:spacing w:before="6"/>
        <w:rPr>
          <w:sz w:val="15"/>
        </w:rPr>
      </w:pPr>
    </w:p>
    <w:p>
      <w:pPr>
        <w:pStyle w:val="ListParagraph"/>
        <w:numPr>
          <w:ilvl w:val="0"/>
          <w:numId w:val="30"/>
        </w:numPr>
        <w:tabs>
          <w:tab w:pos="1112" w:val="left" w:leader="none"/>
        </w:tabs>
        <w:spacing w:line="240" w:lineRule="auto" w:before="1" w:after="0"/>
        <w:ind w:left="1111" w:right="0" w:hanging="532"/>
        <w:jc w:val="left"/>
        <w:rPr>
          <w:sz w:val="21"/>
        </w:rPr>
      </w:pPr>
      <w:r>
        <w:rPr>
          <w:spacing w:val="-3"/>
          <w:sz w:val="21"/>
        </w:rPr>
        <w:t>《基金合同》终止、基金清算；</w:t>
      </w:r>
    </w:p>
    <w:p>
      <w:pPr>
        <w:pStyle w:val="BodyText"/>
        <w:spacing w:before="6"/>
        <w:rPr>
          <w:sz w:val="15"/>
        </w:rPr>
      </w:pPr>
    </w:p>
    <w:p>
      <w:pPr>
        <w:pStyle w:val="ListParagraph"/>
        <w:numPr>
          <w:ilvl w:val="0"/>
          <w:numId w:val="30"/>
        </w:numPr>
        <w:tabs>
          <w:tab w:pos="1110" w:val="left" w:leader="none"/>
        </w:tabs>
        <w:spacing w:line="240" w:lineRule="auto" w:before="0" w:after="0"/>
        <w:ind w:left="1109" w:right="0" w:hanging="530"/>
        <w:jc w:val="left"/>
        <w:rPr>
          <w:sz w:val="21"/>
        </w:rPr>
      </w:pPr>
      <w:r>
        <w:rPr>
          <w:spacing w:val="-3"/>
          <w:sz w:val="21"/>
        </w:rPr>
        <w:t>转换基金运作方式、基金合并；</w:t>
      </w:r>
    </w:p>
    <w:p>
      <w:pPr>
        <w:pStyle w:val="BodyText"/>
        <w:spacing w:before="7"/>
        <w:rPr>
          <w:sz w:val="15"/>
        </w:rPr>
      </w:pPr>
    </w:p>
    <w:p>
      <w:pPr>
        <w:pStyle w:val="ListParagraph"/>
        <w:numPr>
          <w:ilvl w:val="0"/>
          <w:numId w:val="30"/>
        </w:numPr>
        <w:tabs>
          <w:tab w:pos="1110" w:val="left" w:leader="none"/>
        </w:tabs>
        <w:spacing w:line="240" w:lineRule="auto" w:before="0" w:after="0"/>
        <w:ind w:left="1109" w:right="0" w:hanging="530"/>
        <w:jc w:val="left"/>
        <w:rPr>
          <w:sz w:val="21"/>
        </w:rPr>
      </w:pPr>
      <w:r>
        <w:rPr>
          <w:spacing w:val="-3"/>
          <w:sz w:val="21"/>
        </w:rPr>
        <w:t>更换基金管理人、基金托管人、基金份额登记机构，基金改聘会计师事务所；</w:t>
      </w:r>
    </w:p>
    <w:p>
      <w:pPr>
        <w:pStyle w:val="BodyText"/>
        <w:spacing w:before="7"/>
        <w:rPr>
          <w:sz w:val="15"/>
        </w:rPr>
      </w:pPr>
    </w:p>
    <w:p>
      <w:pPr>
        <w:pStyle w:val="ListParagraph"/>
        <w:numPr>
          <w:ilvl w:val="0"/>
          <w:numId w:val="30"/>
        </w:numPr>
        <w:tabs>
          <w:tab w:pos="1112" w:val="left" w:leader="none"/>
        </w:tabs>
        <w:spacing w:line="417" w:lineRule="auto" w:before="0" w:after="0"/>
        <w:ind w:left="160" w:right="874" w:firstLine="419"/>
        <w:jc w:val="left"/>
        <w:rPr>
          <w:sz w:val="21"/>
        </w:rPr>
      </w:pPr>
      <w:r>
        <w:rPr>
          <w:spacing w:val="-3"/>
          <w:sz w:val="21"/>
        </w:rPr>
        <w:t>基金管理人委托基金服务机构代为办理基金的份额登记、核算、估值等事项，基金托管人委托基金服务机构代为办理基金的核算、估值、复核等事项；</w:t>
      </w:r>
    </w:p>
    <w:p>
      <w:pPr>
        <w:pStyle w:val="ListParagraph"/>
        <w:numPr>
          <w:ilvl w:val="0"/>
          <w:numId w:val="30"/>
        </w:numPr>
        <w:tabs>
          <w:tab w:pos="1110" w:val="left" w:leader="none"/>
        </w:tabs>
        <w:spacing w:line="269" w:lineRule="exact" w:before="0" w:after="0"/>
        <w:ind w:left="1109" w:right="0" w:hanging="530"/>
        <w:jc w:val="left"/>
        <w:rPr>
          <w:sz w:val="21"/>
        </w:rPr>
      </w:pPr>
      <w:r>
        <w:rPr>
          <w:spacing w:val="-3"/>
          <w:sz w:val="21"/>
        </w:rPr>
        <w:t>基金管理人、基金托管人的法定名称、住所发生变更；</w:t>
      </w:r>
    </w:p>
    <w:p>
      <w:pPr>
        <w:pStyle w:val="BodyText"/>
        <w:spacing w:before="7"/>
        <w:rPr>
          <w:sz w:val="15"/>
        </w:rPr>
      </w:pPr>
    </w:p>
    <w:p>
      <w:pPr>
        <w:pStyle w:val="ListParagraph"/>
        <w:numPr>
          <w:ilvl w:val="0"/>
          <w:numId w:val="30"/>
        </w:numPr>
        <w:tabs>
          <w:tab w:pos="1110" w:val="left" w:leader="none"/>
        </w:tabs>
        <w:spacing w:line="240" w:lineRule="auto" w:before="0" w:after="0"/>
        <w:ind w:left="1109" w:right="0" w:hanging="530"/>
        <w:jc w:val="left"/>
        <w:rPr>
          <w:sz w:val="21"/>
        </w:rPr>
      </w:pPr>
      <w:r>
        <w:rPr>
          <w:spacing w:val="-3"/>
          <w:sz w:val="21"/>
        </w:rPr>
        <w:t>基金管理公司变更持有百分之五以上股权的股东、变更公司的实际控制人；</w:t>
      </w:r>
    </w:p>
    <w:p>
      <w:pPr>
        <w:pStyle w:val="BodyText"/>
        <w:spacing w:before="7"/>
        <w:rPr>
          <w:sz w:val="15"/>
        </w:rPr>
      </w:pPr>
    </w:p>
    <w:p>
      <w:pPr>
        <w:pStyle w:val="ListParagraph"/>
        <w:numPr>
          <w:ilvl w:val="0"/>
          <w:numId w:val="30"/>
        </w:numPr>
        <w:tabs>
          <w:tab w:pos="1112" w:val="left" w:leader="none"/>
        </w:tabs>
        <w:spacing w:line="240" w:lineRule="auto" w:before="0" w:after="0"/>
        <w:ind w:left="1111" w:right="0" w:hanging="532"/>
        <w:jc w:val="left"/>
        <w:rPr>
          <w:sz w:val="21"/>
        </w:rPr>
      </w:pPr>
      <w:r>
        <w:rPr>
          <w:spacing w:val="-3"/>
          <w:sz w:val="21"/>
        </w:rPr>
        <w:t>基金管理人高级管理人员、基金经理和基金托管人专门基金托管部门负责人发生</w:t>
      </w:r>
    </w:p>
    <w:p>
      <w:pPr>
        <w:spacing w:after="0" w:line="240" w:lineRule="auto"/>
        <w:jc w:val="left"/>
        <w:rPr>
          <w:sz w:val="21"/>
        </w:rPr>
        <w:sectPr>
          <w:pgSz w:w="11910" w:h="16840"/>
          <w:pgMar w:header="877" w:footer="995" w:top="1420" w:bottom="1180" w:left="1640" w:right="920"/>
        </w:sectPr>
      </w:pPr>
    </w:p>
    <w:p>
      <w:pPr>
        <w:pStyle w:val="BodyText"/>
        <w:spacing w:before="110"/>
        <w:ind w:left="160"/>
      </w:pPr>
      <w:r>
        <w:rPr/>
        <w:t>变动；</w:t>
      </w:r>
    </w:p>
    <w:p>
      <w:pPr>
        <w:pStyle w:val="BodyText"/>
        <w:spacing w:before="6"/>
        <w:rPr>
          <w:sz w:val="15"/>
        </w:rPr>
      </w:pPr>
    </w:p>
    <w:p>
      <w:pPr>
        <w:pStyle w:val="ListParagraph"/>
        <w:numPr>
          <w:ilvl w:val="0"/>
          <w:numId w:val="30"/>
        </w:numPr>
        <w:tabs>
          <w:tab w:pos="1112" w:val="left" w:leader="none"/>
        </w:tabs>
        <w:spacing w:line="240" w:lineRule="auto" w:before="0" w:after="0"/>
        <w:ind w:left="1111" w:right="0" w:hanging="532"/>
        <w:jc w:val="left"/>
        <w:rPr>
          <w:sz w:val="21"/>
        </w:rPr>
      </w:pPr>
      <w:r>
        <w:rPr>
          <w:spacing w:val="-8"/>
          <w:sz w:val="21"/>
        </w:rPr>
        <w:t>基金管理人的董事在最近 </w:t>
      </w:r>
      <w:r>
        <w:rPr>
          <w:rFonts w:ascii="Calibri" w:eastAsia="Calibri"/>
          <w:sz w:val="21"/>
        </w:rPr>
        <w:t>12</w:t>
      </w:r>
      <w:r>
        <w:rPr>
          <w:rFonts w:ascii="Calibri" w:eastAsia="Calibri"/>
          <w:spacing w:val="8"/>
          <w:sz w:val="21"/>
        </w:rPr>
        <w:t> </w:t>
      </w:r>
      <w:r>
        <w:rPr>
          <w:spacing w:val="-8"/>
          <w:sz w:val="21"/>
        </w:rPr>
        <w:t>个月内变更超过百分之五十，基金管理人、基金托管</w:t>
      </w:r>
    </w:p>
    <w:p>
      <w:pPr>
        <w:pStyle w:val="BodyText"/>
        <w:spacing w:before="7"/>
        <w:rPr>
          <w:sz w:val="15"/>
        </w:rPr>
      </w:pPr>
    </w:p>
    <w:p>
      <w:pPr>
        <w:pStyle w:val="BodyText"/>
        <w:ind w:left="160"/>
      </w:pPr>
      <w:r>
        <w:rPr/>
        <w:t>人专门基金托管部门的主要业务人员在最近 </w:t>
      </w:r>
      <w:r>
        <w:rPr>
          <w:rFonts w:ascii="Calibri" w:eastAsia="Calibri"/>
        </w:rPr>
        <w:t>12 </w:t>
      </w:r>
      <w:r>
        <w:rPr/>
        <w:t>个月内变动超过百分之三十；</w:t>
      </w:r>
    </w:p>
    <w:p>
      <w:pPr>
        <w:pStyle w:val="BodyText"/>
        <w:spacing w:before="7"/>
        <w:rPr>
          <w:sz w:val="15"/>
        </w:rPr>
      </w:pPr>
    </w:p>
    <w:p>
      <w:pPr>
        <w:pStyle w:val="ListParagraph"/>
        <w:numPr>
          <w:ilvl w:val="0"/>
          <w:numId w:val="30"/>
        </w:numPr>
        <w:tabs>
          <w:tab w:pos="1218" w:val="left" w:leader="none"/>
        </w:tabs>
        <w:spacing w:line="240" w:lineRule="auto" w:before="0" w:after="0"/>
        <w:ind w:left="1217" w:right="0" w:hanging="638"/>
        <w:jc w:val="left"/>
        <w:rPr>
          <w:sz w:val="21"/>
        </w:rPr>
      </w:pPr>
      <w:r>
        <w:rPr>
          <w:spacing w:val="-3"/>
          <w:sz w:val="21"/>
        </w:rPr>
        <w:t>涉及基金财产、基金管理业务、基金托管业务的诉讼或仲裁；</w:t>
      </w:r>
    </w:p>
    <w:p>
      <w:pPr>
        <w:pStyle w:val="BodyText"/>
        <w:spacing w:before="7"/>
        <w:rPr>
          <w:sz w:val="15"/>
        </w:rPr>
      </w:pPr>
    </w:p>
    <w:p>
      <w:pPr>
        <w:pStyle w:val="ListParagraph"/>
        <w:numPr>
          <w:ilvl w:val="0"/>
          <w:numId w:val="30"/>
        </w:numPr>
        <w:tabs>
          <w:tab w:pos="1218" w:val="left" w:leader="none"/>
        </w:tabs>
        <w:spacing w:line="417" w:lineRule="auto" w:before="0" w:after="0"/>
        <w:ind w:left="160" w:right="871" w:firstLine="419"/>
        <w:jc w:val="both"/>
        <w:rPr>
          <w:sz w:val="21"/>
        </w:rPr>
      </w:pPr>
      <w:r>
        <w:rPr>
          <w:spacing w:val="-7"/>
          <w:sz w:val="21"/>
        </w:rPr>
        <w:t>基金管理人或其高级管理人员、基金经理因基金管理业务相关行为受到重大行 </w:t>
      </w:r>
      <w:r>
        <w:rPr>
          <w:spacing w:val="-13"/>
          <w:sz w:val="21"/>
        </w:rPr>
        <w:t>政处罚、刑事处罚，基金托管人或其专门基金托管部门负责人因基金托管业务相关行为受到</w:t>
      </w:r>
      <w:r>
        <w:rPr>
          <w:spacing w:val="-3"/>
          <w:sz w:val="21"/>
        </w:rPr>
        <w:t>重大行政处罚、刑事处罚；</w:t>
      </w:r>
    </w:p>
    <w:p>
      <w:pPr>
        <w:pStyle w:val="ListParagraph"/>
        <w:numPr>
          <w:ilvl w:val="0"/>
          <w:numId w:val="30"/>
        </w:numPr>
        <w:tabs>
          <w:tab w:pos="1215" w:val="left" w:leader="none"/>
        </w:tabs>
        <w:spacing w:line="417" w:lineRule="auto" w:before="0" w:after="0"/>
        <w:ind w:left="160" w:right="871" w:firstLine="419"/>
        <w:jc w:val="both"/>
        <w:rPr>
          <w:sz w:val="21"/>
        </w:rPr>
      </w:pPr>
      <w:r>
        <w:rPr>
          <w:spacing w:val="-6"/>
          <w:sz w:val="21"/>
        </w:rPr>
        <w:t>基金管理人运用基金财产买卖基金管理人、基金托管人及其控股股东、实际控 制人或者与其有重大利害关系的公司发行的证券或者承销期内承销的证券，或者从事其他重</w:t>
      </w:r>
      <w:r>
        <w:rPr>
          <w:spacing w:val="-3"/>
          <w:sz w:val="21"/>
        </w:rPr>
        <w:t>大关联交易事项，中国证监会另有规定的情形除外；</w:t>
      </w:r>
    </w:p>
    <w:p>
      <w:pPr>
        <w:pStyle w:val="ListParagraph"/>
        <w:numPr>
          <w:ilvl w:val="0"/>
          <w:numId w:val="30"/>
        </w:numPr>
        <w:tabs>
          <w:tab w:pos="1218" w:val="left" w:leader="none"/>
        </w:tabs>
        <w:spacing w:line="269" w:lineRule="exact" w:before="0" w:after="0"/>
        <w:ind w:left="1217" w:right="0" w:hanging="638"/>
        <w:jc w:val="left"/>
        <w:rPr>
          <w:sz w:val="21"/>
        </w:rPr>
      </w:pPr>
      <w:r>
        <w:rPr>
          <w:spacing w:val="-3"/>
          <w:sz w:val="21"/>
        </w:rPr>
        <w:t>基金收益分配事项；</w:t>
      </w:r>
    </w:p>
    <w:p>
      <w:pPr>
        <w:pStyle w:val="BodyText"/>
        <w:spacing w:before="6"/>
        <w:rPr>
          <w:sz w:val="15"/>
        </w:rPr>
      </w:pPr>
    </w:p>
    <w:p>
      <w:pPr>
        <w:pStyle w:val="ListParagraph"/>
        <w:numPr>
          <w:ilvl w:val="0"/>
          <w:numId w:val="30"/>
        </w:numPr>
        <w:tabs>
          <w:tab w:pos="1218" w:val="left" w:leader="none"/>
        </w:tabs>
        <w:spacing w:line="417" w:lineRule="auto" w:before="1" w:after="0"/>
        <w:ind w:left="160" w:right="872" w:firstLine="419"/>
        <w:jc w:val="left"/>
        <w:rPr>
          <w:sz w:val="21"/>
        </w:rPr>
      </w:pPr>
      <w:r>
        <w:rPr>
          <w:spacing w:val="-10"/>
          <w:sz w:val="21"/>
        </w:rPr>
        <w:t>管理费、托管费、销售服务费、申购费、赎回费等费用计提标准、计提方式和 </w:t>
      </w:r>
      <w:r>
        <w:rPr>
          <w:spacing w:val="-7"/>
          <w:sz w:val="21"/>
        </w:rPr>
        <w:t>费率发生变更；</w:t>
      </w:r>
    </w:p>
    <w:p>
      <w:pPr>
        <w:pStyle w:val="ListParagraph"/>
        <w:numPr>
          <w:ilvl w:val="0"/>
          <w:numId w:val="30"/>
        </w:numPr>
        <w:tabs>
          <w:tab w:pos="1218" w:val="left" w:leader="none"/>
        </w:tabs>
        <w:spacing w:line="269" w:lineRule="exact" w:before="0" w:after="0"/>
        <w:ind w:left="1217" w:right="0" w:hanging="638"/>
        <w:jc w:val="left"/>
        <w:rPr>
          <w:sz w:val="21"/>
        </w:rPr>
      </w:pPr>
      <w:r>
        <w:rPr>
          <w:spacing w:val="-3"/>
          <w:sz w:val="21"/>
        </w:rPr>
        <w:t>基金份额净值计价错误达基金份额净值百分之零点五；</w:t>
      </w:r>
    </w:p>
    <w:p>
      <w:pPr>
        <w:pStyle w:val="BodyText"/>
        <w:spacing w:before="7"/>
        <w:rPr>
          <w:sz w:val="15"/>
        </w:rPr>
      </w:pPr>
    </w:p>
    <w:p>
      <w:pPr>
        <w:pStyle w:val="ListParagraph"/>
        <w:numPr>
          <w:ilvl w:val="0"/>
          <w:numId w:val="30"/>
        </w:numPr>
        <w:tabs>
          <w:tab w:pos="1218" w:val="left" w:leader="none"/>
        </w:tabs>
        <w:spacing w:line="240" w:lineRule="auto" w:before="0" w:after="0"/>
        <w:ind w:left="1217" w:right="0" w:hanging="638"/>
        <w:jc w:val="left"/>
        <w:rPr>
          <w:sz w:val="21"/>
        </w:rPr>
      </w:pPr>
      <w:r>
        <w:rPr>
          <w:spacing w:val="-3"/>
          <w:sz w:val="21"/>
        </w:rPr>
        <w:t>本基金开始办理申购、赎回；</w:t>
      </w:r>
    </w:p>
    <w:p>
      <w:pPr>
        <w:pStyle w:val="BodyText"/>
        <w:spacing w:before="6"/>
        <w:rPr>
          <w:sz w:val="15"/>
        </w:rPr>
      </w:pPr>
    </w:p>
    <w:p>
      <w:pPr>
        <w:pStyle w:val="ListParagraph"/>
        <w:numPr>
          <w:ilvl w:val="0"/>
          <w:numId w:val="30"/>
        </w:numPr>
        <w:tabs>
          <w:tab w:pos="1218" w:val="left" w:leader="none"/>
        </w:tabs>
        <w:spacing w:line="240" w:lineRule="auto" w:before="0" w:after="0"/>
        <w:ind w:left="1217" w:right="0" w:hanging="638"/>
        <w:jc w:val="left"/>
        <w:rPr>
          <w:sz w:val="21"/>
        </w:rPr>
      </w:pPr>
      <w:r>
        <w:rPr>
          <w:spacing w:val="-3"/>
          <w:sz w:val="21"/>
        </w:rPr>
        <w:t>本基金发生巨额赎回并延期办理；</w:t>
      </w:r>
    </w:p>
    <w:p>
      <w:pPr>
        <w:pStyle w:val="BodyText"/>
        <w:spacing w:before="7"/>
        <w:rPr>
          <w:sz w:val="15"/>
        </w:rPr>
      </w:pPr>
    </w:p>
    <w:p>
      <w:pPr>
        <w:pStyle w:val="ListParagraph"/>
        <w:numPr>
          <w:ilvl w:val="0"/>
          <w:numId w:val="30"/>
        </w:numPr>
        <w:tabs>
          <w:tab w:pos="1218" w:val="left" w:leader="none"/>
        </w:tabs>
        <w:spacing w:line="240" w:lineRule="auto" w:before="0" w:after="0"/>
        <w:ind w:left="1217" w:right="0" w:hanging="638"/>
        <w:jc w:val="left"/>
        <w:rPr>
          <w:sz w:val="21"/>
        </w:rPr>
      </w:pPr>
      <w:r>
        <w:rPr>
          <w:spacing w:val="-3"/>
          <w:sz w:val="21"/>
        </w:rPr>
        <w:t>本基金连续发生巨额赎回并暂停接受赎回申请或延缓支付赎回款项；</w:t>
      </w:r>
    </w:p>
    <w:p>
      <w:pPr>
        <w:pStyle w:val="BodyText"/>
        <w:spacing w:before="7"/>
        <w:rPr>
          <w:sz w:val="15"/>
        </w:rPr>
      </w:pPr>
    </w:p>
    <w:p>
      <w:pPr>
        <w:pStyle w:val="ListParagraph"/>
        <w:numPr>
          <w:ilvl w:val="0"/>
          <w:numId w:val="30"/>
        </w:numPr>
        <w:tabs>
          <w:tab w:pos="1218" w:val="left" w:leader="none"/>
        </w:tabs>
        <w:spacing w:line="240" w:lineRule="auto" w:before="0" w:after="0"/>
        <w:ind w:left="1217" w:right="0" w:hanging="638"/>
        <w:jc w:val="left"/>
        <w:rPr>
          <w:sz w:val="21"/>
        </w:rPr>
      </w:pPr>
      <w:r>
        <w:rPr>
          <w:spacing w:val="-3"/>
          <w:sz w:val="21"/>
        </w:rPr>
        <w:t>本基金暂停接受申购、赎回申请或重新接受申购、赎回申请；</w:t>
      </w:r>
    </w:p>
    <w:p>
      <w:pPr>
        <w:pStyle w:val="BodyText"/>
        <w:spacing w:before="7"/>
        <w:rPr>
          <w:sz w:val="15"/>
        </w:rPr>
      </w:pPr>
    </w:p>
    <w:p>
      <w:pPr>
        <w:pStyle w:val="ListParagraph"/>
        <w:numPr>
          <w:ilvl w:val="0"/>
          <w:numId w:val="30"/>
        </w:numPr>
        <w:tabs>
          <w:tab w:pos="1218" w:val="left" w:leader="none"/>
        </w:tabs>
        <w:spacing w:line="240" w:lineRule="auto" w:before="0" w:after="0"/>
        <w:ind w:left="1217" w:right="0" w:hanging="638"/>
        <w:jc w:val="left"/>
        <w:rPr>
          <w:sz w:val="21"/>
        </w:rPr>
      </w:pPr>
      <w:r>
        <w:rPr>
          <w:spacing w:val="-3"/>
          <w:sz w:val="21"/>
        </w:rPr>
        <w:t>变更标的指数；</w:t>
      </w:r>
    </w:p>
    <w:p>
      <w:pPr>
        <w:pStyle w:val="BodyText"/>
        <w:spacing w:before="6"/>
        <w:rPr>
          <w:sz w:val="15"/>
        </w:rPr>
      </w:pPr>
    </w:p>
    <w:p>
      <w:pPr>
        <w:pStyle w:val="ListParagraph"/>
        <w:numPr>
          <w:ilvl w:val="0"/>
          <w:numId w:val="30"/>
        </w:numPr>
        <w:tabs>
          <w:tab w:pos="1218" w:val="left" w:leader="none"/>
        </w:tabs>
        <w:spacing w:line="240" w:lineRule="auto" w:before="0" w:after="0"/>
        <w:ind w:left="1217" w:right="0" w:hanging="638"/>
        <w:jc w:val="left"/>
        <w:rPr>
          <w:sz w:val="21"/>
        </w:rPr>
      </w:pPr>
      <w:r>
        <w:rPr>
          <w:spacing w:val="-3"/>
          <w:sz w:val="21"/>
        </w:rPr>
        <w:t>基金份额的拆分；</w:t>
      </w:r>
    </w:p>
    <w:p>
      <w:pPr>
        <w:pStyle w:val="BodyText"/>
        <w:spacing w:before="7"/>
        <w:rPr>
          <w:sz w:val="15"/>
        </w:rPr>
      </w:pPr>
    </w:p>
    <w:p>
      <w:pPr>
        <w:pStyle w:val="ListParagraph"/>
        <w:numPr>
          <w:ilvl w:val="0"/>
          <w:numId w:val="30"/>
        </w:numPr>
        <w:tabs>
          <w:tab w:pos="1218" w:val="left" w:leader="none"/>
        </w:tabs>
        <w:spacing w:line="240" w:lineRule="auto" w:before="0" w:after="0"/>
        <w:ind w:left="1217" w:right="0" w:hanging="638"/>
        <w:jc w:val="left"/>
        <w:rPr>
          <w:sz w:val="21"/>
        </w:rPr>
      </w:pPr>
      <w:r>
        <w:rPr>
          <w:spacing w:val="-3"/>
          <w:sz w:val="21"/>
        </w:rPr>
        <w:t>本基金发生涉及基金申购、赎回事项调整或潜在影响投资者赎回等重大事项；</w:t>
      </w:r>
    </w:p>
    <w:p>
      <w:pPr>
        <w:pStyle w:val="BodyText"/>
        <w:spacing w:before="7"/>
        <w:rPr>
          <w:sz w:val="15"/>
        </w:rPr>
      </w:pPr>
    </w:p>
    <w:p>
      <w:pPr>
        <w:pStyle w:val="ListParagraph"/>
        <w:numPr>
          <w:ilvl w:val="0"/>
          <w:numId w:val="30"/>
        </w:numPr>
        <w:tabs>
          <w:tab w:pos="1218" w:val="left" w:leader="none"/>
        </w:tabs>
        <w:spacing w:line="240" w:lineRule="auto" w:before="1" w:after="0"/>
        <w:ind w:left="1217" w:right="0" w:hanging="638"/>
        <w:jc w:val="left"/>
        <w:rPr>
          <w:sz w:val="21"/>
        </w:rPr>
      </w:pPr>
      <w:r>
        <w:rPr>
          <w:spacing w:val="-3"/>
          <w:sz w:val="21"/>
        </w:rPr>
        <w:t>基金管理人采用摆动定价机制进行估值；</w:t>
      </w:r>
    </w:p>
    <w:p>
      <w:pPr>
        <w:pStyle w:val="BodyText"/>
        <w:spacing w:before="6"/>
        <w:rPr>
          <w:sz w:val="15"/>
        </w:rPr>
      </w:pPr>
    </w:p>
    <w:p>
      <w:pPr>
        <w:pStyle w:val="ListParagraph"/>
        <w:numPr>
          <w:ilvl w:val="0"/>
          <w:numId w:val="30"/>
        </w:numPr>
        <w:tabs>
          <w:tab w:pos="1218" w:val="left" w:leader="none"/>
        </w:tabs>
        <w:spacing w:line="240" w:lineRule="auto" w:before="0" w:after="0"/>
        <w:ind w:left="1217" w:right="0" w:hanging="638"/>
        <w:jc w:val="left"/>
        <w:rPr>
          <w:sz w:val="21"/>
        </w:rPr>
      </w:pPr>
      <w:r>
        <w:rPr>
          <w:spacing w:val="-3"/>
          <w:sz w:val="21"/>
        </w:rPr>
        <w:t>新增或变更基金份额类别的设置；</w:t>
      </w:r>
    </w:p>
    <w:p>
      <w:pPr>
        <w:pStyle w:val="BodyText"/>
        <w:spacing w:before="7"/>
        <w:rPr>
          <w:sz w:val="15"/>
        </w:rPr>
      </w:pPr>
    </w:p>
    <w:p>
      <w:pPr>
        <w:pStyle w:val="ListParagraph"/>
        <w:numPr>
          <w:ilvl w:val="0"/>
          <w:numId w:val="30"/>
        </w:numPr>
        <w:tabs>
          <w:tab w:pos="1215" w:val="left" w:leader="none"/>
        </w:tabs>
        <w:spacing w:line="417" w:lineRule="auto" w:before="0" w:after="0"/>
        <w:ind w:left="160" w:right="871" w:firstLine="419"/>
        <w:jc w:val="left"/>
        <w:rPr>
          <w:sz w:val="21"/>
        </w:rPr>
      </w:pPr>
      <w:r>
        <w:rPr>
          <w:spacing w:val="-3"/>
          <w:sz w:val="21"/>
        </w:rPr>
        <w:t>基金信息披露义务人认为可能对基金份额持有人权益或者基金份额的价格产生重大影响的其他事项或中国证监会规定的其他事项。</w:t>
      </w:r>
    </w:p>
    <w:p>
      <w:pPr>
        <w:pStyle w:val="BodyText"/>
        <w:spacing w:line="269" w:lineRule="exact"/>
        <w:ind w:left="580"/>
      </w:pPr>
      <w:r>
        <w:rPr>
          <w:rFonts w:ascii="Calibri" w:eastAsia="Calibri"/>
        </w:rPr>
        <w:t>9</w:t>
      </w:r>
      <w:r>
        <w:rPr/>
        <w:t>、澄清公告</w:t>
      </w:r>
    </w:p>
    <w:p>
      <w:pPr>
        <w:pStyle w:val="BodyText"/>
        <w:spacing w:before="7"/>
        <w:rPr>
          <w:sz w:val="15"/>
        </w:rPr>
      </w:pPr>
    </w:p>
    <w:p>
      <w:pPr>
        <w:pStyle w:val="BodyText"/>
        <w:spacing w:line="417" w:lineRule="auto"/>
        <w:ind w:left="160" w:right="664" w:firstLine="419"/>
      </w:pPr>
      <w:r>
        <w:rPr>
          <w:spacing w:val="-12"/>
        </w:rPr>
        <w:t>在《基金合同》存续期限内，任何公共媒介中出现的或者在市场上流传的消息可能对基 </w:t>
      </w:r>
      <w:r>
        <w:rPr>
          <w:spacing w:val="-11"/>
        </w:rPr>
        <w:t>金份额价格产生误导性影响或者引起较大波动，以及可能损害基金份额持有人权益的，相关 </w:t>
      </w:r>
      <w:r>
        <w:rPr>
          <w:spacing w:val="-10"/>
        </w:rPr>
        <w:t>信息披露义务人知悉后应当立即对该消息进行公开澄清，并将有关情况立即报告中国证监会。</w:t>
      </w:r>
    </w:p>
    <w:p>
      <w:pPr>
        <w:pStyle w:val="BodyText"/>
        <w:ind w:left="580"/>
      </w:pPr>
      <w:r>
        <w:rPr>
          <w:rFonts w:ascii="Calibri" w:eastAsia="Calibri"/>
        </w:rPr>
        <w:t>10</w:t>
      </w:r>
      <w:r>
        <w:rPr/>
        <w:t>、清算报告</w:t>
      </w:r>
    </w:p>
    <w:p>
      <w:pPr>
        <w:spacing w:after="0"/>
        <w:sectPr>
          <w:pgSz w:w="11910" w:h="16840"/>
          <w:pgMar w:header="877" w:footer="995" w:top="1420" w:bottom="1180" w:left="1640" w:right="920"/>
        </w:sectPr>
      </w:pPr>
    </w:p>
    <w:p>
      <w:pPr>
        <w:pStyle w:val="BodyText"/>
        <w:spacing w:line="417" w:lineRule="auto" w:before="110"/>
        <w:ind w:left="160" w:right="871" w:firstLine="419"/>
      </w:pPr>
      <w:r>
        <w:rPr>
          <w:spacing w:val="-7"/>
        </w:rPr>
        <w:t>基金财产清算小组应当将清算报告登载在指定网站上，并将清算报告提示性公告登载在</w:t>
      </w:r>
      <w:r>
        <w:rPr>
          <w:spacing w:val="-5"/>
        </w:rPr>
        <w:t>指定报刊上。</w:t>
      </w:r>
    </w:p>
    <w:p>
      <w:pPr>
        <w:pStyle w:val="BodyText"/>
        <w:spacing w:line="269" w:lineRule="exact"/>
        <w:ind w:left="580"/>
      </w:pPr>
      <w:r>
        <w:rPr>
          <w:rFonts w:ascii="Calibri" w:eastAsia="Calibri"/>
        </w:rPr>
        <w:t>11</w:t>
      </w:r>
      <w:r>
        <w:rPr/>
        <w:t>、基金份额持有人大会决议</w:t>
      </w:r>
    </w:p>
    <w:p>
      <w:pPr>
        <w:pStyle w:val="BodyText"/>
        <w:spacing w:before="6"/>
        <w:rPr>
          <w:sz w:val="15"/>
        </w:rPr>
      </w:pPr>
    </w:p>
    <w:p>
      <w:pPr>
        <w:pStyle w:val="BodyText"/>
        <w:spacing w:line="417" w:lineRule="auto"/>
        <w:ind w:left="160" w:right="871" w:firstLine="419"/>
      </w:pPr>
      <w:r>
        <w:rPr>
          <w:spacing w:val="-8"/>
        </w:rPr>
        <w:t>基金份额持有人大会决定的事项，应当依法报国务院证券监督管理机构备案，并予以公告。</w:t>
      </w:r>
    </w:p>
    <w:p>
      <w:pPr>
        <w:pStyle w:val="BodyText"/>
        <w:spacing w:line="269" w:lineRule="exact"/>
        <w:ind w:left="580"/>
      </w:pPr>
      <w:r>
        <w:rPr>
          <w:rFonts w:ascii="Calibri" w:eastAsia="Calibri"/>
        </w:rPr>
        <w:t>12</w:t>
      </w:r>
      <w:r>
        <w:rPr/>
        <w:t>、投资股指期货的相关公告</w:t>
      </w:r>
    </w:p>
    <w:p>
      <w:pPr>
        <w:pStyle w:val="BodyText"/>
        <w:spacing w:before="7"/>
        <w:rPr>
          <w:sz w:val="15"/>
        </w:rPr>
      </w:pPr>
    </w:p>
    <w:p>
      <w:pPr>
        <w:pStyle w:val="BodyText"/>
        <w:spacing w:line="417" w:lineRule="auto"/>
        <w:ind w:left="160" w:right="871" w:firstLine="419"/>
        <w:jc w:val="both"/>
      </w:pPr>
      <w:r>
        <w:rPr>
          <w:spacing w:val="-12"/>
        </w:rPr>
        <w:t>在季度报告、中期报告、年度报告等定期报告和招募说明书更新等文件中披露的股指期货交易情况，应当包括投资政策、持仓情况、损益情况、风险指标等，并充分揭示股指期货</w:t>
      </w:r>
      <w:r>
        <w:rPr>
          <w:spacing w:val="-6"/>
        </w:rPr>
        <w:t>交易对本基金总体风险的影响以及是否符合既定的投资政策和投资目标等。</w:t>
      </w:r>
    </w:p>
    <w:p>
      <w:pPr>
        <w:pStyle w:val="BodyText"/>
        <w:ind w:left="580"/>
      </w:pPr>
      <w:r>
        <w:rPr>
          <w:rFonts w:ascii="Calibri" w:eastAsia="Calibri"/>
        </w:rPr>
        <w:t>13</w:t>
      </w:r>
      <w:r>
        <w:rPr/>
        <w:t>、投资国债期货的相关公告</w:t>
      </w:r>
    </w:p>
    <w:p>
      <w:pPr>
        <w:pStyle w:val="BodyText"/>
        <w:spacing w:before="7"/>
        <w:rPr>
          <w:sz w:val="15"/>
        </w:rPr>
      </w:pPr>
    </w:p>
    <w:p>
      <w:pPr>
        <w:pStyle w:val="BodyText"/>
        <w:spacing w:line="417" w:lineRule="auto"/>
        <w:ind w:left="160" w:right="871" w:firstLine="419"/>
        <w:jc w:val="both"/>
      </w:pPr>
      <w:r>
        <w:rPr>
          <w:spacing w:val="-9"/>
        </w:rPr>
        <w:t>在季度报告、中期报告、年度报告等定期报告和招募说明书</w:t>
      </w:r>
      <w:r>
        <w:rPr>
          <w:spacing w:val="-3"/>
        </w:rPr>
        <w:t>（</w:t>
      </w:r>
      <w:r>
        <w:rPr>
          <w:spacing w:val="-2"/>
        </w:rPr>
        <w:t>更新</w:t>
      </w:r>
      <w:r>
        <w:rPr>
          <w:spacing w:val="-25"/>
        </w:rPr>
        <w:t>）</w:t>
      </w:r>
      <w:r>
        <w:rPr>
          <w:spacing w:val="-3"/>
        </w:rPr>
        <w:t>等文件中披露的国</w:t>
      </w:r>
      <w:r>
        <w:rPr>
          <w:spacing w:val="-10"/>
        </w:rPr>
        <w:t>债期货交易情况，应当包括投资政策、持仓情况、损益情况、风险指标等，并充分揭示国债</w:t>
      </w:r>
      <w:r>
        <w:rPr>
          <w:spacing w:val="-5"/>
        </w:rPr>
        <w:t>期货交易对本基金总体风险的影响以及是否符合既定的投资政策和投资目标等。</w:t>
      </w:r>
    </w:p>
    <w:p>
      <w:pPr>
        <w:pStyle w:val="BodyText"/>
        <w:spacing w:line="269" w:lineRule="exact"/>
        <w:ind w:left="580"/>
      </w:pPr>
      <w:r>
        <w:rPr>
          <w:rFonts w:ascii="Calibri" w:eastAsia="Calibri"/>
        </w:rPr>
        <w:t>14</w:t>
      </w:r>
      <w:r>
        <w:rPr/>
        <w:t>、股票期权投资情况</w:t>
      </w:r>
    </w:p>
    <w:p>
      <w:pPr>
        <w:pStyle w:val="BodyText"/>
        <w:spacing w:before="7"/>
        <w:rPr>
          <w:sz w:val="15"/>
        </w:rPr>
      </w:pPr>
    </w:p>
    <w:p>
      <w:pPr>
        <w:pStyle w:val="BodyText"/>
        <w:spacing w:line="417" w:lineRule="auto"/>
        <w:ind w:left="160" w:right="662" w:firstLine="419"/>
      </w:pPr>
      <w:r>
        <w:rPr>
          <w:spacing w:val="-6"/>
        </w:rPr>
        <w:t>基金管理人应在定期信息披露文件中披露参与股票期权交易的有关情况，包括投资政策、</w:t>
      </w:r>
      <w:r>
        <w:rPr>
          <w:spacing w:val="-12"/>
        </w:rPr>
        <w:t>持仓情况、损益情况、风险指标、估值方法等，并充分揭示股票期权交易对基金总体风险的 </w:t>
      </w:r>
      <w:r>
        <w:rPr>
          <w:spacing w:val="-6"/>
        </w:rPr>
        <w:t>影响以及是否符合既定的投资政策和投资目标。</w:t>
      </w:r>
    </w:p>
    <w:p>
      <w:pPr>
        <w:pStyle w:val="BodyText"/>
        <w:spacing w:line="269" w:lineRule="exact"/>
        <w:ind w:left="580"/>
      </w:pPr>
      <w:r>
        <w:rPr>
          <w:rFonts w:ascii="Calibri" w:eastAsia="Calibri"/>
        </w:rPr>
        <w:t>15</w:t>
      </w:r>
      <w:r>
        <w:rPr/>
        <w:t>、投资中小企业私募债券的相关公告</w:t>
      </w:r>
    </w:p>
    <w:p>
      <w:pPr>
        <w:pStyle w:val="BodyText"/>
        <w:spacing w:before="7"/>
        <w:rPr>
          <w:sz w:val="15"/>
        </w:rPr>
      </w:pPr>
    </w:p>
    <w:p>
      <w:pPr>
        <w:pStyle w:val="BodyText"/>
        <w:spacing w:line="417" w:lineRule="auto"/>
        <w:ind w:left="160" w:right="871" w:firstLine="419"/>
      </w:pPr>
      <w:r>
        <w:rPr>
          <w:spacing w:val="-7"/>
        </w:rPr>
        <w:t>基金管理人在本基金投资中小企业私募债券后两个交易日内，在中国证监会指定媒介披</w:t>
      </w:r>
      <w:r>
        <w:rPr>
          <w:spacing w:val="-5"/>
        </w:rPr>
        <w:t>露所投资中小企业私募债券的名称、数量、期限、收益率等信息。</w:t>
      </w:r>
    </w:p>
    <w:p>
      <w:pPr>
        <w:pStyle w:val="BodyText"/>
        <w:spacing w:line="417" w:lineRule="auto"/>
        <w:ind w:left="160" w:right="871" w:firstLine="419"/>
      </w:pPr>
      <w:r>
        <w:rPr>
          <w:spacing w:val="-9"/>
        </w:rPr>
        <w:t>本基金应当在季度报告、中期报告、年度报告等定期报告和招募说明书</w:t>
      </w:r>
      <w:r>
        <w:rPr/>
        <w:t>（</w:t>
      </w:r>
      <w:r>
        <w:rPr>
          <w:spacing w:val="-2"/>
        </w:rPr>
        <w:t>更新</w:t>
      </w:r>
      <w:r>
        <w:rPr>
          <w:spacing w:val="-25"/>
        </w:rPr>
        <w:t>）</w:t>
      </w:r>
      <w:r>
        <w:rPr>
          <w:spacing w:val="-2"/>
        </w:rPr>
        <w:t>等文件</w:t>
      </w:r>
      <w:r>
        <w:rPr>
          <w:spacing w:val="-3"/>
        </w:rPr>
        <w:t>中披露中小企业私募债券的投资情况。</w:t>
      </w:r>
    </w:p>
    <w:p>
      <w:pPr>
        <w:pStyle w:val="BodyText"/>
        <w:ind w:left="580"/>
      </w:pPr>
      <w:r>
        <w:rPr>
          <w:rFonts w:ascii="Calibri" w:eastAsia="Calibri"/>
          <w:spacing w:val="-1"/>
        </w:rPr>
        <w:t>16</w:t>
      </w:r>
      <w:r>
        <w:rPr>
          <w:spacing w:val="-3"/>
        </w:rPr>
        <w:t>、投资资产支持证券的相关公告</w:t>
      </w:r>
    </w:p>
    <w:p>
      <w:pPr>
        <w:pStyle w:val="BodyText"/>
        <w:spacing w:before="6"/>
        <w:rPr>
          <w:sz w:val="15"/>
        </w:rPr>
      </w:pPr>
    </w:p>
    <w:p>
      <w:pPr>
        <w:pStyle w:val="BodyText"/>
        <w:spacing w:line="417" w:lineRule="auto" w:before="1"/>
        <w:ind w:left="160" w:right="871" w:firstLine="419"/>
      </w:pPr>
      <w:r>
        <w:rPr>
          <w:spacing w:val="-6"/>
        </w:rPr>
        <w:t>基金管理人应在基金年报及中期报告中披露本基金持有的资产支持证券总额、资产支持</w:t>
      </w:r>
      <w:r>
        <w:rPr>
          <w:spacing w:val="-4"/>
        </w:rPr>
        <w:t>证券市值占基金净资产的比例和报告期内所有的资产支持证券明细。</w:t>
      </w:r>
    </w:p>
    <w:p>
      <w:pPr>
        <w:pStyle w:val="BodyText"/>
        <w:spacing w:line="417" w:lineRule="auto"/>
        <w:ind w:left="160" w:right="871" w:firstLine="419"/>
        <w:jc w:val="both"/>
      </w:pPr>
      <w:r>
        <w:rPr>
          <w:spacing w:val="-6"/>
        </w:rPr>
        <w:t>基金管理人应在基金季度报告中披露本基金持有的资产支持证券总额、资产支持证券市</w:t>
      </w:r>
      <w:r>
        <w:rPr>
          <w:spacing w:val="-5"/>
        </w:rPr>
        <w:t>值占基金净资产的比例和报告期末按市值占基金净资产比例大小排序的前 </w:t>
      </w:r>
      <w:r>
        <w:rPr>
          <w:rFonts w:ascii="Calibri" w:eastAsia="Calibri"/>
        </w:rPr>
        <w:t>10 </w:t>
      </w:r>
      <w:r>
        <w:rPr>
          <w:spacing w:val="-2"/>
        </w:rPr>
        <w:t>名资产支持证</w:t>
      </w:r>
      <w:r>
        <w:rPr>
          <w:spacing w:val="-3"/>
        </w:rPr>
        <w:t>券明细。</w:t>
      </w:r>
    </w:p>
    <w:p>
      <w:pPr>
        <w:pStyle w:val="BodyText"/>
        <w:ind w:left="580"/>
      </w:pPr>
      <w:r>
        <w:rPr>
          <w:rFonts w:ascii="Calibri" w:eastAsia="Calibri"/>
        </w:rPr>
        <w:t>17</w:t>
      </w:r>
      <w:r>
        <w:rPr/>
        <w:t>、中国证监会规定的其他信息。</w:t>
      </w:r>
    </w:p>
    <w:p>
      <w:pPr>
        <w:pStyle w:val="BodyText"/>
        <w:spacing w:before="6"/>
        <w:rPr>
          <w:sz w:val="15"/>
        </w:rPr>
      </w:pPr>
    </w:p>
    <w:p>
      <w:pPr>
        <w:pStyle w:val="BodyText"/>
        <w:ind w:left="580"/>
      </w:pPr>
      <w:r>
        <w:rPr/>
        <w:t>（六）信息披露事务管理</w:t>
      </w:r>
    </w:p>
    <w:p>
      <w:pPr>
        <w:spacing w:after="0"/>
        <w:sectPr>
          <w:pgSz w:w="11910" w:h="16840"/>
          <w:pgMar w:header="877" w:footer="995" w:top="1420" w:bottom="1180" w:left="1640" w:right="920"/>
        </w:sectPr>
      </w:pPr>
    </w:p>
    <w:p>
      <w:pPr>
        <w:pStyle w:val="BodyText"/>
        <w:spacing w:line="417" w:lineRule="auto" w:before="110"/>
        <w:ind w:left="160" w:right="871" w:firstLine="419"/>
      </w:pPr>
      <w:r>
        <w:rPr>
          <w:spacing w:val="-10"/>
        </w:rPr>
        <w:t>基金管理人、基金托管人应当建立健全信息披露管理制度，指定专门部门及高级管理人</w:t>
      </w:r>
      <w:r>
        <w:rPr>
          <w:spacing w:val="-5"/>
        </w:rPr>
        <w:t>员负责管理信息披露事务。</w:t>
      </w:r>
    </w:p>
    <w:p>
      <w:pPr>
        <w:pStyle w:val="BodyText"/>
        <w:spacing w:line="417" w:lineRule="auto"/>
        <w:ind w:left="160" w:right="871" w:firstLine="419"/>
      </w:pPr>
      <w:r>
        <w:rPr>
          <w:spacing w:val="-9"/>
        </w:rPr>
        <w:t>基金信息披露义务人公开披露基金信息，应当符合中国证监会相关基金信息披露内容与</w:t>
      </w:r>
      <w:r>
        <w:rPr>
          <w:spacing w:val="-5"/>
        </w:rPr>
        <w:t>格式准则等法规的规定。</w:t>
      </w:r>
    </w:p>
    <w:p>
      <w:pPr>
        <w:pStyle w:val="BodyText"/>
        <w:spacing w:line="417" w:lineRule="auto"/>
        <w:ind w:left="160" w:right="871" w:firstLine="419"/>
        <w:jc w:val="both"/>
      </w:pPr>
      <w:r>
        <w:rPr>
          <w:spacing w:val="-8"/>
        </w:rPr>
        <w:t>基金托管人应当按照相关法律法规、中国证监会的规定和《基金合同》的约定，对基金</w:t>
      </w:r>
      <w:r>
        <w:rPr>
          <w:spacing w:val="-10"/>
        </w:rPr>
        <w:t>管理人编制的基金资产净值、基金份额净值、基金份额申购赎回价格、基金定期报告、更新</w:t>
      </w:r>
      <w:r>
        <w:rPr>
          <w:spacing w:val="-12"/>
        </w:rPr>
        <w:t>的招募说明书、基金产品资料概要、基金清算报告等公开披露的相关基金信息进行复核、审</w:t>
      </w:r>
      <w:r>
        <w:rPr>
          <w:spacing w:val="-6"/>
        </w:rPr>
        <w:t>查，并向基金管理人进行书面或电子确认。</w:t>
      </w:r>
    </w:p>
    <w:p>
      <w:pPr>
        <w:pStyle w:val="BodyText"/>
        <w:spacing w:line="417" w:lineRule="auto"/>
        <w:ind w:left="160" w:right="871" w:firstLine="419"/>
      </w:pPr>
      <w:r>
        <w:rPr>
          <w:spacing w:val="-10"/>
        </w:rPr>
        <w:t>基金管理人、基金托管人应当在指定报刊中选择披露信息的报刊，本基金只需选择一家报刊。</w:t>
      </w:r>
    </w:p>
    <w:p>
      <w:pPr>
        <w:pStyle w:val="BodyText"/>
        <w:spacing w:line="417" w:lineRule="auto"/>
        <w:ind w:left="160" w:right="765" w:firstLine="419"/>
      </w:pPr>
      <w:r>
        <w:rPr>
          <w:spacing w:val="-17"/>
        </w:rPr>
        <w:t>为强化投资者保护，提升信息披露服务质量，基金管理人应当自中国证监会规定之日起， </w:t>
      </w:r>
      <w:r>
        <w:rPr>
          <w:spacing w:val="-13"/>
        </w:rPr>
        <w:t>按照《信息披露办法》等相关法律法规的规定和中国证监会规定向投资者及时提供对其投资</w:t>
      </w:r>
      <w:r>
        <w:rPr>
          <w:spacing w:val="-6"/>
        </w:rPr>
        <w:t>决策有重大影响的信息。</w:t>
      </w:r>
    </w:p>
    <w:p>
      <w:pPr>
        <w:pStyle w:val="BodyText"/>
        <w:spacing w:line="417" w:lineRule="auto"/>
        <w:ind w:left="160" w:right="871" w:firstLine="419"/>
      </w:pPr>
      <w:r>
        <w:rPr>
          <w:spacing w:val="-7"/>
        </w:rPr>
        <w:t>为基金信息披露义务人公开披露的基金信息出具审计报告、法律意见书的专业机构，应当制作工作底稿，并将相关档案至少保存到《基金合同》终止后 </w:t>
      </w:r>
      <w:r>
        <w:rPr>
          <w:rFonts w:ascii="Calibri" w:eastAsia="Calibri"/>
        </w:rPr>
        <w:t>10 </w:t>
      </w:r>
      <w:r>
        <w:rPr/>
        <w:t>年。</w:t>
      </w:r>
    </w:p>
    <w:p>
      <w:pPr>
        <w:pStyle w:val="BodyText"/>
        <w:ind w:left="580"/>
      </w:pPr>
      <w:r>
        <w:rPr/>
        <w:t>（七）信息披露文件的存放与查阅</w:t>
      </w:r>
    </w:p>
    <w:p>
      <w:pPr>
        <w:pStyle w:val="BodyText"/>
        <w:spacing w:before="5"/>
        <w:rPr>
          <w:sz w:val="15"/>
        </w:rPr>
      </w:pPr>
    </w:p>
    <w:p>
      <w:pPr>
        <w:pStyle w:val="BodyText"/>
        <w:spacing w:line="417" w:lineRule="auto"/>
        <w:ind w:left="160" w:right="871" w:firstLine="419"/>
      </w:pPr>
      <w:r>
        <w:rPr>
          <w:spacing w:val="-10"/>
        </w:rPr>
        <w:t>依法必须披露的信息发布后，基金管理人、基金托管人应当按照相关法律法规规定将信</w:t>
      </w:r>
      <w:r>
        <w:rPr>
          <w:spacing w:val="-5"/>
        </w:rPr>
        <w:t>息置备于公司住所，供社会公众查阅、复制。</w:t>
      </w:r>
    </w:p>
    <w:p>
      <w:pPr>
        <w:pStyle w:val="BodyText"/>
        <w:spacing w:line="269" w:lineRule="exact"/>
        <w:ind w:left="580"/>
      </w:pPr>
      <w:r>
        <w:rPr/>
        <w:t>（八）法律法规或监管部门对信息披露另有规定的，从其规定。</w:t>
      </w:r>
    </w:p>
    <w:p>
      <w:pPr>
        <w:spacing w:after="0" w:line="269" w:lineRule="exact"/>
        <w:sectPr>
          <w:pgSz w:w="11910" w:h="16840"/>
          <w:pgMar w:header="877" w:footer="995" w:top="1420" w:bottom="1180" w:left="1640" w:right="920"/>
        </w:sectPr>
      </w:pPr>
    </w:p>
    <w:p>
      <w:pPr>
        <w:pStyle w:val="BodyText"/>
        <w:spacing w:before="7"/>
        <w:rPr>
          <w:sz w:val="29"/>
        </w:rPr>
      </w:pPr>
    </w:p>
    <w:p>
      <w:pPr>
        <w:pStyle w:val="Heading1"/>
      </w:pPr>
      <w:bookmarkStart w:name="_bookmark16" w:id="17"/>
      <w:bookmarkEnd w:id="17"/>
      <w:r>
        <w:rPr>
          <w:b w:val="0"/>
        </w:rPr>
      </w:r>
      <w:r>
        <w:rPr/>
        <w:t>十七、风险揭示</w:t>
      </w:r>
    </w:p>
    <w:p>
      <w:pPr>
        <w:pStyle w:val="BodyText"/>
        <w:rPr>
          <w:b/>
          <w:sz w:val="20"/>
        </w:rPr>
      </w:pPr>
    </w:p>
    <w:p>
      <w:pPr>
        <w:pStyle w:val="BodyText"/>
        <w:spacing w:before="8"/>
        <w:rPr>
          <w:b/>
          <w:sz w:val="15"/>
        </w:rPr>
      </w:pPr>
    </w:p>
    <w:p>
      <w:pPr>
        <w:pStyle w:val="BodyText"/>
        <w:spacing w:before="71"/>
        <w:ind w:left="580"/>
      </w:pPr>
      <w:r>
        <w:rPr/>
        <w:t>（一）投资于本基金的主要风险</w:t>
      </w:r>
    </w:p>
    <w:p>
      <w:pPr>
        <w:pStyle w:val="BodyText"/>
        <w:spacing w:before="7"/>
        <w:rPr>
          <w:sz w:val="15"/>
        </w:rPr>
      </w:pPr>
    </w:p>
    <w:p>
      <w:pPr>
        <w:pStyle w:val="BodyText"/>
        <w:ind w:left="580"/>
      </w:pPr>
      <w:r>
        <w:rPr>
          <w:rFonts w:ascii="Calibri" w:eastAsia="Calibri"/>
        </w:rPr>
        <w:t>1</w:t>
      </w:r>
      <w:r>
        <w:rPr/>
        <w:t>、本基金的特有风险</w:t>
      </w:r>
    </w:p>
    <w:p>
      <w:pPr>
        <w:pStyle w:val="BodyText"/>
        <w:spacing w:before="7"/>
        <w:rPr>
          <w:sz w:val="15"/>
        </w:rPr>
      </w:pPr>
    </w:p>
    <w:p>
      <w:pPr>
        <w:pStyle w:val="ListParagraph"/>
        <w:numPr>
          <w:ilvl w:val="0"/>
          <w:numId w:val="31"/>
        </w:numPr>
        <w:tabs>
          <w:tab w:pos="1110" w:val="left" w:leader="none"/>
        </w:tabs>
        <w:spacing w:line="240" w:lineRule="auto" w:before="0" w:after="0"/>
        <w:ind w:left="1109" w:right="0" w:hanging="530"/>
        <w:jc w:val="left"/>
        <w:rPr>
          <w:sz w:val="21"/>
        </w:rPr>
      </w:pPr>
      <w:r>
        <w:rPr>
          <w:spacing w:val="-3"/>
          <w:sz w:val="21"/>
        </w:rPr>
        <w:t>联接基金风险</w:t>
      </w:r>
    </w:p>
    <w:p>
      <w:pPr>
        <w:pStyle w:val="BodyText"/>
        <w:spacing w:before="6"/>
        <w:rPr>
          <w:sz w:val="15"/>
        </w:rPr>
      </w:pPr>
    </w:p>
    <w:p>
      <w:pPr>
        <w:pStyle w:val="BodyText"/>
        <w:spacing w:line="417" w:lineRule="auto"/>
        <w:ind w:left="160" w:right="871" w:firstLine="419"/>
        <w:jc w:val="both"/>
      </w:pPr>
      <w:r>
        <w:rPr>
          <w:spacing w:val="-10"/>
        </w:rPr>
        <w:t>本基金为 </w:t>
      </w:r>
      <w:r>
        <w:rPr>
          <w:rFonts w:ascii="Calibri" w:eastAsia="Calibri"/>
        </w:rPr>
        <w:t>ETF </w:t>
      </w:r>
      <w:r>
        <w:rPr>
          <w:spacing w:val="-8"/>
        </w:rPr>
        <w:t>联接基金，基金资产主要投资于目标 </w:t>
      </w:r>
      <w:r>
        <w:rPr>
          <w:rFonts w:ascii="Calibri" w:eastAsia="Calibri"/>
          <w:spacing w:val="-3"/>
        </w:rPr>
        <w:t>ETF</w:t>
      </w:r>
      <w:r>
        <w:rPr>
          <w:spacing w:val="-3"/>
        </w:rPr>
        <w:t>，在多数情况下将维持较高的目</w:t>
      </w:r>
      <w:r>
        <w:rPr>
          <w:spacing w:val="-26"/>
        </w:rPr>
        <w:t>标 </w:t>
      </w:r>
      <w:r>
        <w:rPr>
          <w:rFonts w:ascii="Calibri" w:eastAsia="Calibri"/>
        </w:rPr>
        <w:t>ETF </w:t>
      </w:r>
      <w:r>
        <w:rPr>
          <w:spacing w:val="-6"/>
        </w:rPr>
        <w:t>投资比例，基金净值可能会随目标 </w:t>
      </w:r>
      <w:r>
        <w:rPr>
          <w:rFonts w:ascii="Calibri" w:eastAsia="Calibri"/>
        </w:rPr>
        <w:t>ETF </w:t>
      </w:r>
      <w:r>
        <w:rPr>
          <w:spacing w:val="-7"/>
        </w:rPr>
        <w:t>的净值波动而波动，目标 </w:t>
      </w:r>
      <w:r>
        <w:rPr>
          <w:rFonts w:ascii="Calibri" w:eastAsia="Calibri"/>
        </w:rPr>
        <w:t>ETF </w:t>
      </w:r>
      <w:r>
        <w:rPr>
          <w:spacing w:val="-2"/>
        </w:rPr>
        <w:t>的相关风险可</w:t>
      </w:r>
      <w:r>
        <w:rPr>
          <w:spacing w:val="-3"/>
        </w:rPr>
        <w:t>能直接或间接成为本基金的风险。</w:t>
      </w:r>
    </w:p>
    <w:p>
      <w:pPr>
        <w:pStyle w:val="ListParagraph"/>
        <w:numPr>
          <w:ilvl w:val="0"/>
          <w:numId w:val="31"/>
        </w:numPr>
        <w:tabs>
          <w:tab w:pos="1110" w:val="left" w:leader="none"/>
        </w:tabs>
        <w:spacing w:line="240" w:lineRule="auto" w:before="1" w:after="0"/>
        <w:ind w:left="1109" w:right="0" w:hanging="530"/>
        <w:jc w:val="left"/>
        <w:rPr>
          <w:sz w:val="21"/>
        </w:rPr>
      </w:pPr>
      <w:r>
        <w:rPr>
          <w:spacing w:val="-3"/>
          <w:sz w:val="21"/>
        </w:rPr>
        <w:t>跟踪偏离风险</w:t>
      </w:r>
    </w:p>
    <w:p>
      <w:pPr>
        <w:pStyle w:val="BodyText"/>
        <w:spacing w:before="6"/>
        <w:rPr>
          <w:sz w:val="15"/>
        </w:rPr>
      </w:pPr>
    </w:p>
    <w:p>
      <w:pPr>
        <w:pStyle w:val="BodyText"/>
        <w:spacing w:line="417" w:lineRule="auto"/>
        <w:ind w:left="160" w:right="770" w:firstLine="419"/>
      </w:pPr>
      <w:r>
        <w:rPr>
          <w:spacing w:val="-6"/>
        </w:rPr>
        <w:t>本基金主要投资于目标 </w:t>
      </w:r>
      <w:r>
        <w:rPr>
          <w:rFonts w:ascii="Calibri" w:eastAsia="Calibri"/>
        </w:rPr>
        <w:t>ETF </w:t>
      </w:r>
      <w:r>
        <w:rPr>
          <w:spacing w:val="-17"/>
        </w:rPr>
        <w:t>基金份额，追求跟踪标的指数，获得与指数收益相似的回报。</w:t>
      </w:r>
      <w:r>
        <w:rPr>
          <w:spacing w:val="-7"/>
        </w:rPr>
        <w:t>以下因素可能会影响到基金的投资组合与跟踪基准之间产生偏离：</w:t>
      </w:r>
    </w:p>
    <w:p>
      <w:pPr>
        <w:pStyle w:val="BodyText"/>
        <w:spacing w:line="269" w:lineRule="exact"/>
        <w:ind w:left="580"/>
      </w:pPr>
      <w:r>
        <w:rPr/>
        <w:t>①目标 </w:t>
      </w:r>
      <w:r>
        <w:rPr>
          <w:rFonts w:ascii="Calibri" w:hAnsi="Calibri" w:eastAsia="Calibri"/>
        </w:rPr>
        <w:t>ETF </w:t>
      </w:r>
      <w:r>
        <w:rPr/>
        <w:t>与标的指数的偏离。</w:t>
      </w:r>
    </w:p>
    <w:p>
      <w:pPr>
        <w:pStyle w:val="BodyText"/>
        <w:spacing w:before="7"/>
        <w:rPr>
          <w:sz w:val="15"/>
        </w:rPr>
      </w:pPr>
    </w:p>
    <w:p>
      <w:pPr>
        <w:pStyle w:val="BodyText"/>
        <w:ind w:left="580"/>
      </w:pPr>
      <w:r>
        <w:rPr/>
        <w:t>②基金买卖目标 </w:t>
      </w:r>
      <w:r>
        <w:rPr>
          <w:rFonts w:ascii="Calibri" w:hAnsi="Calibri" w:eastAsia="Calibri"/>
        </w:rPr>
        <w:t>ETF </w:t>
      </w:r>
      <w:r>
        <w:rPr/>
        <w:t>时所产生的价格差异、交易成本和交易冲击。</w:t>
      </w:r>
    </w:p>
    <w:p>
      <w:pPr>
        <w:pStyle w:val="BodyText"/>
        <w:spacing w:before="7"/>
        <w:rPr>
          <w:sz w:val="15"/>
        </w:rPr>
      </w:pPr>
    </w:p>
    <w:p>
      <w:pPr>
        <w:pStyle w:val="BodyText"/>
        <w:ind w:left="580"/>
      </w:pPr>
      <w:r>
        <w:rPr/>
        <w:t>③基金调整资产配置结构时所产生的跟踪误差。</w:t>
      </w:r>
    </w:p>
    <w:p>
      <w:pPr>
        <w:pStyle w:val="BodyText"/>
        <w:spacing w:before="7"/>
        <w:rPr>
          <w:sz w:val="15"/>
        </w:rPr>
      </w:pPr>
    </w:p>
    <w:p>
      <w:pPr>
        <w:pStyle w:val="BodyText"/>
        <w:ind w:left="580"/>
      </w:pPr>
      <w:r>
        <w:rPr/>
        <w:t>④基金申购、赎回因素所产生的跟踪误差。</w:t>
      </w:r>
    </w:p>
    <w:p>
      <w:pPr>
        <w:pStyle w:val="BodyText"/>
        <w:spacing w:before="7"/>
        <w:rPr>
          <w:sz w:val="15"/>
        </w:rPr>
      </w:pPr>
    </w:p>
    <w:p>
      <w:pPr>
        <w:pStyle w:val="BodyText"/>
        <w:ind w:left="580"/>
      </w:pPr>
      <w:r>
        <w:rPr/>
        <w:t>⑤基金现金资产拖累所产生的跟踪误差。</w:t>
      </w:r>
    </w:p>
    <w:p>
      <w:pPr>
        <w:pStyle w:val="BodyText"/>
        <w:spacing w:before="6"/>
        <w:rPr>
          <w:sz w:val="15"/>
        </w:rPr>
      </w:pPr>
    </w:p>
    <w:p>
      <w:pPr>
        <w:pStyle w:val="BodyText"/>
        <w:ind w:left="580"/>
      </w:pPr>
      <w:r>
        <w:rPr/>
        <w:t>⑥基金的管理费和托管费所产生的跟踪误差。</w:t>
      </w:r>
    </w:p>
    <w:p>
      <w:pPr>
        <w:pStyle w:val="BodyText"/>
        <w:spacing w:before="7"/>
        <w:rPr>
          <w:sz w:val="15"/>
        </w:rPr>
      </w:pPr>
    </w:p>
    <w:p>
      <w:pPr>
        <w:pStyle w:val="BodyText"/>
        <w:ind w:left="580"/>
      </w:pPr>
      <w:r>
        <w:rPr/>
        <w:t>⑦其他因素所产生的偏差。</w:t>
      </w:r>
    </w:p>
    <w:p>
      <w:pPr>
        <w:pStyle w:val="BodyText"/>
        <w:spacing w:before="7"/>
        <w:rPr>
          <w:sz w:val="15"/>
        </w:rPr>
      </w:pPr>
    </w:p>
    <w:p>
      <w:pPr>
        <w:pStyle w:val="ListParagraph"/>
        <w:numPr>
          <w:ilvl w:val="0"/>
          <w:numId w:val="31"/>
        </w:numPr>
        <w:tabs>
          <w:tab w:pos="1110" w:val="left" w:leader="none"/>
        </w:tabs>
        <w:spacing w:line="240" w:lineRule="auto" w:before="0" w:after="0"/>
        <w:ind w:left="1109" w:right="0" w:hanging="530"/>
        <w:jc w:val="left"/>
        <w:rPr>
          <w:sz w:val="21"/>
        </w:rPr>
      </w:pPr>
      <w:r>
        <w:rPr>
          <w:spacing w:val="-16"/>
          <w:sz w:val="21"/>
        </w:rPr>
        <w:t>与目标 </w:t>
      </w:r>
      <w:r>
        <w:rPr>
          <w:rFonts w:ascii="Calibri" w:eastAsia="Calibri"/>
          <w:sz w:val="21"/>
        </w:rPr>
        <w:t>ETF</w:t>
      </w:r>
      <w:r>
        <w:rPr>
          <w:rFonts w:ascii="Calibri" w:eastAsia="Calibri"/>
          <w:spacing w:val="10"/>
          <w:sz w:val="21"/>
        </w:rPr>
        <w:t> </w:t>
      </w:r>
      <w:r>
        <w:rPr>
          <w:spacing w:val="-3"/>
          <w:sz w:val="21"/>
        </w:rPr>
        <w:t>业绩差异的风险</w:t>
      </w:r>
    </w:p>
    <w:p>
      <w:pPr>
        <w:pStyle w:val="BodyText"/>
        <w:spacing w:before="7"/>
        <w:rPr>
          <w:sz w:val="15"/>
        </w:rPr>
      </w:pPr>
    </w:p>
    <w:p>
      <w:pPr>
        <w:pStyle w:val="BodyText"/>
        <w:spacing w:line="417" w:lineRule="auto"/>
        <w:ind w:left="160" w:right="873" w:firstLine="419"/>
      </w:pPr>
      <w:r>
        <w:rPr/>
        <w:t>本基金为目标 </w:t>
      </w:r>
      <w:r>
        <w:rPr>
          <w:rFonts w:ascii="Calibri" w:eastAsia="Calibri"/>
        </w:rPr>
        <w:t>ETF </w:t>
      </w:r>
      <w:r>
        <w:rPr/>
        <w:t>的联接基金，但由于投资方法、交易方式等方面与目标 </w:t>
      </w:r>
      <w:r>
        <w:rPr>
          <w:rFonts w:ascii="Calibri" w:eastAsia="Calibri"/>
        </w:rPr>
        <w:t>ETF </w:t>
      </w:r>
      <w:r>
        <w:rPr/>
        <w:t>不同， 本基金的业绩表现与目标 </w:t>
      </w:r>
      <w:r>
        <w:rPr>
          <w:rFonts w:ascii="Calibri" w:eastAsia="Calibri"/>
        </w:rPr>
        <w:t>ETF </w:t>
      </w:r>
      <w:r>
        <w:rPr/>
        <w:t>的业绩表现可能出现差异。</w:t>
      </w:r>
    </w:p>
    <w:p>
      <w:pPr>
        <w:pStyle w:val="BodyText"/>
        <w:ind w:left="580"/>
      </w:pPr>
      <w:r>
        <w:rPr>
          <w:rFonts w:ascii="Calibri" w:eastAsia="Calibri"/>
        </w:rPr>
        <w:t>2</w:t>
      </w:r>
      <w:r>
        <w:rPr/>
        <w:t>、市场风险</w:t>
      </w:r>
    </w:p>
    <w:p>
      <w:pPr>
        <w:pStyle w:val="BodyText"/>
        <w:spacing w:before="7"/>
        <w:rPr>
          <w:sz w:val="15"/>
        </w:rPr>
      </w:pPr>
    </w:p>
    <w:p>
      <w:pPr>
        <w:pStyle w:val="BodyText"/>
        <w:spacing w:line="417" w:lineRule="auto"/>
        <w:ind w:left="160" w:right="871" w:firstLine="419"/>
      </w:pPr>
      <w:r>
        <w:rPr>
          <w:spacing w:val="-8"/>
        </w:rPr>
        <w:t>证券市场价格因受各种因素的影响而引起的波动，将使本基金资产面临潜在的风险。市</w:t>
      </w:r>
      <w:r>
        <w:rPr>
          <w:spacing w:val="-5"/>
        </w:rPr>
        <w:t>场风险可以分为债券投资风险和股票投资风险。</w:t>
      </w:r>
    </w:p>
    <w:p>
      <w:pPr>
        <w:pStyle w:val="ListParagraph"/>
        <w:numPr>
          <w:ilvl w:val="0"/>
          <w:numId w:val="32"/>
        </w:numPr>
        <w:tabs>
          <w:tab w:pos="1110" w:val="left" w:leader="none"/>
        </w:tabs>
        <w:spacing w:line="269" w:lineRule="exact" w:before="0" w:after="0"/>
        <w:ind w:left="1109" w:right="0" w:hanging="530"/>
        <w:jc w:val="left"/>
        <w:rPr>
          <w:sz w:val="21"/>
        </w:rPr>
      </w:pPr>
      <w:r>
        <w:rPr>
          <w:spacing w:val="-3"/>
          <w:sz w:val="21"/>
        </w:rPr>
        <w:t>股票投资风险主要包括：</w:t>
      </w:r>
    </w:p>
    <w:p>
      <w:pPr>
        <w:pStyle w:val="BodyText"/>
        <w:spacing w:before="6"/>
        <w:rPr>
          <w:sz w:val="15"/>
        </w:rPr>
      </w:pPr>
    </w:p>
    <w:p>
      <w:pPr>
        <w:pStyle w:val="BodyText"/>
        <w:spacing w:line="417" w:lineRule="auto"/>
        <w:ind w:left="160" w:right="871" w:firstLine="419"/>
      </w:pPr>
      <w:r>
        <w:rPr>
          <w:spacing w:val="-11"/>
        </w:rPr>
        <w:t>①国家货币政策、财政政策、产业政策等的变化对证券市场产生一定的影响，导致市场</w:t>
      </w:r>
      <w:r>
        <w:rPr>
          <w:spacing w:val="-6"/>
        </w:rPr>
        <w:t>价格水平波动的风险。</w:t>
      </w:r>
    </w:p>
    <w:p>
      <w:pPr>
        <w:pStyle w:val="BodyText"/>
        <w:spacing w:line="269" w:lineRule="exact"/>
        <w:ind w:left="580"/>
      </w:pPr>
      <w:r>
        <w:rPr/>
        <w:t>②宏观经济运行周期性波动，对股票市场的收益水平产生影响的风险。</w:t>
      </w:r>
    </w:p>
    <w:p>
      <w:pPr>
        <w:pStyle w:val="BodyText"/>
        <w:spacing w:before="7"/>
        <w:rPr>
          <w:sz w:val="15"/>
        </w:rPr>
      </w:pPr>
    </w:p>
    <w:p>
      <w:pPr>
        <w:pStyle w:val="BodyText"/>
        <w:spacing w:before="1"/>
        <w:ind w:left="580"/>
      </w:pPr>
      <w:r>
        <w:rPr/>
        <w:t>③上市公司的经营状况受多种因素影响，如市场、技术、竞争、管理、财务等都会导致</w:t>
      </w:r>
    </w:p>
    <w:p>
      <w:pPr>
        <w:spacing w:after="0"/>
        <w:sectPr>
          <w:footerReference w:type="default" r:id="rId146"/>
          <w:pgSz w:w="11910" w:h="16840"/>
          <w:pgMar w:footer="995" w:header="877" w:top="1420" w:bottom="1180" w:left="1640" w:right="920"/>
          <w:pgNumType w:start="120"/>
        </w:sectPr>
      </w:pPr>
    </w:p>
    <w:p>
      <w:pPr>
        <w:pStyle w:val="BodyText"/>
        <w:spacing w:before="110"/>
        <w:ind w:left="160"/>
      </w:pPr>
      <w:r>
        <w:rPr/>
        <w:t>公司盈利发生变化，从而导致股票价格变动的风险。</w:t>
      </w:r>
    </w:p>
    <w:p>
      <w:pPr>
        <w:pStyle w:val="BodyText"/>
        <w:spacing w:before="6"/>
        <w:rPr>
          <w:sz w:val="15"/>
        </w:rPr>
      </w:pPr>
    </w:p>
    <w:p>
      <w:pPr>
        <w:pStyle w:val="ListParagraph"/>
        <w:numPr>
          <w:ilvl w:val="0"/>
          <w:numId w:val="32"/>
        </w:numPr>
        <w:tabs>
          <w:tab w:pos="1110" w:val="left" w:leader="none"/>
        </w:tabs>
        <w:spacing w:line="240" w:lineRule="auto" w:before="0" w:after="0"/>
        <w:ind w:left="1109" w:right="0" w:hanging="530"/>
        <w:jc w:val="left"/>
        <w:rPr>
          <w:sz w:val="21"/>
        </w:rPr>
      </w:pPr>
      <w:r>
        <w:rPr>
          <w:spacing w:val="-3"/>
          <w:sz w:val="21"/>
        </w:rPr>
        <w:t>债券投资风险主要包括：</w:t>
      </w:r>
    </w:p>
    <w:p>
      <w:pPr>
        <w:pStyle w:val="BodyText"/>
        <w:spacing w:before="7"/>
        <w:rPr>
          <w:sz w:val="15"/>
        </w:rPr>
      </w:pPr>
    </w:p>
    <w:p>
      <w:pPr>
        <w:pStyle w:val="BodyText"/>
        <w:ind w:left="580"/>
      </w:pPr>
      <w:r>
        <w:rPr/>
        <w:t>①信用风险</w:t>
      </w:r>
    </w:p>
    <w:p>
      <w:pPr>
        <w:pStyle w:val="BodyText"/>
        <w:spacing w:before="7"/>
        <w:rPr>
          <w:sz w:val="15"/>
        </w:rPr>
      </w:pPr>
    </w:p>
    <w:p>
      <w:pPr>
        <w:pStyle w:val="BodyText"/>
        <w:spacing w:line="417" w:lineRule="auto"/>
        <w:ind w:left="160" w:right="871" w:firstLine="419"/>
        <w:jc w:val="both"/>
      </w:pPr>
      <w:r>
        <w:rPr>
          <w:spacing w:val="-8"/>
        </w:rPr>
        <w:t>基金在交易过程中发生交收违约，或者基金所投资债券之发行人出现违约、拒绝支付到</w:t>
      </w:r>
      <w:r>
        <w:rPr>
          <w:spacing w:val="-12"/>
        </w:rPr>
        <w:t>期本息，或由于债券发行人信用质量降低导致债券价格下降，或者债券回购交易到期时交易</w:t>
      </w:r>
      <w:r>
        <w:rPr>
          <w:spacing w:val="-6"/>
        </w:rPr>
        <w:t>对手方不能履行付款或结算义务等，造成基金资产损失的风险。</w:t>
      </w:r>
    </w:p>
    <w:p>
      <w:pPr>
        <w:pStyle w:val="BodyText"/>
        <w:spacing w:line="269" w:lineRule="exact"/>
        <w:ind w:left="580"/>
      </w:pPr>
      <w:r>
        <w:rPr>
          <w:spacing w:val="-1"/>
        </w:rPr>
        <w:t>②利率风险</w:t>
      </w:r>
    </w:p>
    <w:p>
      <w:pPr>
        <w:pStyle w:val="BodyText"/>
        <w:spacing w:before="7"/>
        <w:rPr>
          <w:sz w:val="15"/>
        </w:rPr>
      </w:pPr>
    </w:p>
    <w:p>
      <w:pPr>
        <w:pStyle w:val="BodyText"/>
        <w:spacing w:line="417" w:lineRule="auto"/>
        <w:ind w:left="160" w:right="871" w:firstLine="419"/>
        <w:jc w:val="both"/>
      </w:pPr>
      <w:r>
        <w:rPr>
          <w:spacing w:val="-7"/>
        </w:rPr>
        <w:t>市场利率波动会导致债券市场的收益率和价格的变动，如果市场利率上升，本基金持有</w:t>
      </w:r>
      <w:r>
        <w:rPr>
          <w:spacing w:val="-11"/>
        </w:rPr>
        <w:t>债券将面临价格下降、本金损失的风险，而如果市场利率下降，债券利息的再投资收益将面</w:t>
      </w:r>
      <w:r>
        <w:rPr>
          <w:spacing w:val="-6"/>
        </w:rPr>
        <w:t>临下降的风险。</w:t>
      </w:r>
    </w:p>
    <w:p>
      <w:pPr>
        <w:pStyle w:val="BodyText"/>
        <w:spacing w:line="269" w:lineRule="exact"/>
        <w:ind w:left="580"/>
      </w:pPr>
      <w:r>
        <w:rPr/>
        <w:t>③收益率曲线风险</w:t>
      </w:r>
    </w:p>
    <w:p>
      <w:pPr>
        <w:pStyle w:val="BodyText"/>
        <w:spacing w:before="7"/>
        <w:rPr>
          <w:sz w:val="15"/>
        </w:rPr>
      </w:pPr>
    </w:p>
    <w:p>
      <w:pPr>
        <w:pStyle w:val="BodyText"/>
        <w:spacing w:line="417" w:lineRule="auto"/>
        <w:ind w:left="160" w:right="871" w:firstLine="419"/>
      </w:pPr>
      <w:r>
        <w:rPr>
          <w:spacing w:val="-10"/>
        </w:rPr>
        <w:t>如果基金对长、中、短期债券的持有结构与基准存在差异，长、中、短期债券的相对价</w:t>
      </w:r>
      <w:r>
        <w:rPr>
          <w:spacing w:val="-5"/>
        </w:rPr>
        <w:t>格发生变化时，基金资产的收益可能低于基准。</w:t>
      </w:r>
    </w:p>
    <w:p>
      <w:pPr>
        <w:pStyle w:val="BodyText"/>
        <w:spacing w:line="269" w:lineRule="exact"/>
        <w:ind w:left="580"/>
      </w:pPr>
      <w:r>
        <w:rPr/>
        <w:t>④利差风险</w:t>
      </w:r>
    </w:p>
    <w:p>
      <w:pPr>
        <w:pStyle w:val="BodyText"/>
        <w:spacing w:before="7"/>
        <w:rPr>
          <w:sz w:val="15"/>
        </w:rPr>
      </w:pPr>
    </w:p>
    <w:p>
      <w:pPr>
        <w:pStyle w:val="BodyText"/>
        <w:spacing w:line="417" w:lineRule="auto"/>
        <w:ind w:left="160" w:right="871" w:firstLine="419"/>
      </w:pPr>
      <w:r>
        <w:rPr>
          <w:spacing w:val="-12"/>
        </w:rPr>
        <w:t>债券市场不同期限、不同类属债券之间的利差变动导致相应期限和类属债券价格变化的风险。</w:t>
      </w:r>
    </w:p>
    <w:p>
      <w:pPr>
        <w:pStyle w:val="BodyText"/>
        <w:spacing w:line="269" w:lineRule="exact"/>
        <w:ind w:left="580"/>
      </w:pPr>
      <w:r>
        <w:rPr/>
        <w:t>⑤市场供需风险</w:t>
      </w:r>
    </w:p>
    <w:p>
      <w:pPr>
        <w:pStyle w:val="BodyText"/>
        <w:spacing w:before="7"/>
        <w:rPr>
          <w:sz w:val="15"/>
        </w:rPr>
      </w:pPr>
    </w:p>
    <w:p>
      <w:pPr>
        <w:pStyle w:val="BodyText"/>
        <w:spacing w:line="417" w:lineRule="auto"/>
        <w:ind w:left="160" w:right="871" w:firstLine="419"/>
        <w:jc w:val="both"/>
      </w:pPr>
      <w:r>
        <w:rPr>
          <w:spacing w:val="-21"/>
        </w:rPr>
        <w:t>如果宏观经济环境、政府财政政策、市场监管政策、市场参与主体经营环境等发生变化， </w:t>
      </w:r>
      <w:r>
        <w:rPr>
          <w:spacing w:val="-11"/>
        </w:rPr>
        <w:t>债券市场参与主体可用资金数量和债券市场可供投资的债券数量可能发生相应的变化，最终</w:t>
      </w:r>
      <w:r>
        <w:rPr>
          <w:spacing w:val="-6"/>
        </w:rPr>
        <w:t>影响债券市场的供需关系，造成基金资产投资收益的变化。</w:t>
      </w:r>
    </w:p>
    <w:p>
      <w:pPr>
        <w:pStyle w:val="BodyText"/>
        <w:spacing w:line="269" w:lineRule="exact"/>
        <w:ind w:left="580"/>
      </w:pPr>
      <w:r>
        <w:rPr/>
        <w:t>⑥购买力风险</w:t>
      </w:r>
    </w:p>
    <w:p>
      <w:pPr>
        <w:pStyle w:val="BodyText"/>
        <w:spacing w:before="7"/>
        <w:rPr>
          <w:sz w:val="15"/>
        </w:rPr>
      </w:pPr>
    </w:p>
    <w:p>
      <w:pPr>
        <w:pStyle w:val="BodyText"/>
        <w:spacing w:line="417" w:lineRule="auto"/>
        <w:ind w:left="160" w:right="871" w:firstLine="419"/>
      </w:pPr>
      <w:r>
        <w:rPr>
          <w:spacing w:val="-8"/>
        </w:rPr>
        <w:t>基金投资所取得的收益率有可能低于通货膨胀率，从而导致投资者持有本基金资产实际</w:t>
      </w:r>
      <w:r>
        <w:rPr>
          <w:spacing w:val="-5"/>
        </w:rPr>
        <w:t>购买力下降。</w:t>
      </w:r>
    </w:p>
    <w:p>
      <w:pPr>
        <w:pStyle w:val="BodyText"/>
        <w:spacing w:line="269" w:lineRule="exact"/>
        <w:ind w:left="580"/>
      </w:pPr>
      <w:r>
        <w:rPr>
          <w:rFonts w:ascii="Calibri" w:eastAsia="Calibri"/>
        </w:rPr>
        <w:t>3</w:t>
      </w:r>
      <w:r>
        <w:rPr/>
        <w:t>、流动性风险</w:t>
      </w:r>
    </w:p>
    <w:p>
      <w:pPr>
        <w:pStyle w:val="BodyText"/>
        <w:spacing w:before="7"/>
        <w:rPr>
          <w:sz w:val="15"/>
        </w:rPr>
      </w:pPr>
    </w:p>
    <w:p>
      <w:pPr>
        <w:pStyle w:val="ListParagraph"/>
        <w:numPr>
          <w:ilvl w:val="0"/>
          <w:numId w:val="33"/>
        </w:numPr>
        <w:tabs>
          <w:tab w:pos="1110" w:val="left" w:leader="none"/>
        </w:tabs>
        <w:spacing w:line="240" w:lineRule="auto" w:before="0" w:after="0"/>
        <w:ind w:left="1109" w:right="0" w:hanging="530"/>
        <w:jc w:val="left"/>
        <w:rPr>
          <w:sz w:val="21"/>
        </w:rPr>
      </w:pPr>
      <w:r>
        <w:rPr>
          <w:spacing w:val="-3"/>
          <w:sz w:val="21"/>
        </w:rPr>
        <w:t>流动性风险的定义</w:t>
      </w:r>
    </w:p>
    <w:p>
      <w:pPr>
        <w:pStyle w:val="BodyText"/>
        <w:spacing w:before="7"/>
        <w:rPr>
          <w:sz w:val="15"/>
        </w:rPr>
      </w:pPr>
    </w:p>
    <w:p>
      <w:pPr>
        <w:pStyle w:val="BodyText"/>
        <w:spacing w:line="417" w:lineRule="auto"/>
        <w:ind w:left="160" w:right="883" w:firstLine="419"/>
      </w:pPr>
      <w:r>
        <w:rPr/>
        <w:t>流动性风险是指基金管理人未能以合理价格及时变现基金资产以支付投资者赎回款项的风险，包括但不限于：</w:t>
      </w:r>
    </w:p>
    <w:p>
      <w:pPr>
        <w:pStyle w:val="BodyText"/>
        <w:spacing w:line="417" w:lineRule="auto"/>
        <w:ind w:left="160" w:right="871" w:firstLine="419"/>
        <w:jc w:val="both"/>
      </w:pPr>
      <w:r>
        <w:rPr>
          <w:spacing w:val="-11"/>
        </w:rPr>
        <w:t>在目标 </w:t>
      </w:r>
      <w:r>
        <w:rPr>
          <w:rFonts w:ascii="Calibri" w:eastAsia="Calibri"/>
        </w:rPr>
        <w:t>ETF </w:t>
      </w:r>
      <w:r>
        <w:rPr>
          <w:spacing w:val="-9"/>
        </w:rPr>
        <w:t>暂停交易或者暂停申购、赎回或个股流动性不足的情况下，基金管理人可能</w:t>
      </w:r>
      <w:r>
        <w:rPr>
          <w:spacing w:val="-12"/>
        </w:rPr>
        <w:t>无法迅速、低成本地调整基金投资组合，从而对基金收益造成不利影响。由于开放式基金的</w:t>
      </w:r>
      <w:r>
        <w:rPr>
          <w:spacing w:val="-11"/>
        </w:rPr>
        <w:t>特殊要求，本基金必须保持一定的现金比例以应对赎回要求，在管理现金头寸时，有可能存</w:t>
      </w:r>
    </w:p>
    <w:p>
      <w:pPr>
        <w:spacing w:after="0" w:line="417" w:lineRule="auto"/>
        <w:jc w:val="both"/>
        <w:sectPr>
          <w:pgSz w:w="11910" w:h="16840"/>
          <w:pgMar w:header="877" w:footer="995" w:top="1420" w:bottom="1180" w:left="1640" w:right="920"/>
        </w:sectPr>
      </w:pPr>
    </w:p>
    <w:p>
      <w:pPr>
        <w:pStyle w:val="BodyText"/>
        <w:spacing w:before="110"/>
        <w:ind w:left="160"/>
      </w:pPr>
      <w:r>
        <w:rPr/>
        <w:t>在现金不足的风险和现金过多带来的收益下降风险。</w:t>
      </w:r>
    </w:p>
    <w:p>
      <w:pPr>
        <w:pStyle w:val="BodyText"/>
        <w:spacing w:before="6"/>
        <w:rPr>
          <w:sz w:val="15"/>
        </w:rPr>
      </w:pPr>
    </w:p>
    <w:p>
      <w:pPr>
        <w:pStyle w:val="ListParagraph"/>
        <w:numPr>
          <w:ilvl w:val="0"/>
          <w:numId w:val="33"/>
        </w:numPr>
        <w:tabs>
          <w:tab w:pos="1110" w:val="left" w:leader="none"/>
        </w:tabs>
        <w:spacing w:line="240" w:lineRule="auto" w:before="0" w:after="0"/>
        <w:ind w:left="1109" w:right="0" w:hanging="530"/>
        <w:jc w:val="left"/>
        <w:rPr>
          <w:sz w:val="21"/>
        </w:rPr>
      </w:pPr>
      <w:r>
        <w:rPr>
          <w:spacing w:val="-3"/>
          <w:sz w:val="21"/>
        </w:rPr>
        <w:t>基金申购、赎回安排</w:t>
      </w:r>
    </w:p>
    <w:p>
      <w:pPr>
        <w:pStyle w:val="BodyText"/>
        <w:spacing w:before="7"/>
        <w:rPr>
          <w:sz w:val="15"/>
        </w:rPr>
      </w:pPr>
    </w:p>
    <w:p>
      <w:pPr>
        <w:pStyle w:val="BodyText"/>
        <w:spacing w:line="417" w:lineRule="auto"/>
        <w:ind w:left="160" w:right="874" w:firstLine="419"/>
      </w:pPr>
      <w:r>
        <w:rPr>
          <w:spacing w:val="-19"/>
        </w:rPr>
        <w:t>投资人具体请参见基金合同“第六部分、基金份额的申购与赎回”和本招募说明书“八、</w:t>
      </w:r>
      <w:r>
        <w:rPr>
          <w:spacing w:val="-15"/>
          <w:w w:val="100"/>
        </w:rPr>
        <w:t>基金份额的申购、赎回与转换”，详细了解本基金的申购以及赎回安排。</w:t>
      </w:r>
    </w:p>
    <w:p>
      <w:pPr>
        <w:pStyle w:val="BodyText"/>
        <w:spacing w:line="417" w:lineRule="auto"/>
        <w:ind w:left="160" w:right="870" w:firstLine="419"/>
        <w:jc w:val="both"/>
      </w:pPr>
      <w:r>
        <w:rPr>
          <w:spacing w:val="-11"/>
        </w:rPr>
        <w:t>在本基金发生流动性风险时，基金管理人可以综合利用备用的流动性风险管理工具以减</w:t>
      </w:r>
      <w:r>
        <w:rPr>
          <w:spacing w:val="-12"/>
        </w:rPr>
        <w:t>少或应对基金的流动性风险，投资者可能面临赎回申请被暂停接受或延期办理、赎回款项被延缓支付、被收取短期赎回费、基金估值暂停、基金采用摆动定价等风险。投资者应该了解</w:t>
      </w:r>
      <w:r>
        <w:rPr>
          <w:spacing w:val="-6"/>
        </w:rPr>
        <w:t>自身的流动性偏好，并评估是否与本基金的流动性风险匹配。</w:t>
      </w:r>
    </w:p>
    <w:p>
      <w:pPr>
        <w:pStyle w:val="ListParagraph"/>
        <w:numPr>
          <w:ilvl w:val="0"/>
          <w:numId w:val="33"/>
        </w:numPr>
        <w:tabs>
          <w:tab w:pos="1110" w:val="left" w:leader="none"/>
        </w:tabs>
        <w:spacing w:line="240" w:lineRule="auto" w:before="0" w:after="0"/>
        <w:ind w:left="1109" w:right="0" w:hanging="530"/>
        <w:jc w:val="left"/>
        <w:rPr>
          <w:sz w:val="21"/>
        </w:rPr>
      </w:pPr>
      <w:r>
        <w:rPr>
          <w:spacing w:val="-3"/>
          <w:sz w:val="21"/>
        </w:rPr>
        <w:t>拟投资市场、行业及资产的流动性风险评估</w:t>
      </w:r>
    </w:p>
    <w:p>
      <w:pPr>
        <w:pStyle w:val="BodyText"/>
        <w:spacing w:before="6"/>
        <w:rPr>
          <w:sz w:val="15"/>
        </w:rPr>
      </w:pPr>
    </w:p>
    <w:p>
      <w:pPr>
        <w:pStyle w:val="BodyText"/>
        <w:spacing w:line="417" w:lineRule="auto" w:before="1"/>
        <w:ind w:left="160" w:right="767" w:firstLine="419"/>
      </w:pPr>
      <w:r>
        <w:rPr>
          <w:spacing w:val="-7"/>
        </w:rPr>
        <w:t>本基金主要投资于目标 </w:t>
      </w:r>
      <w:r>
        <w:rPr>
          <w:rFonts w:ascii="Calibri" w:eastAsia="Calibri"/>
        </w:rPr>
        <w:t>ETF </w:t>
      </w:r>
      <w:r>
        <w:rPr>
          <w:spacing w:val="-10"/>
        </w:rPr>
        <w:t>基金份额、标的指数成份股、备选成份股。为更好地实现投</w:t>
      </w:r>
      <w:r>
        <w:rPr>
          <w:spacing w:val="-15"/>
        </w:rPr>
        <w:t>资目标，基金还可投资于非成份股、债券</w:t>
      </w:r>
      <w:r>
        <w:rPr>
          <w:spacing w:val="-3"/>
        </w:rPr>
        <w:t>（含中小企业私募债券</w:t>
      </w:r>
      <w:r>
        <w:rPr>
          <w:spacing w:val="-46"/>
        </w:rPr>
        <w:t>）</w:t>
      </w:r>
      <w:r>
        <w:rPr>
          <w:spacing w:val="-15"/>
        </w:rPr>
        <w:t>、股指期货、权证、期权、</w:t>
      </w:r>
      <w:r>
        <w:rPr>
          <w:spacing w:val="-7"/>
        </w:rPr>
        <w:t>国债期货、货币市场工具以及法律法规或中国证监会允许基金投资的其他金融工具。其中， </w:t>
      </w:r>
      <w:r>
        <w:rPr>
          <w:spacing w:val="-11"/>
        </w:rPr>
        <w:t>基金投资于目标 </w:t>
      </w:r>
      <w:r>
        <w:rPr>
          <w:rFonts w:ascii="Calibri" w:eastAsia="Calibri"/>
        </w:rPr>
        <w:t>ETF </w:t>
      </w:r>
      <w:r>
        <w:rPr>
          <w:spacing w:val="-3"/>
        </w:rPr>
        <w:t>的比例不低于基金资产净值的 </w:t>
      </w:r>
      <w:r>
        <w:rPr>
          <w:rFonts w:ascii="Calibri" w:eastAsia="Calibri"/>
        </w:rPr>
        <w:t>90%</w:t>
      </w:r>
      <w:r>
        <w:rPr/>
        <w:t>。</w:t>
      </w:r>
    </w:p>
    <w:p>
      <w:pPr>
        <w:pStyle w:val="BodyText"/>
        <w:spacing w:line="417" w:lineRule="auto"/>
        <w:ind w:left="160" w:right="871" w:firstLine="419"/>
        <w:jc w:val="both"/>
      </w:pPr>
      <w:r>
        <w:rPr>
          <w:spacing w:val="-9"/>
        </w:rPr>
        <w:t>本基金为 </w:t>
      </w:r>
      <w:r>
        <w:rPr>
          <w:rFonts w:ascii="Calibri" w:eastAsia="Calibri"/>
        </w:rPr>
        <w:t>ETF </w:t>
      </w:r>
      <w:r>
        <w:rPr>
          <w:spacing w:val="-8"/>
        </w:rPr>
        <w:t>联接基金，主要投资标的为目标 </w:t>
      </w:r>
      <w:r>
        <w:rPr>
          <w:rFonts w:ascii="Calibri" w:eastAsia="Calibri"/>
          <w:spacing w:val="-4"/>
        </w:rPr>
        <w:t>ETF</w:t>
      </w:r>
      <w:r>
        <w:rPr>
          <w:spacing w:val="-3"/>
        </w:rPr>
        <w:t>，即战略新兴成指交易型开放式指数</w:t>
      </w:r>
      <w:r>
        <w:rPr>
          <w:spacing w:val="-9"/>
        </w:rPr>
        <w:t>证券投资基金。目标 </w:t>
      </w:r>
      <w:r>
        <w:rPr>
          <w:rFonts w:ascii="Calibri" w:eastAsia="Calibri"/>
        </w:rPr>
        <w:t>ETF </w:t>
      </w:r>
      <w:r>
        <w:rPr>
          <w:spacing w:val="-8"/>
        </w:rPr>
        <w:t>既可以申购赎回，又可以在二级市场交易，具有良好的流动性。由</w:t>
      </w:r>
      <w:r>
        <w:rPr>
          <w:spacing w:val="-13"/>
        </w:rPr>
        <w:t>于本基金 </w:t>
      </w:r>
      <w:r>
        <w:rPr>
          <w:rFonts w:ascii="Calibri" w:eastAsia="Calibri"/>
        </w:rPr>
        <w:t>90%</w:t>
      </w:r>
      <w:r>
        <w:rPr>
          <w:spacing w:val="-5"/>
        </w:rPr>
        <w:t>以上的基金资产将投资于高流动性的目标 </w:t>
      </w:r>
      <w:r>
        <w:rPr>
          <w:rFonts w:ascii="Calibri" w:eastAsia="Calibri"/>
          <w:spacing w:val="-8"/>
        </w:rPr>
        <w:t>ETF</w:t>
      </w:r>
      <w:r>
        <w:rPr>
          <w:spacing w:val="-4"/>
        </w:rPr>
        <w:t>，剩余部分主要投资于现金或者</w:t>
      </w:r>
      <w:r>
        <w:rPr>
          <w:spacing w:val="-8"/>
        </w:rPr>
        <w:t>到期日在一年以内的政府债券等流动性较高资产，因而本基金整体流动性风险较小。但是在</w:t>
      </w:r>
      <w:r>
        <w:rPr>
          <w:spacing w:val="-17"/>
        </w:rPr>
        <w:t>目标 </w:t>
      </w:r>
      <w:r>
        <w:rPr>
          <w:rFonts w:ascii="Calibri" w:eastAsia="Calibri"/>
        </w:rPr>
        <w:t>ETF </w:t>
      </w:r>
      <w:r>
        <w:rPr>
          <w:spacing w:val="-7"/>
        </w:rPr>
        <w:t>暂停交易或者暂停赎回或个股流动性不足等的特殊情况下，基金管理人可能无法迅</w:t>
      </w:r>
      <w:r>
        <w:rPr>
          <w:spacing w:val="-5"/>
        </w:rPr>
        <w:t>速、低成本地调整基金投资组合，可能会对基金赎回款项的支付产生影响。</w:t>
      </w:r>
    </w:p>
    <w:p>
      <w:pPr>
        <w:pStyle w:val="ListParagraph"/>
        <w:numPr>
          <w:ilvl w:val="0"/>
          <w:numId w:val="33"/>
        </w:numPr>
        <w:tabs>
          <w:tab w:pos="1110" w:val="left" w:leader="none"/>
        </w:tabs>
        <w:spacing w:line="268" w:lineRule="exact" w:before="0" w:after="0"/>
        <w:ind w:left="1109" w:right="0" w:hanging="530"/>
        <w:jc w:val="left"/>
        <w:rPr>
          <w:sz w:val="21"/>
        </w:rPr>
      </w:pPr>
      <w:r>
        <w:rPr>
          <w:spacing w:val="-3"/>
          <w:sz w:val="21"/>
        </w:rPr>
        <w:t>巨额赎回情形下的流动性风险管理措施</w:t>
      </w:r>
    </w:p>
    <w:p>
      <w:pPr>
        <w:pStyle w:val="BodyText"/>
        <w:spacing w:before="5"/>
        <w:rPr>
          <w:sz w:val="15"/>
        </w:rPr>
      </w:pPr>
    </w:p>
    <w:p>
      <w:pPr>
        <w:pStyle w:val="BodyText"/>
        <w:spacing w:before="1"/>
        <w:ind w:left="580"/>
      </w:pPr>
      <w:r>
        <w:rPr/>
        <w:t>当本基金发生巨额赎回情形时，基金管理人可以采用以下流动性风险管理措施：</w:t>
      </w:r>
    </w:p>
    <w:p>
      <w:pPr>
        <w:pStyle w:val="BodyText"/>
        <w:spacing w:before="7"/>
        <w:rPr>
          <w:sz w:val="15"/>
        </w:rPr>
      </w:pPr>
    </w:p>
    <w:p>
      <w:pPr>
        <w:pStyle w:val="BodyText"/>
        <w:ind w:left="580"/>
      </w:pPr>
      <w:r>
        <w:rPr/>
        <w:t>①延期办理巨额赎回申请；</w:t>
      </w:r>
    </w:p>
    <w:p>
      <w:pPr>
        <w:pStyle w:val="BodyText"/>
        <w:spacing w:before="7"/>
        <w:rPr>
          <w:sz w:val="15"/>
        </w:rPr>
      </w:pPr>
    </w:p>
    <w:p>
      <w:pPr>
        <w:pStyle w:val="BodyText"/>
        <w:ind w:left="580"/>
      </w:pPr>
      <w:r>
        <w:rPr>
          <w:spacing w:val="-3"/>
        </w:rPr>
        <w:t>②暂停接受赎回申请；</w:t>
      </w:r>
    </w:p>
    <w:p>
      <w:pPr>
        <w:pStyle w:val="BodyText"/>
        <w:spacing w:before="6"/>
        <w:rPr>
          <w:sz w:val="15"/>
        </w:rPr>
      </w:pPr>
    </w:p>
    <w:p>
      <w:pPr>
        <w:pStyle w:val="BodyText"/>
        <w:ind w:left="580"/>
      </w:pPr>
      <w:r>
        <w:rPr>
          <w:spacing w:val="-3"/>
        </w:rPr>
        <w:t>③延缓支付赎回款项；</w:t>
      </w:r>
    </w:p>
    <w:p>
      <w:pPr>
        <w:pStyle w:val="BodyText"/>
        <w:spacing w:before="7"/>
        <w:rPr>
          <w:sz w:val="15"/>
        </w:rPr>
      </w:pPr>
    </w:p>
    <w:p>
      <w:pPr>
        <w:pStyle w:val="BodyText"/>
        <w:ind w:left="580"/>
      </w:pPr>
      <w:r>
        <w:rPr/>
        <w:t>④摆动定价；</w:t>
      </w:r>
    </w:p>
    <w:p>
      <w:pPr>
        <w:pStyle w:val="BodyText"/>
        <w:spacing w:before="7"/>
        <w:rPr>
          <w:sz w:val="15"/>
        </w:rPr>
      </w:pPr>
    </w:p>
    <w:p>
      <w:pPr>
        <w:pStyle w:val="BodyText"/>
        <w:ind w:left="580"/>
      </w:pPr>
      <w:r>
        <w:rPr/>
        <w:t>⑤中国证监会认定的其他措施。</w:t>
      </w:r>
    </w:p>
    <w:p>
      <w:pPr>
        <w:pStyle w:val="BodyText"/>
        <w:spacing w:before="7"/>
        <w:rPr>
          <w:sz w:val="15"/>
        </w:rPr>
      </w:pPr>
    </w:p>
    <w:p>
      <w:pPr>
        <w:pStyle w:val="ListParagraph"/>
        <w:numPr>
          <w:ilvl w:val="0"/>
          <w:numId w:val="33"/>
        </w:numPr>
        <w:tabs>
          <w:tab w:pos="1110" w:val="left" w:leader="none"/>
        </w:tabs>
        <w:spacing w:line="240" w:lineRule="auto" w:before="0" w:after="0"/>
        <w:ind w:left="1109" w:right="0" w:hanging="530"/>
        <w:jc w:val="left"/>
        <w:rPr>
          <w:sz w:val="21"/>
        </w:rPr>
      </w:pPr>
      <w:r>
        <w:rPr>
          <w:spacing w:val="-3"/>
          <w:sz w:val="21"/>
        </w:rPr>
        <w:t>实施备用的流动性风险管理工具的情形、程序及对投资者的潜在影响</w:t>
      </w:r>
    </w:p>
    <w:p>
      <w:pPr>
        <w:pStyle w:val="BodyText"/>
        <w:spacing w:before="6"/>
        <w:rPr>
          <w:sz w:val="15"/>
        </w:rPr>
      </w:pPr>
    </w:p>
    <w:p>
      <w:pPr>
        <w:pStyle w:val="BodyText"/>
        <w:spacing w:line="417" w:lineRule="auto"/>
        <w:ind w:left="160" w:right="871" w:firstLine="419"/>
        <w:jc w:val="both"/>
      </w:pPr>
      <w:r>
        <w:rPr>
          <w:spacing w:val="-8"/>
        </w:rPr>
        <w:t>基金管理人经与基金托管人协商，在确保投资者得到公平对待的前提下，可依照法律法</w:t>
      </w:r>
      <w:r>
        <w:rPr>
          <w:spacing w:val="-10"/>
        </w:rPr>
        <w:t>规及基金合同的约定，综合运用各类流动性风险管理工具，对赎回申请等进行适度调整，作</w:t>
      </w:r>
      <w:r>
        <w:rPr>
          <w:spacing w:val="-5"/>
        </w:rPr>
        <w:t>为特定情形下基金管理人流动性风险的辅助措施，包括但不限于：</w:t>
      </w:r>
    </w:p>
    <w:p>
      <w:pPr>
        <w:spacing w:after="0" w:line="417" w:lineRule="auto"/>
        <w:jc w:val="both"/>
        <w:sectPr>
          <w:pgSz w:w="11910" w:h="16840"/>
          <w:pgMar w:header="877" w:footer="995" w:top="1420" w:bottom="1180" w:left="1640" w:right="920"/>
        </w:sectPr>
      </w:pPr>
    </w:p>
    <w:p>
      <w:pPr>
        <w:pStyle w:val="BodyText"/>
        <w:spacing w:before="110"/>
        <w:ind w:left="580"/>
      </w:pPr>
      <w:r>
        <w:rPr/>
        <w:t>①延期办理巨额赎回申请</w:t>
      </w:r>
    </w:p>
    <w:p>
      <w:pPr>
        <w:pStyle w:val="BodyText"/>
        <w:spacing w:before="6"/>
        <w:rPr>
          <w:sz w:val="15"/>
        </w:rPr>
      </w:pPr>
    </w:p>
    <w:p>
      <w:pPr>
        <w:pStyle w:val="BodyText"/>
        <w:spacing w:line="417" w:lineRule="auto"/>
        <w:ind w:left="160" w:right="871" w:firstLine="419"/>
      </w:pPr>
      <w:r>
        <w:rPr>
          <w:spacing w:val="-9"/>
        </w:rPr>
        <w:t>投资人具体请参见基金合同“第六部分、基金份额的申购与赎回”中的“九、巨额赎回</w:t>
      </w:r>
      <w:r>
        <w:rPr>
          <w:spacing w:val="-13"/>
          <w:w w:val="100"/>
        </w:rPr>
        <w:t>的情形及处理方式”，详细了解本基金延期办理赎回申请的情形及程序。</w:t>
      </w:r>
    </w:p>
    <w:p>
      <w:pPr>
        <w:pStyle w:val="BodyText"/>
        <w:spacing w:line="417" w:lineRule="auto"/>
        <w:ind w:left="160" w:right="871" w:firstLine="419"/>
      </w:pPr>
      <w:r>
        <w:rPr>
          <w:spacing w:val="-10"/>
        </w:rPr>
        <w:t>在此情形下，投资者的全部或部分赎回申请可能将被延期办理，同时投资人完成基金赎</w:t>
      </w:r>
      <w:r>
        <w:rPr>
          <w:spacing w:val="-5"/>
        </w:rPr>
        <w:t>回时的基金份额净值可能与其提交赎回申请时的基金份额净值不同。</w:t>
      </w:r>
    </w:p>
    <w:p>
      <w:pPr>
        <w:pStyle w:val="BodyText"/>
        <w:spacing w:line="269" w:lineRule="exact"/>
        <w:ind w:left="580"/>
      </w:pPr>
      <w:r>
        <w:rPr/>
        <w:t>②暂停接受赎回申请</w:t>
      </w:r>
    </w:p>
    <w:p>
      <w:pPr>
        <w:pStyle w:val="BodyText"/>
        <w:spacing w:before="7"/>
        <w:rPr>
          <w:sz w:val="15"/>
        </w:rPr>
      </w:pPr>
    </w:p>
    <w:p>
      <w:pPr>
        <w:pStyle w:val="BodyText"/>
        <w:spacing w:line="417" w:lineRule="auto"/>
        <w:ind w:left="160" w:right="871" w:firstLine="419"/>
        <w:jc w:val="both"/>
      </w:pPr>
      <w:r>
        <w:rPr>
          <w:spacing w:val="-9"/>
        </w:rPr>
        <w:t>投资人具体请参见基金合同“第六部分、基金份额的申购与赎回”中的“八、暂停赎回</w:t>
      </w:r>
      <w:r>
        <w:rPr>
          <w:spacing w:val="-9"/>
          <w:w w:val="100"/>
        </w:rPr>
        <w:t>或延缓支付赎回款项的情形”和“九、巨额赎回的情形及处理方式”，详细了解本基金暂停</w:t>
      </w:r>
      <w:r>
        <w:rPr>
          <w:spacing w:val="-5"/>
        </w:rPr>
        <w:t>接受赎回申请的情形及程序。</w:t>
      </w:r>
    </w:p>
    <w:p>
      <w:pPr>
        <w:pStyle w:val="BodyText"/>
        <w:spacing w:line="417" w:lineRule="auto"/>
        <w:ind w:left="160" w:right="871" w:firstLine="419"/>
      </w:pPr>
      <w:r>
        <w:rPr>
          <w:spacing w:val="-10"/>
        </w:rPr>
        <w:t>在此情形下，投资人的部分或全部赎回申请可能被拒绝，同时投资人完成基金赎回时的</w:t>
      </w:r>
      <w:r>
        <w:rPr>
          <w:spacing w:val="-5"/>
        </w:rPr>
        <w:t>基金份额净值可能与其提交赎回申请时的基金份额净值不同。</w:t>
      </w:r>
    </w:p>
    <w:p>
      <w:pPr>
        <w:pStyle w:val="BodyText"/>
        <w:spacing w:line="269" w:lineRule="exact"/>
        <w:ind w:left="580"/>
      </w:pPr>
      <w:r>
        <w:rPr/>
        <w:t>③延缓支付赎回款项</w:t>
      </w:r>
    </w:p>
    <w:p>
      <w:pPr>
        <w:pStyle w:val="BodyText"/>
        <w:spacing w:before="7"/>
        <w:rPr>
          <w:sz w:val="15"/>
        </w:rPr>
      </w:pPr>
    </w:p>
    <w:p>
      <w:pPr>
        <w:pStyle w:val="BodyText"/>
        <w:spacing w:line="417" w:lineRule="auto"/>
        <w:ind w:left="160" w:right="871" w:firstLine="419"/>
        <w:jc w:val="both"/>
      </w:pPr>
      <w:r>
        <w:rPr>
          <w:spacing w:val="-9"/>
        </w:rPr>
        <w:t>投资人具体请参见基金合同“第六部分、基金份额的申购与赎回”中的“八、暂停赎回</w:t>
      </w:r>
      <w:r>
        <w:rPr>
          <w:spacing w:val="-10"/>
          <w:w w:val="100"/>
        </w:rPr>
        <w:t>或延缓支付赎回款项的情形”和“九、巨额赎回的情形及处理方式”，详细了解本基金延缓</w:t>
      </w:r>
      <w:r>
        <w:rPr>
          <w:spacing w:val="-5"/>
        </w:rPr>
        <w:t>支付赎回款项的情形及程序。</w:t>
      </w:r>
    </w:p>
    <w:p>
      <w:pPr>
        <w:pStyle w:val="BodyText"/>
        <w:ind w:left="580"/>
      </w:pPr>
      <w:r>
        <w:rPr/>
        <w:t>在此情形下，投资人收到赎回款项的时间将可能比一般正常情形下有所延迟。</w:t>
      </w:r>
    </w:p>
    <w:p>
      <w:pPr>
        <w:pStyle w:val="BodyText"/>
        <w:spacing w:before="6"/>
        <w:rPr>
          <w:sz w:val="15"/>
        </w:rPr>
      </w:pPr>
    </w:p>
    <w:p>
      <w:pPr>
        <w:pStyle w:val="BodyText"/>
        <w:ind w:left="580"/>
      </w:pPr>
      <w:r>
        <w:rPr/>
        <w:t>④收取短期赎回费</w:t>
      </w:r>
    </w:p>
    <w:p>
      <w:pPr>
        <w:pStyle w:val="BodyText"/>
        <w:spacing w:before="7"/>
        <w:rPr>
          <w:sz w:val="15"/>
        </w:rPr>
      </w:pPr>
    </w:p>
    <w:p>
      <w:pPr>
        <w:pStyle w:val="BodyText"/>
        <w:spacing w:line="417" w:lineRule="auto"/>
        <w:ind w:left="160" w:right="821" w:firstLine="419"/>
      </w:pPr>
      <w:r>
        <w:rPr/>
        <w:t>本基金对持续持有期少于 </w:t>
      </w:r>
      <w:r>
        <w:rPr>
          <w:rFonts w:ascii="Calibri" w:eastAsia="Calibri"/>
        </w:rPr>
        <w:t>7 </w:t>
      </w:r>
      <w:r>
        <w:rPr/>
        <w:t>日的投资者收取不低于 </w:t>
      </w:r>
      <w:r>
        <w:rPr>
          <w:rFonts w:ascii="Calibri" w:eastAsia="Calibri"/>
        </w:rPr>
        <w:t>1.5%</w:t>
      </w:r>
      <w:r>
        <w:rPr/>
        <w:t>的赎回费，并将上述赎回费全额计入基金财产。</w:t>
      </w:r>
    </w:p>
    <w:p>
      <w:pPr>
        <w:pStyle w:val="BodyText"/>
        <w:spacing w:line="269" w:lineRule="exact"/>
        <w:ind w:left="580"/>
      </w:pPr>
      <w:r>
        <w:rPr/>
        <w:t>⑤暂停基金估值</w:t>
      </w:r>
    </w:p>
    <w:p>
      <w:pPr>
        <w:pStyle w:val="BodyText"/>
        <w:spacing w:before="7"/>
        <w:rPr>
          <w:sz w:val="15"/>
        </w:rPr>
      </w:pPr>
    </w:p>
    <w:p>
      <w:pPr>
        <w:pStyle w:val="BodyText"/>
        <w:spacing w:line="417" w:lineRule="auto"/>
        <w:ind w:left="160" w:right="871" w:firstLine="419"/>
      </w:pPr>
      <w:r>
        <w:rPr>
          <w:spacing w:val="-26"/>
          <w:w w:val="100"/>
        </w:rPr>
        <w:t>投资人具体请参见基金合同“第十四部分、基金资产估值”中的“六、暂停估值的情形”，</w:t>
      </w:r>
      <w:r>
        <w:rPr>
          <w:spacing w:val="-9"/>
        </w:rPr>
        <w:t>详细了解本基金暂停估值的情形及程序。</w:t>
      </w:r>
    </w:p>
    <w:p>
      <w:pPr>
        <w:pStyle w:val="BodyText"/>
        <w:spacing w:line="417" w:lineRule="auto"/>
        <w:ind w:left="160" w:right="871" w:firstLine="419"/>
      </w:pPr>
      <w:r>
        <w:rPr>
          <w:spacing w:val="-10"/>
        </w:rPr>
        <w:t>在此情形下，投资人没有可供参考的基金份额净值，基金可能暂停申购赎回申请或延缓</w:t>
      </w:r>
      <w:r>
        <w:rPr>
          <w:spacing w:val="-5"/>
        </w:rPr>
        <w:t>支付赎回款项。</w:t>
      </w:r>
    </w:p>
    <w:p>
      <w:pPr>
        <w:pStyle w:val="BodyText"/>
        <w:spacing w:line="269" w:lineRule="exact"/>
        <w:ind w:left="580"/>
      </w:pPr>
      <w:r>
        <w:rPr>
          <w:spacing w:val="-1"/>
        </w:rPr>
        <w:t>⑥摆动定价</w:t>
      </w:r>
    </w:p>
    <w:p>
      <w:pPr>
        <w:pStyle w:val="BodyText"/>
        <w:spacing w:before="7"/>
        <w:rPr>
          <w:sz w:val="15"/>
        </w:rPr>
      </w:pPr>
    </w:p>
    <w:p>
      <w:pPr>
        <w:pStyle w:val="BodyText"/>
        <w:spacing w:line="417" w:lineRule="auto"/>
        <w:ind w:left="160" w:right="871" w:firstLine="419"/>
      </w:pPr>
      <w:r>
        <w:rPr>
          <w:spacing w:val="-8"/>
        </w:rPr>
        <w:t>当本基金发生大额申购或赎回情形时，基金管理人可以采用摆动定价机制，以确保基金</w:t>
      </w:r>
      <w:r>
        <w:rPr>
          <w:spacing w:val="-5"/>
        </w:rPr>
        <w:t>估值的公平性。</w:t>
      </w:r>
    </w:p>
    <w:p>
      <w:pPr>
        <w:pStyle w:val="BodyText"/>
        <w:spacing w:line="417" w:lineRule="auto"/>
        <w:ind w:left="160" w:right="765" w:firstLine="419"/>
      </w:pPr>
      <w:r>
        <w:rPr>
          <w:spacing w:val="-10"/>
        </w:rPr>
        <w:t>当基金采用摆动定价时，投资者申购或赎回基金份额时的基金份额净值，将会根据投资</w:t>
      </w:r>
      <w:r>
        <w:rPr>
          <w:spacing w:val="-15"/>
        </w:rPr>
        <w:t>组合的市场冲击成本而进行调整，使得市场的冲击成本能够分配给实际申购、赎回的投资者， </w:t>
      </w:r>
      <w:r>
        <w:rPr>
          <w:spacing w:val="-11"/>
        </w:rPr>
        <w:t>从而减少对存量基金份额持有人利益的不利影响，确保投资者的合法权益不受损害并得到公</w:t>
      </w:r>
    </w:p>
    <w:p>
      <w:pPr>
        <w:spacing w:after="0" w:line="417" w:lineRule="auto"/>
        <w:sectPr>
          <w:pgSz w:w="11910" w:h="16840"/>
          <w:pgMar w:header="877" w:footer="995" w:top="1420" w:bottom="1180" w:left="1640" w:right="920"/>
        </w:sectPr>
      </w:pPr>
    </w:p>
    <w:p>
      <w:pPr>
        <w:pStyle w:val="BodyText"/>
        <w:spacing w:before="110"/>
        <w:ind w:left="160"/>
      </w:pPr>
      <w:r>
        <w:rPr/>
        <w:t>平对待。</w:t>
      </w:r>
    </w:p>
    <w:p>
      <w:pPr>
        <w:pStyle w:val="BodyText"/>
        <w:spacing w:before="6"/>
        <w:rPr>
          <w:sz w:val="15"/>
        </w:rPr>
      </w:pPr>
    </w:p>
    <w:p>
      <w:pPr>
        <w:pStyle w:val="BodyText"/>
        <w:ind w:left="580"/>
      </w:pPr>
      <w:r>
        <w:rPr/>
        <w:t>⑦中国证监会认定的其他措施。</w:t>
      </w:r>
    </w:p>
    <w:p>
      <w:pPr>
        <w:pStyle w:val="BodyText"/>
        <w:spacing w:before="7"/>
        <w:rPr>
          <w:sz w:val="15"/>
        </w:rPr>
      </w:pPr>
    </w:p>
    <w:p>
      <w:pPr>
        <w:pStyle w:val="BodyText"/>
        <w:ind w:left="580"/>
      </w:pPr>
      <w:r>
        <w:rPr>
          <w:rFonts w:ascii="Calibri" w:eastAsia="Calibri"/>
        </w:rPr>
        <w:t>4</w:t>
      </w:r>
      <w:r>
        <w:rPr/>
        <w:t>、积极管理风险</w:t>
      </w:r>
    </w:p>
    <w:p>
      <w:pPr>
        <w:pStyle w:val="BodyText"/>
        <w:spacing w:before="7"/>
        <w:rPr>
          <w:sz w:val="15"/>
        </w:rPr>
      </w:pPr>
    </w:p>
    <w:p>
      <w:pPr>
        <w:pStyle w:val="BodyText"/>
        <w:spacing w:line="417" w:lineRule="auto"/>
        <w:ind w:left="160" w:right="871" w:firstLine="419"/>
        <w:jc w:val="both"/>
      </w:pPr>
      <w:r>
        <w:rPr>
          <w:spacing w:val="-9"/>
        </w:rPr>
        <w:t>在实际投资操作过程中，基金管理人可能限于知识、技术、经验等因素而影响其对相关</w:t>
      </w:r>
      <w:r>
        <w:rPr>
          <w:spacing w:val="-13"/>
        </w:rPr>
        <w:t>信息、经济形势和证券价格走势的判断，其精选出的投资品种的业绩表现不一定持续优于其</w:t>
      </w:r>
      <w:r>
        <w:rPr>
          <w:spacing w:val="-8"/>
        </w:rPr>
        <w:t>他品种。</w:t>
      </w:r>
    </w:p>
    <w:p>
      <w:pPr>
        <w:pStyle w:val="BodyText"/>
        <w:spacing w:line="269" w:lineRule="exact"/>
        <w:ind w:left="580"/>
      </w:pPr>
      <w:r>
        <w:rPr>
          <w:rFonts w:ascii="Calibri" w:eastAsia="Calibri"/>
        </w:rPr>
        <w:t>5</w:t>
      </w:r>
      <w:r>
        <w:rPr/>
        <w:t>、中小企业私募债券投资风险</w:t>
      </w:r>
    </w:p>
    <w:p>
      <w:pPr>
        <w:pStyle w:val="BodyText"/>
        <w:spacing w:before="7"/>
        <w:rPr>
          <w:sz w:val="15"/>
        </w:rPr>
      </w:pPr>
    </w:p>
    <w:p>
      <w:pPr>
        <w:pStyle w:val="BodyText"/>
        <w:spacing w:line="417" w:lineRule="auto"/>
        <w:ind w:left="160" w:right="871" w:firstLine="419"/>
        <w:jc w:val="both"/>
      </w:pPr>
      <w:r>
        <w:rPr>
          <w:spacing w:val="-7"/>
        </w:rPr>
        <w:t>基金所投资的中小企业私募债券之债务人出现违约，或在交易过程中发生交收违约，或</w:t>
      </w:r>
      <w:r>
        <w:rPr>
          <w:spacing w:val="-9"/>
        </w:rPr>
        <w:t>由于中小企业私募债券信用质量降低导致价格下降，可能造成基金财产损失。此外，受市场</w:t>
      </w:r>
      <w:r>
        <w:rPr>
          <w:spacing w:val="-13"/>
        </w:rPr>
        <w:t>规模及交易活跃程度的影响，中小企业私募债券可能无法在同一价格水平上进行较大数量的</w:t>
      </w:r>
      <w:r>
        <w:rPr>
          <w:spacing w:val="-6"/>
        </w:rPr>
        <w:t>买入或卖出，存在一定的流动性风险，从而对基金收益造成影响。</w:t>
      </w:r>
    </w:p>
    <w:p>
      <w:pPr>
        <w:pStyle w:val="BodyText"/>
        <w:spacing w:line="268" w:lineRule="exact"/>
        <w:ind w:left="580"/>
      </w:pPr>
      <w:r>
        <w:rPr>
          <w:rFonts w:ascii="Calibri" w:eastAsia="Calibri"/>
        </w:rPr>
        <w:t>6</w:t>
      </w:r>
      <w:r>
        <w:rPr/>
        <w:t>、衍生品投资风险</w:t>
      </w:r>
    </w:p>
    <w:p>
      <w:pPr>
        <w:pStyle w:val="BodyText"/>
        <w:spacing w:before="7"/>
        <w:rPr>
          <w:sz w:val="15"/>
        </w:rPr>
      </w:pPr>
    </w:p>
    <w:p>
      <w:pPr>
        <w:pStyle w:val="BodyText"/>
        <w:spacing w:line="417" w:lineRule="auto"/>
        <w:ind w:left="160" w:right="871" w:firstLine="419"/>
      </w:pPr>
      <w:r>
        <w:rPr>
          <w:spacing w:val="-9"/>
        </w:rPr>
        <w:t>本基金可投资于股票期权、股指期货、国债期货等金融衍生品。投资期权、期货主要存</w:t>
      </w:r>
      <w:r>
        <w:rPr>
          <w:spacing w:val="-5"/>
        </w:rPr>
        <w:t>在以下风险：</w:t>
      </w:r>
    </w:p>
    <w:p>
      <w:pPr>
        <w:pStyle w:val="ListParagraph"/>
        <w:numPr>
          <w:ilvl w:val="0"/>
          <w:numId w:val="34"/>
        </w:numPr>
        <w:tabs>
          <w:tab w:pos="1110" w:val="left" w:leader="none"/>
        </w:tabs>
        <w:spacing w:line="240" w:lineRule="auto" w:before="0" w:after="0"/>
        <w:ind w:left="1109" w:right="0" w:hanging="530"/>
        <w:jc w:val="left"/>
        <w:rPr>
          <w:sz w:val="21"/>
        </w:rPr>
      </w:pPr>
      <w:r>
        <w:rPr>
          <w:spacing w:val="-3"/>
          <w:sz w:val="21"/>
        </w:rPr>
        <w:t>市场风险：是指由于衍生品价格变动而给投资者带来的风险。</w:t>
      </w:r>
    </w:p>
    <w:p>
      <w:pPr>
        <w:pStyle w:val="BodyText"/>
        <w:spacing w:before="7"/>
        <w:rPr>
          <w:sz w:val="15"/>
        </w:rPr>
      </w:pPr>
    </w:p>
    <w:p>
      <w:pPr>
        <w:pStyle w:val="ListParagraph"/>
        <w:numPr>
          <w:ilvl w:val="0"/>
          <w:numId w:val="34"/>
        </w:numPr>
        <w:tabs>
          <w:tab w:pos="1110" w:val="left" w:leader="none"/>
        </w:tabs>
        <w:spacing w:line="240" w:lineRule="auto" w:before="0" w:after="0"/>
        <w:ind w:left="1109" w:right="0" w:hanging="530"/>
        <w:jc w:val="left"/>
        <w:rPr>
          <w:sz w:val="21"/>
        </w:rPr>
      </w:pPr>
      <w:r>
        <w:rPr>
          <w:spacing w:val="-3"/>
          <w:sz w:val="21"/>
        </w:rPr>
        <w:t>流动性风险：是指由于衍生品合约无法及时变现所带来的风险。</w:t>
      </w:r>
    </w:p>
    <w:p>
      <w:pPr>
        <w:pStyle w:val="BodyText"/>
        <w:spacing w:before="6"/>
        <w:rPr>
          <w:sz w:val="15"/>
        </w:rPr>
      </w:pPr>
    </w:p>
    <w:p>
      <w:pPr>
        <w:pStyle w:val="ListParagraph"/>
        <w:numPr>
          <w:ilvl w:val="0"/>
          <w:numId w:val="34"/>
        </w:numPr>
        <w:tabs>
          <w:tab w:pos="1112" w:val="left" w:leader="none"/>
        </w:tabs>
        <w:spacing w:line="417" w:lineRule="auto" w:before="1" w:after="0"/>
        <w:ind w:left="160" w:right="873" w:firstLine="419"/>
        <w:jc w:val="left"/>
        <w:rPr>
          <w:sz w:val="21"/>
        </w:rPr>
      </w:pPr>
      <w:r>
        <w:rPr>
          <w:spacing w:val="-3"/>
          <w:sz w:val="21"/>
        </w:rPr>
        <w:t>基差风险：是指衍生品合约价格和指数价格之间的价格差的波动所造成的风险， 以及不同衍生品合约价格之间价格差的波动所造成的期现价差风险。</w:t>
      </w:r>
    </w:p>
    <w:p>
      <w:pPr>
        <w:pStyle w:val="ListParagraph"/>
        <w:numPr>
          <w:ilvl w:val="0"/>
          <w:numId w:val="34"/>
        </w:numPr>
        <w:tabs>
          <w:tab w:pos="1112" w:val="left" w:leader="none"/>
        </w:tabs>
        <w:spacing w:line="417" w:lineRule="auto" w:before="0" w:after="0"/>
        <w:ind w:left="160" w:right="874" w:firstLine="419"/>
        <w:jc w:val="left"/>
        <w:rPr>
          <w:sz w:val="21"/>
        </w:rPr>
      </w:pPr>
      <w:r>
        <w:rPr>
          <w:spacing w:val="-3"/>
          <w:sz w:val="21"/>
        </w:rPr>
        <w:t>保证金风险：是指由于无法及时筹措资金满足建立或者维持衍生品合约头寸所要求的保证金而带来的风险。</w:t>
      </w:r>
    </w:p>
    <w:p>
      <w:pPr>
        <w:pStyle w:val="ListParagraph"/>
        <w:numPr>
          <w:ilvl w:val="0"/>
          <w:numId w:val="34"/>
        </w:numPr>
        <w:tabs>
          <w:tab w:pos="1110" w:val="left" w:leader="none"/>
        </w:tabs>
        <w:spacing w:line="269" w:lineRule="exact" w:before="0" w:after="0"/>
        <w:ind w:left="1109" w:right="0" w:hanging="530"/>
        <w:jc w:val="left"/>
        <w:rPr>
          <w:sz w:val="21"/>
        </w:rPr>
      </w:pPr>
      <w:r>
        <w:rPr>
          <w:spacing w:val="-3"/>
          <w:sz w:val="21"/>
        </w:rPr>
        <w:t>信用风险：是指经纪公司违约而产生损失的风险。</w:t>
      </w:r>
    </w:p>
    <w:p>
      <w:pPr>
        <w:pStyle w:val="BodyText"/>
        <w:spacing w:before="6"/>
        <w:rPr>
          <w:sz w:val="15"/>
        </w:rPr>
      </w:pPr>
    </w:p>
    <w:p>
      <w:pPr>
        <w:pStyle w:val="ListParagraph"/>
        <w:numPr>
          <w:ilvl w:val="0"/>
          <w:numId w:val="34"/>
        </w:numPr>
        <w:tabs>
          <w:tab w:pos="1112" w:val="left" w:leader="none"/>
        </w:tabs>
        <w:spacing w:line="417" w:lineRule="auto" w:before="1" w:after="0"/>
        <w:ind w:left="160" w:right="874" w:firstLine="419"/>
        <w:jc w:val="left"/>
        <w:rPr>
          <w:sz w:val="21"/>
        </w:rPr>
      </w:pPr>
      <w:r>
        <w:rPr>
          <w:spacing w:val="-3"/>
          <w:sz w:val="21"/>
        </w:rPr>
        <w:t>操作风险：是指由于内部流程的不完善，业务人员出现差错或者疏漏，或者系统出现故障等原因造成损失的风险。</w:t>
      </w:r>
    </w:p>
    <w:p>
      <w:pPr>
        <w:pStyle w:val="BodyText"/>
        <w:spacing w:line="269" w:lineRule="exact"/>
        <w:ind w:left="580"/>
      </w:pPr>
      <w:r>
        <w:rPr>
          <w:rFonts w:ascii="Calibri" w:eastAsia="Calibri"/>
        </w:rPr>
        <w:t>7</w:t>
      </w:r>
      <w:r>
        <w:rPr/>
        <w:t>、操作或技术风险</w:t>
      </w:r>
    </w:p>
    <w:p>
      <w:pPr>
        <w:pStyle w:val="BodyText"/>
        <w:spacing w:before="6"/>
        <w:rPr>
          <w:sz w:val="15"/>
        </w:rPr>
      </w:pPr>
    </w:p>
    <w:p>
      <w:pPr>
        <w:pStyle w:val="BodyText"/>
        <w:spacing w:line="417" w:lineRule="auto"/>
        <w:ind w:left="160" w:right="871" w:firstLine="419"/>
        <w:jc w:val="both"/>
      </w:pPr>
      <w:r>
        <w:rPr>
          <w:spacing w:val="-9"/>
        </w:rPr>
        <w:t>相关当事人在业务各环节操作过程中，因内部控制存在缺陷或者人为因素造成操作失误</w:t>
      </w:r>
      <w:r>
        <w:rPr>
          <w:spacing w:val="-11"/>
        </w:rPr>
        <w:t>或违反操作规程等引致的风险，例如，越权违规交易、会计部门欺诈、交易错误、</w:t>
      </w:r>
      <w:r>
        <w:rPr>
          <w:rFonts w:ascii="Calibri" w:eastAsia="Calibri"/>
        </w:rPr>
        <w:t>IT </w:t>
      </w:r>
      <w:r>
        <w:rPr>
          <w:spacing w:val="-2"/>
        </w:rPr>
        <w:t>系统故</w:t>
      </w:r>
      <w:r>
        <w:rPr>
          <w:spacing w:val="-3"/>
        </w:rPr>
        <w:t>障等风险。</w:t>
      </w:r>
    </w:p>
    <w:p>
      <w:pPr>
        <w:pStyle w:val="BodyText"/>
        <w:spacing w:line="417" w:lineRule="auto"/>
        <w:ind w:left="160" w:right="768" w:firstLine="419"/>
      </w:pPr>
      <w:r>
        <w:rPr>
          <w:spacing w:val="-8"/>
        </w:rPr>
        <w:t>在开放式基金的各种交易行为或者后台运作中，可能因为技术系统的故障或者差错而影</w:t>
      </w:r>
      <w:r>
        <w:rPr>
          <w:spacing w:val="-5"/>
        </w:rPr>
        <w:t>响交易的正常进行或者导致投资者的利益受到影响。这种技术风险可能来自基金管理公司、</w:t>
      </w:r>
      <w:r>
        <w:rPr>
          <w:spacing w:val="-4"/>
        </w:rPr>
        <w:t>登记机构、销售机构、证券交易所、证券登记结算机构等。</w:t>
      </w:r>
    </w:p>
    <w:p>
      <w:pPr>
        <w:spacing w:after="0" w:line="417" w:lineRule="auto"/>
        <w:sectPr>
          <w:pgSz w:w="11910" w:h="16840"/>
          <w:pgMar w:header="877" w:footer="995" w:top="1420" w:bottom="1180" w:left="1640" w:right="920"/>
        </w:sectPr>
      </w:pPr>
    </w:p>
    <w:p>
      <w:pPr>
        <w:pStyle w:val="BodyText"/>
        <w:spacing w:line="417" w:lineRule="auto" w:before="110"/>
        <w:ind w:left="160" w:right="871" w:firstLine="419"/>
        <w:jc w:val="both"/>
      </w:pPr>
      <w:r>
        <w:rPr>
          <w:spacing w:val="-8"/>
        </w:rPr>
        <w:t>根据证券交易资金前端风险控制相关业务规则，中登公司和交易所对交易参与人的证券</w:t>
      </w:r>
      <w:r>
        <w:rPr>
          <w:spacing w:val="-11"/>
        </w:rPr>
        <w:t>交易资金进行前端额度控制，由于执行、调整、暂停该控制，或该控制出现异常等，可能影</w:t>
      </w:r>
      <w:r>
        <w:rPr>
          <w:spacing w:val="-6"/>
        </w:rPr>
        <w:t>响交易的正常进行或者导致投资者人的利益受到影响。</w:t>
      </w:r>
    </w:p>
    <w:p>
      <w:pPr>
        <w:pStyle w:val="BodyText"/>
        <w:spacing w:line="269" w:lineRule="exact"/>
        <w:ind w:left="580"/>
      </w:pPr>
      <w:r>
        <w:rPr>
          <w:rFonts w:ascii="Calibri" w:eastAsia="Calibri"/>
        </w:rPr>
        <w:t>8</w:t>
      </w:r>
      <w:r>
        <w:rPr/>
        <w:t>、政策变更风险</w:t>
      </w:r>
    </w:p>
    <w:p>
      <w:pPr>
        <w:pStyle w:val="BodyText"/>
        <w:spacing w:before="6"/>
        <w:rPr>
          <w:sz w:val="15"/>
        </w:rPr>
      </w:pPr>
    </w:p>
    <w:p>
      <w:pPr>
        <w:pStyle w:val="BodyText"/>
        <w:spacing w:line="417" w:lineRule="auto"/>
        <w:ind w:left="160" w:right="871" w:firstLine="419"/>
        <w:jc w:val="both"/>
      </w:pPr>
      <w:r>
        <w:rPr>
          <w:spacing w:val="-6"/>
        </w:rPr>
        <w:t>因相关法律法规或监管机构政策修改等基金管理人无法控制的因素的变化，使基金或投</w:t>
      </w:r>
      <w:r>
        <w:rPr>
          <w:spacing w:val="-11"/>
        </w:rPr>
        <w:t>资者利益受到影响的风险，例如，监管机构基金估值政策的修改导致基金估值方法的调整而</w:t>
      </w:r>
      <w:r>
        <w:rPr>
          <w:spacing w:val="-13"/>
        </w:rPr>
        <w:t>引起基金净值波动的风险、相关法规的修改导致基金投资范围变化基金管理人为调整投资组</w:t>
      </w:r>
      <w:r>
        <w:rPr>
          <w:spacing w:val="-6"/>
        </w:rPr>
        <w:t>合而引起基金净值波动的风险等。</w:t>
      </w:r>
    </w:p>
    <w:p>
      <w:pPr>
        <w:pStyle w:val="BodyText"/>
        <w:ind w:left="580"/>
      </w:pPr>
      <w:r>
        <w:rPr>
          <w:rFonts w:ascii="Calibri" w:eastAsia="Calibri"/>
        </w:rPr>
        <w:t>9</w:t>
      </w:r>
      <w:r>
        <w:rPr/>
        <w:t>、其他风险</w:t>
      </w:r>
    </w:p>
    <w:p>
      <w:pPr>
        <w:pStyle w:val="BodyText"/>
        <w:spacing w:before="7"/>
        <w:rPr>
          <w:sz w:val="15"/>
        </w:rPr>
      </w:pPr>
    </w:p>
    <w:p>
      <w:pPr>
        <w:pStyle w:val="BodyText"/>
        <w:spacing w:line="417" w:lineRule="auto"/>
        <w:ind w:left="160" w:right="871" w:firstLine="419"/>
        <w:jc w:val="both"/>
      </w:pPr>
      <w:r>
        <w:rPr>
          <w:spacing w:val="-10"/>
        </w:rPr>
        <w:t>战争、自然灾害等不可抗力因素的出现，将会严重影响证券市场的运行，可能导致基金</w:t>
      </w:r>
      <w:r>
        <w:rPr>
          <w:spacing w:val="-12"/>
        </w:rPr>
        <w:t>资产的损失。金融市场危机、行业竞争、代理机构违约、托管行违约等超出基金管理人自身</w:t>
      </w:r>
      <w:r>
        <w:rPr>
          <w:spacing w:val="-6"/>
        </w:rPr>
        <w:t>直接控制能力之外的风险，可能导致基金或者基金份额持有人利益受损。</w:t>
      </w:r>
    </w:p>
    <w:p>
      <w:pPr>
        <w:pStyle w:val="BodyText"/>
        <w:spacing w:line="269" w:lineRule="exact"/>
        <w:ind w:left="580"/>
      </w:pPr>
      <w:r>
        <w:rPr/>
        <w:t>（二）声明</w:t>
      </w:r>
    </w:p>
    <w:p>
      <w:pPr>
        <w:pStyle w:val="BodyText"/>
        <w:spacing w:before="7"/>
        <w:rPr>
          <w:sz w:val="15"/>
        </w:rPr>
      </w:pPr>
    </w:p>
    <w:p>
      <w:pPr>
        <w:pStyle w:val="BodyText"/>
        <w:spacing w:line="417" w:lineRule="auto"/>
        <w:ind w:left="160" w:right="874" w:firstLine="419"/>
      </w:pPr>
      <w:r>
        <w:rPr>
          <w:rFonts w:ascii="Calibri" w:eastAsia="Calibri"/>
        </w:rPr>
        <w:t>1</w:t>
      </w:r>
      <w:r>
        <w:rPr/>
        <w:t>、本基金未经任何一级政府、机构及部门担保。投资者自愿投资于本基金，须自行承担投资风险。</w:t>
      </w:r>
    </w:p>
    <w:p>
      <w:pPr>
        <w:pStyle w:val="BodyText"/>
        <w:spacing w:line="417" w:lineRule="auto"/>
        <w:ind w:left="160" w:right="871" w:firstLine="419"/>
        <w:jc w:val="both"/>
      </w:pPr>
      <w:r>
        <w:rPr>
          <w:rFonts w:ascii="Calibri" w:eastAsia="Calibri"/>
        </w:rPr>
        <w:t>2</w:t>
      </w:r>
      <w:r>
        <w:rPr>
          <w:spacing w:val="-3"/>
        </w:rPr>
        <w:t>、除基金管理人直接办理本基金的销售外，本基金或还通过代销机构销售，但是，本</w:t>
      </w:r>
      <w:r>
        <w:rPr>
          <w:spacing w:val="-8"/>
        </w:rPr>
        <w:t>基金并不是代销机构的存款或负债，也没有经代销机构担保或者背书，代销机构并不能保证</w:t>
      </w:r>
      <w:r>
        <w:rPr>
          <w:spacing w:val="-5"/>
        </w:rPr>
        <w:t>其收益或本金安全。</w:t>
      </w:r>
    </w:p>
    <w:p>
      <w:pPr>
        <w:pStyle w:val="BodyText"/>
        <w:spacing w:line="417" w:lineRule="auto"/>
        <w:ind w:left="160" w:right="871" w:firstLine="419"/>
        <w:jc w:val="both"/>
      </w:pPr>
      <w:r>
        <w:rPr>
          <w:spacing w:val="-9"/>
        </w:rPr>
        <w:t>基金管理人承诺以诚实信用、勤勉尽责的原则管理和运用基金资产，但不保证本基金一</w:t>
      </w:r>
      <w:r>
        <w:rPr>
          <w:spacing w:val="-12"/>
        </w:rPr>
        <w:t>定盈利，也不保证最低收益。本基金的过往业绩及其净值高低并不预示其未来业绩表现。基</w:t>
      </w:r>
      <w:r>
        <w:rPr>
          <w:spacing w:val="-11"/>
        </w:rPr>
        <w:t>金管理人提醒投资者基金投资的“买者自负”原则，在做出投资决策后，基金运营状况与基</w:t>
      </w:r>
      <w:r>
        <w:rPr>
          <w:spacing w:val="-6"/>
        </w:rPr>
        <w:t>金净值变化引致的投资风险，由投资者自行负担。</w:t>
      </w:r>
    </w:p>
    <w:p>
      <w:pPr>
        <w:spacing w:after="0" w:line="417" w:lineRule="auto"/>
        <w:jc w:val="both"/>
        <w:sectPr>
          <w:pgSz w:w="11910" w:h="16840"/>
          <w:pgMar w:header="877" w:footer="995" w:top="1420" w:bottom="1180" w:left="1640" w:right="920"/>
        </w:sectPr>
      </w:pPr>
    </w:p>
    <w:p>
      <w:pPr>
        <w:pStyle w:val="BodyText"/>
        <w:spacing w:before="7"/>
        <w:rPr>
          <w:sz w:val="29"/>
        </w:rPr>
      </w:pPr>
    </w:p>
    <w:p>
      <w:pPr>
        <w:pStyle w:val="Heading1"/>
        <w:ind w:left="2099" w:right="0"/>
        <w:jc w:val="left"/>
      </w:pPr>
      <w:bookmarkStart w:name="_bookmark17" w:id="18"/>
      <w:bookmarkEnd w:id="18"/>
      <w:r>
        <w:rPr>
          <w:b w:val="0"/>
        </w:rPr>
      </w:r>
      <w:r>
        <w:rPr/>
        <w:t>十八、基金合同的变更、终止与基金财产的清算</w:t>
      </w:r>
    </w:p>
    <w:p>
      <w:pPr>
        <w:pStyle w:val="BodyText"/>
        <w:rPr>
          <w:b/>
          <w:sz w:val="20"/>
        </w:rPr>
      </w:pPr>
    </w:p>
    <w:p>
      <w:pPr>
        <w:pStyle w:val="BodyText"/>
        <w:spacing w:before="2"/>
        <w:rPr>
          <w:b/>
        </w:rPr>
      </w:pPr>
    </w:p>
    <w:p>
      <w:pPr>
        <w:pStyle w:val="BodyText"/>
        <w:ind w:left="580"/>
      </w:pPr>
      <w:r>
        <w:rPr/>
        <w:t>（一</w:t>
      </w:r>
      <w:r>
        <w:rPr>
          <w:spacing w:val="-108"/>
        </w:rPr>
        <w:t>）</w:t>
      </w:r>
      <w:r>
        <w:rPr>
          <w:spacing w:val="-3"/>
        </w:rPr>
        <w:t>《基金合同》的变更</w:t>
      </w:r>
    </w:p>
    <w:p>
      <w:pPr>
        <w:pStyle w:val="BodyText"/>
        <w:spacing w:before="7"/>
        <w:rPr>
          <w:sz w:val="15"/>
        </w:rPr>
      </w:pPr>
    </w:p>
    <w:p>
      <w:pPr>
        <w:pStyle w:val="BodyText"/>
        <w:spacing w:line="417" w:lineRule="auto"/>
        <w:ind w:left="160" w:right="871" w:firstLine="419"/>
        <w:jc w:val="both"/>
      </w:pPr>
      <w:r>
        <w:rPr>
          <w:rFonts w:ascii="Calibri" w:eastAsia="Calibri"/>
        </w:rPr>
        <w:t>1</w:t>
      </w:r>
      <w:r>
        <w:rPr>
          <w:spacing w:val="-3"/>
        </w:rPr>
        <w:t>、变更基金合同涉及法律法规规定或基金合同约定应经基金份额持有人大会决议通过</w:t>
      </w:r>
      <w:r>
        <w:rPr>
          <w:spacing w:val="-11"/>
        </w:rPr>
        <w:t>的事项的，应召开基金份额持有人大会决议通过。对于可不经基金份额持有人大会决议通过</w:t>
      </w:r>
      <w:r>
        <w:rPr>
          <w:spacing w:val="-6"/>
        </w:rPr>
        <w:t>的事项，由基金管理人和基金托管人同意后变更并公告，并报中国证监会备案。</w:t>
      </w:r>
    </w:p>
    <w:p>
      <w:pPr>
        <w:pStyle w:val="BodyText"/>
        <w:spacing w:line="417" w:lineRule="auto"/>
        <w:ind w:left="160" w:right="874" w:firstLine="419"/>
      </w:pPr>
      <w:r>
        <w:rPr>
          <w:rFonts w:ascii="Calibri" w:eastAsia="Calibri"/>
        </w:rPr>
        <w:t>2</w:t>
      </w:r>
      <w:r>
        <w:rPr/>
        <w:t>、关于《基金合同》变更的基金份额持有人大会决议自表决通过之日起生效，自决议生效后两日内在指定媒介公告。</w:t>
      </w:r>
    </w:p>
    <w:p>
      <w:pPr>
        <w:pStyle w:val="BodyText"/>
        <w:ind w:left="580"/>
      </w:pPr>
      <w:r>
        <w:rPr/>
        <w:t>（二</w:t>
      </w:r>
      <w:r>
        <w:rPr>
          <w:spacing w:val="-108"/>
        </w:rPr>
        <w:t>）</w:t>
      </w:r>
      <w:r>
        <w:rPr>
          <w:spacing w:val="-3"/>
        </w:rPr>
        <w:t>《基金合同》的终止事由</w:t>
      </w:r>
    </w:p>
    <w:p>
      <w:pPr>
        <w:pStyle w:val="BodyText"/>
        <w:spacing w:before="6"/>
        <w:rPr>
          <w:sz w:val="15"/>
        </w:rPr>
      </w:pPr>
    </w:p>
    <w:p>
      <w:pPr>
        <w:pStyle w:val="BodyText"/>
        <w:spacing w:before="1"/>
        <w:ind w:left="580"/>
      </w:pPr>
      <w:r>
        <w:rPr/>
        <w:t>有下列情形之一的，《基金合同》应当终止：</w:t>
      </w:r>
    </w:p>
    <w:p>
      <w:pPr>
        <w:pStyle w:val="BodyText"/>
        <w:spacing w:before="6"/>
        <w:rPr>
          <w:sz w:val="15"/>
        </w:rPr>
      </w:pPr>
    </w:p>
    <w:p>
      <w:pPr>
        <w:pStyle w:val="BodyText"/>
        <w:ind w:left="580"/>
      </w:pPr>
      <w:r>
        <w:rPr>
          <w:rFonts w:ascii="Calibri" w:eastAsia="Calibri"/>
        </w:rPr>
        <w:t>1</w:t>
      </w:r>
      <w:r>
        <w:rPr/>
        <w:t>、基金份额持有人大会决定终止的。</w:t>
      </w:r>
    </w:p>
    <w:p>
      <w:pPr>
        <w:pStyle w:val="BodyText"/>
        <w:spacing w:before="7"/>
        <w:rPr>
          <w:sz w:val="15"/>
        </w:rPr>
      </w:pPr>
    </w:p>
    <w:p>
      <w:pPr>
        <w:pStyle w:val="BodyText"/>
        <w:spacing w:line="417" w:lineRule="auto"/>
        <w:ind w:left="160" w:right="818" w:firstLine="419"/>
      </w:pPr>
      <w:r>
        <w:rPr>
          <w:rFonts w:ascii="Calibri" w:eastAsia="Calibri"/>
        </w:rPr>
        <w:t>2</w:t>
      </w:r>
      <w:r>
        <w:rPr/>
        <w:t>、基金管理人、基金托管人职责终止，在 </w:t>
      </w:r>
      <w:r>
        <w:rPr>
          <w:rFonts w:ascii="Calibri" w:eastAsia="Calibri"/>
        </w:rPr>
        <w:t>6 </w:t>
      </w:r>
      <w:r>
        <w:rPr/>
        <w:t>个月内没有新基金管理人、新基金托管人承接的。</w:t>
      </w:r>
    </w:p>
    <w:p>
      <w:pPr>
        <w:pStyle w:val="BodyText"/>
        <w:spacing w:line="417" w:lineRule="auto"/>
        <w:ind w:left="160" w:right="818" w:firstLine="419"/>
      </w:pPr>
      <w:r>
        <w:rPr>
          <w:rFonts w:ascii="Calibri" w:eastAsia="Calibri"/>
        </w:rPr>
        <w:t>3</w:t>
      </w:r>
      <w:r>
        <w:rPr/>
        <w:t>、基金合同生效之日起三年后的对应日，基金资产规模低于 </w:t>
      </w:r>
      <w:r>
        <w:rPr>
          <w:rFonts w:ascii="Calibri" w:eastAsia="Calibri"/>
        </w:rPr>
        <w:t>2 </w:t>
      </w:r>
      <w:r>
        <w:rPr/>
        <w:t>亿元的。法律法规或中国证监会另有规定时从其规定；</w:t>
      </w:r>
    </w:p>
    <w:p>
      <w:pPr>
        <w:pStyle w:val="BodyText"/>
        <w:ind w:left="580"/>
      </w:pPr>
      <w:r>
        <w:rPr>
          <w:rFonts w:ascii="Calibri" w:eastAsia="Calibri"/>
        </w:rPr>
        <w:t>4</w:t>
      </w:r>
      <w:r>
        <w:rPr/>
        <w:t>、《基金合同》约定的其他情形。</w:t>
      </w:r>
    </w:p>
    <w:p>
      <w:pPr>
        <w:pStyle w:val="BodyText"/>
        <w:spacing w:before="6"/>
        <w:rPr>
          <w:sz w:val="15"/>
        </w:rPr>
      </w:pPr>
    </w:p>
    <w:p>
      <w:pPr>
        <w:pStyle w:val="BodyText"/>
        <w:spacing w:before="1"/>
        <w:ind w:left="580"/>
      </w:pPr>
      <w:r>
        <w:rPr>
          <w:rFonts w:ascii="Calibri" w:eastAsia="Calibri"/>
        </w:rPr>
        <w:t>5</w:t>
      </w:r>
      <w:r>
        <w:rPr/>
        <w:t>、相关法律法规和中国证监会规定的其他情况。</w:t>
      </w:r>
    </w:p>
    <w:p>
      <w:pPr>
        <w:pStyle w:val="BodyText"/>
        <w:spacing w:before="6"/>
        <w:rPr>
          <w:sz w:val="15"/>
        </w:rPr>
      </w:pPr>
    </w:p>
    <w:p>
      <w:pPr>
        <w:pStyle w:val="BodyText"/>
        <w:ind w:left="580"/>
      </w:pPr>
      <w:r>
        <w:rPr/>
        <w:t>（三）基金财产的清算</w:t>
      </w:r>
    </w:p>
    <w:p>
      <w:pPr>
        <w:pStyle w:val="BodyText"/>
        <w:spacing w:before="7"/>
        <w:rPr>
          <w:sz w:val="15"/>
        </w:rPr>
      </w:pPr>
    </w:p>
    <w:p>
      <w:pPr>
        <w:pStyle w:val="BodyText"/>
        <w:spacing w:line="417" w:lineRule="auto"/>
        <w:ind w:left="160" w:right="873" w:firstLine="419"/>
        <w:jc w:val="both"/>
      </w:pPr>
      <w:r>
        <w:rPr>
          <w:rFonts w:ascii="Calibri" w:eastAsia="Calibri"/>
        </w:rPr>
        <w:t>1</w:t>
      </w:r>
      <w:r>
        <w:rPr>
          <w:spacing w:val="-13"/>
        </w:rPr>
        <w:t>、基金财产清算小组：自出现《基金合同》终止事由之日起 </w:t>
      </w:r>
      <w:r>
        <w:rPr>
          <w:rFonts w:ascii="Calibri" w:eastAsia="Calibri"/>
        </w:rPr>
        <w:t>30 </w:t>
      </w:r>
      <w:r>
        <w:rPr>
          <w:spacing w:val="-3"/>
        </w:rPr>
        <w:t>个工作日内成立清算小组，基金管理人组织基金财产清算小组并在中国证监会的监督下进行基金清算。</w:t>
      </w:r>
    </w:p>
    <w:p>
      <w:pPr>
        <w:pStyle w:val="BodyText"/>
        <w:spacing w:line="417" w:lineRule="auto"/>
        <w:ind w:left="160" w:right="871" w:firstLine="419"/>
        <w:jc w:val="both"/>
      </w:pPr>
      <w:r>
        <w:rPr>
          <w:rFonts w:ascii="Calibri" w:eastAsia="Calibri"/>
        </w:rPr>
        <w:t>2</w:t>
      </w:r>
      <w:r>
        <w:rPr>
          <w:spacing w:val="-3"/>
        </w:rPr>
        <w:t>、基金财产清算小组组成：基金财产清算小组成员由基金管理人、基金托管人、具有</w:t>
      </w:r>
      <w:r>
        <w:rPr>
          <w:spacing w:val="-8"/>
        </w:rPr>
        <w:t>从事证券相关业务资格的注册会计师、律师以及中国证监会指定的人员组成。基金财产清算</w:t>
      </w:r>
      <w:r>
        <w:rPr>
          <w:spacing w:val="-5"/>
        </w:rPr>
        <w:t>小组可以聘用必要的工作人员。</w:t>
      </w:r>
    </w:p>
    <w:p>
      <w:pPr>
        <w:pStyle w:val="BodyText"/>
        <w:spacing w:line="417" w:lineRule="auto"/>
        <w:ind w:left="160" w:right="874" w:firstLine="419"/>
      </w:pPr>
      <w:r>
        <w:rPr>
          <w:rFonts w:ascii="Calibri" w:eastAsia="Calibri"/>
        </w:rPr>
        <w:t>3</w:t>
      </w:r>
      <w:r>
        <w:rPr/>
        <w:t>、基金财产清算小组职责：基金财产清算小组负责基金财产的保管、清理、估价、变现和分配。基金财产清算小组可以依法进行必要的民事活动。</w:t>
      </w:r>
    </w:p>
    <w:p>
      <w:pPr>
        <w:pStyle w:val="BodyText"/>
        <w:spacing w:line="269" w:lineRule="exact"/>
        <w:ind w:left="580"/>
      </w:pPr>
      <w:r>
        <w:rPr>
          <w:rFonts w:ascii="Calibri" w:eastAsia="Calibri"/>
        </w:rPr>
        <w:t>4</w:t>
      </w:r>
      <w:r>
        <w:rPr/>
        <w:t>、基金财产清算程序：</w:t>
      </w:r>
    </w:p>
    <w:p>
      <w:pPr>
        <w:pStyle w:val="BodyText"/>
        <w:spacing w:before="6"/>
        <w:rPr>
          <w:sz w:val="15"/>
        </w:rPr>
      </w:pPr>
    </w:p>
    <w:p>
      <w:pPr>
        <w:pStyle w:val="ListParagraph"/>
        <w:numPr>
          <w:ilvl w:val="0"/>
          <w:numId w:val="35"/>
        </w:numPr>
        <w:tabs>
          <w:tab w:pos="1112" w:val="left" w:leader="none"/>
        </w:tabs>
        <w:spacing w:line="240" w:lineRule="auto" w:before="1" w:after="0"/>
        <w:ind w:left="1111" w:right="0" w:hanging="532"/>
        <w:jc w:val="left"/>
        <w:rPr>
          <w:sz w:val="21"/>
        </w:rPr>
      </w:pPr>
      <w:r>
        <w:rPr>
          <w:spacing w:val="-3"/>
          <w:sz w:val="21"/>
        </w:rPr>
        <w:t>《基金合同》终止情形出现时，由基金财产清算小组统一接管基金；</w:t>
      </w:r>
    </w:p>
    <w:p>
      <w:pPr>
        <w:pStyle w:val="BodyText"/>
        <w:spacing w:before="6"/>
        <w:rPr>
          <w:sz w:val="15"/>
        </w:rPr>
      </w:pPr>
    </w:p>
    <w:p>
      <w:pPr>
        <w:pStyle w:val="ListParagraph"/>
        <w:numPr>
          <w:ilvl w:val="0"/>
          <w:numId w:val="35"/>
        </w:numPr>
        <w:tabs>
          <w:tab w:pos="1110" w:val="left" w:leader="none"/>
        </w:tabs>
        <w:spacing w:line="240" w:lineRule="auto" w:before="0" w:after="0"/>
        <w:ind w:left="1109" w:right="0" w:hanging="530"/>
        <w:jc w:val="left"/>
        <w:rPr>
          <w:sz w:val="21"/>
        </w:rPr>
      </w:pPr>
      <w:r>
        <w:rPr>
          <w:spacing w:val="-3"/>
          <w:sz w:val="21"/>
        </w:rPr>
        <w:t>对基金财产和债权债务进行清理和确认；</w:t>
      </w:r>
    </w:p>
    <w:p>
      <w:pPr>
        <w:pStyle w:val="BodyText"/>
        <w:spacing w:before="7"/>
        <w:rPr>
          <w:sz w:val="15"/>
        </w:rPr>
      </w:pPr>
    </w:p>
    <w:p>
      <w:pPr>
        <w:pStyle w:val="ListParagraph"/>
        <w:numPr>
          <w:ilvl w:val="0"/>
          <w:numId w:val="35"/>
        </w:numPr>
        <w:tabs>
          <w:tab w:pos="1110" w:val="left" w:leader="none"/>
        </w:tabs>
        <w:spacing w:line="240" w:lineRule="auto" w:before="0" w:after="0"/>
        <w:ind w:left="1109" w:right="0" w:hanging="530"/>
        <w:jc w:val="left"/>
        <w:rPr>
          <w:sz w:val="21"/>
        </w:rPr>
      </w:pPr>
      <w:r>
        <w:rPr>
          <w:spacing w:val="-3"/>
          <w:sz w:val="21"/>
        </w:rPr>
        <w:t>对基金财产进行估值和变现；</w:t>
      </w:r>
    </w:p>
    <w:p>
      <w:pPr>
        <w:spacing w:after="0" w:line="240" w:lineRule="auto"/>
        <w:jc w:val="left"/>
        <w:rPr>
          <w:sz w:val="21"/>
        </w:rPr>
        <w:sectPr>
          <w:pgSz w:w="11910" w:h="16840"/>
          <w:pgMar w:header="877" w:footer="995" w:top="1420" w:bottom="1180" w:left="1640" w:right="920"/>
        </w:sectPr>
      </w:pPr>
    </w:p>
    <w:p>
      <w:pPr>
        <w:pStyle w:val="ListParagraph"/>
        <w:numPr>
          <w:ilvl w:val="0"/>
          <w:numId w:val="35"/>
        </w:numPr>
        <w:tabs>
          <w:tab w:pos="1110" w:val="left" w:leader="none"/>
        </w:tabs>
        <w:spacing w:line="240" w:lineRule="auto" w:before="110" w:after="0"/>
        <w:ind w:left="1109" w:right="0" w:hanging="530"/>
        <w:jc w:val="left"/>
        <w:rPr>
          <w:sz w:val="21"/>
        </w:rPr>
      </w:pPr>
      <w:r>
        <w:rPr>
          <w:spacing w:val="-3"/>
          <w:sz w:val="21"/>
        </w:rPr>
        <w:t>制作清算报告；</w:t>
      </w:r>
    </w:p>
    <w:p>
      <w:pPr>
        <w:pStyle w:val="BodyText"/>
        <w:spacing w:before="6"/>
        <w:rPr>
          <w:sz w:val="15"/>
        </w:rPr>
      </w:pPr>
    </w:p>
    <w:p>
      <w:pPr>
        <w:pStyle w:val="ListParagraph"/>
        <w:numPr>
          <w:ilvl w:val="0"/>
          <w:numId w:val="35"/>
        </w:numPr>
        <w:tabs>
          <w:tab w:pos="1112" w:val="left" w:leader="none"/>
        </w:tabs>
        <w:spacing w:line="417" w:lineRule="auto" w:before="0" w:after="0"/>
        <w:ind w:left="160" w:right="874" w:firstLine="419"/>
        <w:jc w:val="left"/>
        <w:rPr>
          <w:sz w:val="21"/>
        </w:rPr>
      </w:pPr>
      <w:r>
        <w:rPr>
          <w:spacing w:val="-3"/>
          <w:sz w:val="21"/>
        </w:rPr>
        <w:t>聘请会计师事务所对清算报告进行外部审计，聘请律师事务所对清算报告出具法律意见书；</w:t>
      </w:r>
    </w:p>
    <w:p>
      <w:pPr>
        <w:pStyle w:val="ListParagraph"/>
        <w:numPr>
          <w:ilvl w:val="0"/>
          <w:numId w:val="35"/>
        </w:numPr>
        <w:tabs>
          <w:tab w:pos="1110" w:val="left" w:leader="none"/>
        </w:tabs>
        <w:spacing w:line="269" w:lineRule="exact" w:before="0" w:after="0"/>
        <w:ind w:left="1109" w:right="0" w:hanging="530"/>
        <w:jc w:val="left"/>
        <w:rPr>
          <w:sz w:val="21"/>
        </w:rPr>
      </w:pPr>
      <w:r>
        <w:rPr>
          <w:spacing w:val="-3"/>
          <w:sz w:val="21"/>
        </w:rPr>
        <w:t>将清算报告报中国证监会备案并公告。</w:t>
      </w:r>
    </w:p>
    <w:p>
      <w:pPr>
        <w:pStyle w:val="BodyText"/>
        <w:spacing w:before="7"/>
        <w:rPr>
          <w:sz w:val="15"/>
        </w:rPr>
      </w:pPr>
    </w:p>
    <w:p>
      <w:pPr>
        <w:pStyle w:val="ListParagraph"/>
        <w:numPr>
          <w:ilvl w:val="0"/>
          <w:numId w:val="35"/>
        </w:numPr>
        <w:tabs>
          <w:tab w:pos="1110" w:val="left" w:leader="none"/>
        </w:tabs>
        <w:spacing w:line="240" w:lineRule="auto" w:before="0" w:after="0"/>
        <w:ind w:left="1109" w:right="0" w:hanging="530"/>
        <w:jc w:val="left"/>
        <w:rPr>
          <w:sz w:val="21"/>
        </w:rPr>
      </w:pPr>
      <w:r>
        <w:rPr>
          <w:spacing w:val="-3"/>
          <w:sz w:val="21"/>
        </w:rPr>
        <w:t>对基金财产进行分配；</w:t>
      </w:r>
    </w:p>
    <w:p>
      <w:pPr>
        <w:pStyle w:val="BodyText"/>
        <w:spacing w:before="7"/>
        <w:rPr>
          <w:sz w:val="15"/>
        </w:rPr>
      </w:pPr>
    </w:p>
    <w:p>
      <w:pPr>
        <w:pStyle w:val="BodyText"/>
        <w:spacing w:line="417" w:lineRule="auto"/>
        <w:ind w:left="160" w:right="818" w:firstLine="419"/>
      </w:pPr>
      <w:r>
        <w:rPr>
          <w:rFonts w:ascii="Calibri" w:eastAsia="Calibri"/>
        </w:rPr>
        <w:t>5</w:t>
      </w:r>
      <w:r>
        <w:rPr/>
        <w:t>、基金财产清算的期限为 </w:t>
      </w:r>
      <w:r>
        <w:rPr>
          <w:rFonts w:ascii="Calibri" w:eastAsia="Calibri"/>
        </w:rPr>
        <w:t>6 </w:t>
      </w:r>
      <w:r>
        <w:rPr/>
        <w:t>个月，但因本基金所持证券的流动性受到限制而不能及时变现的，清算期限相应顺延。</w:t>
      </w:r>
    </w:p>
    <w:p>
      <w:pPr>
        <w:pStyle w:val="BodyText"/>
        <w:ind w:left="580"/>
      </w:pPr>
      <w:r>
        <w:rPr/>
        <w:t>（四）清算费用</w:t>
      </w:r>
    </w:p>
    <w:p>
      <w:pPr>
        <w:pStyle w:val="BodyText"/>
        <w:spacing w:before="7"/>
        <w:rPr>
          <w:sz w:val="15"/>
        </w:rPr>
      </w:pPr>
    </w:p>
    <w:p>
      <w:pPr>
        <w:pStyle w:val="BodyText"/>
        <w:spacing w:line="417" w:lineRule="auto"/>
        <w:ind w:left="160" w:right="871" w:firstLine="419"/>
      </w:pPr>
      <w:r>
        <w:rPr>
          <w:spacing w:val="-6"/>
        </w:rPr>
        <w:t>清算费用是指基金财产清算小组在进行基金清算过程中发生的所有合理费用，清算费用</w:t>
      </w:r>
      <w:r>
        <w:rPr>
          <w:spacing w:val="-4"/>
        </w:rPr>
        <w:t>由基金财产清算小组优先从基金财产中支付。</w:t>
      </w:r>
    </w:p>
    <w:p>
      <w:pPr>
        <w:pStyle w:val="BodyText"/>
        <w:spacing w:line="269" w:lineRule="exact"/>
        <w:ind w:left="580"/>
      </w:pPr>
      <w:r>
        <w:rPr/>
        <w:t>（五）基金财产清算剩余资产的分配</w:t>
      </w:r>
    </w:p>
    <w:p>
      <w:pPr>
        <w:pStyle w:val="BodyText"/>
        <w:spacing w:before="7"/>
        <w:rPr>
          <w:sz w:val="15"/>
        </w:rPr>
      </w:pPr>
    </w:p>
    <w:p>
      <w:pPr>
        <w:pStyle w:val="BodyText"/>
        <w:spacing w:line="417" w:lineRule="auto"/>
        <w:ind w:left="160" w:right="871" w:firstLine="419"/>
      </w:pPr>
      <w:r>
        <w:rPr>
          <w:spacing w:val="-10"/>
        </w:rPr>
        <w:t>依据基金财产清算的分配方案，将基金财产清算后的全部剩余资产扣除基金财产清算费</w:t>
      </w:r>
      <w:r>
        <w:rPr>
          <w:spacing w:val="-5"/>
        </w:rPr>
        <w:t>用、交纳所欠税款并清偿基金债务后，按基金份额持有人持有的基金份额比例进行分配。</w:t>
      </w:r>
    </w:p>
    <w:p>
      <w:pPr>
        <w:pStyle w:val="BodyText"/>
        <w:spacing w:line="269" w:lineRule="exact"/>
        <w:ind w:left="580"/>
      </w:pPr>
      <w:r>
        <w:rPr/>
        <w:t>（六）基金财产清算的公告</w:t>
      </w:r>
    </w:p>
    <w:p>
      <w:pPr>
        <w:pStyle w:val="BodyText"/>
        <w:spacing w:before="7"/>
        <w:rPr>
          <w:sz w:val="15"/>
        </w:rPr>
      </w:pPr>
    </w:p>
    <w:p>
      <w:pPr>
        <w:pStyle w:val="BodyText"/>
        <w:spacing w:line="417" w:lineRule="auto"/>
        <w:ind w:left="160" w:right="871" w:firstLine="419"/>
        <w:jc w:val="both"/>
      </w:pPr>
      <w:r>
        <w:rPr>
          <w:spacing w:val="-9"/>
        </w:rPr>
        <w:t>清算过程中的有关重大事项须及时公告；基金财产清算报告经会计师事务所审计并由律师事务所出具法律意见书后报中国证监会备案并公告。基金财产清算公告于基金财产清算报</w:t>
      </w:r>
      <w:r>
        <w:rPr>
          <w:spacing w:val="-10"/>
        </w:rPr>
        <w:t>告报中国证监会备案后 </w:t>
      </w:r>
      <w:r>
        <w:rPr>
          <w:rFonts w:ascii="Calibri" w:eastAsia="Calibri"/>
        </w:rPr>
        <w:t>5 </w:t>
      </w:r>
      <w:r>
        <w:rPr>
          <w:spacing w:val="-3"/>
        </w:rPr>
        <w:t>个工作日内由基金财产清算小组进行公告。</w:t>
      </w:r>
    </w:p>
    <w:p>
      <w:pPr>
        <w:pStyle w:val="BodyText"/>
        <w:spacing w:line="269" w:lineRule="exact"/>
        <w:ind w:left="580"/>
      </w:pPr>
      <w:r>
        <w:rPr/>
        <w:t>（七）基金财产清算账册及文件的保存</w:t>
      </w:r>
    </w:p>
    <w:p>
      <w:pPr>
        <w:pStyle w:val="BodyText"/>
        <w:spacing w:before="6"/>
        <w:rPr>
          <w:sz w:val="15"/>
        </w:rPr>
      </w:pPr>
    </w:p>
    <w:p>
      <w:pPr>
        <w:pStyle w:val="BodyText"/>
        <w:spacing w:before="1"/>
        <w:ind w:left="580"/>
      </w:pPr>
      <w:r>
        <w:rPr/>
        <w:t>基金财产清算账册及有关文件由基金托管人保存 </w:t>
      </w:r>
      <w:r>
        <w:rPr>
          <w:rFonts w:ascii="Calibri" w:eastAsia="Calibri"/>
        </w:rPr>
        <w:t>15 </w:t>
      </w:r>
      <w:r>
        <w:rPr/>
        <w:t>年以上。</w:t>
      </w:r>
    </w:p>
    <w:p>
      <w:pPr>
        <w:spacing w:after="0"/>
        <w:sectPr>
          <w:pgSz w:w="11910" w:h="16840"/>
          <w:pgMar w:header="877" w:footer="995" w:top="1420" w:bottom="1180" w:left="1640" w:right="920"/>
        </w:sectPr>
      </w:pPr>
    </w:p>
    <w:p>
      <w:pPr>
        <w:pStyle w:val="BodyText"/>
        <w:spacing w:before="7"/>
        <w:rPr>
          <w:sz w:val="29"/>
        </w:rPr>
      </w:pPr>
    </w:p>
    <w:p>
      <w:pPr>
        <w:spacing w:line="710" w:lineRule="auto" w:before="72"/>
        <w:ind w:left="580" w:right="3766" w:firstLine="2467"/>
        <w:jc w:val="left"/>
        <w:rPr>
          <w:sz w:val="21"/>
        </w:rPr>
      </w:pPr>
      <w:bookmarkStart w:name="_bookmark18" w:id="19"/>
      <w:bookmarkEnd w:id="19"/>
      <w:r>
        <w:rPr/>
      </w:r>
      <w:r>
        <w:rPr>
          <w:b/>
          <w:sz w:val="21"/>
        </w:rPr>
        <w:t>十九、基金合同的内容摘要</w:t>
      </w:r>
      <w:r>
        <w:rPr>
          <w:sz w:val="21"/>
        </w:rPr>
        <w:t>基金合同的内容摘要见附件一。</w:t>
      </w:r>
    </w:p>
    <w:p>
      <w:pPr>
        <w:spacing w:after="0" w:line="710" w:lineRule="auto"/>
        <w:jc w:val="left"/>
        <w:rPr>
          <w:sz w:val="21"/>
        </w:rPr>
        <w:sectPr>
          <w:pgSz w:w="11910" w:h="16840"/>
          <w:pgMar w:header="877" w:footer="995" w:top="1420" w:bottom="1180" w:left="1640" w:right="920"/>
        </w:sectPr>
      </w:pPr>
    </w:p>
    <w:p>
      <w:pPr>
        <w:pStyle w:val="BodyText"/>
        <w:spacing w:before="7"/>
        <w:rPr>
          <w:sz w:val="29"/>
        </w:rPr>
      </w:pPr>
    </w:p>
    <w:p>
      <w:pPr>
        <w:spacing w:line="710" w:lineRule="auto" w:before="72"/>
        <w:ind w:left="580" w:right="3555" w:firstLine="2256"/>
        <w:jc w:val="left"/>
        <w:rPr>
          <w:sz w:val="21"/>
        </w:rPr>
      </w:pPr>
      <w:bookmarkStart w:name="_bookmark19" w:id="20"/>
      <w:bookmarkEnd w:id="20"/>
      <w:r>
        <w:rPr/>
      </w:r>
      <w:r>
        <w:rPr>
          <w:b/>
          <w:sz w:val="21"/>
        </w:rPr>
        <w:t>二十、基金托管协议的内容摘要</w:t>
      </w:r>
      <w:r>
        <w:rPr>
          <w:sz w:val="21"/>
        </w:rPr>
        <w:t>基金托管协议的内容摘要见附件二。</w:t>
      </w:r>
    </w:p>
    <w:p>
      <w:pPr>
        <w:spacing w:after="0" w:line="710" w:lineRule="auto"/>
        <w:jc w:val="left"/>
        <w:rPr>
          <w:sz w:val="21"/>
        </w:rPr>
        <w:sectPr>
          <w:pgSz w:w="11910" w:h="16840"/>
          <w:pgMar w:header="877" w:footer="995" w:top="1420" w:bottom="1180" w:left="1640" w:right="920"/>
        </w:sectPr>
      </w:pPr>
    </w:p>
    <w:p>
      <w:pPr>
        <w:pStyle w:val="BodyText"/>
        <w:spacing w:before="7"/>
        <w:rPr>
          <w:sz w:val="29"/>
        </w:rPr>
      </w:pPr>
    </w:p>
    <w:p>
      <w:pPr>
        <w:pStyle w:val="Heading1"/>
        <w:ind w:left="2733" w:right="0"/>
        <w:jc w:val="left"/>
      </w:pPr>
      <w:bookmarkStart w:name="_bookmark20" w:id="21"/>
      <w:bookmarkEnd w:id="21"/>
      <w:r>
        <w:rPr>
          <w:b w:val="0"/>
        </w:rPr>
      </w:r>
      <w:r>
        <w:rPr/>
        <w:t>二十一、对基金份额持有人的服务</w:t>
      </w:r>
    </w:p>
    <w:p>
      <w:pPr>
        <w:pStyle w:val="BodyText"/>
        <w:rPr>
          <w:b/>
          <w:sz w:val="20"/>
        </w:rPr>
      </w:pPr>
    </w:p>
    <w:p>
      <w:pPr>
        <w:pStyle w:val="BodyText"/>
        <w:spacing w:before="2"/>
        <w:rPr>
          <w:b/>
        </w:rPr>
      </w:pPr>
    </w:p>
    <w:p>
      <w:pPr>
        <w:pStyle w:val="BodyText"/>
        <w:ind w:left="580"/>
      </w:pPr>
      <w:r>
        <w:rPr>
          <w:spacing w:val="-3"/>
        </w:rPr>
        <w:t>对本基金份额持有人的服务主要由基金管理人和代销机构提供。</w:t>
      </w:r>
    </w:p>
    <w:p>
      <w:pPr>
        <w:pStyle w:val="BodyText"/>
        <w:spacing w:before="7"/>
        <w:rPr>
          <w:sz w:val="15"/>
        </w:rPr>
      </w:pPr>
    </w:p>
    <w:p>
      <w:pPr>
        <w:pStyle w:val="BodyText"/>
        <w:spacing w:line="417" w:lineRule="auto"/>
        <w:ind w:left="160" w:right="871" w:firstLine="419"/>
      </w:pPr>
      <w:r>
        <w:rPr>
          <w:spacing w:val="-7"/>
        </w:rPr>
        <w:t>基金管理人承诺为基金份额持有人提供一系列的服务。基金管理人将根据基金份额持有</w:t>
      </w:r>
      <w:r>
        <w:rPr>
          <w:spacing w:val="-5"/>
        </w:rPr>
        <w:t>人的需要和市场的变化，增加或变更服务项目。主要服务内容如下：</w:t>
      </w:r>
    </w:p>
    <w:p>
      <w:pPr>
        <w:pStyle w:val="BodyText"/>
        <w:spacing w:line="269" w:lineRule="exact"/>
        <w:ind w:left="580"/>
      </w:pPr>
      <w:r>
        <w:rPr/>
        <w:t>（一）资料发送</w:t>
      </w:r>
    </w:p>
    <w:p>
      <w:pPr>
        <w:pStyle w:val="BodyText"/>
        <w:spacing w:before="7"/>
        <w:rPr>
          <w:sz w:val="15"/>
        </w:rPr>
      </w:pPr>
    </w:p>
    <w:p>
      <w:pPr>
        <w:pStyle w:val="BodyText"/>
        <w:ind w:left="580"/>
      </w:pPr>
      <w:r>
        <w:rPr>
          <w:rFonts w:ascii="Calibri" w:eastAsia="Calibri"/>
        </w:rPr>
        <w:t>1</w:t>
      </w:r>
      <w:r>
        <w:rPr/>
        <w:t>、基金交易对账单</w:t>
      </w:r>
    </w:p>
    <w:p>
      <w:pPr>
        <w:pStyle w:val="BodyText"/>
        <w:spacing w:before="7"/>
        <w:rPr>
          <w:sz w:val="15"/>
        </w:rPr>
      </w:pPr>
    </w:p>
    <w:p>
      <w:pPr>
        <w:pStyle w:val="BodyText"/>
        <w:spacing w:line="417" w:lineRule="auto"/>
        <w:ind w:left="160" w:right="768" w:firstLine="419"/>
      </w:pPr>
      <w:r>
        <w:rPr>
          <w:spacing w:val="-7"/>
        </w:rPr>
        <w:t>基金管理人根据持有人账户情况定期或不定期发送对账单，但由于基金份额持有人在本</w:t>
      </w:r>
      <w:r>
        <w:rPr>
          <w:spacing w:val="-4"/>
        </w:rPr>
        <w:t>公司未详实填写或更新客户资料</w:t>
      </w:r>
      <w:r>
        <w:rPr/>
        <w:t>（</w:t>
      </w:r>
      <w:r>
        <w:rPr>
          <w:spacing w:val="-3"/>
        </w:rPr>
        <w:t>含姓名、手机号码、电子邮箱、邮寄地址、邮政编码等</w:t>
      </w:r>
      <w:r>
        <w:rPr/>
        <w:t>） </w:t>
      </w:r>
      <w:r>
        <w:rPr>
          <w:spacing w:val="-3"/>
        </w:rPr>
        <w:t>导致基金管理人无法送出的除外。</w:t>
      </w:r>
    </w:p>
    <w:p>
      <w:pPr>
        <w:pStyle w:val="BodyText"/>
        <w:spacing w:line="269" w:lineRule="exact"/>
        <w:ind w:left="580"/>
      </w:pPr>
      <w:r>
        <w:rPr>
          <w:rFonts w:ascii="Calibri" w:eastAsia="Calibri"/>
        </w:rPr>
        <w:t>2</w:t>
      </w:r>
      <w:r>
        <w:rPr/>
        <w:t>、其他相关的信息资料</w:t>
      </w:r>
    </w:p>
    <w:p>
      <w:pPr>
        <w:pStyle w:val="BodyText"/>
        <w:spacing w:before="7"/>
        <w:rPr>
          <w:sz w:val="15"/>
        </w:rPr>
      </w:pPr>
    </w:p>
    <w:p>
      <w:pPr>
        <w:pStyle w:val="BodyText"/>
        <w:spacing w:line="417" w:lineRule="auto"/>
        <w:ind w:left="160" w:right="768" w:firstLine="419"/>
      </w:pPr>
      <w:r>
        <w:rPr/>
        <w:t>指随基金交易对账单不定期发送的基金资讯材料，如基金新产品或新服务的相关材料、客户服务问答等。</w:t>
      </w:r>
    </w:p>
    <w:p>
      <w:pPr>
        <w:pStyle w:val="BodyText"/>
        <w:spacing w:line="269" w:lineRule="exact"/>
        <w:ind w:left="580"/>
      </w:pPr>
      <w:r>
        <w:rPr/>
        <w:t>（二）电子交易</w:t>
      </w:r>
    </w:p>
    <w:p>
      <w:pPr>
        <w:pStyle w:val="BodyText"/>
        <w:spacing w:before="7"/>
        <w:rPr>
          <w:sz w:val="15"/>
        </w:rPr>
      </w:pPr>
    </w:p>
    <w:p>
      <w:pPr>
        <w:pStyle w:val="BodyText"/>
        <w:spacing w:line="417" w:lineRule="auto"/>
        <w:ind w:left="160" w:right="768" w:firstLine="419"/>
      </w:pPr>
      <w:r>
        <w:rPr>
          <w:spacing w:val="-9"/>
        </w:rPr>
        <w:t>持有中国建设银行储蓄卡、中国农业银行借记卡、中国工商银行借记卡、中国银行借记</w:t>
      </w:r>
      <w:r>
        <w:rPr>
          <w:spacing w:val="-12"/>
        </w:rPr>
        <w:t>卡、招商银行储蓄卡、交通银行太平洋借记卡、兴业银行借记卡、民生银行借记卡、浦发银</w:t>
      </w:r>
      <w:r>
        <w:rPr>
          <w:spacing w:val="-22"/>
        </w:rPr>
        <w:t>行借记卡、广发银行借记卡、上海银行借记卡、平安银行借记卡、中国邮政储蓄银行借记卡、</w:t>
      </w:r>
      <w:r>
        <w:rPr>
          <w:spacing w:val="-7"/>
        </w:rPr>
        <w:t>华夏银行借记卡等银行卡的个人投资者，以及在华夏基金投资理财中心开户的个人投资者， </w:t>
      </w:r>
      <w:r>
        <w:rPr>
          <w:spacing w:val="-5"/>
        </w:rPr>
        <w:t>在登录本公司网站</w:t>
      </w:r>
      <w:r>
        <w:rPr>
          <w:spacing w:val="-3"/>
        </w:rPr>
        <w:t>（</w:t>
      </w:r>
      <w:hyperlink r:id="rId13">
        <w:r>
          <w:rPr>
            <w:rFonts w:ascii="Calibri" w:eastAsia="Calibri"/>
            <w:spacing w:val="-3"/>
          </w:rPr>
          <w:t>www.ChinaAMC.com</w:t>
        </w:r>
      </w:hyperlink>
      <w:r>
        <w:rPr>
          <w:spacing w:val="-3"/>
        </w:rPr>
        <w:t>）或本公司移动客户端，与本公司达成电子交易的</w:t>
      </w:r>
      <w:r>
        <w:rPr>
          <w:spacing w:val="-20"/>
        </w:rPr>
        <w:t>相关协议，接受本公司有关服务条款并办理相关手续后，即可办理基金账户开立、基金申购、</w:t>
      </w:r>
      <w:r>
        <w:rPr>
          <w:spacing w:val="-13"/>
        </w:rPr>
        <w:t>赎回、转换、资料变更、分红方式变更、信息查询等各项业务，具体业务办理情况及业务规</w:t>
      </w:r>
      <w:r>
        <w:rPr>
          <w:spacing w:val="-6"/>
        </w:rPr>
        <w:t>则请登录本公司网站查询。</w:t>
      </w:r>
    </w:p>
    <w:p>
      <w:pPr>
        <w:pStyle w:val="BodyText"/>
        <w:spacing w:line="268" w:lineRule="exact"/>
        <w:ind w:left="580"/>
      </w:pPr>
      <w:r>
        <w:rPr/>
        <w:t>（三）电子邮件及短信服务</w:t>
      </w:r>
    </w:p>
    <w:p>
      <w:pPr>
        <w:pStyle w:val="BodyText"/>
        <w:spacing w:before="7"/>
        <w:rPr>
          <w:sz w:val="15"/>
        </w:rPr>
      </w:pPr>
    </w:p>
    <w:p>
      <w:pPr>
        <w:pStyle w:val="BodyText"/>
        <w:spacing w:line="417" w:lineRule="auto"/>
        <w:ind w:left="160" w:right="871" w:firstLine="419"/>
      </w:pPr>
      <w:r>
        <w:rPr>
          <w:spacing w:val="-7"/>
        </w:rPr>
        <w:t>投资者在申请开立本公司基金账户时如预留准确的电子邮箱地址、手机号码，将不定期</w:t>
      </w:r>
      <w:r>
        <w:rPr>
          <w:spacing w:val="-5"/>
        </w:rPr>
        <w:t>通过邮件、短信形式获得市场资讯、产品信息、公司动态等服务提示。</w:t>
      </w:r>
    </w:p>
    <w:p>
      <w:pPr>
        <w:pStyle w:val="BodyText"/>
        <w:spacing w:line="269" w:lineRule="exact"/>
        <w:ind w:left="580"/>
      </w:pPr>
      <w:r>
        <w:rPr/>
        <w:t>（四）呼叫中心</w:t>
      </w:r>
    </w:p>
    <w:p>
      <w:pPr>
        <w:pStyle w:val="BodyText"/>
        <w:spacing w:before="6"/>
        <w:rPr>
          <w:sz w:val="15"/>
        </w:rPr>
      </w:pPr>
    </w:p>
    <w:p>
      <w:pPr>
        <w:pStyle w:val="BodyText"/>
        <w:spacing w:before="1"/>
        <w:ind w:left="580"/>
      </w:pPr>
      <w:r>
        <w:rPr>
          <w:rFonts w:ascii="Calibri" w:eastAsia="Calibri"/>
        </w:rPr>
        <w:t>1</w:t>
      </w:r>
      <w:r>
        <w:rPr/>
        <w:t>、自动语音服务</w:t>
      </w:r>
    </w:p>
    <w:p>
      <w:pPr>
        <w:pStyle w:val="BodyText"/>
        <w:spacing w:before="6"/>
        <w:rPr>
          <w:sz w:val="15"/>
        </w:rPr>
      </w:pPr>
    </w:p>
    <w:p>
      <w:pPr>
        <w:pStyle w:val="BodyText"/>
        <w:spacing w:line="417" w:lineRule="auto"/>
        <w:ind w:left="160" w:right="876" w:firstLine="419"/>
      </w:pPr>
      <w:r>
        <w:rPr/>
        <w:t>提供每周</w:t>
      </w:r>
      <w:r>
        <w:rPr>
          <w:rFonts w:ascii="Calibri" w:eastAsia="Calibri"/>
        </w:rPr>
        <w:t>7</w:t>
      </w:r>
      <w:r>
        <w:rPr/>
        <w:t>天、每天</w:t>
      </w:r>
      <w:r>
        <w:rPr>
          <w:rFonts w:ascii="Calibri" w:eastAsia="Calibri"/>
        </w:rPr>
        <w:t>24</w:t>
      </w:r>
      <w:r>
        <w:rPr/>
        <w:t>小时的自动语音服务，客户可通过电话查询最新热点问题、基金份额净值、基金账户余额等信息。</w:t>
      </w:r>
    </w:p>
    <w:p>
      <w:pPr>
        <w:spacing w:after="0" w:line="417" w:lineRule="auto"/>
        <w:sectPr>
          <w:footerReference w:type="default" r:id="rId147"/>
          <w:pgSz w:w="11910" w:h="16840"/>
          <w:pgMar w:footer="995" w:header="877" w:top="1420" w:bottom="1180" w:left="1640" w:right="920"/>
        </w:sectPr>
      </w:pPr>
    </w:p>
    <w:p>
      <w:pPr>
        <w:pStyle w:val="BodyText"/>
        <w:spacing w:before="110"/>
        <w:ind w:left="580"/>
      </w:pPr>
      <w:r>
        <w:rPr>
          <w:rFonts w:ascii="Calibri" w:eastAsia="Calibri"/>
        </w:rPr>
        <w:t>2</w:t>
      </w:r>
      <w:r>
        <w:rPr/>
        <w:t>、人工电话服务</w:t>
      </w:r>
    </w:p>
    <w:p>
      <w:pPr>
        <w:pStyle w:val="BodyText"/>
        <w:spacing w:before="6"/>
        <w:rPr>
          <w:sz w:val="15"/>
        </w:rPr>
      </w:pPr>
    </w:p>
    <w:p>
      <w:pPr>
        <w:pStyle w:val="BodyText"/>
        <w:spacing w:line="417" w:lineRule="auto"/>
        <w:ind w:left="160" w:right="871" w:firstLine="419"/>
      </w:pPr>
      <w:r>
        <w:rPr/>
        <w:t>提供每周</w:t>
      </w:r>
      <w:r>
        <w:rPr>
          <w:rFonts w:ascii="Calibri" w:eastAsia="Calibri"/>
        </w:rPr>
        <w:t>7</w:t>
      </w:r>
      <w:r>
        <w:rPr/>
        <w:t>天的人工服务。周一至周五的人工电话服务时间为</w:t>
      </w:r>
      <w:r>
        <w:rPr>
          <w:rFonts w:ascii="Calibri" w:eastAsia="Calibri"/>
        </w:rPr>
        <w:t>8</w:t>
      </w:r>
      <w:r>
        <w:rPr/>
        <w:t>：</w:t>
      </w:r>
      <w:r>
        <w:rPr>
          <w:rFonts w:ascii="Calibri" w:eastAsia="Calibri"/>
        </w:rPr>
        <w:t>30~21</w:t>
      </w:r>
      <w:r>
        <w:rPr/>
        <w:t>：</w:t>
      </w:r>
      <w:r>
        <w:rPr>
          <w:rFonts w:ascii="Calibri" w:eastAsia="Calibri"/>
        </w:rPr>
        <w:t>00</w:t>
      </w:r>
      <w:r>
        <w:rPr/>
        <w:t>，周六至周日的人工电话服务时间为</w:t>
      </w:r>
      <w:r>
        <w:rPr>
          <w:rFonts w:ascii="Calibri" w:eastAsia="Calibri"/>
        </w:rPr>
        <w:t>8</w:t>
      </w:r>
      <w:r>
        <w:rPr/>
        <w:t>：</w:t>
      </w:r>
      <w:r>
        <w:rPr>
          <w:rFonts w:ascii="Calibri" w:eastAsia="Calibri"/>
        </w:rPr>
        <w:t>30~17</w:t>
      </w:r>
      <w:r>
        <w:rPr/>
        <w:t>：</w:t>
      </w:r>
      <w:r>
        <w:rPr>
          <w:rFonts w:ascii="Calibri" w:eastAsia="Calibri"/>
        </w:rPr>
        <w:t>00</w:t>
      </w:r>
      <w:r>
        <w:rPr/>
        <w:t>，法定节假日除外。</w:t>
      </w:r>
    </w:p>
    <w:p>
      <w:pPr>
        <w:pStyle w:val="BodyText"/>
        <w:spacing w:line="417" w:lineRule="auto"/>
        <w:ind w:left="580" w:right="6057"/>
        <w:rPr>
          <w:rFonts w:ascii="Calibri" w:eastAsia="Calibri"/>
        </w:rPr>
      </w:pPr>
      <w:r>
        <w:rPr/>
        <w:t>客户服务电话：</w:t>
      </w:r>
      <w:r>
        <w:rPr>
          <w:rFonts w:ascii="Calibri" w:eastAsia="Calibri"/>
        </w:rPr>
        <w:t>400-818-6666 </w:t>
      </w:r>
      <w:r>
        <w:rPr/>
        <w:t>客户服务传真：</w:t>
      </w:r>
      <w:r>
        <w:rPr>
          <w:rFonts w:ascii="Calibri" w:eastAsia="Calibri"/>
        </w:rPr>
        <w:t>010-63136700</w:t>
      </w:r>
    </w:p>
    <w:p>
      <w:pPr>
        <w:pStyle w:val="BodyText"/>
        <w:spacing w:line="269" w:lineRule="exact"/>
        <w:ind w:left="580"/>
      </w:pPr>
      <w:r>
        <w:rPr/>
        <w:t>（五）在线服务</w:t>
      </w:r>
    </w:p>
    <w:p>
      <w:pPr>
        <w:pStyle w:val="BodyText"/>
        <w:spacing w:before="7"/>
        <w:rPr>
          <w:sz w:val="15"/>
        </w:rPr>
      </w:pPr>
    </w:p>
    <w:p>
      <w:pPr>
        <w:pStyle w:val="BodyText"/>
        <w:ind w:left="580"/>
      </w:pPr>
      <w:r>
        <w:rPr/>
        <w:t>投资者可通过本公司网站、</w:t>
      </w:r>
      <w:r>
        <w:rPr>
          <w:rFonts w:ascii="Calibri" w:eastAsia="Calibri"/>
        </w:rPr>
        <w:t>APP</w:t>
      </w:r>
      <w:r>
        <w:rPr/>
        <w:t>、微信公众号、微官网等渠道获得在线服务。</w:t>
      </w:r>
    </w:p>
    <w:p>
      <w:pPr>
        <w:pStyle w:val="BodyText"/>
        <w:spacing w:before="7"/>
        <w:rPr>
          <w:sz w:val="15"/>
        </w:rPr>
      </w:pPr>
    </w:p>
    <w:p>
      <w:pPr>
        <w:pStyle w:val="BodyText"/>
        <w:ind w:left="580"/>
      </w:pPr>
      <w:r>
        <w:rPr>
          <w:rFonts w:ascii="Calibri" w:eastAsia="Calibri"/>
        </w:rPr>
        <w:t>1</w:t>
      </w:r>
      <w:r>
        <w:rPr/>
        <w:t>、查询服务</w:t>
      </w:r>
    </w:p>
    <w:p>
      <w:pPr>
        <w:pStyle w:val="BodyText"/>
        <w:spacing w:before="7"/>
        <w:rPr>
          <w:sz w:val="15"/>
        </w:rPr>
      </w:pPr>
    </w:p>
    <w:p>
      <w:pPr>
        <w:pStyle w:val="BodyText"/>
        <w:ind w:left="580"/>
      </w:pPr>
      <w:r>
        <w:rPr>
          <w:spacing w:val="-9"/>
          <w:w w:val="100"/>
        </w:rPr>
        <w:t>投资者可登录本公司网站“基金账户查询”，查询基金账户情况、更改个人信息。</w:t>
      </w:r>
    </w:p>
    <w:p>
      <w:pPr>
        <w:pStyle w:val="BodyText"/>
        <w:spacing w:before="7"/>
        <w:rPr>
          <w:sz w:val="15"/>
        </w:rPr>
      </w:pPr>
    </w:p>
    <w:p>
      <w:pPr>
        <w:pStyle w:val="BodyText"/>
        <w:ind w:left="580"/>
      </w:pPr>
      <w:r>
        <w:rPr>
          <w:rFonts w:ascii="Calibri" w:eastAsia="Calibri"/>
        </w:rPr>
        <w:t>2</w:t>
      </w:r>
      <w:r>
        <w:rPr/>
        <w:t>、自助服务</w:t>
      </w:r>
    </w:p>
    <w:p>
      <w:pPr>
        <w:pStyle w:val="BodyText"/>
        <w:spacing w:before="6"/>
        <w:rPr>
          <w:sz w:val="15"/>
        </w:rPr>
      </w:pPr>
    </w:p>
    <w:p>
      <w:pPr>
        <w:pStyle w:val="BodyText"/>
        <w:spacing w:line="417" w:lineRule="auto"/>
        <w:ind w:left="160" w:right="873" w:firstLine="419"/>
      </w:pPr>
      <w:r>
        <w:rPr/>
        <w:t>在线客服提供每周</w:t>
      </w:r>
      <w:r>
        <w:rPr>
          <w:rFonts w:ascii="Calibri" w:eastAsia="Calibri"/>
        </w:rPr>
        <w:t>7</w:t>
      </w:r>
      <w:r>
        <w:rPr/>
        <w:t>天、每天</w:t>
      </w:r>
      <w:r>
        <w:rPr>
          <w:rFonts w:ascii="Calibri" w:eastAsia="Calibri"/>
        </w:rPr>
        <w:t>24</w:t>
      </w:r>
      <w:r>
        <w:rPr/>
        <w:t>小时的自助服务，投资者可通过在线客服查询最新热点问题、业务规则、基金份额净值等信息。</w:t>
      </w:r>
    </w:p>
    <w:p>
      <w:pPr>
        <w:pStyle w:val="BodyText"/>
        <w:spacing w:line="269" w:lineRule="exact"/>
        <w:ind w:left="580"/>
      </w:pPr>
      <w:r>
        <w:rPr>
          <w:rFonts w:ascii="Calibri" w:eastAsia="Calibri"/>
        </w:rPr>
        <w:t>3</w:t>
      </w:r>
      <w:r>
        <w:rPr/>
        <w:t>、人工服务</w:t>
      </w:r>
    </w:p>
    <w:p>
      <w:pPr>
        <w:pStyle w:val="BodyText"/>
        <w:spacing w:before="7"/>
        <w:rPr>
          <w:sz w:val="15"/>
        </w:rPr>
      </w:pPr>
    </w:p>
    <w:p>
      <w:pPr>
        <w:pStyle w:val="BodyText"/>
        <w:spacing w:line="417" w:lineRule="auto"/>
        <w:ind w:left="160" w:right="871" w:firstLine="419"/>
      </w:pPr>
      <w:r>
        <w:rPr>
          <w:spacing w:val="-3"/>
        </w:rPr>
        <w:t>周一至周五的在线客服人工服务时间为</w:t>
      </w:r>
      <w:r>
        <w:rPr>
          <w:rFonts w:ascii="Calibri" w:eastAsia="Calibri"/>
          <w:spacing w:val="-11"/>
        </w:rPr>
        <w:t>8</w:t>
      </w:r>
      <w:r>
        <w:rPr>
          <w:spacing w:val="-11"/>
        </w:rPr>
        <w:t>：</w:t>
      </w:r>
      <w:r>
        <w:rPr>
          <w:rFonts w:ascii="Calibri" w:eastAsia="Calibri"/>
          <w:spacing w:val="-11"/>
        </w:rPr>
        <w:t>30~21</w:t>
      </w:r>
      <w:r>
        <w:rPr>
          <w:spacing w:val="-11"/>
        </w:rPr>
        <w:t>：</w:t>
      </w:r>
      <w:r>
        <w:rPr>
          <w:rFonts w:ascii="Calibri" w:eastAsia="Calibri"/>
          <w:spacing w:val="-11"/>
        </w:rPr>
        <w:t>00</w:t>
      </w:r>
      <w:r>
        <w:rPr>
          <w:spacing w:val="-4"/>
        </w:rPr>
        <w:t>，周六至周日的在线客服人工服务时间为</w:t>
      </w:r>
      <w:r>
        <w:rPr>
          <w:rFonts w:ascii="Calibri" w:eastAsia="Calibri"/>
        </w:rPr>
        <w:t>8</w:t>
      </w:r>
      <w:r>
        <w:rPr/>
        <w:t>：</w:t>
      </w:r>
      <w:r>
        <w:rPr>
          <w:rFonts w:ascii="Calibri" w:eastAsia="Calibri"/>
        </w:rPr>
        <w:t>30~17</w:t>
      </w:r>
      <w:r>
        <w:rPr/>
        <w:t>：</w:t>
      </w:r>
      <w:r>
        <w:rPr>
          <w:rFonts w:ascii="Calibri" w:eastAsia="Calibri"/>
        </w:rPr>
        <w:t>00</w:t>
      </w:r>
      <w:r>
        <w:rPr>
          <w:spacing w:val="-3"/>
        </w:rPr>
        <w:t>，法定节假日除外。</w:t>
      </w:r>
    </w:p>
    <w:p>
      <w:pPr>
        <w:pStyle w:val="BodyText"/>
        <w:ind w:left="580"/>
      </w:pPr>
      <w:r>
        <w:rPr>
          <w:rFonts w:ascii="Calibri" w:eastAsia="Calibri"/>
        </w:rPr>
        <w:t>4</w:t>
      </w:r>
      <w:r>
        <w:rPr/>
        <w:t>、资讯服务</w:t>
      </w:r>
    </w:p>
    <w:p>
      <w:pPr>
        <w:pStyle w:val="BodyText"/>
        <w:spacing w:before="7"/>
        <w:rPr>
          <w:sz w:val="15"/>
        </w:rPr>
      </w:pPr>
    </w:p>
    <w:p>
      <w:pPr>
        <w:pStyle w:val="BodyText"/>
        <w:spacing w:line="417" w:lineRule="auto"/>
        <w:ind w:left="160" w:right="871" w:firstLine="419"/>
      </w:pPr>
      <w:r>
        <w:rPr>
          <w:spacing w:val="-7"/>
        </w:rPr>
        <w:t>投资者可通过本公司网站获取基金和基金管理人各类信息，包括基金法律文件、基金管</w:t>
      </w:r>
      <w:r>
        <w:rPr>
          <w:spacing w:val="-5"/>
        </w:rPr>
        <w:t>理人最新动态、热点问题等。</w:t>
      </w:r>
    </w:p>
    <w:p>
      <w:pPr>
        <w:pStyle w:val="BodyText"/>
        <w:spacing w:line="269" w:lineRule="exact"/>
        <w:ind w:left="580"/>
        <w:rPr>
          <w:rFonts w:ascii="Calibri" w:eastAsia="Calibri"/>
        </w:rPr>
      </w:pPr>
      <w:r>
        <w:rPr/>
        <w:t>公司网址：</w:t>
      </w:r>
      <w:hyperlink r:id="rId149">
        <w:r>
          <w:rPr>
            <w:rFonts w:ascii="Calibri" w:eastAsia="Calibri"/>
          </w:rPr>
          <w:t>www.ChinaAMC.com</w:t>
        </w:r>
      </w:hyperlink>
    </w:p>
    <w:p>
      <w:pPr>
        <w:pStyle w:val="BodyText"/>
        <w:spacing w:before="3"/>
        <w:rPr>
          <w:rFonts w:ascii="Calibri"/>
          <w:sz w:val="16"/>
        </w:rPr>
      </w:pPr>
    </w:p>
    <w:p>
      <w:pPr>
        <w:pStyle w:val="BodyText"/>
        <w:spacing w:before="1"/>
        <w:ind w:left="580"/>
        <w:rPr>
          <w:rFonts w:ascii="Calibri" w:eastAsia="Calibri"/>
        </w:rPr>
      </w:pPr>
      <w:r>
        <w:rPr/>
        <w:t>电子信箱：</w:t>
      </w:r>
      <w:hyperlink r:id="rId150">
        <w:r>
          <w:rPr>
            <w:rFonts w:ascii="Calibri" w:eastAsia="Calibri"/>
          </w:rPr>
          <w:t>service@ChinaAMC.com</w:t>
        </w:r>
      </w:hyperlink>
    </w:p>
    <w:p>
      <w:pPr>
        <w:pStyle w:val="BodyText"/>
        <w:spacing w:before="3"/>
        <w:rPr>
          <w:rFonts w:ascii="Calibri"/>
          <w:sz w:val="16"/>
        </w:rPr>
      </w:pPr>
    </w:p>
    <w:p>
      <w:pPr>
        <w:pStyle w:val="BodyText"/>
        <w:ind w:left="580"/>
      </w:pPr>
      <w:r>
        <w:rPr/>
        <w:t>（六）客户投诉和建议处理</w:t>
      </w:r>
    </w:p>
    <w:p>
      <w:pPr>
        <w:pStyle w:val="BodyText"/>
        <w:spacing w:before="7"/>
        <w:rPr>
          <w:sz w:val="15"/>
        </w:rPr>
      </w:pPr>
    </w:p>
    <w:p>
      <w:pPr>
        <w:pStyle w:val="BodyText"/>
        <w:spacing w:line="417" w:lineRule="auto" w:before="1"/>
        <w:ind w:left="160" w:right="871" w:firstLine="419"/>
        <w:jc w:val="both"/>
      </w:pPr>
      <w:r>
        <w:rPr>
          <w:spacing w:val="-7"/>
        </w:rPr>
        <w:t>投资者可以通过基金管理人提供的呼叫中心人工电话、在线客服、书信、电子邮件、传</w:t>
      </w:r>
      <w:r>
        <w:rPr>
          <w:spacing w:val="-8"/>
        </w:rPr>
        <w:t>真等渠道对基金管理人和销售机构所提供的服务进行投诉或提出建议。投资者还可以通过代</w:t>
      </w:r>
      <w:r>
        <w:rPr>
          <w:spacing w:val="-5"/>
        </w:rPr>
        <w:t>销机构的服务电话对该代销机构提供的服务进行投诉或提出建议。</w:t>
      </w:r>
    </w:p>
    <w:p>
      <w:pPr>
        <w:spacing w:after="0" w:line="417" w:lineRule="auto"/>
        <w:jc w:val="both"/>
        <w:sectPr>
          <w:footerReference w:type="default" r:id="rId148"/>
          <w:pgSz w:w="11910" w:h="16840"/>
          <w:pgMar w:footer="995" w:header="877" w:top="1420" w:bottom="1180" w:left="1640" w:right="920"/>
          <w:pgNumType w:start="131"/>
        </w:sectPr>
      </w:pPr>
    </w:p>
    <w:p>
      <w:pPr>
        <w:pStyle w:val="BodyText"/>
        <w:spacing w:before="7"/>
        <w:rPr>
          <w:sz w:val="29"/>
        </w:rPr>
      </w:pPr>
    </w:p>
    <w:p>
      <w:pPr>
        <w:pStyle w:val="Heading1"/>
        <w:ind w:left="10"/>
      </w:pPr>
      <w:bookmarkStart w:name="_bookmark21" w:id="22"/>
      <w:bookmarkEnd w:id="22"/>
      <w:r>
        <w:rPr>
          <w:b w:val="0"/>
        </w:rPr>
      </w:r>
      <w:r>
        <w:rPr/>
        <w:t>二十二、其他应披露事项</w:t>
      </w:r>
    </w:p>
    <w:p>
      <w:pPr>
        <w:pStyle w:val="BodyText"/>
        <w:rPr>
          <w:b/>
          <w:sz w:val="20"/>
        </w:rPr>
      </w:pPr>
    </w:p>
    <w:p>
      <w:pPr>
        <w:pStyle w:val="BodyText"/>
        <w:spacing w:before="2"/>
        <w:rPr>
          <w:b/>
        </w:rPr>
      </w:pPr>
    </w:p>
    <w:p>
      <w:pPr>
        <w:pStyle w:val="BodyText"/>
        <w:spacing w:line="417" w:lineRule="auto"/>
        <w:ind w:left="160" w:right="871" w:firstLine="419"/>
      </w:pPr>
      <w:r>
        <w:rPr/>
        <w:t>（一）2019</w:t>
      </w:r>
      <w:r>
        <w:rPr>
          <w:spacing w:val="-24"/>
        </w:rPr>
        <w:t> 年 </w:t>
      </w:r>
      <w:r>
        <w:rPr/>
        <w:t>10</w:t>
      </w:r>
      <w:r>
        <w:rPr>
          <w:spacing w:val="-23"/>
        </w:rPr>
        <w:t> 月 </w:t>
      </w:r>
      <w:r>
        <w:rPr/>
        <w:t>21</w:t>
      </w:r>
      <w:r>
        <w:rPr>
          <w:spacing w:val="-7"/>
        </w:rPr>
        <w:t> 日发布华夏基金管理有限公司关于根据《公开募集证券投资基</w:t>
      </w:r>
      <w:r>
        <w:rPr>
          <w:spacing w:val="-5"/>
        </w:rPr>
        <w:t>金信息披露管理办法》修订旗下基金基金合同的公告。</w:t>
      </w:r>
    </w:p>
    <w:p>
      <w:pPr>
        <w:pStyle w:val="BodyText"/>
        <w:spacing w:line="269" w:lineRule="exact"/>
        <w:ind w:left="580"/>
      </w:pPr>
      <w:r>
        <w:rPr/>
        <w:t>（二）2019 年 10 月 22 日发布战略新兴成指交易型开放式指数证券投资基金发起式联</w:t>
      </w:r>
    </w:p>
    <w:p>
      <w:pPr>
        <w:pStyle w:val="BodyText"/>
        <w:spacing w:before="7"/>
        <w:rPr>
          <w:sz w:val="15"/>
        </w:rPr>
      </w:pPr>
    </w:p>
    <w:p>
      <w:pPr>
        <w:pStyle w:val="BodyText"/>
        <w:ind w:left="160"/>
      </w:pPr>
      <w:r>
        <w:rPr/>
        <w:t>接基金 2019 年第 3 季度报告。</w:t>
      </w:r>
    </w:p>
    <w:p>
      <w:pPr>
        <w:pStyle w:val="BodyText"/>
        <w:spacing w:before="7"/>
        <w:rPr>
          <w:sz w:val="15"/>
        </w:rPr>
      </w:pPr>
    </w:p>
    <w:p>
      <w:pPr>
        <w:pStyle w:val="BodyText"/>
        <w:ind w:left="580"/>
      </w:pPr>
      <w:r>
        <w:rPr/>
        <w:t>（三）2020 年 1 月 21 日发布战略新兴成指交易型开放式指数证券投资基金发起式联接</w:t>
      </w:r>
    </w:p>
    <w:p>
      <w:pPr>
        <w:pStyle w:val="BodyText"/>
        <w:spacing w:before="7"/>
        <w:rPr>
          <w:sz w:val="15"/>
        </w:rPr>
      </w:pPr>
    </w:p>
    <w:p>
      <w:pPr>
        <w:pStyle w:val="BodyText"/>
        <w:ind w:left="160"/>
      </w:pPr>
      <w:r>
        <w:rPr/>
        <w:t>基金 2019 年第 4 季度报告。</w:t>
      </w:r>
    </w:p>
    <w:p>
      <w:pPr>
        <w:pStyle w:val="BodyText"/>
        <w:spacing w:before="7"/>
        <w:rPr>
          <w:sz w:val="15"/>
        </w:rPr>
      </w:pPr>
    </w:p>
    <w:p>
      <w:pPr>
        <w:pStyle w:val="BodyText"/>
        <w:spacing w:line="417" w:lineRule="auto"/>
        <w:ind w:left="160" w:right="871" w:firstLine="419"/>
      </w:pPr>
      <w:r>
        <w:rPr/>
        <w:t>（</w:t>
      </w:r>
      <w:r>
        <w:rPr>
          <w:spacing w:val="-3"/>
        </w:rPr>
        <w:t>四</w:t>
      </w:r>
      <w:r>
        <w:rPr>
          <w:spacing w:val="-9"/>
        </w:rPr>
        <w:t>）2020</w:t>
      </w:r>
      <w:r>
        <w:rPr>
          <w:spacing w:val="-31"/>
        </w:rPr>
        <w:t> 年 </w:t>
      </w:r>
      <w:r>
        <w:rPr/>
        <w:t>1</w:t>
      </w:r>
      <w:r>
        <w:rPr>
          <w:spacing w:val="-30"/>
        </w:rPr>
        <w:t> 月 </w:t>
      </w:r>
      <w:r>
        <w:rPr/>
        <w:t>30</w:t>
      </w:r>
      <w:r>
        <w:rPr>
          <w:spacing w:val="-8"/>
        </w:rPr>
        <w:t> 日发布华夏基金管理有限公司关于根据国家延长春节假期通知及</w:t>
      </w:r>
      <w:r>
        <w:rPr>
          <w:spacing w:val="-5"/>
        </w:rPr>
        <w:t>交易所休市安排等调整旗下基金春节后业务办理日期的公告。</w:t>
      </w:r>
    </w:p>
    <w:p>
      <w:pPr>
        <w:pStyle w:val="BodyText"/>
        <w:spacing w:line="417" w:lineRule="auto"/>
        <w:ind w:left="160" w:right="871" w:firstLine="419"/>
      </w:pPr>
      <w:r>
        <w:rPr/>
        <w:t>（</w:t>
      </w:r>
      <w:r>
        <w:rPr>
          <w:spacing w:val="-3"/>
        </w:rPr>
        <w:t>五</w:t>
      </w:r>
      <w:r>
        <w:rPr>
          <w:spacing w:val="-9"/>
        </w:rPr>
        <w:t>）2020</w:t>
      </w:r>
      <w:r>
        <w:rPr>
          <w:spacing w:val="-31"/>
        </w:rPr>
        <w:t> 年 </w:t>
      </w:r>
      <w:r>
        <w:rPr/>
        <w:t>3</w:t>
      </w:r>
      <w:r>
        <w:rPr>
          <w:spacing w:val="-30"/>
        </w:rPr>
        <w:t> 月 </w:t>
      </w:r>
      <w:r>
        <w:rPr/>
        <w:t>20</w:t>
      </w:r>
      <w:r>
        <w:rPr>
          <w:spacing w:val="-8"/>
        </w:rPr>
        <w:t> 日发布华夏基金管理有限公司关于增聘战略新兴成指交易型开放</w:t>
      </w:r>
      <w:r>
        <w:rPr>
          <w:spacing w:val="-5"/>
        </w:rPr>
        <w:t>式指数证券投资基金发起式联接基金基金经理的公告。</w:t>
      </w:r>
    </w:p>
    <w:p>
      <w:pPr>
        <w:pStyle w:val="BodyText"/>
        <w:spacing w:line="417" w:lineRule="auto"/>
        <w:ind w:left="160" w:right="871" w:firstLine="419"/>
      </w:pPr>
      <w:r>
        <w:rPr/>
        <w:t>（六）2020</w:t>
      </w:r>
      <w:r>
        <w:rPr>
          <w:spacing w:val="-27"/>
        </w:rPr>
        <w:t> 年 </w:t>
      </w:r>
      <w:r>
        <w:rPr/>
        <w:t>3</w:t>
      </w:r>
      <w:r>
        <w:rPr>
          <w:spacing w:val="-27"/>
        </w:rPr>
        <w:t> 月 </w:t>
      </w:r>
      <w:r>
        <w:rPr/>
        <w:t>26</w:t>
      </w:r>
      <w:r>
        <w:rPr>
          <w:spacing w:val="-10"/>
        </w:rPr>
        <w:t> 日发布华夏基金管理有限公司关于旗下公募基金 </w:t>
      </w:r>
      <w:r>
        <w:rPr/>
        <w:t>2019</w:t>
      </w:r>
      <w:r>
        <w:rPr>
          <w:spacing w:val="-10"/>
        </w:rPr>
        <w:t> 年年报延</w:t>
      </w:r>
      <w:r>
        <w:rPr>
          <w:spacing w:val="-5"/>
        </w:rPr>
        <w:t>缓审计与披露的公告。</w:t>
      </w:r>
    </w:p>
    <w:p>
      <w:pPr>
        <w:pStyle w:val="BodyText"/>
        <w:ind w:left="580"/>
      </w:pPr>
      <w:r>
        <w:rPr/>
        <w:t>（七）2020 年 4 月 1 日发布华夏基金管理有限公司公告。</w:t>
      </w:r>
    </w:p>
    <w:p>
      <w:pPr>
        <w:pStyle w:val="BodyText"/>
        <w:spacing w:before="6"/>
        <w:rPr>
          <w:sz w:val="15"/>
        </w:rPr>
      </w:pPr>
    </w:p>
    <w:p>
      <w:pPr>
        <w:pStyle w:val="BodyText"/>
        <w:ind w:left="580"/>
      </w:pPr>
      <w:r>
        <w:rPr/>
        <w:t>（八）2020 年 4 月 9 日发布战略新兴成指交易型开放式指数证券投资基金发起式联接</w:t>
      </w:r>
    </w:p>
    <w:p>
      <w:pPr>
        <w:pStyle w:val="BodyText"/>
        <w:spacing w:before="7"/>
        <w:rPr>
          <w:sz w:val="15"/>
        </w:rPr>
      </w:pPr>
    </w:p>
    <w:p>
      <w:pPr>
        <w:pStyle w:val="BodyText"/>
        <w:ind w:left="160"/>
      </w:pPr>
      <w:r>
        <w:rPr/>
        <w:t>基金 2019 年年度报告。</w:t>
      </w:r>
    </w:p>
    <w:p>
      <w:pPr>
        <w:pStyle w:val="BodyText"/>
        <w:spacing w:before="6"/>
        <w:rPr>
          <w:sz w:val="15"/>
        </w:rPr>
      </w:pPr>
    </w:p>
    <w:p>
      <w:pPr>
        <w:pStyle w:val="BodyText"/>
        <w:spacing w:before="1"/>
        <w:ind w:left="580"/>
      </w:pPr>
      <w:r>
        <w:rPr/>
        <w:t>（九）2020 年 4 月 22 日发布战略新兴成指交易型开放式指数证券投资基金发起式联接</w:t>
      </w:r>
    </w:p>
    <w:p>
      <w:pPr>
        <w:pStyle w:val="BodyText"/>
        <w:spacing w:before="6"/>
        <w:rPr>
          <w:sz w:val="15"/>
        </w:rPr>
      </w:pPr>
    </w:p>
    <w:p>
      <w:pPr>
        <w:pStyle w:val="BodyText"/>
        <w:ind w:left="160"/>
      </w:pPr>
      <w:r>
        <w:rPr/>
        <w:t>基金 2020 年第 1 季度报告。</w:t>
      </w:r>
    </w:p>
    <w:p>
      <w:pPr>
        <w:pStyle w:val="BodyText"/>
        <w:spacing w:before="7"/>
        <w:rPr>
          <w:sz w:val="15"/>
        </w:rPr>
      </w:pPr>
    </w:p>
    <w:p>
      <w:pPr>
        <w:pStyle w:val="BodyText"/>
        <w:ind w:left="580"/>
      </w:pPr>
      <w:r>
        <w:rPr/>
        <w:t>（十）2020 年 7 月 2 日发布华夏基金管理有限公司住所变更公告。</w:t>
      </w:r>
    </w:p>
    <w:p>
      <w:pPr>
        <w:pStyle w:val="BodyText"/>
        <w:spacing w:before="7"/>
        <w:rPr>
          <w:sz w:val="15"/>
        </w:rPr>
      </w:pPr>
    </w:p>
    <w:p>
      <w:pPr>
        <w:pStyle w:val="BodyText"/>
        <w:ind w:left="580"/>
      </w:pPr>
      <w:r>
        <w:rPr/>
        <w:t>（十一）2020 年 7 月 20 日发布战略新兴成指交易型开放式指数证券投资基金发起式联</w:t>
      </w:r>
    </w:p>
    <w:p>
      <w:pPr>
        <w:pStyle w:val="BodyText"/>
        <w:spacing w:before="7"/>
        <w:rPr>
          <w:sz w:val="15"/>
        </w:rPr>
      </w:pPr>
    </w:p>
    <w:p>
      <w:pPr>
        <w:pStyle w:val="BodyText"/>
        <w:ind w:left="160"/>
      </w:pPr>
      <w:r>
        <w:rPr/>
        <w:t>接基金 2020 年第 2 季度报告。</w:t>
      </w:r>
    </w:p>
    <w:p>
      <w:pPr>
        <w:pStyle w:val="BodyText"/>
        <w:spacing w:before="7"/>
        <w:rPr>
          <w:sz w:val="15"/>
        </w:rPr>
      </w:pPr>
    </w:p>
    <w:p>
      <w:pPr>
        <w:pStyle w:val="BodyText"/>
        <w:ind w:left="580"/>
      </w:pPr>
      <w:r>
        <w:rPr/>
        <w:t>（十二）2020 年 8 月 29 日发布战略新兴成指交易型开放式指数证券投资基金发起式联</w:t>
      </w:r>
    </w:p>
    <w:p>
      <w:pPr>
        <w:pStyle w:val="BodyText"/>
        <w:spacing w:before="7"/>
        <w:rPr>
          <w:sz w:val="15"/>
        </w:rPr>
      </w:pPr>
    </w:p>
    <w:p>
      <w:pPr>
        <w:pStyle w:val="BodyText"/>
        <w:ind w:left="160"/>
      </w:pPr>
      <w:r>
        <w:rPr/>
        <w:t>接基金 2020 年半年度报告。</w:t>
      </w:r>
    </w:p>
    <w:p>
      <w:pPr>
        <w:pStyle w:val="BodyText"/>
        <w:spacing w:before="6"/>
        <w:rPr>
          <w:sz w:val="15"/>
        </w:rPr>
      </w:pPr>
    </w:p>
    <w:p>
      <w:pPr>
        <w:pStyle w:val="BodyText"/>
        <w:spacing w:line="417" w:lineRule="auto"/>
        <w:ind w:left="160" w:right="871" w:firstLine="419"/>
      </w:pPr>
      <w:r>
        <w:rPr/>
        <w:t>（</w:t>
      </w:r>
      <w:r>
        <w:rPr>
          <w:spacing w:val="-2"/>
        </w:rPr>
        <w:t>十三</w:t>
      </w:r>
      <w:r>
        <w:rPr>
          <w:spacing w:val="-9"/>
        </w:rPr>
        <w:t>）2020</w:t>
      </w:r>
      <w:r>
        <w:rPr>
          <w:spacing w:val="-31"/>
        </w:rPr>
        <w:t> 年 </w:t>
      </w:r>
      <w:r>
        <w:rPr/>
        <w:t>9</w:t>
      </w:r>
      <w:r>
        <w:rPr>
          <w:spacing w:val="-31"/>
        </w:rPr>
        <w:t> 月 </w:t>
      </w:r>
      <w:r>
        <w:rPr/>
        <w:t>12</w:t>
      </w:r>
      <w:r>
        <w:rPr>
          <w:spacing w:val="-8"/>
        </w:rPr>
        <w:t> 日发布华夏基金管理有限公司关于上海分公司营业场所变更的公告。</w:t>
      </w:r>
    </w:p>
    <w:p>
      <w:pPr>
        <w:pStyle w:val="BodyText"/>
        <w:spacing w:line="417" w:lineRule="auto"/>
        <w:ind w:left="160" w:right="871" w:firstLine="419"/>
      </w:pPr>
      <w:r>
        <w:rPr/>
        <w:t>（</w:t>
      </w:r>
      <w:r>
        <w:rPr>
          <w:spacing w:val="-2"/>
        </w:rPr>
        <w:t>十四</w:t>
      </w:r>
      <w:r>
        <w:rPr/>
        <w:t>）2020</w:t>
      </w:r>
      <w:r>
        <w:rPr>
          <w:spacing w:val="-28"/>
        </w:rPr>
        <w:t> 年 </w:t>
      </w:r>
      <w:r>
        <w:rPr/>
        <w:t>9</w:t>
      </w:r>
      <w:r>
        <w:rPr>
          <w:spacing w:val="-27"/>
        </w:rPr>
        <w:t> 月 </w:t>
      </w:r>
      <w:r>
        <w:rPr/>
        <w:t>23</w:t>
      </w:r>
      <w:r>
        <w:rPr>
          <w:spacing w:val="-18"/>
        </w:rPr>
        <w:t> 日发布 </w:t>
      </w:r>
      <w:r>
        <w:rPr/>
        <w:t>20200923</w:t>
      </w:r>
      <w:r>
        <w:rPr>
          <w:spacing w:val="-8"/>
        </w:rPr>
        <w:t> 华夏基金管理有限公司关于旗下基金投资关</w:t>
      </w:r>
      <w:r>
        <w:rPr>
          <w:spacing w:val="-5"/>
        </w:rPr>
        <w:t>联方承销证券的公告。</w:t>
      </w:r>
    </w:p>
    <w:p>
      <w:pPr>
        <w:pStyle w:val="BodyText"/>
        <w:ind w:left="580"/>
      </w:pPr>
      <w:r>
        <w:rPr/>
        <w:t>（十五）2020 年 9 月 24 日发布 20200924 华夏基金管理有限公司关于旗下基金投资关</w:t>
      </w:r>
    </w:p>
    <w:p>
      <w:pPr>
        <w:spacing w:after="0"/>
        <w:sectPr>
          <w:pgSz w:w="11910" w:h="16840"/>
          <w:pgMar w:header="877" w:footer="995" w:top="1420" w:bottom="1180" w:left="1640" w:right="920"/>
        </w:sectPr>
      </w:pPr>
    </w:p>
    <w:p>
      <w:pPr>
        <w:pStyle w:val="BodyText"/>
        <w:spacing w:before="110"/>
        <w:ind w:left="160"/>
      </w:pPr>
      <w:r>
        <w:rPr/>
        <w:t>联方承销证券的公告。</w:t>
      </w:r>
    </w:p>
    <w:p>
      <w:pPr>
        <w:spacing w:after="0"/>
        <w:sectPr>
          <w:pgSz w:w="11910" w:h="16840"/>
          <w:pgMar w:header="877" w:footer="995" w:top="1420" w:bottom="1180" w:left="1640" w:right="920"/>
        </w:sectPr>
      </w:pPr>
    </w:p>
    <w:p>
      <w:pPr>
        <w:pStyle w:val="BodyText"/>
        <w:spacing w:before="7"/>
        <w:rPr>
          <w:sz w:val="29"/>
        </w:rPr>
      </w:pPr>
    </w:p>
    <w:p>
      <w:pPr>
        <w:pStyle w:val="Heading1"/>
        <w:ind w:left="2628" w:right="0"/>
        <w:jc w:val="left"/>
      </w:pPr>
      <w:bookmarkStart w:name="_bookmark22" w:id="23"/>
      <w:bookmarkEnd w:id="23"/>
      <w:r>
        <w:rPr>
          <w:b w:val="0"/>
        </w:rPr>
      </w:r>
      <w:r>
        <w:rPr/>
        <w:t>二十三、招募说明书存放及查阅方式</w:t>
      </w:r>
    </w:p>
    <w:p>
      <w:pPr>
        <w:pStyle w:val="BodyText"/>
        <w:rPr>
          <w:b/>
          <w:sz w:val="20"/>
        </w:rPr>
      </w:pPr>
    </w:p>
    <w:p>
      <w:pPr>
        <w:pStyle w:val="BodyText"/>
        <w:spacing w:before="2"/>
        <w:rPr>
          <w:b/>
        </w:rPr>
      </w:pPr>
    </w:p>
    <w:p>
      <w:pPr>
        <w:pStyle w:val="BodyText"/>
        <w:spacing w:line="417" w:lineRule="auto"/>
        <w:ind w:left="160" w:right="871" w:firstLine="419"/>
      </w:pPr>
      <w:r>
        <w:rPr>
          <w:spacing w:val="-9"/>
        </w:rPr>
        <w:t>本基金招募说明书公布后，分别置备于基金管理人、基金托管人的住所，投资者可免费</w:t>
      </w:r>
      <w:r>
        <w:rPr>
          <w:spacing w:val="-5"/>
        </w:rPr>
        <w:t>查阅。投资者在支付工本费后，可在合理时间内取得上述文件复印件。</w:t>
      </w:r>
    </w:p>
    <w:p>
      <w:pPr>
        <w:spacing w:after="0" w:line="417" w:lineRule="auto"/>
        <w:sectPr>
          <w:pgSz w:w="11910" w:h="16840"/>
          <w:pgMar w:header="877" w:footer="995" w:top="1420" w:bottom="1180" w:left="1640" w:right="920"/>
        </w:sectPr>
      </w:pPr>
    </w:p>
    <w:p>
      <w:pPr>
        <w:pStyle w:val="BodyText"/>
        <w:spacing w:before="7"/>
        <w:rPr>
          <w:sz w:val="29"/>
        </w:rPr>
      </w:pPr>
    </w:p>
    <w:p>
      <w:pPr>
        <w:pStyle w:val="Heading1"/>
      </w:pPr>
      <w:bookmarkStart w:name="_bookmark23" w:id="24"/>
      <w:bookmarkEnd w:id="24"/>
      <w:r>
        <w:rPr>
          <w:b w:val="0"/>
        </w:rPr>
      </w:r>
      <w:r>
        <w:rPr/>
        <w:t>二十四、备查文件</w:t>
      </w:r>
    </w:p>
    <w:p>
      <w:pPr>
        <w:pStyle w:val="BodyText"/>
        <w:rPr>
          <w:b/>
          <w:sz w:val="20"/>
        </w:rPr>
      </w:pPr>
    </w:p>
    <w:p>
      <w:pPr>
        <w:pStyle w:val="BodyText"/>
        <w:spacing w:before="8"/>
        <w:rPr>
          <w:b/>
          <w:sz w:val="15"/>
        </w:rPr>
      </w:pPr>
    </w:p>
    <w:p>
      <w:pPr>
        <w:pStyle w:val="BodyText"/>
        <w:spacing w:before="71"/>
        <w:ind w:left="580"/>
      </w:pPr>
      <w:r>
        <w:rPr/>
        <w:t>（一）备查文件目录</w:t>
      </w:r>
    </w:p>
    <w:p>
      <w:pPr>
        <w:pStyle w:val="BodyText"/>
        <w:spacing w:before="7"/>
        <w:rPr>
          <w:sz w:val="15"/>
        </w:rPr>
      </w:pPr>
    </w:p>
    <w:p>
      <w:pPr>
        <w:pStyle w:val="BodyText"/>
        <w:spacing w:line="417" w:lineRule="auto"/>
        <w:ind w:left="160" w:right="876" w:firstLine="419"/>
      </w:pPr>
      <w:r>
        <w:rPr>
          <w:rFonts w:ascii="Calibri" w:eastAsia="Calibri"/>
        </w:rPr>
        <w:t>1</w:t>
      </w:r>
      <w:r>
        <w:rPr/>
        <w:t>、中国证监会准予战略新兴成指交易型开放式指数证券投资基金发起式联接基金注册的批复。</w:t>
      </w:r>
    </w:p>
    <w:p>
      <w:pPr>
        <w:pStyle w:val="BodyText"/>
        <w:spacing w:line="269" w:lineRule="exact"/>
        <w:ind w:left="580"/>
      </w:pPr>
      <w:r>
        <w:rPr>
          <w:rFonts w:ascii="Calibri" w:eastAsia="Calibri"/>
        </w:rPr>
        <w:t>2</w:t>
      </w:r>
      <w:r>
        <w:rPr>
          <w:spacing w:val="-15"/>
        </w:rPr>
        <w:t>、《战略新兴成指交易型开放式指数证券投资基金发起式联接基金基金合同》。</w:t>
      </w:r>
    </w:p>
    <w:p>
      <w:pPr>
        <w:pStyle w:val="BodyText"/>
        <w:spacing w:before="7"/>
        <w:rPr>
          <w:sz w:val="15"/>
        </w:rPr>
      </w:pPr>
    </w:p>
    <w:p>
      <w:pPr>
        <w:pStyle w:val="BodyText"/>
        <w:ind w:left="580"/>
      </w:pPr>
      <w:r>
        <w:rPr>
          <w:rFonts w:ascii="Calibri" w:eastAsia="Calibri"/>
        </w:rPr>
        <w:t>3</w:t>
      </w:r>
      <w:r>
        <w:rPr>
          <w:spacing w:val="-15"/>
        </w:rPr>
        <w:t>、《战略新兴成指交易型开放式指数证券投资基金发起式联接基金托管协议》。</w:t>
      </w:r>
    </w:p>
    <w:p>
      <w:pPr>
        <w:pStyle w:val="BodyText"/>
        <w:spacing w:before="7"/>
        <w:rPr>
          <w:sz w:val="15"/>
        </w:rPr>
      </w:pPr>
    </w:p>
    <w:p>
      <w:pPr>
        <w:pStyle w:val="BodyText"/>
        <w:ind w:left="580"/>
      </w:pPr>
      <w:r>
        <w:rPr>
          <w:rFonts w:ascii="Calibri" w:eastAsia="Calibri"/>
        </w:rPr>
        <w:t>4</w:t>
      </w:r>
      <w:r>
        <w:rPr/>
        <w:t>、法律意见书。</w:t>
      </w:r>
    </w:p>
    <w:p>
      <w:pPr>
        <w:pStyle w:val="BodyText"/>
        <w:spacing w:before="7"/>
        <w:rPr>
          <w:sz w:val="15"/>
        </w:rPr>
      </w:pPr>
    </w:p>
    <w:p>
      <w:pPr>
        <w:pStyle w:val="BodyText"/>
        <w:ind w:left="580"/>
      </w:pPr>
      <w:r>
        <w:rPr>
          <w:rFonts w:ascii="Calibri" w:eastAsia="Calibri"/>
        </w:rPr>
        <w:t>5</w:t>
      </w:r>
      <w:r>
        <w:rPr>
          <w:spacing w:val="-3"/>
        </w:rPr>
        <w:t>、基金管理人业务资格批件、营业执照。</w:t>
      </w:r>
    </w:p>
    <w:p>
      <w:pPr>
        <w:pStyle w:val="BodyText"/>
        <w:spacing w:before="6"/>
        <w:rPr>
          <w:sz w:val="15"/>
        </w:rPr>
      </w:pPr>
    </w:p>
    <w:p>
      <w:pPr>
        <w:pStyle w:val="BodyText"/>
        <w:spacing w:before="1"/>
        <w:ind w:left="580"/>
      </w:pPr>
      <w:r>
        <w:rPr>
          <w:rFonts w:ascii="Calibri" w:eastAsia="Calibri"/>
        </w:rPr>
        <w:t>6</w:t>
      </w:r>
      <w:r>
        <w:rPr>
          <w:spacing w:val="-3"/>
        </w:rPr>
        <w:t>、基金托管人业务资格批件、营业执照。</w:t>
      </w:r>
    </w:p>
    <w:p>
      <w:pPr>
        <w:pStyle w:val="BodyText"/>
        <w:spacing w:before="6"/>
        <w:rPr>
          <w:sz w:val="15"/>
        </w:rPr>
      </w:pPr>
    </w:p>
    <w:p>
      <w:pPr>
        <w:pStyle w:val="BodyText"/>
        <w:ind w:left="580"/>
      </w:pPr>
      <w:r>
        <w:rPr/>
        <w:t>（二）存放地点</w:t>
      </w:r>
    </w:p>
    <w:p>
      <w:pPr>
        <w:pStyle w:val="BodyText"/>
        <w:spacing w:before="7"/>
        <w:rPr>
          <w:sz w:val="15"/>
        </w:rPr>
      </w:pPr>
    </w:p>
    <w:p>
      <w:pPr>
        <w:pStyle w:val="BodyText"/>
        <w:ind w:left="580"/>
      </w:pPr>
      <w:r>
        <w:rPr/>
        <w:t>备查文件存放于基金管理人和</w:t>
      </w:r>
      <w:r>
        <w:rPr>
          <w:rFonts w:ascii="Calibri" w:eastAsia="Calibri"/>
        </w:rPr>
        <w:t>/</w:t>
      </w:r>
      <w:r>
        <w:rPr/>
        <w:t>或基金托管人处。</w:t>
      </w:r>
    </w:p>
    <w:p>
      <w:pPr>
        <w:pStyle w:val="BodyText"/>
        <w:spacing w:before="7"/>
        <w:rPr>
          <w:sz w:val="15"/>
        </w:rPr>
      </w:pPr>
    </w:p>
    <w:p>
      <w:pPr>
        <w:pStyle w:val="BodyText"/>
        <w:ind w:left="580"/>
      </w:pPr>
      <w:r>
        <w:rPr/>
        <w:t>（三）查阅方式</w:t>
      </w:r>
    </w:p>
    <w:p>
      <w:pPr>
        <w:pStyle w:val="BodyText"/>
        <w:spacing w:before="6"/>
        <w:rPr>
          <w:sz w:val="15"/>
        </w:rPr>
      </w:pPr>
    </w:p>
    <w:p>
      <w:pPr>
        <w:pStyle w:val="BodyText"/>
        <w:spacing w:line="417" w:lineRule="auto" w:before="1"/>
        <w:ind w:left="160" w:right="871" w:firstLine="419"/>
      </w:pPr>
      <w:r>
        <w:rPr>
          <w:spacing w:val="-8"/>
        </w:rPr>
        <w:t>投资者可在营业时间免费查阅备查文件。在支付工本费后，可在合理时间内取得备查文</w:t>
      </w:r>
      <w:r>
        <w:rPr>
          <w:spacing w:val="-5"/>
        </w:rPr>
        <w:t>件的复制件或复印件。</w:t>
      </w:r>
    </w:p>
    <w:p>
      <w:pPr>
        <w:pStyle w:val="BodyText"/>
        <w:rPr>
          <w:sz w:val="20"/>
        </w:rPr>
      </w:pPr>
    </w:p>
    <w:p>
      <w:pPr>
        <w:pStyle w:val="BodyText"/>
        <w:rPr>
          <w:sz w:val="20"/>
        </w:rPr>
      </w:pPr>
    </w:p>
    <w:p>
      <w:pPr>
        <w:pStyle w:val="BodyText"/>
        <w:rPr>
          <w:sz w:val="20"/>
        </w:rPr>
      </w:pPr>
    </w:p>
    <w:p>
      <w:pPr>
        <w:pStyle w:val="BodyText"/>
        <w:spacing w:line="417" w:lineRule="auto" w:before="167"/>
        <w:ind w:left="6367" w:right="873"/>
        <w:jc w:val="right"/>
      </w:pPr>
      <w:r>
        <w:rPr/>
        <w:t>华夏基金管理有限公司二〇二〇年九月三十日</w:t>
      </w:r>
    </w:p>
    <w:p>
      <w:pPr>
        <w:spacing w:after="0" w:line="417" w:lineRule="auto"/>
        <w:jc w:val="right"/>
        <w:sectPr>
          <w:pgSz w:w="11910" w:h="16840"/>
          <w:pgMar w:header="877" w:footer="995" w:top="1420" w:bottom="1180" w:left="1640" w:right="920"/>
        </w:sectPr>
      </w:pPr>
    </w:p>
    <w:p>
      <w:pPr>
        <w:pStyle w:val="BodyText"/>
        <w:spacing w:before="7"/>
        <w:rPr>
          <w:sz w:val="29"/>
        </w:rPr>
      </w:pPr>
    </w:p>
    <w:p>
      <w:pPr>
        <w:pStyle w:val="Heading1"/>
        <w:ind w:left="10"/>
      </w:pPr>
      <w:bookmarkStart w:name="_bookmark24" w:id="25"/>
      <w:bookmarkEnd w:id="25"/>
      <w:r>
        <w:rPr>
          <w:b w:val="0"/>
        </w:rPr>
      </w:r>
      <w:r>
        <w:rPr/>
        <w:t>附件一：基金合同摘要</w:t>
      </w:r>
    </w:p>
    <w:p>
      <w:pPr>
        <w:pStyle w:val="BodyText"/>
        <w:rPr>
          <w:b/>
          <w:sz w:val="20"/>
        </w:rPr>
      </w:pPr>
    </w:p>
    <w:p>
      <w:pPr>
        <w:pStyle w:val="BodyText"/>
        <w:spacing w:before="2"/>
        <w:rPr>
          <w:b/>
        </w:rPr>
      </w:pPr>
    </w:p>
    <w:p>
      <w:pPr>
        <w:tabs>
          <w:tab w:pos="2419" w:val="left" w:leader="none"/>
        </w:tabs>
        <w:spacing w:line="417" w:lineRule="auto" w:before="0"/>
        <w:ind w:left="580" w:right="1654" w:firstLine="782"/>
        <w:jc w:val="left"/>
        <w:rPr>
          <w:sz w:val="21"/>
        </w:rPr>
      </w:pPr>
      <w:r>
        <w:rPr>
          <w:b/>
          <w:sz w:val="21"/>
        </w:rPr>
        <w:t>第一部分</w:t>
        <w:tab/>
        <w:t>基金份</w:t>
      </w:r>
      <w:r>
        <w:rPr>
          <w:b/>
          <w:spacing w:val="-3"/>
          <w:sz w:val="21"/>
        </w:rPr>
        <w:t>额</w:t>
      </w:r>
      <w:r>
        <w:rPr>
          <w:b/>
          <w:sz w:val="21"/>
        </w:rPr>
        <w:t>持</w:t>
      </w:r>
      <w:r>
        <w:rPr>
          <w:b/>
          <w:spacing w:val="-3"/>
          <w:sz w:val="21"/>
        </w:rPr>
        <w:t>有</w:t>
      </w:r>
      <w:r>
        <w:rPr>
          <w:b/>
          <w:sz w:val="21"/>
        </w:rPr>
        <w:t>人、基金管理人和</w:t>
      </w:r>
      <w:r>
        <w:rPr>
          <w:b/>
          <w:spacing w:val="-3"/>
          <w:sz w:val="21"/>
        </w:rPr>
        <w:t>基</w:t>
      </w:r>
      <w:r>
        <w:rPr>
          <w:b/>
          <w:sz w:val="21"/>
        </w:rPr>
        <w:t>金</w:t>
      </w:r>
      <w:r>
        <w:rPr>
          <w:b/>
          <w:spacing w:val="-3"/>
          <w:sz w:val="21"/>
        </w:rPr>
        <w:t>托</w:t>
      </w:r>
      <w:r>
        <w:rPr>
          <w:b/>
          <w:sz w:val="21"/>
        </w:rPr>
        <w:t>管人的权利、义</w:t>
      </w:r>
      <w:r>
        <w:rPr>
          <w:b/>
          <w:spacing w:val="-15"/>
          <w:sz w:val="21"/>
        </w:rPr>
        <w:t>务</w:t>
      </w:r>
      <w:r>
        <w:rPr>
          <w:sz w:val="21"/>
        </w:rPr>
        <w:t>一、</w:t>
      </w:r>
      <w:r>
        <w:rPr>
          <w:spacing w:val="-3"/>
          <w:sz w:val="21"/>
        </w:rPr>
        <w:t>基</w:t>
      </w:r>
      <w:r>
        <w:rPr>
          <w:sz w:val="21"/>
        </w:rPr>
        <w:t>金</w:t>
      </w:r>
      <w:r>
        <w:rPr>
          <w:spacing w:val="-3"/>
          <w:sz w:val="21"/>
        </w:rPr>
        <w:t>管</w:t>
      </w:r>
      <w:r>
        <w:rPr>
          <w:sz w:val="21"/>
        </w:rPr>
        <w:t>理人</w:t>
      </w:r>
    </w:p>
    <w:p>
      <w:pPr>
        <w:pStyle w:val="BodyText"/>
        <w:spacing w:line="269" w:lineRule="exact"/>
        <w:ind w:left="580"/>
      </w:pPr>
      <w:r>
        <w:rPr/>
        <w:t>（一）基金管理人简况</w:t>
      </w:r>
    </w:p>
    <w:p>
      <w:pPr>
        <w:pStyle w:val="BodyText"/>
        <w:spacing w:before="7"/>
        <w:rPr>
          <w:sz w:val="15"/>
        </w:rPr>
      </w:pPr>
    </w:p>
    <w:p>
      <w:pPr>
        <w:pStyle w:val="BodyText"/>
        <w:ind w:left="580"/>
      </w:pPr>
      <w:r>
        <w:rPr/>
        <w:t>名称：华夏基金管理有限公司</w:t>
      </w:r>
    </w:p>
    <w:p>
      <w:pPr>
        <w:pStyle w:val="BodyText"/>
        <w:spacing w:before="7"/>
        <w:rPr>
          <w:sz w:val="15"/>
        </w:rPr>
      </w:pPr>
    </w:p>
    <w:p>
      <w:pPr>
        <w:pStyle w:val="BodyText"/>
        <w:spacing w:line="417" w:lineRule="auto"/>
        <w:ind w:left="580" w:right="5129"/>
      </w:pPr>
      <w:r>
        <w:rPr/>
        <w:t>住所：北京市顺义区安庆大街甲 </w:t>
      </w:r>
      <w:r>
        <w:rPr>
          <w:rFonts w:ascii="Calibri" w:eastAsia="Calibri"/>
        </w:rPr>
        <w:t>3 </w:t>
      </w:r>
      <w:r>
        <w:rPr/>
        <w:t>号院法定代表人：杨明辉</w:t>
      </w:r>
    </w:p>
    <w:p>
      <w:pPr>
        <w:pStyle w:val="BodyText"/>
        <w:ind w:left="580"/>
      </w:pPr>
      <w:r>
        <w:rPr/>
        <w:t>设立日期：</w:t>
      </w:r>
      <w:r>
        <w:rPr>
          <w:rFonts w:ascii="Calibri" w:eastAsia="Calibri"/>
        </w:rPr>
        <w:t>1998 </w:t>
      </w:r>
      <w:r>
        <w:rPr/>
        <w:t>年 </w:t>
      </w:r>
      <w:r>
        <w:rPr>
          <w:rFonts w:ascii="Calibri" w:eastAsia="Calibri"/>
        </w:rPr>
        <w:t>4 </w:t>
      </w:r>
      <w:r>
        <w:rPr/>
        <w:t>月 </w:t>
      </w:r>
      <w:r>
        <w:rPr>
          <w:rFonts w:ascii="Calibri" w:eastAsia="Calibri"/>
        </w:rPr>
        <w:t>9 </w:t>
      </w:r>
      <w:r>
        <w:rPr/>
        <w:t>日</w:t>
      </w:r>
    </w:p>
    <w:p>
      <w:pPr>
        <w:pStyle w:val="BodyText"/>
        <w:spacing w:before="7"/>
        <w:rPr>
          <w:sz w:val="15"/>
        </w:rPr>
      </w:pPr>
    </w:p>
    <w:p>
      <w:pPr>
        <w:pStyle w:val="BodyText"/>
        <w:spacing w:line="417" w:lineRule="auto"/>
        <w:ind w:left="580" w:right="2691"/>
      </w:pPr>
      <w:r>
        <w:rPr/>
        <w:t>批准设立机关及批准设立文号：中国证监会证监基字</w:t>
      </w:r>
      <w:r>
        <w:rPr>
          <w:rFonts w:ascii="Calibri" w:eastAsia="Calibri"/>
        </w:rPr>
        <w:t>[1998]16 </w:t>
      </w:r>
      <w:r>
        <w:rPr/>
        <w:t>号文组织形式：有限责任公司</w:t>
      </w:r>
    </w:p>
    <w:p>
      <w:pPr>
        <w:pStyle w:val="BodyText"/>
        <w:spacing w:line="417" w:lineRule="auto"/>
        <w:ind w:left="580" w:right="6236"/>
      </w:pPr>
      <w:r>
        <w:rPr/>
        <w:t>注册资本：</w:t>
      </w:r>
      <w:r>
        <w:rPr>
          <w:rFonts w:ascii="Calibri" w:eastAsia="Calibri"/>
        </w:rPr>
        <w:t>2.38 </w:t>
      </w:r>
      <w:r>
        <w:rPr/>
        <w:t>亿元人民币存续期限：</w:t>
      </w:r>
      <w:r>
        <w:rPr>
          <w:rFonts w:ascii="Calibri" w:eastAsia="Calibri"/>
        </w:rPr>
        <w:t>100 </w:t>
      </w:r>
      <w:r>
        <w:rPr/>
        <w:t>年</w:t>
      </w:r>
    </w:p>
    <w:p>
      <w:pPr>
        <w:pStyle w:val="BodyText"/>
        <w:spacing w:line="269" w:lineRule="exact"/>
        <w:ind w:left="580"/>
        <w:rPr>
          <w:rFonts w:ascii="Calibri" w:eastAsia="Calibri"/>
        </w:rPr>
      </w:pPr>
      <w:r>
        <w:rPr/>
        <w:t>联系电话：</w:t>
      </w:r>
      <w:r>
        <w:rPr>
          <w:rFonts w:ascii="Calibri" w:eastAsia="Calibri"/>
        </w:rPr>
        <w:t>400-818-6666</w:t>
      </w:r>
    </w:p>
    <w:p>
      <w:pPr>
        <w:pStyle w:val="BodyText"/>
        <w:spacing w:before="3"/>
        <w:rPr>
          <w:rFonts w:ascii="Calibri"/>
          <w:sz w:val="16"/>
        </w:rPr>
      </w:pPr>
    </w:p>
    <w:p>
      <w:pPr>
        <w:pStyle w:val="BodyText"/>
        <w:spacing w:before="1"/>
        <w:ind w:left="580"/>
      </w:pPr>
      <w:r>
        <w:rPr/>
        <w:t>（二）基金管理人的权利与义务</w:t>
      </w:r>
    </w:p>
    <w:p>
      <w:pPr>
        <w:pStyle w:val="BodyText"/>
        <w:spacing w:before="6"/>
        <w:rPr>
          <w:sz w:val="15"/>
        </w:rPr>
      </w:pPr>
    </w:p>
    <w:p>
      <w:pPr>
        <w:pStyle w:val="BodyText"/>
        <w:ind w:left="580"/>
      </w:pPr>
      <w:r>
        <w:rPr>
          <w:rFonts w:ascii="Calibri" w:eastAsia="Calibri"/>
        </w:rPr>
        <w:t>1</w:t>
      </w:r>
      <w:r>
        <w:rPr/>
        <w:t>、根据《基金法》、《运作办法》及其他有关规定，基金管理人的权利包括但不限于：</w:t>
      </w:r>
    </w:p>
    <w:p>
      <w:pPr>
        <w:pStyle w:val="BodyText"/>
        <w:spacing w:before="7"/>
        <w:rPr>
          <w:sz w:val="15"/>
        </w:rPr>
      </w:pPr>
    </w:p>
    <w:p>
      <w:pPr>
        <w:pStyle w:val="ListParagraph"/>
        <w:numPr>
          <w:ilvl w:val="0"/>
          <w:numId w:val="36"/>
        </w:numPr>
        <w:tabs>
          <w:tab w:pos="1110" w:val="left" w:leader="none"/>
        </w:tabs>
        <w:spacing w:line="240" w:lineRule="auto" w:before="0" w:after="0"/>
        <w:ind w:left="1109" w:right="0" w:hanging="530"/>
        <w:jc w:val="left"/>
        <w:rPr>
          <w:sz w:val="21"/>
        </w:rPr>
      </w:pPr>
      <w:r>
        <w:rPr>
          <w:spacing w:val="-3"/>
          <w:sz w:val="21"/>
        </w:rPr>
        <w:t>依法募集资金；</w:t>
      </w:r>
    </w:p>
    <w:p>
      <w:pPr>
        <w:pStyle w:val="BodyText"/>
        <w:spacing w:before="7"/>
        <w:rPr>
          <w:sz w:val="15"/>
        </w:rPr>
      </w:pPr>
    </w:p>
    <w:p>
      <w:pPr>
        <w:pStyle w:val="ListParagraph"/>
        <w:numPr>
          <w:ilvl w:val="0"/>
          <w:numId w:val="36"/>
        </w:numPr>
        <w:tabs>
          <w:tab w:pos="1112" w:val="left" w:leader="none"/>
        </w:tabs>
        <w:spacing w:line="417" w:lineRule="auto" w:before="0" w:after="0"/>
        <w:ind w:left="160" w:right="874" w:firstLine="419"/>
        <w:jc w:val="left"/>
        <w:rPr>
          <w:sz w:val="21"/>
        </w:rPr>
      </w:pPr>
      <w:r>
        <w:rPr>
          <w:spacing w:val="-3"/>
          <w:sz w:val="21"/>
        </w:rPr>
        <w:t>自《基金合同》生效之日起，根据法律法规和《基金合同》独立运用并管理基金财产；</w:t>
      </w:r>
    </w:p>
    <w:p>
      <w:pPr>
        <w:pStyle w:val="ListParagraph"/>
        <w:numPr>
          <w:ilvl w:val="0"/>
          <w:numId w:val="36"/>
        </w:numPr>
        <w:tabs>
          <w:tab w:pos="1112" w:val="left" w:leader="none"/>
        </w:tabs>
        <w:spacing w:line="417" w:lineRule="auto" w:before="0" w:after="0"/>
        <w:ind w:left="160" w:right="873" w:firstLine="419"/>
        <w:jc w:val="left"/>
        <w:rPr>
          <w:sz w:val="21"/>
        </w:rPr>
      </w:pPr>
      <w:r>
        <w:rPr>
          <w:spacing w:val="-3"/>
          <w:sz w:val="21"/>
        </w:rPr>
        <w:t>依照《基金合同》收取基金管理费以及法律法规规定或中国证监会批准的其他费用；</w:t>
      </w:r>
    </w:p>
    <w:p>
      <w:pPr>
        <w:pStyle w:val="ListParagraph"/>
        <w:numPr>
          <w:ilvl w:val="0"/>
          <w:numId w:val="36"/>
        </w:numPr>
        <w:tabs>
          <w:tab w:pos="1110" w:val="left" w:leader="none"/>
        </w:tabs>
        <w:spacing w:line="240" w:lineRule="auto" w:before="0" w:after="0"/>
        <w:ind w:left="1109" w:right="0" w:hanging="530"/>
        <w:jc w:val="left"/>
        <w:rPr>
          <w:sz w:val="21"/>
        </w:rPr>
      </w:pPr>
      <w:r>
        <w:rPr>
          <w:spacing w:val="-3"/>
          <w:sz w:val="21"/>
        </w:rPr>
        <w:t>销售基金份额；</w:t>
      </w:r>
    </w:p>
    <w:p>
      <w:pPr>
        <w:pStyle w:val="BodyText"/>
        <w:spacing w:before="6"/>
        <w:rPr>
          <w:sz w:val="15"/>
        </w:rPr>
      </w:pPr>
    </w:p>
    <w:p>
      <w:pPr>
        <w:pStyle w:val="ListParagraph"/>
        <w:numPr>
          <w:ilvl w:val="0"/>
          <w:numId w:val="36"/>
        </w:numPr>
        <w:tabs>
          <w:tab w:pos="1110" w:val="left" w:leader="none"/>
        </w:tabs>
        <w:spacing w:line="240" w:lineRule="auto" w:before="0" w:after="0"/>
        <w:ind w:left="1109" w:right="0" w:hanging="530"/>
        <w:jc w:val="left"/>
        <w:rPr>
          <w:sz w:val="21"/>
        </w:rPr>
      </w:pPr>
      <w:r>
        <w:rPr>
          <w:spacing w:val="-3"/>
          <w:sz w:val="21"/>
        </w:rPr>
        <w:t>召集基金份额持有人大会；</w:t>
      </w:r>
    </w:p>
    <w:p>
      <w:pPr>
        <w:pStyle w:val="BodyText"/>
        <w:spacing w:before="7"/>
        <w:rPr>
          <w:sz w:val="15"/>
        </w:rPr>
      </w:pPr>
    </w:p>
    <w:p>
      <w:pPr>
        <w:pStyle w:val="ListParagraph"/>
        <w:numPr>
          <w:ilvl w:val="0"/>
          <w:numId w:val="36"/>
        </w:numPr>
        <w:tabs>
          <w:tab w:pos="1112" w:val="left" w:leader="none"/>
        </w:tabs>
        <w:spacing w:line="417" w:lineRule="auto" w:before="0" w:after="0"/>
        <w:ind w:left="160" w:right="871" w:firstLine="419"/>
        <w:jc w:val="both"/>
        <w:rPr>
          <w:sz w:val="21"/>
        </w:rPr>
      </w:pPr>
      <w:r>
        <w:rPr>
          <w:spacing w:val="-13"/>
          <w:sz w:val="21"/>
        </w:rPr>
        <w:t>依据《基金合同》及有关法律规定监督基金托管人，如认为基金托管人违反了《 基金合同》及国家有关法律规定，应呈报中国证监会和其他监管部门，并采取必要措施保护</w:t>
      </w:r>
      <w:r>
        <w:rPr>
          <w:spacing w:val="-3"/>
          <w:sz w:val="21"/>
        </w:rPr>
        <w:t>基金投资者的利益；</w:t>
      </w:r>
    </w:p>
    <w:p>
      <w:pPr>
        <w:pStyle w:val="ListParagraph"/>
        <w:numPr>
          <w:ilvl w:val="0"/>
          <w:numId w:val="36"/>
        </w:numPr>
        <w:tabs>
          <w:tab w:pos="1110" w:val="left" w:leader="none"/>
        </w:tabs>
        <w:spacing w:line="269" w:lineRule="exact" w:before="0" w:after="0"/>
        <w:ind w:left="1109" w:right="0" w:hanging="530"/>
        <w:jc w:val="left"/>
        <w:rPr>
          <w:sz w:val="21"/>
        </w:rPr>
      </w:pPr>
      <w:r>
        <w:rPr>
          <w:spacing w:val="-3"/>
          <w:sz w:val="21"/>
        </w:rPr>
        <w:t>在基金托管人更换时，提名新的基金托管人；</w:t>
      </w:r>
    </w:p>
    <w:p>
      <w:pPr>
        <w:pStyle w:val="BodyText"/>
        <w:spacing w:before="7"/>
        <w:rPr>
          <w:sz w:val="15"/>
        </w:rPr>
      </w:pPr>
    </w:p>
    <w:p>
      <w:pPr>
        <w:pStyle w:val="ListParagraph"/>
        <w:numPr>
          <w:ilvl w:val="0"/>
          <w:numId w:val="36"/>
        </w:numPr>
        <w:tabs>
          <w:tab w:pos="1110" w:val="left" w:leader="none"/>
        </w:tabs>
        <w:spacing w:line="240" w:lineRule="auto" w:before="0" w:after="0"/>
        <w:ind w:left="1109" w:right="0" w:hanging="530"/>
        <w:jc w:val="left"/>
        <w:rPr>
          <w:sz w:val="21"/>
        </w:rPr>
      </w:pPr>
      <w:r>
        <w:rPr>
          <w:spacing w:val="-3"/>
          <w:sz w:val="21"/>
        </w:rPr>
        <w:t>选择、更换基金销售机构，对基金销售机构的相关行为进行监督和处理；</w:t>
      </w:r>
    </w:p>
    <w:p>
      <w:pPr>
        <w:pStyle w:val="BodyText"/>
        <w:spacing w:before="7"/>
        <w:rPr>
          <w:sz w:val="15"/>
        </w:rPr>
      </w:pPr>
    </w:p>
    <w:p>
      <w:pPr>
        <w:pStyle w:val="ListParagraph"/>
        <w:numPr>
          <w:ilvl w:val="0"/>
          <w:numId w:val="36"/>
        </w:numPr>
        <w:tabs>
          <w:tab w:pos="1112" w:val="left" w:leader="none"/>
        </w:tabs>
        <w:spacing w:line="240" w:lineRule="auto" w:before="0" w:after="0"/>
        <w:ind w:left="1111" w:right="0" w:hanging="532"/>
        <w:jc w:val="left"/>
        <w:rPr>
          <w:sz w:val="21"/>
        </w:rPr>
      </w:pPr>
      <w:r>
        <w:rPr>
          <w:spacing w:val="-3"/>
          <w:sz w:val="21"/>
        </w:rPr>
        <w:t>担任或委托其他符合条件的机构担任基金登记机构办理基金登记业务并获得《基</w:t>
      </w:r>
    </w:p>
    <w:p>
      <w:pPr>
        <w:spacing w:after="0" w:line="240" w:lineRule="auto"/>
        <w:jc w:val="left"/>
        <w:rPr>
          <w:sz w:val="21"/>
        </w:rPr>
        <w:sectPr>
          <w:pgSz w:w="11910" w:h="16840"/>
          <w:pgMar w:header="877" w:footer="995" w:top="1420" w:bottom="1180" w:left="1640" w:right="920"/>
        </w:sectPr>
      </w:pPr>
    </w:p>
    <w:p>
      <w:pPr>
        <w:pStyle w:val="BodyText"/>
        <w:spacing w:before="110"/>
        <w:ind w:left="160"/>
      </w:pPr>
      <w:r>
        <w:rPr/>
        <w:t>金合同》规定的费用；</w:t>
      </w:r>
    </w:p>
    <w:p>
      <w:pPr>
        <w:pStyle w:val="BodyText"/>
        <w:spacing w:before="6"/>
        <w:rPr>
          <w:sz w:val="15"/>
        </w:rPr>
      </w:pPr>
    </w:p>
    <w:p>
      <w:pPr>
        <w:pStyle w:val="ListParagraph"/>
        <w:numPr>
          <w:ilvl w:val="0"/>
          <w:numId w:val="36"/>
        </w:numPr>
        <w:tabs>
          <w:tab w:pos="1218" w:val="left" w:leader="none"/>
        </w:tabs>
        <w:spacing w:line="240" w:lineRule="auto" w:before="0" w:after="0"/>
        <w:ind w:left="1217" w:right="0" w:hanging="638"/>
        <w:jc w:val="left"/>
        <w:rPr>
          <w:sz w:val="21"/>
        </w:rPr>
      </w:pPr>
      <w:r>
        <w:rPr>
          <w:spacing w:val="-3"/>
          <w:sz w:val="21"/>
        </w:rPr>
        <w:t>依据《基金合同》及有关法律规定决定基金收益的分配方案；</w:t>
      </w:r>
    </w:p>
    <w:p>
      <w:pPr>
        <w:pStyle w:val="BodyText"/>
        <w:spacing w:before="7"/>
        <w:rPr>
          <w:sz w:val="15"/>
        </w:rPr>
      </w:pPr>
    </w:p>
    <w:p>
      <w:pPr>
        <w:pStyle w:val="ListParagraph"/>
        <w:numPr>
          <w:ilvl w:val="0"/>
          <w:numId w:val="36"/>
        </w:numPr>
        <w:tabs>
          <w:tab w:pos="1218" w:val="left" w:leader="none"/>
        </w:tabs>
        <w:spacing w:line="240" w:lineRule="auto" w:before="0" w:after="0"/>
        <w:ind w:left="1217" w:right="0" w:hanging="638"/>
        <w:jc w:val="left"/>
        <w:rPr>
          <w:sz w:val="21"/>
        </w:rPr>
      </w:pPr>
      <w:r>
        <w:rPr>
          <w:spacing w:val="-3"/>
          <w:sz w:val="21"/>
        </w:rPr>
        <w:t>在《基金合同》约定的范围内，拒绝或暂停受理申购与赎回申请；</w:t>
      </w:r>
    </w:p>
    <w:p>
      <w:pPr>
        <w:pStyle w:val="BodyText"/>
        <w:spacing w:before="7"/>
        <w:rPr>
          <w:sz w:val="15"/>
        </w:rPr>
      </w:pPr>
    </w:p>
    <w:p>
      <w:pPr>
        <w:pStyle w:val="ListParagraph"/>
        <w:numPr>
          <w:ilvl w:val="0"/>
          <w:numId w:val="36"/>
        </w:numPr>
        <w:tabs>
          <w:tab w:pos="1218" w:val="left" w:leader="none"/>
        </w:tabs>
        <w:spacing w:line="417" w:lineRule="auto" w:before="0" w:after="0"/>
        <w:ind w:left="160" w:right="871" w:firstLine="419"/>
        <w:jc w:val="left"/>
        <w:rPr>
          <w:sz w:val="21"/>
        </w:rPr>
      </w:pPr>
      <w:r>
        <w:rPr>
          <w:spacing w:val="-5"/>
          <w:sz w:val="21"/>
        </w:rPr>
        <w:t>依照法律法规为基金的利益对被投资公司行使股东权利，为基金的利益行使因 </w:t>
      </w:r>
      <w:r>
        <w:rPr>
          <w:spacing w:val="-4"/>
          <w:sz w:val="21"/>
        </w:rPr>
        <w:t>基金财产投资于证券所产生的权利；</w:t>
      </w:r>
    </w:p>
    <w:p>
      <w:pPr>
        <w:pStyle w:val="ListParagraph"/>
        <w:numPr>
          <w:ilvl w:val="0"/>
          <w:numId w:val="36"/>
        </w:numPr>
        <w:tabs>
          <w:tab w:pos="1218" w:val="left" w:leader="none"/>
        </w:tabs>
        <w:spacing w:line="269" w:lineRule="exact" w:before="0" w:after="0"/>
        <w:ind w:left="1217" w:right="0" w:hanging="638"/>
        <w:jc w:val="left"/>
        <w:rPr>
          <w:sz w:val="21"/>
        </w:rPr>
      </w:pPr>
      <w:r>
        <w:rPr>
          <w:spacing w:val="-3"/>
          <w:sz w:val="21"/>
        </w:rPr>
        <w:t>在法律法规允许的前提下，为基金的利益依法为基金进行融资；</w:t>
      </w:r>
    </w:p>
    <w:p>
      <w:pPr>
        <w:pStyle w:val="BodyText"/>
        <w:spacing w:before="7"/>
        <w:rPr>
          <w:sz w:val="15"/>
        </w:rPr>
      </w:pPr>
    </w:p>
    <w:p>
      <w:pPr>
        <w:pStyle w:val="ListParagraph"/>
        <w:numPr>
          <w:ilvl w:val="0"/>
          <w:numId w:val="36"/>
        </w:numPr>
        <w:tabs>
          <w:tab w:pos="1218" w:val="left" w:leader="none"/>
        </w:tabs>
        <w:spacing w:line="417" w:lineRule="auto" w:before="0" w:after="0"/>
        <w:ind w:left="160" w:right="871" w:firstLine="419"/>
        <w:jc w:val="left"/>
        <w:rPr>
          <w:sz w:val="21"/>
        </w:rPr>
      </w:pPr>
      <w:r>
        <w:rPr>
          <w:spacing w:val="-8"/>
          <w:sz w:val="21"/>
        </w:rPr>
        <w:t>以基金管理人的名义，代表基金份额持有人的利益行使诉讼权利或者实施其他 </w:t>
      </w:r>
      <w:r>
        <w:rPr>
          <w:spacing w:val="-6"/>
          <w:sz w:val="21"/>
        </w:rPr>
        <w:t>法律行为；</w:t>
      </w:r>
    </w:p>
    <w:p>
      <w:pPr>
        <w:pStyle w:val="ListParagraph"/>
        <w:numPr>
          <w:ilvl w:val="0"/>
          <w:numId w:val="36"/>
        </w:numPr>
        <w:tabs>
          <w:tab w:pos="1218" w:val="left" w:leader="none"/>
        </w:tabs>
        <w:spacing w:line="417" w:lineRule="auto" w:before="0" w:after="0"/>
        <w:ind w:left="160" w:right="871" w:firstLine="419"/>
        <w:jc w:val="left"/>
        <w:rPr>
          <w:sz w:val="21"/>
        </w:rPr>
      </w:pPr>
      <w:r>
        <w:rPr>
          <w:spacing w:val="-10"/>
          <w:sz w:val="21"/>
        </w:rPr>
        <w:t>选择、更换律师事务所、会计师事务所、证券经纪商或其他为基金提供服务的 </w:t>
      </w:r>
      <w:r>
        <w:rPr>
          <w:spacing w:val="-8"/>
          <w:sz w:val="21"/>
        </w:rPr>
        <w:t>外部机构；</w:t>
      </w:r>
    </w:p>
    <w:p>
      <w:pPr>
        <w:pStyle w:val="ListParagraph"/>
        <w:numPr>
          <w:ilvl w:val="0"/>
          <w:numId w:val="36"/>
        </w:numPr>
        <w:tabs>
          <w:tab w:pos="1218" w:val="left" w:leader="none"/>
        </w:tabs>
        <w:spacing w:line="417" w:lineRule="auto" w:before="0" w:after="0"/>
        <w:ind w:left="160" w:right="874" w:firstLine="419"/>
        <w:jc w:val="left"/>
        <w:rPr>
          <w:sz w:val="21"/>
        </w:rPr>
      </w:pPr>
      <w:r>
        <w:rPr>
          <w:spacing w:val="-10"/>
          <w:sz w:val="21"/>
        </w:rPr>
        <w:t>在符合有关法律、法规的前提下，制订和调整有关基金认购、申购、赎回、转 </w:t>
      </w:r>
      <w:r>
        <w:rPr>
          <w:spacing w:val="-7"/>
          <w:sz w:val="21"/>
        </w:rPr>
        <w:t>换和非交易过户等业务规则；</w:t>
      </w:r>
    </w:p>
    <w:p>
      <w:pPr>
        <w:pStyle w:val="ListParagraph"/>
        <w:numPr>
          <w:ilvl w:val="0"/>
          <w:numId w:val="36"/>
        </w:numPr>
        <w:tabs>
          <w:tab w:pos="1218" w:val="left" w:leader="none"/>
        </w:tabs>
        <w:spacing w:line="269" w:lineRule="exact" w:before="0" w:after="0"/>
        <w:ind w:left="1217" w:right="0" w:hanging="638"/>
        <w:jc w:val="left"/>
        <w:rPr>
          <w:sz w:val="21"/>
        </w:rPr>
      </w:pPr>
      <w:r>
        <w:rPr>
          <w:spacing w:val="-3"/>
          <w:sz w:val="21"/>
        </w:rPr>
        <w:t>法律法规及中国证监会规定的和《基金合同》约定的其他权利。</w:t>
      </w:r>
    </w:p>
    <w:p>
      <w:pPr>
        <w:pStyle w:val="BodyText"/>
        <w:spacing w:before="6"/>
        <w:rPr>
          <w:sz w:val="15"/>
        </w:rPr>
      </w:pPr>
    </w:p>
    <w:p>
      <w:pPr>
        <w:pStyle w:val="BodyText"/>
        <w:ind w:left="580"/>
      </w:pPr>
      <w:r>
        <w:rPr>
          <w:rFonts w:ascii="Calibri" w:eastAsia="Calibri"/>
        </w:rPr>
        <w:t>2</w:t>
      </w:r>
      <w:r>
        <w:rPr/>
        <w:t>、根据《基金法》、《运作办法》及其他有关规定，基金管理人的义务包括但不限于：</w:t>
      </w:r>
    </w:p>
    <w:p>
      <w:pPr>
        <w:pStyle w:val="BodyText"/>
        <w:spacing w:before="7"/>
        <w:rPr>
          <w:sz w:val="15"/>
        </w:rPr>
      </w:pPr>
    </w:p>
    <w:p>
      <w:pPr>
        <w:pStyle w:val="ListParagraph"/>
        <w:numPr>
          <w:ilvl w:val="0"/>
          <w:numId w:val="37"/>
        </w:numPr>
        <w:tabs>
          <w:tab w:pos="1112" w:val="left" w:leader="none"/>
        </w:tabs>
        <w:spacing w:line="417" w:lineRule="auto" w:before="1" w:after="0"/>
        <w:ind w:left="160" w:right="874" w:firstLine="419"/>
        <w:jc w:val="left"/>
        <w:rPr>
          <w:sz w:val="21"/>
        </w:rPr>
      </w:pPr>
      <w:r>
        <w:rPr>
          <w:spacing w:val="-3"/>
          <w:sz w:val="21"/>
        </w:rPr>
        <w:t>依法募集资金，办理或者委托经中国证监会认定的其他机构代为办理基金份额的发售、申购、赎回和登记事宜；</w:t>
      </w:r>
    </w:p>
    <w:p>
      <w:pPr>
        <w:pStyle w:val="ListParagraph"/>
        <w:numPr>
          <w:ilvl w:val="0"/>
          <w:numId w:val="37"/>
        </w:numPr>
        <w:tabs>
          <w:tab w:pos="1110" w:val="left" w:leader="none"/>
        </w:tabs>
        <w:spacing w:line="269" w:lineRule="exact" w:before="0" w:after="0"/>
        <w:ind w:left="1109" w:right="0" w:hanging="530"/>
        <w:jc w:val="left"/>
        <w:rPr>
          <w:sz w:val="21"/>
        </w:rPr>
      </w:pPr>
      <w:r>
        <w:rPr>
          <w:spacing w:val="-3"/>
          <w:sz w:val="21"/>
        </w:rPr>
        <w:t>办理基金备案手续；</w:t>
      </w:r>
    </w:p>
    <w:p>
      <w:pPr>
        <w:pStyle w:val="BodyText"/>
        <w:spacing w:before="6"/>
        <w:rPr>
          <w:sz w:val="15"/>
        </w:rPr>
      </w:pPr>
    </w:p>
    <w:p>
      <w:pPr>
        <w:pStyle w:val="ListParagraph"/>
        <w:numPr>
          <w:ilvl w:val="0"/>
          <w:numId w:val="37"/>
        </w:numPr>
        <w:tabs>
          <w:tab w:pos="1112" w:val="left" w:leader="none"/>
        </w:tabs>
        <w:spacing w:line="240" w:lineRule="auto" w:before="0" w:after="0"/>
        <w:ind w:left="1111" w:right="0" w:hanging="532"/>
        <w:jc w:val="left"/>
        <w:rPr>
          <w:sz w:val="21"/>
        </w:rPr>
      </w:pPr>
      <w:r>
        <w:rPr>
          <w:spacing w:val="-15"/>
          <w:sz w:val="21"/>
        </w:rPr>
        <w:t>自《基金合同》生效之日起，以诚实信用、谨慎勤勉的原则管理和运用基金财产；</w:t>
      </w:r>
    </w:p>
    <w:p>
      <w:pPr>
        <w:pStyle w:val="BodyText"/>
        <w:spacing w:before="7"/>
        <w:rPr>
          <w:sz w:val="15"/>
        </w:rPr>
      </w:pPr>
    </w:p>
    <w:p>
      <w:pPr>
        <w:pStyle w:val="ListParagraph"/>
        <w:numPr>
          <w:ilvl w:val="0"/>
          <w:numId w:val="37"/>
        </w:numPr>
        <w:tabs>
          <w:tab w:pos="1112" w:val="left" w:leader="none"/>
        </w:tabs>
        <w:spacing w:line="417" w:lineRule="auto" w:before="0" w:after="0"/>
        <w:ind w:left="160" w:right="873" w:firstLine="419"/>
        <w:jc w:val="left"/>
        <w:rPr>
          <w:sz w:val="21"/>
        </w:rPr>
      </w:pPr>
      <w:r>
        <w:rPr>
          <w:spacing w:val="-3"/>
          <w:sz w:val="21"/>
        </w:rPr>
        <w:t>配备足够的具有专业资格的人员进行基金投资分析、决策，以专业化的经营方式管理和运作基金财产；</w:t>
      </w:r>
    </w:p>
    <w:p>
      <w:pPr>
        <w:pStyle w:val="ListParagraph"/>
        <w:numPr>
          <w:ilvl w:val="0"/>
          <w:numId w:val="37"/>
        </w:numPr>
        <w:tabs>
          <w:tab w:pos="1112" w:val="left" w:leader="none"/>
        </w:tabs>
        <w:spacing w:line="417" w:lineRule="auto" w:before="0" w:after="0"/>
        <w:ind w:left="160" w:right="871" w:firstLine="419"/>
        <w:jc w:val="both"/>
        <w:rPr>
          <w:sz w:val="21"/>
        </w:rPr>
      </w:pPr>
      <w:r>
        <w:rPr>
          <w:spacing w:val="-3"/>
          <w:sz w:val="21"/>
        </w:rPr>
        <w:t>建立健全内部风险控制、监察与稽核、财务管理及人事管理等制度，保证所管理</w:t>
      </w:r>
      <w:r>
        <w:rPr>
          <w:spacing w:val="-7"/>
          <w:sz w:val="21"/>
        </w:rPr>
        <w:t>的基金财产和基金管理人的财产相互独立，对所管理的不同基金分别管理，分别记账，进行</w:t>
      </w:r>
      <w:r>
        <w:rPr>
          <w:spacing w:val="-4"/>
          <w:sz w:val="21"/>
        </w:rPr>
        <w:t>证券投资；</w:t>
      </w:r>
    </w:p>
    <w:p>
      <w:pPr>
        <w:pStyle w:val="ListParagraph"/>
        <w:numPr>
          <w:ilvl w:val="0"/>
          <w:numId w:val="37"/>
        </w:numPr>
        <w:tabs>
          <w:tab w:pos="1110" w:val="left" w:leader="none"/>
        </w:tabs>
        <w:spacing w:line="417" w:lineRule="auto" w:before="0" w:after="0"/>
        <w:ind w:left="160" w:right="873" w:firstLine="419"/>
        <w:jc w:val="left"/>
        <w:rPr>
          <w:sz w:val="21"/>
        </w:rPr>
      </w:pPr>
      <w:r>
        <w:rPr>
          <w:spacing w:val="-18"/>
          <w:sz w:val="21"/>
        </w:rPr>
        <w:t>除依据《基金法》、《基金合同》及其他有关规定外</w:t>
      </w:r>
      <w:r>
        <w:rPr>
          <w:rFonts w:ascii="Calibri" w:eastAsia="Calibri"/>
          <w:spacing w:val="-3"/>
          <w:sz w:val="21"/>
        </w:rPr>
        <w:t>,</w:t>
      </w:r>
      <w:r>
        <w:rPr>
          <w:spacing w:val="-3"/>
          <w:sz w:val="21"/>
        </w:rPr>
        <w:t>不得利用基金财产为自己及任何第三人谋取利益，不得委托第三人运作基金财产；</w:t>
      </w:r>
    </w:p>
    <w:p>
      <w:pPr>
        <w:pStyle w:val="ListParagraph"/>
        <w:numPr>
          <w:ilvl w:val="0"/>
          <w:numId w:val="37"/>
        </w:numPr>
        <w:tabs>
          <w:tab w:pos="1110" w:val="left" w:leader="none"/>
        </w:tabs>
        <w:spacing w:line="269" w:lineRule="exact" w:before="0" w:after="0"/>
        <w:ind w:left="1109" w:right="0" w:hanging="530"/>
        <w:jc w:val="left"/>
        <w:rPr>
          <w:sz w:val="21"/>
        </w:rPr>
      </w:pPr>
      <w:r>
        <w:rPr>
          <w:spacing w:val="-3"/>
          <w:sz w:val="21"/>
        </w:rPr>
        <w:t>依法接受基金托管人的监督；</w:t>
      </w:r>
    </w:p>
    <w:p>
      <w:pPr>
        <w:pStyle w:val="BodyText"/>
        <w:spacing w:before="6"/>
        <w:rPr>
          <w:sz w:val="15"/>
        </w:rPr>
      </w:pPr>
    </w:p>
    <w:p>
      <w:pPr>
        <w:pStyle w:val="ListParagraph"/>
        <w:numPr>
          <w:ilvl w:val="0"/>
          <w:numId w:val="37"/>
        </w:numPr>
        <w:tabs>
          <w:tab w:pos="1110" w:val="left" w:leader="none"/>
        </w:tabs>
        <w:spacing w:line="417" w:lineRule="auto" w:before="1" w:after="0"/>
        <w:ind w:left="160" w:right="871" w:firstLine="419"/>
        <w:jc w:val="both"/>
        <w:rPr>
          <w:sz w:val="21"/>
        </w:rPr>
      </w:pPr>
      <w:r>
        <w:rPr>
          <w:spacing w:val="-11"/>
          <w:sz w:val="21"/>
        </w:rPr>
        <w:t>采取适当合理的措施使计算基金份额认购、申购、赎回和注销价格的方法符合《 </w:t>
      </w:r>
      <w:r>
        <w:rPr>
          <w:spacing w:val="-13"/>
          <w:sz w:val="21"/>
        </w:rPr>
        <w:t>基金合同》等法律文件的规定，按有关规定计算并公告基金净值信息，确定基金份额申购、</w:t>
      </w:r>
      <w:r>
        <w:rPr>
          <w:spacing w:val="-1"/>
          <w:sz w:val="21"/>
        </w:rPr>
        <w:t>赎回的价格；</w:t>
      </w:r>
    </w:p>
    <w:p>
      <w:pPr>
        <w:pStyle w:val="ListParagraph"/>
        <w:numPr>
          <w:ilvl w:val="0"/>
          <w:numId w:val="37"/>
        </w:numPr>
        <w:tabs>
          <w:tab w:pos="1110" w:val="left" w:leader="none"/>
        </w:tabs>
        <w:spacing w:line="240" w:lineRule="auto" w:before="0" w:after="0"/>
        <w:ind w:left="1109" w:right="0" w:hanging="530"/>
        <w:jc w:val="left"/>
        <w:rPr>
          <w:sz w:val="21"/>
        </w:rPr>
      </w:pPr>
      <w:r>
        <w:rPr>
          <w:spacing w:val="-3"/>
          <w:sz w:val="21"/>
        </w:rPr>
        <w:t>进行基金会计核算并编制基金财务会计报告；</w:t>
      </w:r>
    </w:p>
    <w:p>
      <w:pPr>
        <w:spacing w:after="0" w:line="240" w:lineRule="auto"/>
        <w:jc w:val="left"/>
        <w:rPr>
          <w:sz w:val="21"/>
        </w:rPr>
        <w:sectPr>
          <w:pgSz w:w="11910" w:h="16840"/>
          <w:pgMar w:header="877" w:footer="995" w:top="1420" w:bottom="1180" w:left="1640" w:right="920"/>
        </w:sectPr>
      </w:pPr>
    </w:p>
    <w:p>
      <w:pPr>
        <w:pStyle w:val="ListParagraph"/>
        <w:numPr>
          <w:ilvl w:val="0"/>
          <w:numId w:val="37"/>
        </w:numPr>
        <w:tabs>
          <w:tab w:pos="1218" w:val="left" w:leader="none"/>
        </w:tabs>
        <w:spacing w:line="240" w:lineRule="auto" w:before="110" w:after="0"/>
        <w:ind w:left="1217" w:right="0" w:hanging="638"/>
        <w:jc w:val="left"/>
        <w:rPr>
          <w:sz w:val="21"/>
        </w:rPr>
      </w:pPr>
      <w:r>
        <w:rPr>
          <w:spacing w:val="-3"/>
          <w:sz w:val="21"/>
        </w:rPr>
        <w:t>编制季度、中期和年度基金报告；</w:t>
      </w:r>
    </w:p>
    <w:p>
      <w:pPr>
        <w:pStyle w:val="BodyText"/>
        <w:spacing w:before="6"/>
        <w:rPr>
          <w:sz w:val="15"/>
        </w:rPr>
      </w:pPr>
    </w:p>
    <w:p>
      <w:pPr>
        <w:pStyle w:val="ListParagraph"/>
        <w:numPr>
          <w:ilvl w:val="0"/>
          <w:numId w:val="37"/>
        </w:numPr>
        <w:tabs>
          <w:tab w:pos="1218" w:val="left" w:leader="none"/>
        </w:tabs>
        <w:spacing w:line="240" w:lineRule="auto" w:before="0" w:after="0"/>
        <w:ind w:left="1217" w:right="0" w:hanging="638"/>
        <w:jc w:val="left"/>
        <w:rPr>
          <w:sz w:val="21"/>
        </w:rPr>
      </w:pPr>
      <w:r>
        <w:rPr>
          <w:spacing w:val="-17"/>
          <w:sz w:val="21"/>
        </w:rPr>
        <w:t>严格按照《基金法》、《基金合同》及其他有关规定，履行信息披露及报告义务；</w:t>
      </w:r>
    </w:p>
    <w:p>
      <w:pPr>
        <w:pStyle w:val="BodyText"/>
        <w:spacing w:before="7"/>
        <w:rPr>
          <w:sz w:val="15"/>
        </w:rPr>
      </w:pPr>
    </w:p>
    <w:p>
      <w:pPr>
        <w:pStyle w:val="ListParagraph"/>
        <w:numPr>
          <w:ilvl w:val="0"/>
          <w:numId w:val="37"/>
        </w:numPr>
        <w:tabs>
          <w:tab w:pos="1218" w:val="left" w:leader="none"/>
        </w:tabs>
        <w:spacing w:line="417" w:lineRule="auto" w:before="0" w:after="0"/>
        <w:ind w:left="160" w:right="874" w:firstLine="419"/>
        <w:jc w:val="left"/>
        <w:rPr>
          <w:sz w:val="21"/>
        </w:rPr>
      </w:pPr>
      <w:r>
        <w:rPr>
          <w:spacing w:val="-12"/>
          <w:sz w:val="21"/>
        </w:rPr>
        <w:t>保守基金商业秘密，不泄露基金投资计划、投资意向等。除《基金法》</w:t>
      </w:r>
      <w:r>
        <w:rPr>
          <w:spacing w:val="-33"/>
          <w:sz w:val="21"/>
        </w:rPr>
        <w:t>、《基金 </w:t>
      </w:r>
      <w:r>
        <w:rPr>
          <w:spacing w:val="-3"/>
          <w:sz w:val="21"/>
        </w:rPr>
        <w:t>合同》及其他有关规定另有规定外，在基金信息公开披露前应予保密，不向他人泄露；</w:t>
      </w:r>
    </w:p>
    <w:p>
      <w:pPr>
        <w:pStyle w:val="ListParagraph"/>
        <w:numPr>
          <w:ilvl w:val="0"/>
          <w:numId w:val="37"/>
        </w:numPr>
        <w:tabs>
          <w:tab w:pos="1218" w:val="left" w:leader="none"/>
        </w:tabs>
        <w:spacing w:line="417" w:lineRule="auto" w:before="0" w:after="0"/>
        <w:ind w:left="160" w:right="874" w:firstLine="419"/>
        <w:jc w:val="left"/>
        <w:rPr>
          <w:sz w:val="21"/>
        </w:rPr>
      </w:pPr>
      <w:r>
        <w:rPr>
          <w:spacing w:val="-10"/>
          <w:sz w:val="21"/>
        </w:rPr>
        <w:t>按《基金合同》的约定确定基金收益分配方案，及时向基金份额持有人分配基 </w:t>
      </w:r>
      <w:r>
        <w:rPr>
          <w:sz w:val="21"/>
        </w:rPr>
        <w:t>金收益；</w:t>
      </w:r>
    </w:p>
    <w:p>
      <w:pPr>
        <w:pStyle w:val="ListParagraph"/>
        <w:numPr>
          <w:ilvl w:val="0"/>
          <w:numId w:val="37"/>
        </w:numPr>
        <w:tabs>
          <w:tab w:pos="1218" w:val="left" w:leader="none"/>
        </w:tabs>
        <w:spacing w:line="269" w:lineRule="exact" w:before="0" w:after="0"/>
        <w:ind w:left="1217" w:right="0" w:hanging="638"/>
        <w:jc w:val="left"/>
        <w:rPr>
          <w:sz w:val="21"/>
        </w:rPr>
      </w:pPr>
      <w:r>
        <w:rPr>
          <w:spacing w:val="-3"/>
          <w:sz w:val="21"/>
        </w:rPr>
        <w:t>按规定受理申购与赎回申请，及时、足额支付赎回款项；</w:t>
      </w:r>
    </w:p>
    <w:p>
      <w:pPr>
        <w:pStyle w:val="BodyText"/>
        <w:spacing w:before="7"/>
        <w:rPr>
          <w:sz w:val="15"/>
        </w:rPr>
      </w:pPr>
    </w:p>
    <w:p>
      <w:pPr>
        <w:pStyle w:val="ListParagraph"/>
        <w:numPr>
          <w:ilvl w:val="0"/>
          <w:numId w:val="37"/>
        </w:numPr>
        <w:tabs>
          <w:tab w:pos="1218" w:val="left" w:leader="none"/>
        </w:tabs>
        <w:spacing w:line="417" w:lineRule="auto" w:before="0" w:after="0"/>
        <w:ind w:left="160" w:right="874" w:firstLine="419"/>
        <w:jc w:val="left"/>
        <w:rPr>
          <w:sz w:val="21"/>
        </w:rPr>
      </w:pPr>
      <w:r>
        <w:rPr>
          <w:spacing w:val="-21"/>
          <w:sz w:val="21"/>
        </w:rPr>
        <w:t>依据《基金法》、《基金合同》及其他有关规定召集基金份额持有人大会或配合 </w:t>
      </w:r>
      <w:r>
        <w:rPr>
          <w:spacing w:val="-3"/>
          <w:sz w:val="21"/>
        </w:rPr>
        <w:t>基金托管人、基金份额持有人依法召集基金份额持有人大会；</w:t>
      </w:r>
    </w:p>
    <w:p>
      <w:pPr>
        <w:pStyle w:val="ListParagraph"/>
        <w:numPr>
          <w:ilvl w:val="0"/>
          <w:numId w:val="37"/>
        </w:numPr>
        <w:tabs>
          <w:tab w:pos="1218" w:val="left" w:leader="none"/>
        </w:tabs>
        <w:spacing w:line="269" w:lineRule="exact" w:before="0" w:after="0"/>
        <w:ind w:left="1217" w:right="0" w:hanging="638"/>
        <w:jc w:val="left"/>
        <w:rPr>
          <w:rFonts w:ascii="Calibri" w:eastAsia="Calibri"/>
          <w:sz w:val="21"/>
        </w:rPr>
      </w:pPr>
      <w:r>
        <w:rPr>
          <w:spacing w:val="-3"/>
          <w:sz w:val="21"/>
        </w:rPr>
        <w:t>按规定保存基金财产管理业务活动的会计账册、报表、记录和其他相关资料 </w:t>
      </w:r>
      <w:r>
        <w:rPr>
          <w:rFonts w:ascii="Calibri" w:eastAsia="Calibri"/>
          <w:sz w:val="21"/>
        </w:rPr>
        <w:t>15</w:t>
      </w:r>
    </w:p>
    <w:p>
      <w:pPr>
        <w:pStyle w:val="BodyText"/>
        <w:spacing w:before="4"/>
        <w:rPr>
          <w:rFonts w:ascii="Calibri"/>
          <w:sz w:val="16"/>
        </w:rPr>
      </w:pPr>
    </w:p>
    <w:p>
      <w:pPr>
        <w:pStyle w:val="BodyText"/>
        <w:ind w:left="160"/>
      </w:pPr>
      <w:r>
        <w:rPr/>
        <w:t>年以上；</w:t>
      </w:r>
    </w:p>
    <w:p>
      <w:pPr>
        <w:pStyle w:val="BodyText"/>
        <w:spacing w:before="6"/>
        <w:rPr>
          <w:sz w:val="15"/>
        </w:rPr>
      </w:pPr>
    </w:p>
    <w:p>
      <w:pPr>
        <w:pStyle w:val="ListParagraph"/>
        <w:numPr>
          <w:ilvl w:val="0"/>
          <w:numId w:val="37"/>
        </w:numPr>
        <w:tabs>
          <w:tab w:pos="1218" w:val="left" w:leader="none"/>
        </w:tabs>
        <w:spacing w:line="417" w:lineRule="auto" w:before="1" w:after="0"/>
        <w:ind w:left="160" w:right="871" w:firstLine="419"/>
        <w:jc w:val="both"/>
        <w:rPr>
          <w:sz w:val="21"/>
        </w:rPr>
      </w:pPr>
      <w:r>
        <w:rPr>
          <w:spacing w:val="-5"/>
          <w:sz w:val="21"/>
        </w:rPr>
        <w:t>确保需要向基金投资者提供的各项文件或资料在规定时间发出，并且保证投资 </w:t>
      </w:r>
      <w:r>
        <w:rPr>
          <w:spacing w:val="-11"/>
          <w:sz w:val="21"/>
        </w:rPr>
        <w:t>者能够按照《基金合同》规定的时间和方式，随时查阅到与基金有关的公开资料，并在支付</w:t>
      </w:r>
      <w:r>
        <w:rPr>
          <w:spacing w:val="-7"/>
          <w:sz w:val="21"/>
        </w:rPr>
        <w:t>合理成本的条件下得到有关资料的复印件；</w:t>
      </w:r>
    </w:p>
    <w:p>
      <w:pPr>
        <w:pStyle w:val="ListParagraph"/>
        <w:numPr>
          <w:ilvl w:val="0"/>
          <w:numId w:val="37"/>
        </w:numPr>
        <w:tabs>
          <w:tab w:pos="1218" w:val="left" w:leader="none"/>
        </w:tabs>
        <w:spacing w:line="240" w:lineRule="auto" w:before="0" w:after="0"/>
        <w:ind w:left="1217" w:right="0" w:hanging="638"/>
        <w:jc w:val="left"/>
        <w:rPr>
          <w:sz w:val="21"/>
        </w:rPr>
      </w:pPr>
      <w:r>
        <w:rPr>
          <w:spacing w:val="-15"/>
          <w:sz w:val="21"/>
        </w:rPr>
        <w:t>组织并参加基金财产清算小组，参与基金财产的保管、清理、估价、变现和分配；</w:t>
      </w:r>
    </w:p>
    <w:p>
      <w:pPr>
        <w:pStyle w:val="BodyText"/>
        <w:spacing w:before="6"/>
        <w:rPr>
          <w:sz w:val="15"/>
        </w:rPr>
      </w:pPr>
    </w:p>
    <w:p>
      <w:pPr>
        <w:pStyle w:val="ListParagraph"/>
        <w:numPr>
          <w:ilvl w:val="0"/>
          <w:numId w:val="37"/>
        </w:numPr>
        <w:tabs>
          <w:tab w:pos="1215" w:val="left" w:leader="none"/>
        </w:tabs>
        <w:spacing w:line="417" w:lineRule="auto" w:before="0" w:after="0"/>
        <w:ind w:left="160" w:right="871" w:firstLine="419"/>
        <w:jc w:val="left"/>
        <w:rPr>
          <w:sz w:val="21"/>
        </w:rPr>
      </w:pPr>
      <w:r>
        <w:rPr>
          <w:spacing w:val="-9"/>
          <w:sz w:val="21"/>
        </w:rPr>
        <w:t>面临解散、依法被撤销或者被依法宣告破产时，及时报告中国证监会并通知基 </w:t>
      </w:r>
      <w:r>
        <w:rPr>
          <w:spacing w:val="-7"/>
          <w:sz w:val="21"/>
        </w:rPr>
        <w:t>金托管人；</w:t>
      </w:r>
    </w:p>
    <w:p>
      <w:pPr>
        <w:pStyle w:val="ListParagraph"/>
        <w:numPr>
          <w:ilvl w:val="0"/>
          <w:numId w:val="37"/>
        </w:numPr>
        <w:tabs>
          <w:tab w:pos="1218" w:val="left" w:leader="none"/>
        </w:tabs>
        <w:spacing w:line="417" w:lineRule="auto" w:before="0" w:after="0"/>
        <w:ind w:left="160" w:right="871" w:firstLine="419"/>
        <w:jc w:val="left"/>
        <w:rPr>
          <w:sz w:val="21"/>
        </w:rPr>
      </w:pPr>
      <w:r>
        <w:rPr>
          <w:spacing w:val="-10"/>
          <w:sz w:val="21"/>
        </w:rPr>
        <w:t>因违反《基金合同》导致基金财产的损失或损害基金份额持有人合法权益时， </w:t>
      </w:r>
      <w:r>
        <w:rPr>
          <w:spacing w:val="-3"/>
          <w:sz w:val="21"/>
        </w:rPr>
        <w:t>应当承担赔偿责任，其赔偿责任不因其退任而免除；</w:t>
      </w:r>
    </w:p>
    <w:p>
      <w:pPr>
        <w:pStyle w:val="ListParagraph"/>
        <w:numPr>
          <w:ilvl w:val="0"/>
          <w:numId w:val="37"/>
        </w:numPr>
        <w:tabs>
          <w:tab w:pos="1218" w:val="left" w:leader="none"/>
        </w:tabs>
        <w:spacing w:line="417" w:lineRule="auto" w:before="0" w:after="0"/>
        <w:ind w:left="160" w:right="871" w:firstLine="419"/>
        <w:jc w:val="both"/>
        <w:rPr>
          <w:sz w:val="21"/>
        </w:rPr>
      </w:pPr>
      <w:r>
        <w:rPr>
          <w:spacing w:val="-8"/>
          <w:sz w:val="21"/>
        </w:rPr>
        <w:t>监督基金托管人按法律法规和《基金合同》规定履行自己的义务，基金托管人 </w:t>
      </w:r>
      <w:r>
        <w:rPr>
          <w:spacing w:val="-12"/>
          <w:sz w:val="21"/>
        </w:rPr>
        <w:t>违反《基金合同》造成基金财产损失时，基金管理人应为基金份额持有人利益向基金托管人追偿；</w:t>
      </w:r>
    </w:p>
    <w:p>
      <w:pPr>
        <w:pStyle w:val="ListParagraph"/>
        <w:numPr>
          <w:ilvl w:val="0"/>
          <w:numId w:val="37"/>
        </w:numPr>
        <w:tabs>
          <w:tab w:pos="1218" w:val="left" w:leader="none"/>
        </w:tabs>
        <w:spacing w:line="417" w:lineRule="auto" w:before="0" w:after="0"/>
        <w:ind w:left="160" w:right="871" w:firstLine="419"/>
        <w:jc w:val="left"/>
        <w:rPr>
          <w:sz w:val="21"/>
        </w:rPr>
      </w:pPr>
      <w:r>
        <w:rPr>
          <w:spacing w:val="-6"/>
          <w:sz w:val="21"/>
        </w:rPr>
        <w:t>当基金管理人将其义务委托第三方处理时，应当对第三方处理有关基金事务的 </w:t>
      </w:r>
      <w:r>
        <w:rPr>
          <w:spacing w:val="-5"/>
          <w:sz w:val="21"/>
        </w:rPr>
        <w:t>行为承担责任；</w:t>
      </w:r>
    </w:p>
    <w:p>
      <w:pPr>
        <w:pStyle w:val="ListParagraph"/>
        <w:numPr>
          <w:ilvl w:val="0"/>
          <w:numId w:val="37"/>
        </w:numPr>
        <w:tabs>
          <w:tab w:pos="1218" w:val="left" w:leader="none"/>
        </w:tabs>
        <w:spacing w:line="269" w:lineRule="exact" w:before="0" w:after="0"/>
        <w:ind w:left="1217" w:right="0" w:hanging="638"/>
        <w:jc w:val="left"/>
        <w:rPr>
          <w:sz w:val="21"/>
        </w:rPr>
      </w:pPr>
      <w:r>
        <w:rPr>
          <w:spacing w:val="-12"/>
          <w:sz w:val="21"/>
        </w:rPr>
        <w:t>以基金管理人名义，代表基金份额持有人利益行使诉讼权利或实施其他法律行为；</w:t>
      </w:r>
    </w:p>
    <w:p>
      <w:pPr>
        <w:pStyle w:val="BodyText"/>
        <w:spacing w:before="6"/>
        <w:rPr>
          <w:sz w:val="15"/>
        </w:rPr>
      </w:pPr>
    </w:p>
    <w:p>
      <w:pPr>
        <w:pStyle w:val="ListParagraph"/>
        <w:numPr>
          <w:ilvl w:val="0"/>
          <w:numId w:val="37"/>
        </w:numPr>
        <w:tabs>
          <w:tab w:pos="798" w:val="left" w:leader="none"/>
        </w:tabs>
        <w:spacing w:line="417" w:lineRule="auto" w:before="0" w:after="0"/>
        <w:ind w:left="160" w:right="871" w:firstLine="0"/>
        <w:jc w:val="both"/>
        <w:rPr>
          <w:sz w:val="21"/>
        </w:rPr>
      </w:pPr>
      <w:r>
        <w:rPr>
          <w:spacing w:val="-8"/>
          <w:sz w:val="21"/>
        </w:rPr>
        <w:t>基金管理人在募集期间未能达到基金的备案条件，《基金合同》不能生效，基金管理</w:t>
      </w:r>
      <w:r>
        <w:rPr>
          <w:spacing w:val="-12"/>
          <w:sz w:val="21"/>
        </w:rPr>
        <w:t>人承担因募集行为而产生的费用，将已募集资金并加计银行同期存款利息在基金募集期结束</w:t>
      </w:r>
      <w:r>
        <w:rPr>
          <w:spacing w:val="-33"/>
          <w:sz w:val="21"/>
        </w:rPr>
        <w:t>后 </w:t>
      </w:r>
      <w:r>
        <w:rPr>
          <w:rFonts w:ascii="Calibri" w:eastAsia="Calibri"/>
          <w:sz w:val="21"/>
        </w:rPr>
        <w:t>30</w:t>
      </w:r>
      <w:r>
        <w:rPr>
          <w:rFonts w:ascii="Calibri" w:eastAsia="Calibri"/>
          <w:spacing w:val="3"/>
          <w:sz w:val="21"/>
        </w:rPr>
        <w:t> </w:t>
      </w:r>
      <w:r>
        <w:rPr>
          <w:spacing w:val="-3"/>
          <w:sz w:val="21"/>
        </w:rPr>
        <w:t>日内退还基金认购人；</w:t>
      </w:r>
    </w:p>
    <w:p>
      <w:pPr>
        <w:pStyle w:val="ListParagraph"/>
        <w:numPr>
          <w:ilvl w:val="0"/>
          <w:numId w:val="37"/>
        </w:numPr>
        <w:tabs>
          <w:tab w:pos="1218" w:val="left" w:leader="none"/>
        </w:tabs>
        <w:spacing w:line="240" w:lineRule="auto" w:before="0" w:after="0"/>
        <w:ind w:left="1217" w:right="0" w:hanging="638"/>
        <w:jc w:val="left"/>
        <w:rPr>
          <w:sz w:val="21"/>
        </w:rPr>
      </w:pPr>
      <w:r>
        <w:rPr>
          <w:spacing w:val="-3"/>
          <w:sz w:val="21"/>
        </w:rPr>
        <w:t>执行生效的基金份额持有人大会的决议；</w:t>
      </w:r>
    </w:p>
    <w:p>
      <w:pPr>
        <w:pStyle w:val="BodyText"/>
        <w:spacing w:before="7"/>
        <w:rPr>
          <w:sz w:val="15"/>
        </w:rPr>
      </w:pPr>
    </w:p>
    <w:p>
      <w:pPr>
        <w:pStyle w:val="ListParagraph"/>
        <w:numPr>
          <w:ilvl w:val="0"/>
          <w:numId w:val="37"/>
        </w:numPr>
        <w:tabs>
          <w:tab w:pos="1218" w:val="left" w:leader="none"/>
        </w:tabs>
        <w:spacing w:line="240" w:lineRule="auto" w:before="0" w:after="0"/>
        <w:ind w:left="1217" w:right="0" w:hanging="638"/>
        <w:jc w:val="left"/>
        <w:rPr>
          <w:sz w:val="21"/>
        </w:rPr>
      </w:pPr>
      <w:r>
        <w:rPr>
          <w:spacing w:val="-3"/>
          <w:sz w:val="21"/>
        </w:rPr>
        <w:t>建立并保存基金份额持有人名册；</w:t>
      </w:r>
    </w:p>
    <w:p>
      <w:pPr>
        <w:spacing w:after="0" w:line="240" w:lineRule="auto"/>
        <w:jc w:val="left"/>
        <w:rPr>
          <w:sz w:val="21"/>
        </w:rPr>
        <w:sectPr>
          <w:pgSz w:w="11910" w:h="16840"/>
          <w:pgMar w:header="877" w:footer="995" w:top="1420" w:bottom="1180" w:left="1640" w:right="920"/>
        </w:sectPr>
      </w:pPr>
    </w:p>
    <w:p>
      <w:pPr>
        <w:pStyle w:val="ListParagraph"/>
        <w:numPr>
          <w:ilvl w:val="0"/>
          <w:numId w:val="37"/>
        </w:numPr>
        <w:tabs>
          <w:tab w:pos="1218" w:val="left" w:leader="none"/>
        </w:tabs>
        <w:spacing w:line="417" w:lineRule="auto" w:before="110" w:after="0"/>
        <w:ind w:left="580" w:right="2244" w:firstLine="0"/>
        <w:jc w:val="left"/>
        <w:rPr>
          <w:sz w:val="21"/>
        </w:rPr>
      </w:pPr>
      <w:r>
        <w:rPr>
          <w:spacing w:val="-3"/>
          <w:sz w:val="21"/>
        </w:rPr>
        <w:t>法律法规及中国证监会规定的和《基金合同》约定的其他义务。二、基金托管人</w:t>
      </w:r>
    </w:p>
    <w:p>
      <w:pPr>
        <w:pStyle w:val="BodyText"/>
        <w:spacing w:line="269" w:lineRule="exact"/>
        <w:ind w:left="580"/>
      </w:pPr>
      <w:r>
        <w:rPr/>
        <w:t>（一）基金托管人简况</w:t>
      </w:r>
    </w:p>
    <w:p>
      <w:pPr>
        <w:pStyle w:val="BodyText"/>
        <w:spacing w:before="6"/>
        <w:rPr>
          <w:sz w:val="15"/>
        </w:rPr>
      </w:pPr>
    </w:p>
    <w:p>
      <w:pPr>
        <w:pStyle w:val="BodyText"/>
        <w:spacing w:line="417" w:lineRule="auto"/>
        <w:ind w:left="580" w:right="5463"/>
      </w:pPr>
      <w:r>
        <w:rPr/>
        <w:t>名称：中国建设银行股份有限公司住所：北京市西城区金融大街 </w:t>
      </w:r>
      <w:r>
        <w:rPr>
          <w:rFonts w:ascii="Calibri" w:eastAsia="Calibri"/>
        </w:rPr>
        <w:t>25 </w:t>
      </w:r>
      <w:r>
        <w:rPr/>
        <w:t>号</w:t>
      </w:r>
    </w:p>
    <w:p>
      <w:pPr>
        <w:pStyle w:val="BodyText"/>
        <w:spacing w:line="417" w:lineRule="auto"/>
        <w:ind w:left="580" w:right="4135"/>
        <w:rPr>
          <w:rFonts w:ascii="Calibri" w:eastAsia="Calibri"/>
        </w:rPr>
      </w:pPr>
      <w:r>
        <w:rPr>
          <w:spacing w:val="-6"/>
        </w:rPr>
        <w:t>办公地址：北京市西城区闹市口大街 </w:t>
      </w:r>
      <w:r>
        <w:rPr>
          <w:rFonts w:ascii="Calibri" w:eastAsia="Calibri"/>
        </w:rPr>
        <w:t>1 </w:t>
      </w:r>
      <w:r>
        <w:rPr>
          <w:spacing w:val="-17"/>
        </w:rPr>
        <w:t>号院 </w:t>
      </w:r>
      <w:r>
        <w:rPr>
          <w:rFonts w:ascii="Calibri" w:eastAsia="Calibri"/>
        </w:rPr>
        <w:t>1 </w:t>
      </w:r>
      <w:r>
        <w:rPr/>
        <w:t>号楼</w:t>
      </w:r>
      <w:r>
        <w:rPr>
          <w:spacing w:val="-1"/>
        </w:rPr>
        <w:t>邮政编码：</w:t>
      </w:r>
      <w:r>
        <w:rPr>
          <w:rFonts w:ascii="Calibri" w:eastAsia="Calibri"/>
        </w:rPr>
        <w:t>100033</w:t>
      </w:r>
    </w:p>
    <w:p>
      <w:pPr>
        <w:pStyle w:val="BodyText"/>
        <w:ind w:left="580"/>
      </w:pPr>
      <w:r>
        <w:rPr/>
        <w:t>法定代表人：田国立</w:t>
      </w:r>
    </w:p>
    <w:p>
      <w:pPr>
        <w:pStyle w:val="BodyText"/>
        <w:spacing w:before="7"/>
        <w:rPr>
          <w:sz w:val="15"/>
        </w:rPr>
      </w:pPr>
    </w:p>
    <w:p>
      <w:pPr>
        <w:pStyle w:val="BodyText"/>
        <w:ind w:left="580"/>
      </w:pPr>
      <w:r>
        <w:rPr/>
        <w:t>成立日期：</w:t>
      </w:r>
      <w:r>
        <w:rPr>
          <w:rFonts w:ascii="Calibri" w:eastAsia="Calibri"/>
        </w:rPr>
        <w:t>2004 </w:t>
      </w:r>
      <w:r>
        <w:rPr/>
        <w:t>年 </w:t>
      </w:r>
      <w:r>
        <w:rPr>
          <w:rFonts w:ascii="Calibri" w:eastAsia="Calibri"/>
        </w:rPr>
        <w:t>09 </w:t>
      </w:r>
      <w:r>
        <w:rPr/>
        <w:t>月 </w:t>
      </w:r>
      <w:r>
        <w:rPr>
          <w:rFonts w:ascii="Calibri" w:eastAsia="Calibri"/>
        </w:rPr>
        <w:t>17 </w:t>
      </w:r>
      <w:r>
        <w:rPr/>
        <w:t>日</w:t>
      </w:r>
    </w:p>
    <w:p>
      <w:pPr>
        <w:pStyle w:val="BodyText"/>
        <w:spacing w:before="7"/>
        <w:rPr>
          <w:sz w:val="15"/>
        </w:rPr>
      </w:pPr>
    </w:p>
    <w:p>
      <w:pPr>
        <w:pStyle w:val="BodyText"/>
        <w:spacing w:line="417" w:lineRule="auto"/>
        <w:ind w:left="580" w:right="3528"/>
      </w:pPr>
      <w:r>
        <w:rPr/>
        <w:t>基金托管业务批准文号：中国证监会证监基字</w:t>
      </w:r>
      <w:r>
        <w:rPr>
          <w:rFonts w:ascii="Calibri" w:eastAsia="Calibri"/>
        </w:rPr>
        <w:t>[1998]12 </w:t>
      </w:r>
      <w:r>
        <w:rPr/>
        <w:t>号组织形式：股份有限公司</w:t>
      </w:r>
    </w:p>
    <w:p>
      <w:pPr>
        <w:pStyle w:val="BodyText"/>
        <w:spacing w:line="417" w:lineRule="auto"/>
        <w:ind w:left="580" w:right="2667"/>
      </w:pPr>
      <w:r>
        <w:rPr/>
        <w:t>注册资本：人民币贰仟伍佰亿壹仟零玖拾柒万柒仟肆佰捌拾陆元整存续期间：持续经营</w:t>
      </w:r>
    </w:p>
    <w:p>
      <w:pPr>
        <w:pStyle w:val="BodyText"/>
        <w:spacing w:line="269" w:lineRule="exact"/>
        <w:ind w:left="580"/>
      </w:pPr>
      <w:r>
        <w:rPr/>
        <w:t>（二）基金托管人的权利与义务</w:t>
      </w:r>
    </w:p>
    <w:p>
      <w:pPr>
        <w:pStyle w:val="BodyText"/>
        <w:spacing w:before="6"/>
        <w:rPr>
          <w:sz w:val="15"/>
        </w:rPr>
      </w:pPr>
    </w:p>
    <w:p>
      <w:pPr>
        <w:pStyle w:val="BodyText"/>
        <w:spacing w:before="1"/>
        <w:ind w:left="580"/>
      </w:pPr>
      <w:r>
        <w:rPr>
          <w:rFonts w:ascii="Calibri" w:eastAsia="Calibri"/>
        </w:rPr>
        <w:t>1</w:t>
      </w:r>
      <w:r>
        <w:rPr/>
        <w:t>、根据《基金法》、《运作办法》及其他有关规定，基金托管人的权利包括但不限于：</w:t>
      </w:r>
    </w:p>
    <w:p>
      <w:pPr>
        <w:pStyle w:val="BodyText"/>
        <w:spacing w:before="6"/>
        <w:rPr>
          <w:sz w:val="15"/>
        </w:rPr>
      </w:pPr>
    </w:p>
    <w:p>
      <w:pPr>
        <w:pStyle w:val="ListParagraph"/>
        <w:numPr>
          <w:ilvl w:val="0"/>
          <w:numId w:val="38"/>
        </w:numPr>
        <w:tabs>
          <w:tab w:pos="1112" w:val="left" w:leader="none"/>
        </w:tabs>
        <w:spacing w:line="417" w:lineRule="auto" w:before="0" w:after="0"/>
        <w:ind w:left="160" w:right="874" w:firstLine="419"/>
        <w:jc w:val="left"/>
        <w:rPr>
          <w:sz w:val="21"/>
        </w:rPr>
      </w:pPr>
      <w:r>
        <w:rPr>
          <w:spacing w:val="-3"/>
          <w:sz w:val="21"/>
        </w:rPr>
        <w:t>自《基金合同》生效之日起，依法律法规和《基金合同》的规定安全保管基金财产；</w:t>
      </w:r>
    </w:p>
    <w:p>
      <w:pPr>
        <w:pStyle w:val="ListParagraph"/>
        <w:numPr>
          <w:ilvl w:val="0"/>
          <w:numId w:val="38"/>
        </w:numPr>
        <w:tabs>
          <w:tab w:pos="1112" w:val="left" w:leader="none"/>
        </w:tabs>
        <w:spacing w:line="417" w:lineRule="auto" w:before="0" w:after="0"/>
        <w:ind w:left="160" w:right="874" w:firstLine="419"/>
        <w:jc w:val="left"/>
        <w:rPr>
          <w:sz w:val="21"/>
        </w:rPr>
      </w:pPr>
      <w:r>
        <w:rPr>
          <w:spacing w:val="-3"/>
          <w:sz w:val="21"/>
        </w:rPr>
        <w:t>依《基金合同》约定获得基金托管费以及法律法规规定或监管部门批准的其他费用；</w:t>
      </w:r>
    </w:p>
    <w:p>
      <w:pPr>
        <w:pStyle w:val="ListParagraph"/>
        <w:numPr>
          <w:ilvl w:val="0"/>
          <w:numId w:val="38"/>
        </w:numPr>
        <w:tabs>
          <w:tab w:pos="1112" w:val="left" w:leader="none"/>
        </w:tabs>
        <w:spacing w:line="417" w:lineRule="auto" w:before="0" w:after="0"/>
        <w:ind w:left="160" w:right="871" w:firstLine="419"/>
        <w:jc w:val="both"/>
        <w:rPr>
          <w:sz w:val="21"/>
        </w:rPr>
      </w:pPr>
      <w:r>
        <w:rPr>
          <w:spacing w:val="-3"/>
          <w:sz w:val="21"/>
        </w:rPr>
        <w:t>监督基金管理人对本基金的投资运作，如发现基金管理人有违反《基金合同》及</w:t>
      </w:r>
      <w:r>
        <w:rPr>
          <w:spacing w:val="-10"/>
          <w:sz w:val="21"/>
        </w:rPr>
        <w:t>国家法律法规行为，对基金财产、其他当事人的利益造成重大损失的情形，应呈报中国证监</w:t>
      </w:r>
      <w:r>
        <w:rPr>
          <w:spacing w:val="-5"/>
          <w:sz w:val="21"/>
        </w:rPr>
        <w:t>会，并采取必要措施保护基金投资者的利益；</w:t>
      </w:r>
    </w:p>
    <w:p>
      <w:pPr>
        <w:pStyle w:val="ListParagraph"/>
        <w:numPr>
          <w:ilvl w:val="0"/>
          <w:numId w:val="38"/>
        </w:numPr>
        <w:tabs>
          <w:tab w:pos="1112" w:val="left" w:leader="none"/>
        </w:tabs>
        <w:spacing w:line="417" w:lineRule="auto" w:before="0" w:after="0"/>
        <w:ind w:left="160" w:right="874" w:firstLine="419"/>
        <w:jc w:val="left"/>
        <w:rPr>
          <w:sz w:val="21"/>
        </w:rPr>
      </w:pPr>
      <w:r>
        <w:rPr>
          <w:spacing w:val="-3"/>
          <w:sz w:val="21"/>
        </w:rPr>
        <w:t>根据相关市场规则，为基金开设资金账户、证券账户等投资所需账户、为基金办理证券交易资金清算；</w:t>
      </w:r>
    </w:p>
    <w:p>
      <w:pPr>
        <w:pStyle w:val="ListParagraph"/>
        <w:numPr>
          <w:ilvl w:val="0"/>
          <w:numId w:val="38"/>
        </w:numPr>
        <w:tabs>
          <w:tab w:pos="1110" w:val="left" w:leader="none"/>
        </w:tabs>
        <w:spacing w:line="269" w:lineRule="exact" w:before="0" w:after="0"/>
        <w:ind w:left="1109" w:right="0" w:hanging="530"/>
        <w:jc w:val="left"/>
        <w:rPr>
          <w:sz w:val="21"/>
        </w:rPr>
      </w:pPr>
      <w:r>
        <w:rPr>
          <w:spacing w:val="-3"/>
          <w:sz w:val="21"/>
        </w:rPr>
        <w:t>提议召开或召集基金份额持有人大会；</w:t>
      </w:r>
    </w:p>
    <w:p>
      <w:pPr>
        <w:pStyle w:val="BodyText"/>
        <w:spacing w:before="6"/>
        <w:rPr>
          <w:sz w:val="15"/>
        </w:rPr>
      </w:pPr>
    </w:p>
    <w:p>
      <w:pPr>
        <w:pStyle w:val="ListParagraph"/>
        <w:numPr>
          <w:ilvl w:val="0"/>
          <w:numId w:val="38"/>
        </w:numPr>
        <w:tabs>
          <w:tab w:pos="1110" w:val="left" w:leader="none"/>
        </w:tabs>
        <w:spacing w:line="240" w:lineRule="auto" w:before="1" w:after="0"/>
        <w:ind w:left="1109" w:right="0" w:hanging="530"/>
        <w:jc w:val="left"/>
        <w:rPr>
          <w:sz w:val="21"/>
        </w:rPr>
      </w:pPr>
      <w:r>
        <w:rPr>
          <w:spacing w:val="-3"/>
          <w:sz w:val="21"/>
        </w:rPr>
        <w:t>在基金管理人更换时，提名新的基金管理人；</w:t>
      </w:r>
    </w:p>
    <w:p>
      <w:pPr>
        <w:pStyle w:val="BodyText"/>
        <w:spacing w:before="6"/>
        <w:rPr>
          <w:sz w:val="15"/>
        </w:rPr>
      </w:pPr>
    </w:p>
    <w:p>
      <w:pPr>
        <w:pStyle w:val="ListParagraph"/>
        <w:numPr>
          <w:ilvl w:val="0"/>
          <w:numId w:val="38"/>
        </w:numPr>
        <w:tabs>
          <w:tab w:pos="1110" w:val="left" w:leader="none"/>
        </w:tabs>
        <w:spacing w:line="240" w:lineRule="auto" w:before="0" w:after="0"/>
        <w:ind w:left="1109" w:right="0" w:hanging="530"/>
        <w:jc w:val="left"/>
        <w:rPr>
          <w:sz w:val="21"/>
        </w:rPr>
      </w:pPr>
      <w:r>
        <w:rPr>
          <w:spacing w:val="-3"/>
          <w:sz w:val="21"/>
        </w:rPr>
        <w:t>法律法规及中国证监会规定的和《基金合同》约定的其他权利。</w:t>
      </w:r>
    </w:p>
    <w:p>
      <w:pPr>
        <w:pStyle w:val="BodyText"/>
        <w:spacing w:before="7"/>
        <w:rPr>
          <w:sz w:val="15"/>
        </w:rPr>
      </w:pPr>
    </w:p>
    <w:p>
      <w:pPr>
        <w:pStyle w:val="BodyText"/>
        <w:ind w:left="580"/>
      </w:pPr>
      <w:r>
        <w:rPr>
          <w:rFonts w:ascii="Calibri" w:eastAsia="Calibri"/>
        </w:rPr>
        <w:t>2</w:t>
      </w:r>
      <w:r>
        <w:rPr/>
        <w:t>、根据《基金法》、《运作办法》及其他有关规定，基金托管人的义务包括但不限于：</w:t>
      </w:r>
    </w:p>
    <w:p>
      <w:pPr>
        <w:pStyle w:val="BodyText"/>
        <w:spacing w:before="7"/>
        <w:rPr>
          <w:sz w:val="15"/>
        </w:rPr>
      </w:pPr>
    </w:p>
    <w:p>
      <w:pPr>
        <w:pStyle w:val="ListParagraph"/>
        <w:numPr>
          <w:ilvl w:val="0"/>
          <w:numId w:val="39"/>
        </w:numPr>
        <w:tabs>
          <w:tab w:pos="1110" w:val="left" w:leader="none"/>
        </w:tabs>
        <w:spacing w:line="240" w:lineRule="auto" w:before="0" w:after="0"/>
        <w:ind w:left="1109" w:right="0" w:hanging="530"/>
        <w:jc w:val="left"/>
        <w:rPr>
          <w:sz w:val="21"/>
        </w:rPr>
      </w:pPr>
      <w:r>
        <w:rPr>
          <w:spacing w:val="-3"/>
          <w:sz w:val="21"/>
        </w:rPr>
        <w:t>以诚实信用、勤勉尽责的原则持有并安全保管基金财产；</w:t>
      </w:r>
    </w:p>
    <w:p>
      <w:pPr>
        <w:pStyle w:val="BodyText"/>
        <w:spacing w:before="7"/>
        <w:rPr>
          <w:sz w:val="15"/>
        </w:rPr>
      </w:pPr>
    </w:p>
    <w:p>
      <w:pPr>
        <w:pStyle w:val="ListParagraph"/>
        <w:numPr>
          <w:ilvl w:val="0"/>
          <w:numId w:val="39"/>
        </w:numPr>
        <w:tabs>
          <w:tab w:pos="1112" w:val="left" w:leader="none"/>
        </w:tabs>
        <w:spacing w:line="240" w:lineRule="auto" w:before="0" w:after="0"/>
        <w:ind w:left="1111" w:right="0" w:hanging="532"/>
        <w:jc w:val="left"/>
        <w:rPr>
          <w:sz w:val="21"/>
        </w:rPr>
      </w:pPr>
      <w:r>
        <w:rPr>
          <w:spacing w:val="-3"/>
          <w:sz w:val="21"/>
        </w:rPr>
        <w:t>设立专门的基金托管部门，具有符合要求的营业场所，配备足够的、合格的熟悉</w:t>
      </w:r>
    </w:p>
    <w:p>
      <w:pPr>
        <w:spacing w:after="0" w:line="240" w:lineRule="auto"/>
        <w:jc w:val="left"/>
        <w:rPr>
          <w:sz w:val="21"/>
        </w:rPr>
        <w:sectPr>
          <w:pgSz w:w="11910" w:h="16840"/>
          <w:pgMar w:header="877" w:footer="995" w:top="1420" w:bottom="1180" w:left="1640" w:right="920"/>
        </w:sectPr>
      </w:pPr>
    </w:p>
    <w:p>
      <w:pPr>
        <w:pStyle w:val="BodyText"/>
        <w:spacing w:before="110"/>
        <w:ind w:left="160"/>
      </w:pPr>
      <w:r>
        <w:rPr/>
        <w:t>基金托管业务的专职人员，负责基金财产托管事宜；</w:t>
      </w:r>
    </w:p>
    <w:p>
      <w:pPr>
        <w:pStyle w:val="BodyText"/>
        <w:spacing w:before="6"/>
        <w:rPr>
          <w:sz w:val="15"/>
        </w:rPr>
      </w:pPr>
    </w:p>
    <w:p>
      <w:pPr>
        <w:pStyle w:val="ListParagraph"/>
        <w:numPr>
          <w:ilvl w:val="0"/>
          <w:numId w:val="39"/>
        </w:numPr>
        <w:tabs>
          <w:tab w:pos="1112" w:val="left" w:leader="none"/>
        </w:tabs>
        <w:spacing w:line="417" w:lineRule="auto" w:before="0" w:after="0"/>
        <w:ind w:left="160" w:right="768" w:firstLine="419"/>
        <w:jc w:val="left"/>
        <w:rPr>
          <w:sz w:val="21"/>
        </w:rPr>
      </w:pPr>
      <w:r>
        <w:rPr>
          <w:spacing w:val="-3"/>
          <w:sz w:val="21"/>
        </w:rPr>
        <w:t>建立健全内部风险控制、监察与稽核、财务管理及人事管理等制度，确保基金财</w:t>
      </w:r>
      <w:r>
        <w:rPr>
          <w:spacing w:val="-10"/>
          <w:sz w:val="21"/>
        </w:rPr>
        <w:t>产的安全，保证其托管的基金财产与基金托管人自有财产以及不同的基金财产相互独立；对</w:t>
      </w:r>
      <w:r>
        <w:rPr>
          <w:spacing w:val="-5"/>
          <w:sz w:val="21"/>
        </w:rPr>
        <w:t>所托管的不同的基金分别设置账户，独立核算，分账管理，保证不同基金之间在账户设置、</w:t>
      </w:r>
      <w:r>
        <w:rPr>
          <w:spacing w:val="-4"/>
          <w:sz w:val="21"/>
        </w:rPr>
        <w:t>资金划拨、账册记录等方面相互独立；</w:t>
      </w:r>
    </w:p>
    <w:p>
      <w:pPr>
        <w:pStyle w:val="ListParagraph"/>
        <w:numPr>
          <w:ilvl w:val="0"/>
          <w:numId w:val="39"/>
        </w:numPr>
        <w:tabs>
          <w:tab w:pos="1112" w:val="left" w:leader="none"/>
        </w:tabs>
        <w:spacing w:line="417" w:lineRule="auto" w:before="0" w:after="0"/>
        <w:ind w:left="160" w:right="874" w:firstLine="419"/>
        <w:jc w:val="left"/>
        <w:rPr>
          <w:sz w:val="21"/>
        </w:rPr>
      </w:pPr>
      <w:r>
        <w:rPr>
          <w:spacing w:val="-17"/>
          <w:sz w:val="21"/>
        </w:rPr>
        <w:t>除依据《基金法》、《基金合同》及其他有关规定外，不得利用基金财产为自己及</w:t>
      </w:r>
      <w:r>
        <w:rPr>
          <w:spacing w:val="-7"/>
          <w:sz w:val="21"/>
        </w:rPr>
        <w:t>任何第三人谋取利益，不得委托第三人托管基金财产；</w:t>
      </w:r>
    </w:p>
    <w:p>
      <w:pPr>
        <w:pStyle w:val="ListParagraph"/>
        <w:numPr>
          <w:ilvl w:val="0"/>
          <w:numId w:val="39"/>
        </w:numPr>
        <w:tabs>
          <w:tab w:pos="1110" w:val="left" w:leader="none"/>
        </w:tabs>
        <w:spacing w:line="240" w:lineRule="auto" w:before="0" w:after="0"/>
        <w:ind w:left="1109" w:right="0" w:hanging="530"/>
        <w:jc w:val="left"/>
        <w:rPr>
          <w:sz w:val="21"/>
        </w:rPr>
      </w:pPr>
      <w:r>
        <w:rPr>
          <w:spacing w:val="-3"/>
          <w:sz w:val="21"/>
        </w:rPr>
        <w:t>保管由基金管理人代表基金签订的与基金有关的重大合同及有关凭证；</w:t>
      </w:r>
    </w:p>
    <w:p>
      <w:pPr>
        <w:pStyle w:val="BodyText"/>
        <w:spacing w:before="7"/>
        <w:rPr>
          <w:sz w:val="15"/>
        </w:rPr>
      </w:pPr>
    </w:p>
    <w:p>
      <w:pPr>
        <w:pStyle w:val="ListParagraph"/>
        <w:numPr>
          <w:ilvl w:val="0"/>
          <w:numId w:val="39"/>
        </w:numPr>
        <w:tabs>
          <w:tab w:pos="1112" w:val="left" w:leader="none"/>
        </w:tabs>
        <w:spacing w:line="417" w:lineRule="auto" w:before="0" w:after="0"/>
        <w:ind w:left="160" w:right="874" w:firstLine="419"/>
        <w:jc w:val="left"/>
        <w:rPr>
          <w:sz w:val="21"/>
        </w:rPr>
      </w:pPr>
      <w:r>
        <w:rPr>
          <w:spacing w:val="-3"/>
          <w:sz w:val="21"/>
        </w:rPr>
        <w:t>按规定开设基金财产的资金账户、证券账户等投资所需账户，按照《基金合同》的约定，根据基金管理人的投资指令，及时办理清算、交割事宜；</w:t>
      </w:r>
    </w:p>
    <w:p>
      <w:pPr>
        <w:pStyle w:val="ListParagraph"/>
        <w:numPr>
          <w:ilvl w:val="0"/>
          <w:numId w:val="39"/>
        </w:numPr>
        <w:tabs>
          <w:tab w:pos="1112" w:val="left" w:leader="none"/>
        </w:tabs>
        <w:spacing w:line="417" w:lineRule="auto" w:before="0" w:after="0"/>
        <w:ind w:left="160" w:right="874" w:firstLine="419"/>
        <w:jc w:val="left"/>
        <w:rPr>
          <w:sz w:val="21"/>
        </w:rPr>
      </w:pPr>
      <w:r>
        <w:rPr>
          <w:spacing w:val="-16"/>
          <w:sz w:val="21"/>
        </w:rPr>
        <w:t>保守基金商业秘密，除《基金法》、《基金合同》及其他有关规定另有规定外，在</w:t>
      </w:r>
      <w:r>
        <w:rPr>
          <w:spacing w:val="-7"/>
          <w:sz w:val="21"/>
        </w:rPr>
        <w:t>基金信息公开披露前予以保密，不得向他人泄露；</w:t>
      </w:r>
    </w:p>
    <w:p>
      <w:pPr>
        <w:pStyle w:val="ListParagraph"/>
        <w:numPr>
          <w:ilvl w:val="0"/>
          <w:numId w:val="39"/>
        </w:numPr>
        <w:tabs>
          <w:tab w:pos="1110" w:val="left" w:leader="none"/>
        </w:tabs>
        <w:spacing w:line="269" w:lineRule="exact" w:before="0" w:after="0"/>
        <w:ind w:left="1109" w:right="0" w:hanging="530"/>
        <w:jc w:val="left"/>
        <w:rPr>
          <w:sz w:val="21"/>
        </w:rPr>
      </w:pPr>
      <w:r>
        <w:rPr>
          <w:spacing w:val="-3"/>
          <w:sz w:val="21"/>
        </w:rPr>
        <w:t>复核、审查基金管理人计算的基金资产净值、基金份额申购、赎回价格；</w:t>
      </w:r>
    </w:p>
    <w:p>
      <w:pPr>
        <w:pStyle w:val="BodyText"/>
        <w:spacing w:before="6"/>
        <w:rPr>
          <w:sz w:val="15"/>
        </w:rPr>
      </w:pPr>
    </w:p>
    <w:p>
      <w:pPr>
        <w:pStyle w:val="ListParagraph"/>
        <w:numPr>
          <w:ilvl w:val="0"/>
          <w:numId w:val="39"/>
        </w:numPr>
        <w:tabs>
          <w:tab w:pos="1110" w:val="left" w:leader="none"/>
        </w:tabs>
        <w:spacing w:line="240" w:lineRule="auto" w:before="0" w:after="0"/>
        <w:ind w:left="1109" w:right="0" w:hanging="530"/>
        <w:jc w:val="left"/>
        <w:rPr>
          <w:sz w:val="21"/>
        </w:rPr>
      </w:pPr>
      <w:r>
        <w:rPr>
          <w:spacing w:val="-3"/>
          <w:sz w:val="21"/>
        </w:rPr>
        <w:t>办理与基金托管业务活动有关的信息披露事项；</w:t>
      </w:r>
    </w:p>
    <w:p>
      <w:pPr>
        <w:pStyle w:val="BodyText"/>
        <w:spacing w:before="7"/>
        <w:rPr>
          <w:sz w:val="15"/>
        </w:rPr>
      </w:pPr>
    </w:p>
    <w:p>
      <w:pPr>
        <w:pStyle w:val="ListParagraph"/>
        <w:numPr>
          <w:ilvl w:val="0"/>
          <w:numId w:val="39"/>
        </w:numPr>
        <w:tabs>
          <w:tab w:pos="1218" w:val="left" w:leader="none"/>
        </w:tabs>
        <w:spacing w:line="417" w:lineRule="auto" w:before="0" w:after="0"/>
        <w:ind w:left="160" w:right="871" w:firstLine="419"/>
        <w:jc w:val="both"/>
        <w:rPr>
          <w:sz w:val="21"/>
        </w:rPr>
      </w:pPr>
      <w:r>
        <w:rPr>
          <w:spacing w:val="-9"/>
          <w:sz w:val="21"/>
        </w:rPr>
        <w:t>对基金财务会计报告、季度、中期和年度基金报告出具意见，说明基金管理人 </w:t>
      </w:r>
      <w:r>
        <w:rPr>
          <w:spacing w:val="-11"/>
          <w:sz w:val="21"/>
        </w:rPr>
        <w:t>在各重要方面的运作是否严格按照《基金合同》的规定进行；如果基金管理人有未执行《基</w:t>
      </w:r>
      <w:r>
        <w:rPr>
          <w:spacing w:val="-7"/>
          <w:sz w:val="21"/>
        </w:rPr>
        <w:t>金合同》规定的行为，还应当说明基金托管人是否采取了适当的措施；</w:t>
      </w:r>
    </w:p>
    <w:p>
      <w:pPr>
        <w:pStyle w:val="ListParagraph"/>
        <w:numPr>
          <w:ilvl w:val="0"/>
          <w:numId w:val="39"/>
        </w:numPr>
        <w:tabs>
          <w:tab w:pos="1218" w:val="left" w:leader="none"/>
        </w:tabs>
        <w:spacing w:line="269" w:lineRule="exact" w:before="0" w:after="0"/>
        <w:ind w:left="1217" w:right="0" w:hanging="638"/>
        <w:jc w:val="both"/>
        <w:rPr>
          <w:sz w:val="21"/>
        </w:rPr>
      </w:pPr>
      <w:r>
        <w:rPr>
          <w:spacing w:val="-5"/>
          <w:sz w:val="21"/>
        </w:rPr>
        <w:t>保存基金托管业务活动的记录、账册、报表和其他相关资料 </w:t>
      </w:r>
      <w:r>
        <w:rPr>
          <w:rFonts w:ascii="Calibri" w:eastAsia="Calibri"/>
          <w:sz w:val="21"/>
        </w:rPr>
        <w:t>15</w:t>
      </w:r>
      <w:r>
        <w:rPr>
          <w:rFonts w:ascii="Calibri" w:eastAsia="Calibri"/>
          <w:spacing w:val="7"/>
          <w:sz w:val="21"/>
        </w:rPr>
        <w:t> </w:t>
      </w:r>
      <w:r>
        <w:rPr>
          <w:spacing w:val="-3"/>
          <w:sz w:val="21"/>
        </w:rPr>
        <w:t>年以上；</w:t>
      </w:r>
    </w:p>
    <w:p>
      <w:pPr>
        <w:pStyle w:val="BodyText"/>
        <w:spacing w:before="7"/>
        <w:rPr>
          <w:sz w:val="15"/>
        </w:rPr>
      </w:pPr>
    </w:p>
    <w:p>
      <w:pPr>
        <w:pStyle w:val="ListParagraph"/>
        <w:numPr>
          <w:ilvl w:val="0"/>
          <w:numId w:val="39"/>
        </w:numPr>
        <w:tabs>
          <w:tab w:pos="1218" w:val="left" w:leader="none"/>
        </w:tabs>
        <w:spacing w:line="240" w:lineRule="auto" w:before="0" w:after="0"/>
        <w:ind w:left="1217" w:right="0" w:hanging="638"/>
        <w:jc w:val="left"/>
        <w:rPr>
          <w:sz w:val="21"/>
        </w:rPr>
      </w:pPr>
      <w:r>
        <w:rPr>
          <w:spacing w:val="-3"/>
          <w:sz w:val="21"/>
        </w:rPr>
        <w:t>建立并保存基金份额持有人名册；</w:t>
      </w:r>
    </w:p>
    <w:p>
      <w:pPr>
        <w:pStyle w:val="BodyText"/>
        <w:spacing w:before="7"/>
        <w:rPr>
          <w:sz w:val="15"/>
        </w:rPr>
      </w:pPr>
    </w:p>
    <w:p>
      <w:pPr>
        <w:pStyle w:val="ListParagraph"/>
        <w:numPr>
          <w:ilvl w:val="0"/>
          <w:numId w:val="39"/>
        </w:numPr>
        <w:tabs>
          <w:tab w:pos="1218" w:val="left" w:leader="none"/>
        </w:tabs>
        <w:spacing w:line="240" w:lineRule="auto" w:before="0" w:after="0"/>
        <w:ind w:left="1217" w:right="0" w:hanging="638"/>
        <w:jc w:val="left"/>
        <w:rPr>
          <w:sz w:val="21"/>
        </w:rPr>
      </w:pPr>
      <w:r>
        <w:rPr>
          <w:spacing w:val="-3"/>
          <w:sz w:val="21"/>
        </w:rPr>
        <w:t>按规定制作相关账册并与基金管理人核对；</w:t>
      </w:r>
    </w:p>
    <w:p>
      <w:pPr>
        <w:pStyle w:val="BodyText"/>
        <w:spacing w:before="6"/>
        <w:rPr>
          <w:sz w:val="15"/>
        </w:rPr>
      </w:pPr>
    </w:p>
    <w:p>
      <w:pPr>
        <w:pStyle w:val="ListParagraph"/>
        <w:numPr>
          <w:ilvl w:val="0"/>
          <w:numId w:val="39"/>
        </w:numPr>
        <w:tabs>
          <w:tab w:pos="1218" w:val="left" w:leader="none"/>
        </w:tabs>
        <w:spacing w:line="240" w:lineRule="auto" w:before="1" w:after="0"/>
        <w:ind w:left="1217" w:right="0" w:hanging="638"/>
        <w:jc w:val="left"/>
        <w:rPr>
          <w:sz w:val="21"/>
        </w:rPr>
      </w:pPr>
      <w:r>
        <w:rPr>
          <w:spacing w:val="-3"/>
          <w:sz w:val="21"/>
        </w:rPr>
        <w:t>依据基金管理人的指令或有关规定向基金份额持有人支付基金收益和赎回款项；</w:t>
      </w:r>
    </w:p>
    <w:p>
      <w:pPr>
        <w:pStyle w:val="BodyText"/>
        <w:spacing w:before="7"/>
        <w:rPr>
          <w:sz w:val="15"/>
        </w:rPr>
      </w:pPr>
    </w:p>
    <w:p>
      <w:pPr>
        <w:pStyle w:val="ListParagraph"/>
        <w:numPr>
          <w:ilvl w:val="0"/>
          <w:numId w:val="39"/>
        </w:numPr>
        <w:tabs>
          <w:tab w:pos="1218" w:val="left" w:leader="none"/>
        </w:tabs>
        <w:spacing w:line="417" w:lineRule="auto" w:before="0" w:after="0"/>
        <w:ind w:left="160" w:right="871" w:firstLine="419"/>
        <w:jc w:val="left"/>
        <w:rPr>
          <w:sz w:val="21"/>
        </w:rPr>
      </w:pPr>
      <w:r>
        <w:rPr>
          <w:spacing w:val="-20"/>
          <w:sz w:val="21"/>
        </w:rPr>
        <w:t>依据《基金法》、《基金合同》及其他有关规定，召集基金份额持有人大会或配 </w:t>
      </w:r>
      <w:r>
        <w:rPr>
          <w:spacing w:val="-3"/>
          <w:sz w:val="21"/>
        </w:rPr>
        <w:t>合基金管理人、基金份额持有人依法召集基金份额持有人大会；</w:t>
      </w:r>
    </w:p>
    <w:p>
      <w:pPr>
        <w:pStyle w:val="ListParagraph"/>
        <w:numPr>
          <w:ilvl w:val="0"/>
          <w:numId w:val="39"/>
        </w:numPr>
        <w:tabs>
          <w:tab w:pos="1218" w:val="left" w:leader="none"/>
        </w:tabs>
        <w:spacing w:line="269" w:lineRule="exact" w:before="0" w:after="0"/>
        <w:ind w:left="1217" w:right="0" w:hanging="638"/>
        <w:jc w:val="left"/>
        <w:rPr>
          <w:sz w:val="21"/>
        </w:rPr>
      </w:pPr>
      <w:r>
        <w:rPr>
          <w:spacing w:val="-3"/>
          <w:sz w:val="21"/>
        </w:rPr>
        <w:t>按照法律法规和《基金合同》的规定监督基金管理人的投资运作；</w:t>
      </w:r>
    </w:p>
    <w:p>
      <w:pPr>
        <w:pStyle w:val="BodyText"/>
        <w:spacing w:before="7"/>
        <w:rPr>
          <w:sz w:val="15"/>
        </w:rPr>
      </w:pPr>
    </w:p>
    <w:p>
      <w:pPr>
        <w:pStyle w:val="ListParagraph"/>
        <w:numPr>
          <w:ilvl w:val="0"/>
          <w:numId w:val="39"/>
        </w:numPr>
        <w:tabs>
          <w:tab w:pos="1218" w:val="left" w:leader="none"/>
        </w:tabs>
        <w:spacing w:line="240" w:lineRule="auto" w:before="0" w:after="0"/>
        <w:ind w:left="1217" w:right="0" w:hanging="638"/>
        <w:jc w:val="left"/>
        <w:rPr>
          <w:sz w:val="21"/>
        </w:rPr>
      </w:pPr>
      <w:r>
        <w:rPr>
          <w:spacing w:val="-3"/>
          <w:sz w:val="21"/>
        </w:rPr>
        <w:t>参加基金财产清算小组，参与基金财产的保管、清理、估价、变现和分配；</w:t>
      </w:r>
    </w:p>
    <w:p>
      <w:pPr>
        <w:pStyle w:val="BodyText"/>
        <w:spacing w:before="6"/>
        <w:rPr>
          <w:sz w:val="15"/>
        </w:rPr>
      </w:pPr>
    </w:p>
    <w:p>
      <w:pPr>
        <w:pStyle w:val="ListParagraph"/>
        <w:numPr>
          <w:ilvl w:val="0"/>
          <w:numId w:val="39"/>
        </w:numPr>
        <w:tabs>
          <w:tab w:pos="1215" w:val="left" w:leader="none"/>
        </w:tabs>
        <w:spacing w:line="417" w:lineRule="auto" w:before="0" w:after="0"/>
        <w:ind w:left="160" w:right="871" w:firstLine="419"/>
        <w:jc w:val="left"/>
        <w:rPr>
          <w:sz w:val="21"/>
        </w:rPr>
      </w:pPr>
      <w:r>
        <w:rPr>
          <w:spacing w:val="-9"/>
          <w:sz w:val="21"/>
        </w:rPr>
        <w:t>面临解散、依法被撤销或者被依法宣告破产时，及时报告中国证监会和银行监 </w:t>
      </w:r>
      <w:r>
        <w:rPr>
          <w:spacing w:val="-6"/>
          <w:sz w:val="21"/>
        </w:rPr>
        <w:t>管机构，并通知基金管理人；</w:t>
      </w:r>
    </w:p>
    <w:p>
      <w:pPr>
        <w:pStyle w:val="ListParagraph"/>
        <w:numPr>
          <w:ilvl w:val="0"/>
          <w:numId w:val="39"/>
        </w:numPr>
        <w:tabs>
          <w:tab w:pos="1218" w:val="left" w:leader="none"/>
        </w:tabs>
        <w:spacing w:line="417" w:lineRule="auto" w:before="0" w:after="0"/>
        <w:ind w:left="160" w:right="871" w:firstLine="419"/>
        <w:jc w:val="left"/>
        <w:rPr>
          <w:sz w:val="21"/>
        </w:rPr>
      </w:pPr>
      <w:r>
        <w:rPr>
          <w:spacing w:val="-10"/>
          <w:sz w:val="21"/>
        </w:rPr>
        <w:t>因违反《基金合同》导致基金财产损失时，应承担赔偿责任，其赔偿责任不因 </w:t>
      </w:r>
      <w:r>
        <w:rPr>
          <w:spacing w:val="-7"/>
          <w:sz w:val="21"/>
        </w:rPr>
        <w:t>其退任而免除；</w:t>
      </w:r>
    </w:p>
    <w:p>
      <w:pPr>
        <w:pStyle w:val="ListParagraph"/>
        <w:numPr>
          <w:ilvl w:val="0"/>
          <w:numId w:val="39"/>
        </w:numPr>
        <w:tabs>
          <w:tab w:pos="1218" w:val="left" w:leader="none"/>
        </w:tabs>
        <w:spacing w:line="240" w:lineRule="auto" w:before="0" w:after="0"/>
        <w:ind w:left="1217" w:right="0" w:hanging="638"/>
        <w:jc w:val="left"/>
        <w:rPr>
          <w:sz w:val="21"/>
        </w:rPr>
      </w:pPr>
      <w:r>
        <w:rPr>
          <w:spacing w:val="-7"/>
          <w:sz w:val="21"/>
        </w:rPr>
        <w:t>按规定监督基金管理人按法律法规和《基金合同》规定履行自己的义务，基金管</w:t>
      </w:r>
    </w:p>
    <w:p>
      <w:pPr>
        <w:spacing w:after="0" w:line="240" w:lineRule="auto"/>
        <w:jc w:val="left"/>
        <w:rPr>
          <w:sz w:val="21"/>
        </w:rPr>
        <w:sectPr>
          <w:footerReference w:type="default" r:id="rId151"/>
          <w:pgSz w:w="11910" w:h="16840"/>
          <w:pgMar w:footer="995" w:header="877" w:top="1420" w:bottom="1180" w:left="1640" w:right="920"/>
        </w:sectPr>
      </w:pPr>
    </w:p>
    <w:p>
      <w:pPr>
        <w:pStyle w:val="BodyText"/>
        <w:spacing w:before="110"/>
        <w:ind w:left="160"/>
      </w:pPr>
      <w:r>
        <w:rPr/>
        <w:t>理人因违反《基金合同》造成基金财产损失时，应为基金份额持有人利益向基金管理人追偿；</w:t>
      </w:r>
    </w:p>
    <w:p>
      <w:pPr>
        <w:pStyle w:val="BodyText"/>
        <w:spacing w:before="6"/>
        <w:rPr>
          <w:sz w:val="15"/>
        </w:rPr>
      </w:pPr>
    </w:p>
    <w:p>
      <w:pPr>
        <w:pStyle w:val="ListParagraph"/>
        <w:numPr>
          <w:ilvl w:val="0"/>
          <w:numId w:val="39"/>
        </w:numPr>
        <w:tabs>
          <w:tab w:pos="1218" w:val="left" w:leader="none"/>
        </w:tabs>
        <w:spacing w:line="240" w:lineRule="auto" w:before="0" w:after="0"/>
        <w:ind w:left="1217" w:right="0" w:hanging="638"/>
        <w:jc w:val="left"/>
        <w:rPr>
          <w:sz w:val="21"/>
        </w:rPr>
      </w:pPr>
      <w:r>
        <w:rPr>
          <w:spacing w:val="-3"/>
          <w:sz w:val="21"/>
        </w:rPr>
        <w:t>执行生效的基金份额持有人大会的决议；</w:t>
      </w:r>
    </w:p>
    <w:p>
      <w:pPr>
        <w:pStyle w:val="BodyText"/>
        <w:spacing w:before="7"/>
        <w:rPr>
          <w:sz w:val="15"/>
        </w:rPr>
      </w:pPr>
    </w:p>
    <w:p>
      <w:pPr>
        <w:pStyle w:val="ListParagraph"/>
        <w:numPr>
          <w:ilvl w:val="0"/>
          <w:numId w:val="39"/>
        </w:numPr>
        <w:tabs>
          <w:tab w:pos="1218" w:val="left" w:leader="none"/>
        </w:tabs>
        <w:spacing w:line="417" w:lineRule="auto" w:before="0" w:after="0"/>
        <w:ind w:left="580" w:right="2244" w:firstLine="0"/>
        <w:jc w:val="left"/>
        <w:rPr>
          <w:sz w:val="21"/>
        </w:rPr>
      </w:pPr>
      <w:r>
        <w:rPr>
          <w:spacing w:val="-3"/>
          <w:sz w:val="21"/>
        </w:rPr>
        <w:t>法律法规及中国证监会规定的和《基金合同》约定的其他义务。三、基金份额持有人</w:t>
      </w:r>
    </w:p>
    <w:p>
      <w:pPr>
        <w:pStyle w:val="BodyText"/>
        <w:spacing w:line="417" w:lineRule="auto"/>
        <w:ind w:left="160" w:right="768" w:firstLine="419"/>
      </w:pPr>
      <w:r>
        <w:rPr>
          <w:spacing w:val="-7"/>
        </w:rPr>
        <w:t>基金投资者持有本基金基金份额的行为即视为对《基金合同》的承认和接受，基金投资</w:t>
      </w:r>
      <w:r>
        <w:rPr>
          <w:spacing w:val="-4"/>
        </w:rPr>
        <w:t>者自依据《基金合同》取得基金份额，即成为本基金份额持有人和《基金合同》的当事人， </w:t>
      </w:r>
      <w:r>
        <w:rPr>
          <w:spacing w:val="-8"/>
        </w:rPr>
        <w:t>直至其不再持有本基金的基金份额。基金份额持有人作为《基金合同》当事人并不以在《基</w:t>
      </w:r>
      <w:r>
        <w:rPr>
          <w:spacing w:val="-5"/>
        </w:rPr>
        <w:t>金合同》上书面签章或签字为必要条件。</w:t>
      </w:r>
    </w:p>
    <w:p>
      <w:pPr>
        <w:pStyle w:val="BodyText"/>
        <w:ind w:left="580"/>
      </w:pPr>
      <w:r>
        <w:rPr/>
        <w:t>同一类别每份基金份额具有同等的合法权益。</w:t>
      </w:r>
    </w:p>
    <w:p>
      <w:pPr>
        <w:pStyle w:val="BodyText"/>
        <w:spacing w:before="6"/>
        <w:rPr>
          <w:sz w:val="15"/>
        </w:rPr>
      </w:pPr>
    </w:p>
    <w:p>
      <w:pPr>
        <w:pStyle w:val="BodyText"/>
        <w:spacing w:line="417" w:lineRule="auto" w:before="1"/>
        <w:ind w:left="160" w:right="874" w:firstLine="419"/>
      </w:pPr>
      <w:r>
        <w:rPr>
          <w:rFonts w:ascii="Calibri" w:eastAsia="Calibri"/>
        </w:rPr>
        <w:t>1</w:t>
      </w:r>
      <w:r>
        <w:rPr>
          <w:spacing w:val="-17"/>
        </w:rPr>
        <w:t>、根据《基金法》、《运作办法》及其他有关规定，基金份额持有人的权利包括但不限于：</w:t>
      </w:r>
    </w:p>
    <w:p>
      <w:pPr>
        <w:pStyle w:val="ListParagraph"/>
        <w:numPr>
          <w:ilvl w:val="0"/>
          <w:numId w:val="40"/>
        </w:numPr>
        <w:tabs>
          <w:tab w:pos="1110" w:val="left" w:leader="none"/>
        </w:tabs>
        <w:spacing w:line="269" w:lineRule="exact" w:before="0" w:after="0"/>
        <w:ind w:left="1109" w:right="0" w:hanging="530"/>
        <w:jc w:val="left"/>
        <w:rPr>
          <w:sz w:val="21"/>
        </w:rPr>
      </w:pPr>
      <w:r>
        <w:rPr>
          <w:spacing w:val="-3"/>
          <w:sz w:val="21"/>
        </w:rPr>
        <w:t>分享基金财产收益；</w:t>
      </w:r>
    </w:p>
    <w:p>
      <w:pPr>
        <w:pStyle w:val="BodyText"/>
        <w:spacing w:before="6"/>
        <w:rPr>
          <w:sz w:val="15"/>
        </w:rPr>
      </w:pPr>
    </w:p>
    <w:p>
      <w:pPr>
        <w:pStyle w:val="ListParagraph"/>
        <w:numPr>
          <w:ilvl w:val="0"/>
          <w:numId w:val="40"/>
        </w:numPr>
        <w:tabs>
          <w:tab w:pos="1110" w:val="left" w:leader="none"/>
        </w:tabs>
        <w:spacing w:line="240" w:lineRule="auto" w:before="0" w:after="0"/>
        <w:ind w:left="1109" w:right="0" w:hanging="530"/>
        <w:jc w:val="left"/>
        <w:rPr>
          <w:sz w:val="21"/>
        </w:rPr>
      </w:pPr>
      <w:r>
        <w:rPr>
          <w:spacing w:val="-3"/>
          <w:sz w:val="21"/>
        </w:rPr>
        <w:t>参与分配清算后的剩余基金财产；</w:t>
      </w:r>
    </w:p>
    <w:p>
      <w:pPr>
        <w:pStyle w:val="BodyText"/>
        <w:spacing w:before="7"/>
        <w:rPr>
          <w:sz w:val="15"/>
        </w:rPr>
      </w:pPr>
    </w:p>
    <w:p>
      <w:pPr>
        <w:pStyle w:val="ListParagraph"/>
        <w:numPr>
          <w:ilvl w:val="0"/>
          <w:numId w:val="40"/>
        </w:numPr>
        <w:tabs>
          <w:tab w:pos="1110" w:val="left" w:leader="none"/>
        </w:tabs>
        <w:spacing w:line="240" w:lineRule="auto" w:before="0" w:after="0"/>
        <w:ind w:left="1109" w:right="0" w:hanging="530"/>
        <w:jc w:val="left"/>
        <w:rPr>
          <w:sz w:val="21"/>
        </w:rPr>
      </w:pPr>
      <w:r>
        <w:rPr>
          <w:spacing w:val="-3"/>
          <w:sz w:val="21"/>
        </w:rPr>
        <w:t>依法并按照基金合同和招募说明书的约定申请赎回其持有的基金份额；</w:t>
      </w:r>
    </w:p>
    <w:p>
      <w:pPr>
        <w:pStyle w:val="BodyText"/>
        <w:spacing w:before="7"/>
        <w:rPr>
          <w:sz w:val="15"/>
        </w:rPr>
      </w:pPr>
    </w:p>
    <w:p>
      <w:pPr>
        <w:pStyle w:val="ListParagraph"/>
        <w:numPr>
          <w:ilvl w:val="0"/>
          <w:numId w:val="40"/>
        </w:numPr>
        <w:tabs>
          <w:tab w:pos="1110" w:val="left" w:leader="none"/>
        </w:tabs>
        <w:spacing w:line="240" w:lineRule="auto" w:before="0" w:after="0"/>
        <w:ind w:left="1109" w:right="0" w:hanging="530"/>
        <w:jc w:val="left"/>
        <w:rPr>
          <w:sz w:val="21"/>
        </w:rPr>
      </w:pPr>
      <w:r>
        <w:rPr>
          <w:spacing w:val="-3"/>
          <w:sz w:val="21"/>
        </w:rPr>
        <w:t>按照规定要求召集或召开基金份额持有人大会；</w:t>
      </w:r>
    </w:p>
    <w:p>
      <w:pPr>
        <w:pStyle w:val="BodyText"/>
        <w:spacing w:before="7"/>
        <w:rPr>
          <w:sz w:val="15"/>
        </w:rPr>
      </w:pPr>
    </w:p>
    <w:p>
      <w:pPr>
        <w:pStyle w:val="ListParagraph"/>
        <w:numPr>
          <w:ilvl w:val="0"/>
          <w:numId w:val="40"/>
        </w:numPr>
        <w:tabs>
          <w:tab w:pos="1112" w:val="left" w:leader="none"/>
        </w:tabs>
        <w:spacing w:line="417" w:lineRule="auto" w:before="0" w:after="0"/>
        <w:ind w:left="160" w:right="874" w:firstLine="419"/>
        <w:jc w:val="left"/>
        <w:rPr>
          <w:sz w:val="21"/>
        </w:rPr>
      </w:pPr>
      <w:r>
        <w:rPr>
          <w:spacing w:val="-3"/>
          <w:sz w:val="21"/>
        </w:rPr>
        <w:t>出席或者委派代表出席基金份额持有人大会，对基金份额持有人大会审议事项行使表决权；</w:t>
      </w:r>
    </w:p>
    <w:p>
      <w:pPr>
        <w:pStyle w:val="ListParagraph"/>
        <w:numPr>
          <w:ilvl w:val="0"/>
          <w:numId w:val="40"/>
        </w:numPr>
        <w:tabs>
          <w:tab w:pos="1110" w:val="left" w:leader="none"/>
        </w:tabs>
        <w:spacing w:line="269" w:lineRule="exact" w:before="0" w:after="0"/>
        <w:ind w:left="1109" w:right="0" w:hanging="530"/>
        <w:jc w:val="left"/>
        <w:rPr>
          <w:sz w:val="21"/>
        </w:rPr>
      </w:pPr>
      <w:r>
        <w:rPr>
          <w:spacing w:val="-3"/>
          <w:sz w:val="21"/>
        </w:rPr>
        <w:t>查阅或者复制公开披露的基金信息资料；</w:t>
      </w:r>
    </w:p>
    <w:p>
      <w:pPr>
        <w:pStyle w:val="BodyText"/>
        <w:spacing w:before="6"/>
        <w:rPr>
          <w:sz w:val="15"/>
        </w:rPr>
      </w:pPr>
    </w:p>
    <w:p>
      <w:pPr>
        <w:pStyle w:val="ListParagraph"/>
        <w:numPr>
          <w:ilvl w:val="0"/>
          <w:numId w:val="40"/>
        </w:numPr>
        <w:tabs>
          <w:tab w:pos="1110" w:val="left" w:leader="none"/>
        </w:tabs>
        <w:spacing w:line="240" w:lineRule="auto" w:before="1" w:after="0"/>
        <w:ind w:left="1109" w:right="0" w:hanging="530"/>
        <w:jc w:val="left"/>
        <w:rPr>
          <w:sz w:val="21"/>
        </w:rPr>
      </w:pPr>
      <w:r>
        <w:rPr>
          <w:spacing w:val="-3"/>
          <w:sz w:val="21"/>
        </w:rPr>
        <w:t>监督基金管理人的投资运作；</w:t>
      </w:r>
    </w:p>
    <w:p>
      <w:pPr>
        <w:pStyle w:val="BodyText"/>
        <w:spacing w:before="6"/>
        <w:rPr>
          <w:sz w:val="15"/>
        </w:rPr>
      </w:pPr>
    </w:p>
    <w:p>
      <w:pPr>
        <w:pStyle w:val="ListParagraph"/>
        <w:numPr>
          <w:ilvl w:val="0"/>
          <w:numId w:val="40"/>
        </w:numPr>
        <w:tabs>
          <w:tab w:pos="1112" w:val="left" w:leader="none"/>
        </w:tabs>
        <w:spacing w:line="417" w:lineRule="auto" w:before="0" w:after="0"/>
        <w:ind w:left="160" w:right="874" w:firstLine="419"/>
        <w:jc w:val="left"/>
        <w:rPr>
          <w:sz w:val="21"/>
        </w:rPr>
      </w:pPr>
      <w:r>
        <w:rPr>
          <w:spacing w:val="-3"/>
          <w:sz w:val="21"/>
        </w:rPr>
        <w:t>对基金管理人、基金托管人、基金服务机构损害其合法权益的行为依法提起诉讼或仲裁；</w:t>
      </w:r>
    </w:p>
    <w:p>
      <w:pPr>
        <w:pStyle w:val="ListParagraph"/>
        <w:numPr>
          <w:ilvl w:val="0"/>
          <w:numId w:val="40"/>
        </w:numPr>
        <w:tabs>
          <w:tab w:pos="1110" w:val="left" w:leader="none"/>
        </w:tabs>
        <w:spacing w:line="240" w:lineRule="auto" w:before="1" w:after="0"/>
        <w:ind w:left="1109" w:right="0" w:hanging="530"/>
        <w:jc w:val="left"/>
        <w:rPr>
          <w:sz w:val="21"/>
        </w:rPr>
      </w:pPr>
      <w:r>
        <w:rPr>
          <w:spacing w:val="-3"/>
          <w:sz w:val="21"/>
        </w:rPr>
        <w:t>法律法规及中国证监会规定的和《基金合同》约定的其他权利。</w:t>
      </w:r>
    </w:p>
    <w:p>
      <w:pPr>
        <w:pStyle w:val="BodyText"/>
        <w:spacing w:before="6"/>
        <w:rPr>
          <w:sz w:val="15"/>
        </w:rPr>
      </w:pPr>
    </w:p>
    <w:p>
      <w:pPr>
        <w:pStyle w:val="BodyText"/>
        <w:spacing w:line="417" w:lineRule="auto"/>
        <w:ind w:left="160" w:right="874" w:firstLine="419"/>
      </w:pPr>
      <w:r>
        <w:rPr>
          <w:rFonts w:ascii="Calibri" w:eastAsia="Calibri"/>
        </w:rPr>
        <w:t>2</w:t>
      </w:r>
      <w:r>
        <w:rPr>
          <w:spacing w:val="-17"/>
        </w:rPr>
        <w:t>、根据《基金法》、《运作办法》及其他有关规定，基金份额持有人的义务包括但不限于：</w:t>
      </w:r>
    </w:p>
    <w:p>
      <w:pPr>
        <w:pStyle w:val="ListParagraph"/>
        <w:numPr>
          <w:ilvl w:val="0"/>
          <w:numId w:val="41"/>
        </w:numPr>
        <w:tabs>
          <w:tab w:pos="1110" w:val="left" w:leader="none"/>
        </w:tabs>
        <w:spacing w:line="269" w:lineRule="exact" w:before="0" w:after="0"/>
        <w:ind w:left="1109" w:right="0" w:hanging="530"/>
        <w:jc w:val="left"/>
        <w:rPr>
          <w:sz w:val="21"/>
        </w:rPr>
      </w:pPr>
      <w:r>
        <w:rPr>
          <w:spacing w:val="-11"/>
          <w:sz w:val="21"/>
        </w:rPr>
        <w:t>认真阅读并遵守《基金合同》、招募说明书等信息披露文件；</w:t>
      </w:r>
    </w:p>
    <w:p>
      <w:pPr>
        <w:pStyle w:val="BodyText"/>
        <w:spacing w:before="7"/>
        <w:rPr>
          <w:sz w:val="15"/>
        </w:rPr>
      </w:pPr>
    </w:p>
    <w:p>
      <w:pPr>
        <w:pStyle w:val="ListParagraph"/>
        <w:numPr>
          <w:ilvl w:val="0"/>
          <w:numId w:val="41"/>
        </w:numPr>
        <w:tabs>
          <w:tab w:pos="1112" w:val="left" w:leader="none"/>
        </w:tabs>
        <w:spacing w:line="417" w:lineRule="auto" w:before="0" w:after="0"/>
        <w:ind w:left="160" w:right="874" w:firstLine="419"/>
        <w:jc w:val="left"/>
        <w:rPr>
          <w:sz w:val="21"/>
        </w:rPr>
      </w:pPr>
      <w:r>
        <w:rPr>
          <w:spacing w:val="-3"/>
          <w:sz w:val="21"/>
        </w:rPr>
        <w:t>了解所投资基金产品，了解自身风险承受能力，自主判断基金的投资价值，自主做出投资决策，自行承担投资风险；</w:t>
      </w:r>
    </w:p>
    <w:p>
      <w:pPr>
        <w:pStyle w:val="ListParagraph"/>
        <w:numPr>
          <w:ilvl w:val="0"/>
          <w:numId w:val="41"/>
        </w:numPr>
        <w:tabs>
          <w:tab w:pos="1110" w:val="left" w:leader="none"/>
        </w:tabs>
        <w:spacing w:line="269" w:lineRule="exact" w:before="0" w:after="0"/>
        <w:ind w:left="1109" w:right="0" w:hanging="530"/>
        <w:jc w:val="left"/>
        <w:rPr>
          <w:sz w:val="21"/>
        </w:rPr>
      </w:pPr>
      <w:r>
        <w:rPr>
          <w:spacing w:val="-3"/>
          <w:sz w:val="21"/>
        </w:rPr>
        <w:t>关注基金信息披露，及时行使权利和履行义务；</w:t>
      </w:r>
    </w:p>
    <w:p>
      <w:pPr>
        <w:pStyle w:val="BodyText"/>
        <w:spacing w:before="7"/>
        <w:rPr>
          <w:sz w:val="15"/>
        </w:rPr>
      </w:pPr>
    </w:p>
    <w:p>
      <w:pPr>
        <w:pStyle w:val="ListParagraph"/>
        <w:numPr>
          <w:ilvl w:val="0"/>
          <w:numId w:val="41"/>
        </w:numPr>
        <w:tabs>
          <w:tab w:pos="1110" w:val="left" w:leader="none"/>
        </w:tabs>
        <w:spacing w:line="240" w:lineRule="auto" w:before="0" w:after="0"/>
        <w:ind w:left="1109" w:right="0" w:hanging="530"/>
        <w:jc w:val="left"/>
        <w:rPr>
          <w:sz w:val="21"/>
        </w:rPr>
      </w:pPr>
      <w:r>
        <w:rPr>
          <w:spacing w:val="-3"/>
          <w:sz w:val="21"/>
        </w:rPr>
        <w:t>缴纳基金认购、申购款项及法律法规和《基金合同》所规定的费用；</w:t>
      </w:r>
    </w:p>
    <w:p>
      <w:pPr>
        <w:pStyle w:val="BodyText"/>
        <w:spacing w:before="7"/>
        <w:rPr>
          <w:sz w:val="15"/>
        </w:rPr>
      </w:pPr>
    </w:p>
    <w:p>
      <w:pPr>
        <w:pStyle w:val="ListParagraph"/>
        <w:numPr>
          <w:ilvl w:val="0"/>
          <w:numId w:val="41"/>
        </w:numPr>
        <w:tabs>
          <w:tab w:pos="1110" w:val="left" w:leader="none"/>
        </w:tabs>
        <w:spacing w:line="240" w:lineRule="auto" w:before="0" w:after="0"/>
        <w:ind w:left="1109" w:right="0" w:hanging="530"/>
        <w:jc w:val="left"/>
        <w:rPr>
          <w:sz w:val="21"/>
        </w:rPr>
      </w:pPr>
      <w:r>
        <w:rPr>
          <w:spacing w:val="-3"/>
          <w:sz w:val="21"/>
        </w:rPr>
        <w:t>在其持有的基金份额范围内，承担基金亏损或者《基金合同》终止的有限责任；</w:t>
      </w:r>
    </w:p>
    <w:p>
      <w:pPr>
        <w:spacing w:after="0" w:line="240" w:lineRule="auto"/>
        <w:jc w:val="left"/>
        <w:rPr>
          <w:sz w:val="21"/>
        </w:rPr>
        <w:sectPr>
          <w:footerReference w:type="default" r:id="rId152"/>
          <w:pgSz w:w="11910" w:h="16840"/>
          <w:pgMar w:footer="995" w:header="877" w:top="1420" w:bottom="1180" w:left="1640" w:right="920"/>
          <w:pgNumType w:start="141"/>
        </w:sectPr>
      </w:pPr>
    </w:p>
    <w:p>
      <w:pPr>
        <w:pStyle w:val="ListParagraph"/>
        <w:numPr>
          <w:ilvl w:val="0"/>
          <w:numId w:val="41"/>
        </w:numPr>
        <w:tabs>
          <w:tab w:pos="1110" w:val="left" w:leader="none"/>
        </w:tabs>
        <w:spacing w:line="240" w:lineRule="auto" w:before="110" w:after="0"/>
        <w:ind w:left="1109" w:right="0" w:hanging="530"/>
        <w:jc w:val="left"/>
        <w:rPr>
          <w:sz w:val="21"/>
        </w:rPr>
      </w:pPr>
      <w:r>
        <w:rPr>
          <w:spacing w:val="-3"/>
          <w:sz w:val="21"/>
        </w:rPr>
        <w:t>不从事任何有损基金及其他《基金合同》当事人合法权益的活动；</w:t>
      </w:r>
    </w:p>
    <w:p>
      <w:pPr>
        <w:pStyle w:val="BodyText"/>
        <w:spacing w:before="6"/>
        <w:rPr>
          <w:sz w:val="15"/>
        </w:rPr>
      </w:pPr>
    </w:p>
    <w:p>
      <w:pPr>
        <w:pStyle w:val="ListParagraph"/>
        <w:numPr>
          <w:ilvl w:val="0"/>
          <w:numId w:val="41"/>
        </w:numPr>
        <w:tabs>
          <w:tab w:pos="1110" w:val="left" w:leader="none"/>
        </w:tabs>
        <w:spacing w:line="240" w:lineRule="auto" w:before="0" w:after="0"/>
        <w:ind w:left="1109" w:right="0" w:hanging="530"/>
        <w:jc w:val="left"/>
        <w:rPr>
          <w:sz w:val="21"/>
        </w:rPr>
      </w:pPr>
      <w:r>
        <w:rPr>
          <w:spacing w:val="-3"/>
          <w:sz w:val="21"/>
        </w:rPr>
        <w:t>执行生效的基金份额持有人大会的决定；</w:t>
      </w:r>
    </w:p>
    <w:p>
      <w:pPr>
        <w:pStyle w:val="BodyText"/>
        <w:spacing w:before="7"/>
        <w:rPr>
          <w:sz w:val="15"/>
        </w:rPr>
      </w:pPr>
    </w:p>
    <w:p>
      <w:pPr>
        <w:pStyle w:val="ListParagraph"/>
        <w:numPr>
          <w:ilvl w:val="0"/>
          <w:numId w:val="41"/>
        </w:numPr>
        <w:tabs>
          <w:tab w:pos="1110" w:val="left" w:leader="none"/>
        </w:tabs>
        <w:spacing w:line="240" w:lineRule="auto" w:before="0" w:after="0"/>
        <w:ind w:left="1109" w:right="0" w:hanging="530"/>
        <w:jc w:val="left"/>
        <w:rPr>
          <w:sz w:val="21"/>
        </w:rPr>
      </w:pPr>
      <w:r>
        <w:rPr>
          <w:spacing w:val="-3"/>
          <w:sz w:val="21"/>
        </w:rPr>
        <w:t>返还在基金交易过程中因任何原因获得的不当得利；</w:t>
      </w:r>
    </w:p>
    <w:p>
      <w:pPr>
        <w:pStyle w:val="BodyText"/>
        <w:spacing w:before="7"/>
        <w:rPr>
          <w:sz w:val="15"/>
        </w:rPr>
      </w:pPr>
    </w:p>
    <w:p>
      <w:pPr>
        <w:pStyle w:val="ListParagraph"/>
        <w:numPr>
          <w:ilvl w:val="0"/>
          <w:numId w:val="41"/>
        </w:numPr>
        <w:tabs>
          <w:tab w:pos="1110" w:val="left" w:leader="none"/>
        </w:tabs>
        <w:spacing w:line="240" w:lineRule="auto" w:before="0" w:after="0"/>
        <w:ind w:left="1109" w:right="0" w:hanging="530"/>
        <w:jc w:val="left"/>
        <w:rPr>
          <w:sz w:val="21"/>
        </w:rPr>
      </w:pPr>
      <w:r>
        <w:rPr>
          <w:spacing w:val="-3"/>
          <w:sz w:val="21"/>
        </w:rPr>
        <w:t>遵守基金管理人、基金托管人、销售机构和登记机构的相关交易及业务规则；</w:t>
      </w:r>
    </w:p>
    <w:p>
      <w:pPr>
        <w:pStyle w:val="BodyText"/>
        <w:spacing w:before="7"/>
        <w:rPr>
          <w:sz w:val="15"/>
        </w:rPr>
      </w:pPr>
    </w:p>
    <w:p>
      <w:pPr>
        <w:pStyle w:val="ListParagraph"/>
        <w:numPr>
          <w:ilvl w:val="0"/>
          <w:numId w:val="41"/>
        </w:numPr>
        <w:tabs>
          <w:tab w:pos="1215" w:val="left" w:leader="none"/>
        </w:tabs>
        <w:spacing w:line="417" w:lineRule="auto" w:before="0" w:after="0"/>
        <w:ind w:left="160" w:right="875" w:firstLine="419"/>
        <w:jc w:val="left"/>
        <w:rPr>
          <w:sz w:val="21"/>
        </w:rPr>
      </w:pPr>
      <w:r>
        <w:rPr>
          <w:spacing w:val="-6"/>
          <w:sz w:val="21"/>
        </w:rPr>
        <w:t>提供基金管理人和监管机构依法要求提供的信息，以及不时地更新和补充，并 </w:t>
      </w:r>
      <w:r>
        <w:rPr>
          <w:spacing w:val="-2"/>
          <w:sz w:val="21"/>
        </w:rPr>
        <w:t>保证其真实性；</w:t>
      </w:r>
    </w:p>
    <w:p>
      <w:pPr>
        <w:pStyle w:val="ListParagraph"/>
        <w:numPr>
          <w:ilvl w:val="0"/>
          <w:numId w:val="41"/>
        </w:numPr>
        <w:tabs>
          <w:tab w:pos="1218" w:val="left" w:leader="none"/>
        </w:tabs>
        <w:spacing w:line="269" w:lineRule="exact" w:before="0" w:after="0"/>
        <w:ind w:left="1217" w:right="0" w:hanging="638"/>
        <w:jc w:val="left"/>
        <w:rPr>
          <w:sz w:val="21"/>
        </w:rPr>
      </w:pPr>
      <w:r>
        <w:rPr>
          <w:spacing w:val="-6"/>
          <w:sz w:val="21"/>
        </w:rPr>
        <w:t>发起资金提供方持有发起资金认购的基金份额不少于 </w:t>
      </w:r>
      <w:r>
        <w:rPr>
          <w:rFonts w:ascii="Calibri" w:eastAsia="Calibri"/>
          <w:sz w:val="21"/>
        </w:rPr>
        <w:t>3</w:t>
      </w:r>
      <w:r>
        <w:rPr>
          <w:rFonts w:ascii="Calibri" w:eastAsia="Calibri"/>
          <w:spacing w:val="7"/>
          <w:sz w:val="21"/>
        </w:rPr>
        <w:t> </w:t>
      </w:r>
      <w:r>
        <w:rPr>
          <w:spacing w:val="-3"/>
          <w:sz w:val="21"/>
        </w:rPr>
        <w:t>年；</w:t>
      </w:r>
    </w:p>
    <w:p>
      <w:pPr>
        <w:pStyle w:val="BodyText"/>
        <w:spacing w:before="7"/>
        <w:rPr>
          <w:sz w:val="15"/>
        </w:rPr>
      </w:pPr>
    </w:p>
    <w:p>
      <w:pPr>
        <w:pStyle w:val="ListParagraph"/>
        <w:numPr>
          <w:ilvl w:val="0"/>
          <w:numId w:val="41"/>
        </w:numPr>
        <w:tabs>
          <w:tab w:pos="1218" w:val="left" w:leader="none"/>
        </w:tabs>
        <w:spacing w:line="240" w:lineRule="auto" w:before="0" w:after="0"/>
        <w:ind w:left="1217" w:right="0" w:hanging="638"/>
        <w:jc w:val="left"/>
        <w:rPr>
          <w:sz w:val="21"/>
        </w:rPr>
      </w:pPr>
      <w:r>
        <w:rPr>
          <w:spacing w:val="-3"/>
          <w:sz w:val="21"/>
        </w:rPr>
        <w:t>法律法规及中国证监会规定的和《基金合同》约定的其他义务。</w:t>
      </w:r>
    </w:p>
    <w:p>
      <w:pPr>
        <w:pStyle w:val="BodyText"/>
        <w:spacing w:before="7"/>
        <w:rPr>
          <w:sz w:val="15"/>
        </w:rPr>
      </w:pPr>
    </w:p>
    <w:p>
      <w:pPr>
        <w:tabs>
          <w:tab w:pos="2630" w:val="left" w:leader="none"/>
        </w:tabs>
        <w:spacing w:before="0"/>
        <w:ind w:left="1573" w:right="0" w:firstLine="0"/>
        <w:jc w:val="left"/>
        <w:rPr>
          <w:b/>
          <w:sz w:val="21"/>
        </w:rPr>
      </w:pPr>
      <w:r>
        <w:rPr>
          <w:b/>
          <w:sz w:val="21"/>
        </w:rPr>
        <w:t>第二部分</w:t>
        <w:tab/>
        <w:t>基金份</w:t>
      </w:r>
      <w:r>
        <w:rPr>
          <w:b/>
          <w:spacing w:val="-3"/>
          <w:sz w:val="21"/>
        </w:rPr>
        <w:t>额</w:t>
      </w:r>
      <w:r>
        <w:rPr>
          <w:b/>
          <w:sz w:val="21"/>
        </w:rPr>
        <w:t>持</w:t>
      </w:r>
      <w:r>
        <w:rPr>
          <w:b/>
          <w:spacing w:val="-3"/>
          <w:sz w:val="21"/>
        </w:rPr>
        <w:t>有</w:t>
      </w:r>
      <w:r>
        <w:rPr>
          <w:b/>
          <w:sz w:val="21"/>
        </w:rPr>
        <w:t>人大会召集、议事</w:t>
      </w:r>
      <w:r>
        <w:rPr>
          <w:b/>
          <w:spacing w:val="-3"/>
          <w:sz w:val="21"/>
        </w:rPr>
        <w:t>及</w:t>
      </w:r>
      <w:r>
        <w:rPr>
          <w:b/>
          <w:sz w:val="21"/>
        </w:rPr>
        <w:t>表</w:t>
      </w:r>
      <w:r>
        <w:rPr>
          <w:b/>
          <w:spacing w:val="-3"/>
          <w:sz w:val="21"/>
        </w:rPr>
        <w:t>决</w:t>
      </w:r>
      <w:r>
        <w:rPr>
          <w:b/>
          <w:sz w:val="21"/>
        </w:rPr>
        <w:t>的程序和规则</w:t>
      </w:r>
    </w:p>
    <w:p>
      <w:pPr>
        <w:pStyle w:val="BodyText"/>
        <w:spacing w:before="6"/>
        <w:rPr>
          <w:b/>
          <w:sz w:val="15"/>
        </w:rPr>
      </w:pPr>
    </w:p>
    <w:p>
      <w:pPr>
        <w:pStyle w:val="BodyText"/>
        <w:spacing w:line="417" w:lineRule="auto" w:before="1"/>
        <w:ind w:left="160" w:right="770" w:firstLine="419"/>
      </w:pPr>
      <w:r>
        <w:rPr>
          <w:spacing w:val="-8"/>
        </w:rPr>
        <w:t>基金份额持有人大会由基金份额持有人组成，基金份额持有人的合法授权代表有权代表</w:t>
      </w:r>
      <w:r>
        <w:rPr>
          <w:spacing w:val="-5"/>
        </w:rPr>
        <w:t>基金份额持有人出席会议并表决。基金份额持有人持有的每一基金份额拥有平等的投票权。</w:t>
      </w:r>
    </w:p>
    <w:p>
      <w:pPr>
        <w:pStyle w:val="BodyText"/>
        <w:spacing w:line="417" w:lineRule="auto"/>
        <w:ind w:left="580" w:right="5189"/>
      </w:pPr>
      <w:r>
        <w:rPr/>
        <w:t>本基金份额持有人大会不设日常机构。一、召开事由</w:t>
      </w:r>
    </w:p>
    <w:p>
      <w:pPr>
        <w:pStyle w:val="BodyText"/>
        <w:spacing w:line="417" w:lineRule="auto"/>
        <w:ind w:left="160" w:right="874" w:firstLine="419"/>
      </w:pPr>
      <w:r>
        <w:rPr>
          <w:rFonts w:ascii="Calibri" w:eastAsia="Calibri"/>
        </w:rPr>
        <w:t>1</w:t>
      </w:r>
      <w:r>
        <w:rPr/>
        <w:t>、当出现或需要决定下列事由之一的，应当召开基金份额持有人大会，法律法规和中国证监会另有规定的除外：</w:t>
      </w:r>
    </w:p>
    <w:p>
      <w:pPr>
        <w:pStyle w:val="ListParagraph"/>
        <w:numPr>
          <w:ilvl w:val="0"/>
          <w:numId w:val="42"/>
        </w:numPr>
        <w:tabs>
          <w:tab w:pos="1110" w:val="left" w:leader="none"/>
        </w:tabs>
        <w:spacing w:line="240" w:lineRule="auto" w:before="69" w:after="0"/>
        <w:ind w:left="1109" w:right="0" w:hanging="530"/>
        <w:jc w:val="left"/>
        <w:rPr>
          <w:sz w:val="21"/>
        </w:rPr>
      </w:pPr>
      <w:r>
        <w:rPr>
          <w:spacing w:val="-28"/>
          <w:sz w:val="21"/>
        </w:rPr>
        <w:t>终止《基金合同》；</w:t>
      </w:r>
    </w:p>
    <w:p>
      <w:pPr>
        <w:pStyle w:val="ListParagraph"/>
        <w:numPr>
          <w:ilvl w:val="0"/>
          <w:numId w:val="42"/>
        </w:numPr>
        <w:tabs>
          <w:tab w:pos="1110" w:val="left" w:leader="none"/>
        </w:tabs>
        <w:spacing w:line="240" w:lineRule="auto" w:before="170" w:after="0"/>
        <w:ind w:left="1109" w:right="0" w:hanging="530"/>
        <w:jc w:val="left"/>
        <w:rPr>
          <w:sz w:val="21"/>
        </w:rPr>
      </w:pPr>
      <w:r>
        <w:rPr>
          <w:spacing w:val="-3"/>
          <w:sz w:val="21"/>
        </w:rPr>
        <w:t>更换基金管理人；</w:t>
      </w:r>
    </w:p>
    <w:p>
      <w:pPr>
        <w:pStyle w:val="ListParagraph"/>
        <w:numPr>
          <w:ilvl w:val="0"/>
          <w:numId w:val="42"/>
        </w:numPr>
        <w:tabs>
          <w:tab w:pos="1110" w:val="left" w:leader="none"/>
        </w:tabs>
        <w:spacing w:line="240" w:lineRule="auto" w:before="172" w:after="0"/>
        <w:ind w:left="1109" w:right="0" w:hanging="530"/>
        <w:jc w:val="left"/>
        <w:rPr>
          <w:sz w:val="21"/>
        </w:rPr>
      </w:pPr>
      <w:r>
        <w:rPr>
          <w:spacing w:val="-3"/>
          <w:sz w:val="21"/>
        </w:rPr>
        <w:t>更换基金托管人；</w:t>
      </w:r>
    </w:p>
    <w:p>
      <w:pPr>
        <w:pStyle w:val="ListParagraph"/>
        <w:numPr>
          <w:ilvl w:val="0"/>
          <w:numId w:val="42"/>
        </w:numPr>
        <w:tabs>
          <w:tab w:pos="1110" w:val="left" w:leader="none"/>
        </w:tabs>
        <w:spacing w:line="240" w:lineRule="auto" w:before="170" w:after="0"/>
        <w:ind w:left="1109" w:right="0" w:hanging="530"/>
        <w:jc w:val="left"/>
        <w:rPr>
          <w:sz w:val="21"/>
        </w:rPr>
      </w:pPr>
      <w:r>
        <w:rPr>
          <w:spacing w:val="-3"/>
          <w:sz w:val="21"/>
        </w:rPr>
        <w:t>转换基金运作方式；</w:t>
      </w:r>
    </w:p>
    <w:p>
      <w:pPr>
        <w:pStyle w:val="ListParagraph"/>
        <w:numPr>
          <w:ilvl w:val="0"/>
          <w:numId w:val="42"/>
        </w:numPr>
        <w:tabs>
          <w:tab w:pos="1110" w:val="left" w:leader="none"/>
        </w:tabs>
        <w:spacing w:line="240" w:lineRule="auto" w:before="170" w:after="0"/>
        <w:ind w:left="1109" w:right="0" w:hanging="530"/>
        <w:jc w:val="left"/>
        <w:rPr>
          <w:sz w:val="21"/>
        </w:rPr>
      </w:pPr>
      <w:r>
        <w:rPr>
          <w:spacing w:val="-3"/>
          <w:sz w:val="21"/>
        </w:rPr>
        <w:t>调整基金管理人、基金托管人的报酬标准；</w:t>
      </w:r>
    </w:p>
    <w:p>
      <w:pPr>
        <w:pStyle w:val="ListParagraph"/>
        <w:numPr>
          <w:ilvl w:val="0"/>
          <w:numId w:val="42"/>
        </w:numPr>
        <w:tabs>
          <w:tab w:pos="1110" w:val="left" w:leader="none"/>
        </w:tabs>
        <w:spacing w:line="240" w:lineRule="auto" w:before="173" w:after="0"/>
        <w:ind w:left="1109" w:right="0" w:hanging="530"/>
        <w:jc w:val="left"/>
        <w:rPr>
          <w:sz w:val="21"/>
        </w:rPr>
      </w:pPr>
      <w:r>
        <w:rPr>
          <w:spacing w:val="-3"/>
          <w:sz w:val="21"/>
        </w:rPr>
        <w:t>变更基金类别；</w:t>
      </w:r>
    </w:p>
    <w:p>
      <w:pPr>
        <w:pStyle w:val="ListParagraph"/>
        <w:numPr>
          <w:ilvl w:val="0"/>
          <w:numId w:val="42"/>
        </w:numPr>
        <w:tabs>
          <w:tab w:pos="1110" w:val="left" w:leader="none"/>
        </w:tabs>
        <w:spacing w:line="240" w:lineRule="auto" w:before="171" w:after="0"/>
        <w:ind w:left="1109" w:right="0" w:hanging="530"/>
        <w:jc w:val="left"/>
        <w:rPr>
          <w:sz w:val="21"/>
        </w:rPr>
      </w:pPr>
      <w:r>
        <w:rPr>
          <w:spacing w:val="-3"/>
          <w:sz w:val="21"/>
        </w:rPr>
        <w:t>本基金与其他基金的合并；</w:t>
      </w:r>
    </w:p>
    <w:p>
      <w:pPr>
        <w:pStyle w:val="ListParagraph"/>
        <w:numPr>
          <w:ilvl w:val="0"/>
          <w:numId w:val="42"/>
        </w:numPr>
        <w:tabs>
          <w:tab w:pos="1110" w:val="left" w:leader="none"/>
        </w:tabs>
        <w:spacing w:line="240" w:lineRule="auto" w:before="170" w:after="0"/>
        <w:ind w:left="1109" w:right="0" w:hanging="530"/>
        <w:jc w:val="left"/>
        <w:rPr>
          <w:sz w:val="21"/>
        </w:rPr>
      </w:pPr>
      <w:r>
        <w:rPr>
          <w:spacing w:val="-3"/>
          <w:sz w:val="21"/>
        </w:rPr>
        <w:t>除本合同另有约定外，变更基金投资目标、范围或策略；</w:t>
      </w:r>
    </w:p>
    <w:p>
      <w:pPr>
        <w:pStyle w:val="ListParagraph"/>
        <w:numPr>
          <w:ilvl w:val="0"/>
          <w:numId w:val="42"/>
        </w:numPr>
        <w:tabs>
          <w:tab w:pos="1110" w:val="left" w:leader="none"/>
        </w:tabs>
        <w:spacing w:line="240" w:lineRule="auto" w:before="172" w:after="0"/>
        <w:ind w:left="1109" w:right="0" w:hanging="530"/>
        <w:jc w:val="left"/>
        <w:rPr>
          <w:sz w:val="21"/>
        </w:rPr>
      </w:pPr>
      <w:r>
        <w:rPr>
          <w:spacing w:val="-3"/>
          <w:sz w:val="21"/>
        </w:rPr>
        <w:t>变更基金份额持有人大会程序；</w:t>
      </w:r>
    </w:p>
    <w:p>
      <w:pPr>
        <w:pStyle w:val="ListParagraph"/>
        <w:numPr>
          <w:ilvl w:val="0"/>
          <w:numId w:val="42"/>
        </w:numPr>
        <w:tabs>
          <w:tab w:pos="1218" w:val="left" w:leader="none"/>
        </w:tabs>
        <w:spacing w:line="240" w:lineRule="auto" w:before="171" w:after="0"/>
        <w:ind w:left="1217" w:right="0" w:hanging="638"/>
        <w:jc w:val="left"/>
        <w:rPr>
          <w:sz w:val="21"/>
        </w:rPr>
      </w:pPr>
      <w:r>
        <w:rPr>
          <w:spacing w:val="-3"/>
          <w:sz w:val="21"/>
        </w:rPr>
        <w:t>基金管理人或基金托管人要求召开基金份额持有人大会；</w:t>
      </w:r>
    </w:p>
    <w:p>
      <w:pPr>
        <w:pStyle w:val="ListParagraph"/>
        <w:numPr>
          <w:ilvl w:val="0"/>
          <w:numId w:val="42"/>
        </w:numPr>
        <w:tabs>
          <w:tab w:pos="1218" w:val="left" w:leader="none"/>
        </w:tabs>
        <w:spacing w:line="393" w:lineRule="auto" w:before="170" w:after="0"/>
        <w:ind w:left="160" w:right="871" w:firstLine="419"/>
        <w:jc w:val="both"/>
        <w:rPr>
          <w:sz w:val="21"/>
        </w:rPr>
      </w:pPr>
      <w:r>
        <w:rPr>
          <w:spacing w:val="-7"/>
          <w:sz w:val="21"/>
        </w:rPr>
        <w:t>单独或合计持有本基金总份额 </w:t>
      </w:r>
      <w:r>
        <w:rPr>
          <w:rFonts w:ascii="Calibri" w:eastAsia="Calibri"/>
          <w:sz w:val="21"/>
        </w:rPr>
        <w:t>10%</w:t>
      </w:r>
      <w:r>
        <w:rPr>
          <w:spacing w:val="-39"/>
          <w:sz w:val="21"/>
        </w:rPr>
        <w:t>以上</w:t>
      </w:r>
      <w:r>
        <w:rPr>
          <w:spacing w:val="-3"/>
          <w:sz w:val="21"/>
        </w:rPr>
        <w:t>（</w:t>
      </w:r>
      <w:r>
        <w:rPr>
          <w:spacing w:val="-24"/>
          <w:sz w:val="21"/>
        </w:rPr>
        <w:t>含 </w:t>
      </w:r>
      <w:r>
        <w:rPr>
          <w:rFonts w:ascii="Calibri" w:eastAsia="Calibri"/>
          <w:spacing w:val="-20"/>
          <w:sz w:val="21"/>
        </w:rPr>
        <w:t>10%</w:t>
      </w:r>
      <w:r>
        <w:rPr>
          <w:spacing w:val="-20"/>
          <w:sz w:val="21"/>
        </w:rPr>
        <w:t>）</w:t>
      </w:r>
      <w:r>
        <w:rPr>
          <w:spacing w:val="-9"/>
          <w:sz w:val="21"/>
        </w:rPr>
        <w:t>基金份额的基金份额持有人</w:t>
      </w:r>
      <w:r>
        <w:rPr>
          <w:spacing w:val="-3"/>
          <w:sz w:val="21"/>
        </w:rPr>
        <w:t>（ </w:t>
      </w:r>
      <w:r>
        <w:rPr>
          <w:spacing w:val="-6"/>
          <w:sz w:val="21"/>
        </w:rPr>
        <w:t>以基金管理人收到提议当日的基金份额计算，下同</w:t>
      </w:r>
      <w:r>
        <w:rPr>
          <w:spacing w:val="-48"/>
          <w:sz w:val="21"/>
        </w:rPr>
        <w:t>）</w:t>
      </w:r>
      <w:r>
        <w:rPr>
          <w:spacing w:val="-3"/>
          <w:sz w:val="21"/>
        </w:rPr>
        <w:t>就同一事项书面要求召开基金份额持有</w:t>
      </w:r>
      <w:r>
        <w:rPr>
          <w:sz w:val="21"/>
        </w:rPr>
        <w:t>人大会；</w:t>
      </w:r>
    </w:p>
    <w:p>
      <w:pPr>
        <w:pStyle w:val="ListParagraph"/>
        <w:numPr>
          <w:ilvl w:val="0"/>
          <w:numId w:val="42"/>
        </w:numPr>
        <w:tabs>
          <w:tab w:pos="1218" w:val="left" w:leader="none"/>
        </w:tabs>
        <w:spacing w:line="265" w:lineRule="exact" w:before="0" w:after="0"/>
        <w:ind w:left="1217" w:right="0" w:hanging="638"/>
        <w:jc w:val="left"/>
        <w:rPr>
          <w:sz w:val="21"/>
        </w:rPr>
      </w:pPr>
      <w:r>
        <w:rPr>
          <w:spacing w:val="-3"/>
          <w:sz w:val="21"/>
        </w:rPr>
        <w:t>对基金合同当事人权利和义务产生重大影响的其他事项；</w:t>
      </w:r>
    </w:p>
    <w:p>
      <w:pPr>
        <w:pStyle w:val="ListParagraph"/>
        <w:numPr>
          <w:ilvl w:val="0"/>
          <w:numId w:val="42"/>
        </w:numPr>
        <w:tabs>
          <w:tab w:pos="1218" w:val="left" w:leader="none"/>
        </w:tabs>
        <w:spacing w:line="240" w:lineRule="auto" w:before="173" w:after="0"/>
        <w:ind w:left="1217" w:right="0" w:hanging="638"/>
        <w:jc w:val="left"/>
        <w:rPr>
          <w:sz w:val="21"/>
        </w:rPr>
      </w:pPr>
      <w:r>
        <w:rPr>
          <w:spacing w:val="-12"/>
          <w:sz w:val="21"/>
        </w:rPr>
        <w:t>法律法规、《基金合同》或中国证监会规定的其他应当召开基金份额持有人大会</w:t>
      </w:r>
    </w:p>
    <w:p>
      <w:pPr>
        <w:spacing w:after="0" w:line="240" w:lineRule="auto"/>
        <w:jc w:val="left"/>
        <w:rPr>
          <w:sz w:val="21"/>
        </w:rPr>
        <w:sectPr>
          <w:pgSz w:w="11910" w:h="16840"/>
          <w:pgMar w:header="877" w:footer="995" w:top="1420" w:bottom="1180" w:left="1640" w:right="920"/>
        </w:sectPr>
      </w:pPr>
    </w:p>
    <w:p>
      <w:pPr>
        <w:pStyle w:val="BodyText"/>
        <w:spacing w:before="5"/>
        <w:rPr>
          <w:sz w:val="8"/>
        </w:rPr>
      </w:pPr>
    </w:p>
    <w:p>
      <w:pPr>
        <w:pStyle w:val="BodyText"/>
        <w:spacing w:before="72"/>
        <w:ind w:left="160"/>
      </w:pPr>
      <w:r>
        <w:rPr/>
        <w:t>的事项。</w:t>
      </w:r>
    </w:p>
    <w:p>
      <w:pPr>
        <w:pStyle w:val="BodyText"/>
        <w:spacing w:line="417" w:lineRule="auto" w:before="100"/>
        <w:ind w:left="160" w:right="874" w:firstLine="419"/>
      </w:pPr>
      <w:r>
        <w:rPr>
          <w:rFonts w:ascii="Calibri" w:eastAsia="Calibri"/>
        </w:rPr>
        <w:t>2</w:t>
      </w:r>
      <w:r>
        <w:rPr/>
        <w:t>、在不违反法律法规规定和《基金合同》约定以下情况可由基金管理人和基金托管人协商后修改，不需召开基金份额持有人大会：</w:t>
      </w:r>
    </w:p>
    <w:p>
      <w:pPr>
        <w:pStyle w:val="ListParagraph"/>
        <w:numPr>
          <w:ilvl w:val="0"/>
          <w:numId w:val="43"/>
        </w:numPr>
        <w:tabs>
          <w:tab w:pos="1110" w:val="left" w:leader="none"/>
        </w:tabs>
        <w:spacing w:line="269" w:lineRule="exact" w:before="0" w:after="0"/>
        <w:ind w:left="1109" w:right="0" w:hanging="530"/>
        <w:jc w:val="left"/>
        <w:rPr>
          <w:sz w:val="21"/>
        </w:rPr>
      </w:pPr>
      <w:r>
        <w:rPr>
          <w:spacing w:val="-3"/>
          <w:sz w:val="21"/>
        </w:rPr>
        <w:t>法律法规要求增加的基金费用的收取；</w:t>
      </w:r>
    </w:p>
    <w:p>
      <w:pPr>
        <w:pStyle w:val="BodyText"/>
        <w:spacing w:before="7"/>
        <w:rPr>
          <w:sz w:val="15"/>
        </w:rPr>
      </w:pPr>
    </w:p>
    <w:p>
      <w:pPr>
        <w:pStyle w:val="ListParagraph"/>
        <w:numPr>
          <w:ilvl w:val="0"/>
          <w:numId w:val="43"/>
        </w:numPr>
        <w:tabs>
          <w:tab w:pos="1112" w:val="left" w:leader="none"/>
        </w:tabs>
        <w:spacing w:line="417" w:lineRule="auto" w:before="0" w:after="0"/>
        <w:ind w:left="160" w:right="874" w:firstLine="419"/>
        <w:jc w:val="left"/>
        <w:rPr>
          <w:sz w:val="21"/>
        </w:rPr>
      </w:pPr>
      <w:r>
        <w:rPr>
          <w:spacing w:val="-3"/>
          <w:sz w:val="21"/>
        </w:rPr>
        <w:t>在对基金份额持有人利益无实质性不利影响的前提下，调整本基金的申购费率、赎回费率、销售服务费率或收费方式；</w:t>
      </w:r>
    </w:p>
    <w:p>
      <w:pPr>
        <w:pStyle w:val="ListParagraph"/>
        <w:numPr>
          <w:ilvl w:val="0"/>
          <w:numId w:val="43"/>
        </w:numPr>
        <w:tabs>
          <w:tab w:pos="1110" w:val="left" w:leader="none"/>
        </w:tabs>
        <w:spacing w:line="269" w:lineRule="exact" w:before="0" w:after="0"/>
        <w:ind w:left="1109" w:right="0" w:hanging="530"/>
        <w:jc w:val="left"/>
        <w:rPr>
          <w:sz w:val="21"/>
        </w:rPr>
      </w:pPr>
      <w:r>
        <w:rPr>
          <w:spacing w:val="-3"/>
          <w:sz w:val="21"/>
        </w:rPr>
        <w:t>增加、减少、调整基金份额类别设置；</w:t>
      </w:r>
    </w:p>
    <w:p>
      <w:pPr>
        <w:pStyle w:val="BodyText"/>
        <w:spacing w:before="7"/>
        <w:rPr>
          <w:sz w:val="15"/>
        </w:rPr>
      </w:pPr>
    </w:p>
    <w:p>
      <w:pPr>
        <w:pStyle w:val="ListParagraph"/>
        <w:numPr>
          <w:ilvl w:val="0"/>
          <w:numId w:val="43"/>
        </w:numPr>
        <w:tabs>
          <w:tab w:pos="1110" w:val="left" w:leader="none"/>
        </w:tabs>
        <w:spacing w:line="240" w:lineRule="auto" w:before="0" w:after="0"/>
        <w:ind w:left="1109" w:right="0" w:hanging="530"/>
        <w:jc w:val="left"/>
        <w:rPr>
          <w:sz w:val="21"/>
        </w:rPr>
      </w:pPr>
      <w:r>
        <w:rPr>
          <w:spacing w:val="-7"/>
          <w:sz w:val="21"/>
        </w:rPr>
        <w:t>本基金采取其他方式参与目标 </w:t>
      </w:r>
      <w:r>
        <w:rPr>
          <w:rFonts w:ascii="Calibri" w:eastAsia="Calibri"/>
          <w:sz w:val="21"/>
        </w:rPr>
        <w:t>ETF</w:t>
      </w:r>
      <w:r>
        <w:rPr>
          <w:rFonts w:ascii="Calibri" w:eastAsia="Calibri"/>
          <w:spacing w:val="4"/>
          <w:sz w:val="21"/>
        </w:rPr>
        <w:t> </w:t>
      </w:r>
      <w:r>
        <w:rPr>
          <w:spacing w:val="-3"/>
          <w:sz w:val="21"/>
        </w:rPr>
        <w:t>的申购赎回；</w:t>
      </w:r>
    </w:p>
    <w:p>
      <w:pPr>
        <w:pStyle w:val="BodyText"/>
        <w:spacing w:before="7"/>
        <w:rPr>
          <w:sz w:val="15"/>
        </w:rPr>
      </w:pPr>
    </w:p>
    <w:p>
      <w:pPr>
        <w:pStyle w:val="ListParagraph"/>
        <w:numPr>
          <w:ilvl w:val="0"/>
          <w:numId w:val="43"/>
        </w:numPr>
        <w:tabs>
          <w:tab w:pos="1110" w:val="left" w:leader="none"/>
        </w:tabs>
        <w:spacing w:line="417" w:lineRule="auto" w:before="0" w:after="0"/>
        <w:ind w:left="160" w:right="873" w:firstLine="419"/>
        <w:jc w:val="left"/>
        <w:rPr>
          <w:sz w:val="21"/>
        </w:rPr>
      </w:pPr>
      <w:r>
        <w:rPr>
          <w:spacing w:val="-15"/>
          <w:sz w:val="21"/>
        </w:rPr>
        <w:t>基金管理人、证券交易所、登记机构、代销机构调整有关基金认购、申购、赎回 </w:t>
      </w:r>
      <w:r>
        <w:rPr>
          <w:spacing w:val="-8"/>
          <w:sz w:val="21"/>
        </w:rPr>
        <w:t>、转换、收益分配、非交易过户、转托管等业务的规则；</w:t>
      </w:r>
    </w:p>
    <w:p>
      <w:pPr>
        <w:pStyle w:val="ListParagraph"/>
        <w:numPr>
          <w:ilvl w:val="0"/>
          <w:numId w:val="43"/>
        </w:numPr>
        <w:tabs>
          <w:tab w:pos="1110" w:val="left" w:leader="none"/>
        </w:tabs>
        <w:spacing w:line="269" w:lineRule="exact" w:before="0" w:after="0"/>
        <w:ind w:left="1109" w:right="0" w:hanging="530"/>
        <w:jc w:val="left"/>
        <w:rPr>
          <w:sz w:val="21"/>
        </w:rPr>
      </w:pPr>
      <w:r>
        <w:rPr>
          <w:spacing w:val="-3"/>
          <w:sz w:val="21"/>
        </w:rPr>
        <w:t>基金推出新业务或服务；</w:t>
      </w:r>
    </w:p>
    <w:p>
      <w:pPr>
        <w:pStyle w:val="BodyText"/>
        <w:spacing w:before="7"/>
        <w:rPr>
          <w:sz w:val="15"/>
        </w:rPr>
      </w:pPr>
    </w:p>
    <w:p>
      <w:pPr>
        <w:pStyle w:val="ListParagraph"/>
        <w:numPr>
          <w:ilvl w:val="0"/>
          <w:numId w:val="43"/>
        </w:numPr>
        <w:tabs>
          <w:tab w:pos="1110" w:val="left" w:leader="none"/>
        </w:tabs>
        <w:spacing w:line="240" w:lineRule="auto" w:before="0" w:after="0"/>
        <w:ind w:left="1109" w:right="0" w:hanging="530"/>
        <w:jc w:val="left"/>
        <w:rPr>
          <w:sz w:val="21"/>
        </w:rPr>
      </w:pPr>
      <w:r>
        <w:rPr>
          <w:spacing w:val="-3"/>
          <w:sz w:val="21"/>
        </w:rPr>
        <w:t>因相应的法律法规发生变动而应当对《基金合同》进行修改；</w:t>
      </w:r>
    </w:p>
    <w:p>
      <w:pPr>
        <w:pStyle w:val="BodyText"/>
        <w:spacing w:before="6"/>
        <w:rPr>
          <w:sz w:val="15"/>
        </w:rPr>
      </w:pPr>
    </w:p>
    <w:p>
      <w:pPr>
        <w:pStyle w:val="ListParagraph"/>
        <w:numPr>
          <w:ilvl w:val="0"/>
          <w:numId w:val="43"/>
        </w:numPr>
        <w:tabs>
          <w:tab w:pos="1110" w:val="left" w:leader="none"/>
        </w:tabs>
        <w:spacing w:line="417" w:lineRule="auto" w:before="1" w:after="0"/>
        <w:ind w:left="160" w:right="871" w:firstLine="419"/>
        <w:jc w:val="left"/>
        <w:rPr>
          <w:sz w:val="21"/>
        </w:rPr>
      </w:pPr>
      <w:r>
        <w:rPr>
          <w:spacing w:val="-6"/>
          <w:sz w:val="21"/>
        </w:rPr>
        <w:t>本基金的目标 </w:t>
      </w:r>
      <w:r>
        <w:rPr>
          <w:rFonts w:ascii="Calibri" w:eastAsia="Calibri"/>
          <w:sz w:val="21"/>
        </w:rPr>
        <w:t>ETF</w:t>
      </w:r>
      <w:r>
        <w:rPr>
          <w:rFonts w:ascii="Calibri" w:eastAsia="Calibri"/>
          <w:spacing w:val="32"/>
          <w:sz w:val="21"/>
        </w:rPr>
        <w:t> </w:t>
      </w:r>
      <w:r>
        <w:rPr>
          <w:spacing w:val="-3"/>
          <w:sz w:val="21"/>
        </w:rPr>
        <w:t>更名或者标的指数更名，本基金可相应调整基金名称、标的指数名称、业绩比较基准；</w:t>
      </w:r>
    </w:p>
    <w:p>
      <w:pPr>
        <w:pStyle w:val="ListParagraph"/>
        <w:numPr>
          <w:ilvl w:val="0"/>
          <w:numId w:val="43"/>
        </w:numPr>
        <w:tabs>
          <w:tab w:pos="1110" w:val="left" w:leader="none"/>
        </w:tabs>
        <w:spacing w:line="417" w:lineRule="auto" w:before="0" w:after="0"/>
        <w:ind w:left="160" w:right="871" w:firstLine="419"/>
        <w:jc w:val="left"/>
        <w:rPr>
          <w:sz w:val="21"/>
        </w:rPr>
      </w:pPr>
      <w:r>
        <w:rPr>
          <w:spacing w:val="-8"/>
          <w:sz w:val="21"/>
        </w:rPr>
        <w:t>未来如果目标 </w:t>
      </w:r>
      <w:r>
        <w:rPr>
          <w:rFonts w:ascii="Calibri" w:eastAsia="Calibri"/>
          <w:sz w:val="21"/>
        </w:rPr>
        <w:t>ETF</w:t>
      </w:r>
      <w:r>
        <w:rPr>
          <w:rFonts w:ascii="Calibri" w:eastAsia="Calibri"/>
          <w:spacing w:val="22"/>
          <w:sz w:val="21"/>
        </w:rPr>
        <w:t> </w:t>
      </w:r>
      <w:r>
        <w:rPr>
          <w:spacing w:val="-5"/>
          <w:sz w:val="21"/>
        </w:rPr>
        <w:t>的标的指数发生变更，本基金不变更目标 </w:t>
      </w:r>
      <w:r>
        <w:rPr>
          <w:rFonts w:ascii="Calibri" w:eastAsia="Calibri"/>
          <w:sz w:val="21"/>
        </w:rPr>
        <w:t>ETF</w:t>
      </w:r>
      <w:r>
        <w:rPr>
          <w:rFonts w:ascii="Calibri" w:eastAsia="Calibri"/>
          <w:spacing w:val="22"/>
          <w:sz w:val="21"/>
        </w:rPr>
        <w:t> </w:t>
      </w:r>
      <w:r>
        <w:rPr>
          <w:spacing w:val="-3"/>
          <w:sz w:val="21"/>
        </w:rPr>
        <w:t>的，则本基金的标的指数将随之变更，并可相应变更业绩基准和基金名称；</w:t>
      </w:r>
    </w:p>
    <w:p>
      <w:pPr>
        <w:pStyle w:val="ListParagraph"/>
        <w:numPr>
          <w:ilvl w:val="0"/>
          <w:numId w:val="43"/>
        </w:numPr>
        <w:tabs>
          <w:tab w:pos="1218" w:val="left" w:leader="none"/>
        </w:tabs>
        <w:spacing w:line="417" w:lineRule="auto" w:before="0" w:after="0"/>
        <w:ind w:left="160" w:right="871" w:firstLine="419"/>
        <w:jc w:val="left"/>
        <w:rPr>
          <w:sz w:val="21"/>
        </w:rPr>
      </w:pPr>
      <w:r>
        <w:rPr>
          <w:spacing w:val="-16"/>
          <w:sz w:val="21"/>
        </w:rPr>
        <w:t>对《基金合同》的修改对基金份额持有人利益无实质性不利影响或修改不涉及《</w:t>
      </w:r>
      <w:r>
        <w:rPr>
          <w:spacing w:val="-8"/>
          <w:sz w:val="21"/>
        </w:rPr>
        <w:t>基金合同》当事人权利义务关系发生重大变化；</w:t>
      </w:r>
    </w:p>
    <w:p>
      <w:pPr>
        <w:pStyle w:val="ListParagraph"/>
        <w:numPr>
          <w:ilvl w:val="0"/>
          <w:numId w:val="43"/>
        </w:numPr>
        <w:tabs>
          <w:tab w:pos="1218" w:val="left" w:leader="none"/>
        </w:tabs>
        <w:spacing w:line="417" w:lineRule="auto" w:before="0" w:after="0"/>
        <w:ind w:left="580" w:right="984" w:firstLine="0"/>
        <w:jc w:val="left"/>
        <w:rPr>
          <w:sz w:val="21"/>
        </w:rPr>
      </w:pPr>
      <w:r>
        <w:rPr>
          <w:spacing w:val="-3"/>
          <w:sz w:val="21"/>
        </w:rPr>
        <w:t>按照法律法规和《基金合同》规定不需召开基金份额持有人大会的其他情形。二、会议召集人及召集方式</w:t>
      </w:r>
    </w:p>
    <w:p>
      <w:pPr>
        <w:pStyle w:val="BodyText"/>
        <w:spacing w:line="417" w:lineRule="auto"/>
        <w:ind w:left="160" w:right="874" w:firstLine="419"/>
      </w:pPr>
      <w:r>
        <w:rPr>
          <w:rFonts w:ascii="Calibri" w:eastAsia="Calibri"/>
        </w:rPr>
        <w:t>1</w:t>
      </w:r>
      <w:r>
        <w:rPr/>
        <w:t>、除法律法规规定或《基金合同》另有约定外，基金份额持有人大会由基金管理人召集；</w:t>
      </w:r>
    </w:p>
    <w:p>
      <w:pPr>
        <w:pStyle w:val="BodyText"/>
        <w:ind w:left="580"/>
      </w:pPr>
      <w:r>
        <w:rPr>
          <w:rFonts w:ascii="Calibri" w:eastAsia="Calibri"/>
        </w:rPr>
        <w:t>2</w:t>
      </w:r>
      <w:r>
        <w:rPr/>
        <w:t>、基金管理人未按规定召集或不能召集时，由基金托管人召集；</w:t>
      </w:r>
    </w:p>
    <w:p>
      <w:pPr>
        <w:pStyle w:val="BodyText"/>
        <w:spacing w:before="6"/>
        <w:rPr>
          <w:sz w:val="15"/>
        </w:rPr>
      </w:pPr>
    </w:p>
    <w:p>
      <w:pPr>
        <w:pStyle w:val="BodyText"/>
        <w:spacing w:line="417" w:lineRule="auto"/>
        <w:ind w:left="160" w:right="871" w:firstLine="419"/>
        <w:jc w:val="both"/>
      </w:pPr>
      <w:r>
        <w:rPr>
          <w:rFonts w:ascii="Calibri" w:eastAsia="Calibri"/>
        </w:rPr>
        <w:t>3</w:t>
      </w:r>
      <w:r>
        <w:rPr>
          <w:spacing w:val="-3"/>
        </w:rPr>
        <w:t>、基金托管人认为有必要召开基金份额持有人大会的，应当向基金管理人提出书面提</w:t>
      </w:r>
      <w:r>
        <w:rPr>
          <w:spacing w:val="-14"/>
        </w:rPr>
        <w:t>议。基金管理人应当自收到书面提议之日起 </w:t>
      </w:r>
      <w:r>
        <w:rPr>
          <w:rFonts w:ascii="Calibri" w:eastAsia="Calibri"/>
        </w:rPr>
        <w:t>10 </w:t>
      </w:r>
      <w:r>
        <w:rPr>
          <w:spacing w:val="-12"/>
        </w:rPr>
        <w:t>日内决定是否召集，并书面告知基金托管人。</w:t>
      </w:r>
    </w:p>
    <w:p>
      <w:pPr>
        <w:pStyle w:val="BodyText"/>
        <w:spacing w:line="417" w:lineRule="auto"/>
        <w:ind w:left="160" w:right="873"/>
        <w:jc w:val="both"/>
      </w:pPr>
      <w:r>
        <w:rPr>
          <w:spacing w:val="-13"/>
        </w:rPr>
        <w:t>基金管理人决定召集的，应当自出具书面决定之日起 </w:t>
      </w:r>
      <w:r>
        <w:rPr>
          <w:rFonts w:ascii="Calibri" w:eastAsia="Calibri"/>
        </w:rPr>
        <w:t>60</w:t>
      </w:r>
      <w:r>
        <w:rPr>
          <w:rFonts w:ascii="Calibri" w:eastAsia="Calibri"/>
          <w:spacing w:val="23"/>
        </w:rPr>
        <w:t> </w:t>
      </w:r>
      <w:r>
        <w:rPr>
          <w:spacing w:val="-13"/>
        </w:rPr>
        <w:t>日内召开；基金管理人决定不召集， 基金托管人仍认为有必要召开的，应当由基金托管人自行召集，并自出具书面决定之日起</w:t>
      </w:r>
      <w:r>
        <w:rPr>
          <w:rFonts w:ascii="Calibri" w:eastAsia="Calibri"/>
          <w:spacing w:val="-13"/>
        </w:rPr>
        <w:t>60</w:t>
      </w:r>
      <w:r>
        <w:rPr>
          <w:rFonts w:ascii="Calibri" w:eastAsia="Calibri"/>
          <w:spacing w:val="3"/>
        </w:rPr>
        <w:t> </w:t>
      </w:r>
      <w:r>
        <w:rPr>
          <w:spacing w:val="-3"/>
        </w:rPr>
        <w:t>日内召开并告知基金管理人，基金管理人应当配合。</w:t>
      </w:r>
    </w:p>
    <w:p>
      <w:pPr>
        <w:pStyle w:val="BodyText"/>
        <w:spacing w:line="417" w:lineRule="auto"/>
        <w:ind w:left="160" w:right="871" w:firstLine="419"/>
        <w:jc w:val="both"/>
      </w:pPr>
      <w:r>
        <w:rPr>
          <w:rFonts w:ascii="Calibri" w:eastAsia="Calibri"/>
        </w:rPr>
        <w:t>4</w:t>
      </w:r>
      <w:r>
        <w:rPr>
          <w:spacing w:val="-7"/>
        </w:rPr>
        <w:t>、代表基金份额 </w:t>
      </w:r>
      <w:r>
        <w:rPr>
          <w:rFonts w:ascii="Calibri" w:eastAsia="Calibri"/>
        </w:rPr>
        <w:t>10%</w:t>
      </w:r>
      <w:r>
        <w:rPr>
          <w:spacing w:val="-2"/>
        </w:rPr>
        <w:t>以上</w:t>
      </w:r>
      <w:r>
        <w:rPr/>
        <w:t>（</w:t>
      </w:r>
      <w:r>
        <w:rPr>
          <w:spacing w:val="-16"/>
        </w:rPr>
        <w:t>含 </w:t>
      </w:r>
      <w:r>
        <w:rPr>
          <w:rFonts w:ascii="Calibri" w:eastAsia="Calibri"/>
        </w:rPr>
        <w:t>10%</w:t>
      </w:r>
      <w:r>
        <w:rPr/>
        <w:t>）</w:t>
      </w:r>
      <w:r>
        <w:rPr>
          <w:spacing w:val="-3"/>
        </w:rPr>
        <w:t>的基金份额持有人就同一事项书面要求召开基金</w:t>
      </w:r>
      <w:r>
        <w:rPr>
          <w:spacing w:val="-11"/>
        </w:rPr>
        <w:t>份额持有人大会，应当向基金管理人提出书面提议。基金管理人应当自收到书面提议之日起</w:t>
      </w:r>
    </w:p>
    <w:p>
      <w:pPr>
        <w:spacing w:after="0" w:line="417" w:lineRule="auto"/>
        <w:jc w:val="both"/>
        <w:sectPr>
          <w:pgSz w:w="11910" w:h="16840"/>
          <w:pgMar w:header="877" w:footer="995" w:top="1420" w:bottom="1180" w:left="1640" w:right="920"/>
        </w:sectPr>
      </w:pPr>
    </w:p>
    <w:p>
      <w:pPr>
        <w:pStyle w:val="BodyText"/>
        <w:spacing w:before="110"/>
        <w:ind w:left="160"/>
        <w:jc w:val="both"/>
      </w:pPr>
      <w:r>
        <w:rPr>
          <w:rFonts w:ascii="Calibri" w:eastAsia="Calibri"/>
        </w:rPr>
        <w:t>10 </w:t>
      </w:r>
      <w:r>
        <w:rPr/>
        <w:t>日内决定是否召集，并书面告知提出提议的基金份额持有人代表和基金托管人。基金管</w:t>
      </w:r>
    </w:p>
    <w:p>
      <w:pPr>
        <w:pStyle w:val="BodyText"/>
        <w:spacing w:before="6"/>
        <w:rPr>
          <w:sz w:val="15"/>
        </w:rPr>
      </w:pPr>
    </w:p>
    <w:p>
      <w:pPr>
        <w:pStyle w:val="BodyText"/>
        <w:spacing w:line="417" w:lineRule="auto"/>
        <w:ind w:left="160" w:right="871"/>
        <w:jc w:val="both"/>
      </w:pPr>
      <w:r>
        <w:rPr>
          <w:spacing w:val="-5"/>
        </w:rPr>
        <w:t>理人决定召集的，应当自出具书面决定之日起 </w:t>
      </w:r>
      <w:r>
        <w:rPr>
          <w:rFonts w:ascii="Calibri" w:eastAsia="Calibri"/>
        </w:rPr>
        <w:t>60 </w:t>
      </w:r>
      <w:r>
        <w:rPr>
          <w:spacing w:val="-3"/>
        </w:rPr>
        <w:t>日内召开；基金管理人决定不召集，代表</w:t>
      </w:r>
      <w:r>
        <w:rPr>
          <w:spacing w:val="-10"/>
        </w:rPr>
        <w:t>基金份额 </w:t>
      </w:r>
      <w:r>
        <w:rPr>
          <w:rFonts w:ascii="Calibri" w:eastAsia="Calibri"/>
        </w:rPr>
        <w:t>10%</w:t>
      </w:r>
      <w:r>
        <w:rPr>
          <w:spacing w:val="-16"/>
        </w:rPr>
        <w:t>以上</w:t>
      </w:r>
      <w:r>
        <w:rPr>
          <w:spacing w:val="-3"/>
        </w:rPr>
        <w:t>（</w:t>
      </w:r>
      <w:r>
        <w:rPr>
          <w:spacing w:val="-16"/>
        </w:rPr>
        <w:t>含 </w:t>
      </w:r>
      <w:r>
        <w:rPr>
          <w:rFonts w:ascii="Calibri" w:eastAsia="Calibri"/>
          <w:spacing w:val="-9"/>
        </w:rPr>
        <w:t>10%</w:t>
      </w:r>
      <w:r>
        <w:rPr>
          <w:spacing w:val="-9"/>
        </w:rPr>
        <w:t>）</w:t>
      </w:r>
      <w:r>
        <w:rPr>
          <w:spacing w:val="-5"/>
        </w:rPr>
        <w:t>的基金份额持有人仍认为有必要召开的，应当向基金托管人提</w:t>
      </w:r>
      <w:r>
        <w:rPr>
          <w:spacing w:val="-6"/>
        </w:rPr>
        <w:t>出书面提议。基金托管人应当自收到书面提议之日起 </w:t>
      </w:r>
      <w:r>
        <w:rPr>
          <w:rFonts w:ascii="Calibri" w:eastAsia="Calibri"/>
        </w:rPr>
        <w:t>10 </w:t>
      </w:r>
      <w:r>
        <w:rPr>
          <w:spacing w:val="-3"/>
        </w:rPr>
        <w:t>日内决定是否召集，并书面告知提</w:t>
      </w:r>
      <w:r>
        <w:rPr>
          <w:spacing w:val="-8"/>
        </w:rPr>
        <w:t>出提议的基金份额持有人代表和基金管理人；基金托管人决定召集的，应当自出具书面决定</w:t>
      </w:r>
      <w:r>
        <w:rPr>
          <w:spacing w:val="-17"/>
        </w:rPr>
        <w:t>之日起 </w:t>
      </w:r>
      <w:r>
        <w:rPr>
          <w:rFonts w:ascii="Calibri" w:eastAsia="Calibri"/>
        </w:rPr>
        <w:t>60 </w:t>
      </w:r>
      <w:r>
        <w:rPr>
          <w:spacing w:val="-3"/>
        </w:rPr>
        <w:t>日内召开，并告知基金管理人，基金管理人应当配合。</w:t>
      </w:r>
    </w:p>
    <w:p>
      <w:pPr>
        <w:pStyle w:val="BodyText"/>
        <w:spacing w:line="417" w:lineRule="auto"/>
        <w:ind w:left="160" w:right="768" w:firstLine="419"/>
      </w:pPr>
      <w:r>
        <w:rPr>
          <w:rFonts w:ascii="Calibri" w:eastAsia="Calibri"/>
        </w:rPr>
        <w:t>5</w:t>
      </w:r>
      <w:r>
        <w:rPr>
          <w:spacing w:val="-8"/>
        </w:rPr>
        <w:t>、代表基金份额 </w:t>
      </w:r>
      <w:r>
        <w:rPr>
          <w:rFonts w:ascii="Calibri" w:eastAsia="Calibri"/>
        </w:rPr>
        <w:t>10%</w:t>
      </w:r>
      <w:r>
        <w:rPr>
          <w:spacing w:val="-2"/>
        </w:rPr>
        <w:t>以上</w:t>
      </w:r>
      <w:r>
        <w:rPr/>
        <w:t>（</w:t>
      </w:r>
      <w:r>
        <w:rPr>
          <w:spacing w:val="-19"/>
        </w:rPr>
        <w:t>含 </w:t>
      </w:r>
      <w:r>
        <w:rPr>
          <w:rFonts w:ascii="Calibri" w:eastAsia="Calibri"/>
        </w:rPr>
        <w:t>10%</w:t>
      </w:r>
      <w:r>
        <w:rPr/>
        <w:t>）</w:t>
      </w:r>
      <w:r>
        <w:rPr>
          <w:spacing w:val="-3"/>
        </w:rPr>
        <w:t>的基金份额持有人就同一事项要求召开基金份额</w:t>
      </w:r>
      <w:r>
        <w:rPr>
          <w:spacing w:val="-19"/>
        </w:rPr>
        <w:t>持有人大会，而基金管理人、基金托管人都不召集的，单独或合计代表基金份额 </w:t>
      </w:r>
      <w:r>
        <w:rPr>
          <w:rFonts w:ascii="Calibri" w:eastAsia="Calibri"/>
        </w:rPr>
        <w:t>10%</w:t>
      </w:r>
      <w:r>
        <w:rPr>
          <w:spacing w:val="-39"/>
        </w:rPr>
        <w:t>以上</w:t>
      </w:r>
      <w:r>
        <w:rPr>
          <w:spacing w:val="-3"/>
        </w:rPr>
        <w:t>（</w:t>
      </w:r>
      <w:r>
        <w:rPr/>
        <w:t>含</w:t>
      </w:r>
      <w:r>
        <w:rPr>
          <w:rFonts w:ascii="Calibri" w:eastAsia="Calibri"/>
        </w:rPr>
        <w:t>10%</w:t>
      </w:r>
      <w:r>
        <w:rPr/>
        <w:t>）</w:t>
      </w:r>
      <w:r>
        <w:rPr>
          <w:spacing w:val="-4"/>
        </w:rPr>
        <w:t>的基金份额持有人有权自行召集，并至少提前 </w:t>
      </w:r>
      <w:r>
        <w:rPr>
          <w:rFonts w:ascii="Calibri" w:eastAsia="Calibri"/>
        </w:rPr>
        <w:t>30 </w:t>
      </w:r>
      <w:r>
        <w:rPr>
          <w:spacing w:val="-3"/>
        </w:rPr>
        <w:t>日报中国证监会备案。基金份额持有人依法自行召集基金份额持有人大会的，基金管理人、基金托管人应当配合，不得阻碍、干扰。</w:t>
      </w:r>
    </w:p>
    <w:p>
      <w:pPr>
        <w:pStyle w:val="BodyText"/>
        <w:spacing w:line="417" w:lineRule="auto"/>
        <w:ind w:left="580" w:right="881"/>
      </w:pPr>
      <w:r>
        <w:rPr>
          <w:rFonts w:ascii="Calibri" w:eastAsia="Calibri"/>
        </w:rPr>
        <w:t>6</w:t>
      </w:r>
      <w:r>
        <w:rPr/>
        <w:t>、基金份额持有人会议的召集人负责选择确定开会时间、地点、方式和权益登记日。三、召开基金份额持有人大会的通知时间、通知内容、通知方式</w:t>
      </w:r>
    </w:p>
    <w:p>
      <w:pPr>
        <w:pStyle w:val="BodyText"/>
        <w:spacing w:line="417" w:lineRule="auto"/>
        <w:ind w:left="160" w:right="873" w:firstLine="419"/>
      </w:pPr>
      <w:r>
        <w:rPr>
          <w:rFonts w:ascii="Calibri" w:eastAsia="Calibri"/>
        </w:rPr>
        <w:t>1</w:t>
      </w:r>
      <w:r>
        <w:rPr>
          <w:spacing w:val="-11"/>
        </w:rPr>
        <w:t>、召开基金份额持有人大会，召集人应于会议召开前 </w:t>
      </w:r>
      <w:r>
        <w:rPr>
          <w:rFonts w:ascii="Calibri" w:eastAsia="Calibri"/>
        </w:rPr>
        <w:t>30 </w:t>
      </w:r>
      <w:r>
        <w:rPr>
          <w:spacing w:val="-9"/>
        </w:rPr>
        <w:t>日，在指定媒介公告。基金份</w:t>
      </w:r>
      <w:r>
        <w:rPr>
          <w:spacing w:val="-5"/>
        </w:rPr>
        <w:t>额持有人大会通知应至少载明以下内容：</w:t>
      </w:r>
    </w:p>
    <w:p>
      <w:pPr>
        <w:pStyle w:val="ListParagraph"/>
        <w:numPr>
          <w:ilvl w:val="0"/>
          <w:numId w:val="44"/>
        </w:numPr>
        <w:tabs>
          <w:tab w:pos="1110" w:val="left" w:leader="none"/>
        </w:tabs>
        <w:spacing w:line="240" w:lineRule="auto" w:before="0" w:after="0"/>
        <w:ind w:left="1109" w:right="0" w:hanging="530"/>
        <w:jc w:val="left"/>
        <w:rPr>
          <w:sz w:val="21"/>
        </w:rPr>
      </w:pPr>
      <w:r>
        <w:rPr>
          <w:spacing w:val="-3"/>
          <w:sz w:val="21"/>
        </w:rPr>
        <w:t>会议召开的时间、地点和会议形式；</w:t>
      </w:r>
    </w:p>
    <w:p>
      <w:pPr>
        <w:pStyle w:val="BodyText"/>
        <w:spacing w:before="6"/>
        <w:rPr>
          <w:sz w:val="15"/>
        </w:rPr>
      </w:pPr>
    </w:p>
    <w:p>
      <w:pPr>
        <w:pStyle w:val="ListParagraph"/>
        <w:numPr>
          <w:ilvl w:val="0"/>
          <w:numId w:val="44"/>
        </w:numPr>
        <w:tabs>
          <w:tab w:pos="1110" w:val="left" w:leader="none"/>
        </w:tabs>
        <w:spacing w:line="240" w:lineRule="auto" w:before="0" w:after="0"/>
        <w:ind w:left="1109" w:right="0" w:hanging="530"/>
        <w:jc w:val="left"/>
        <w:rPr>
          <w:sz w:val="21"/>
        </w:rPr>
      </w:pPr>
      <w:r>
        <w:rPr>
          <w:spacing w:val="-3"/>
          <w:sz w:val="21"/>
        </w:rPr>
        <w:t>会议拟审议的事项、议事程序和表决方式；</w:t>
      </w:r>
    </w:p>
    <w:p>
      <w:pPr>
        <w:pStyle w:val="BodyText"/>
        <w:spacing w:before="6"/>
        <w:rPr>
          <w:sz w:val="15"/>
        </w:rPr>
      </w:pPr>
    </w:p>
    <w:p>
      <w:pPr>
        <w:pStyle w:val="ListParagraph"/>
        <w:numPr>
          <w:ilvl w:val="0"/>
          <w:numId w:val="44"/>
        </w:numPr>
        <w:tabs>
          <w:tab w:pos="1110" w:val="left" w:leader="none"/>
        </w:tabs>
        <w:spacing w:line="240" w:lineRule="auto" w:before="1" w:after="0"/>
        <w:ind w:left="1109" w:right="0" w:hanging="530"/>
        <w:jc w:val="left"/>
        <w:rPr>
          <w:sz w:val="21"/>
        </w:rPr>
      </w:pPr>
      <w:r>
        <w:rPr>
          <w:spacing w:val="-3"/>
          <w:sz w:val="21"/>
        </w:rPr>
        <w:t>有权出席基金份额持有人大会的基金份额持有人的权益登记日；</w:t>
      </w:r>
    </w:p>
    <w:p>
      <w:pPr>
        <w:pStyle w:val="BodyText"/>
        <w:spacing w:before="6"/>
        <w:rPr>
          <w:sz w:val="15"/>
        </w:rPr>
      </w:pPr>
    </w:p>
    <w:p>
      <w:pPr>
        <w:pStyle w:val="ListParagraph"/>
        <w:numPr>
          <w:ilvl w:val="0"/>
          <w:numId w:val="44"/>
        </w:numPr>
        <w:tabs>
          <w:tab w:pos="1112" w:val="left" w:leader="none"/>
        </w:tabs>
        <w:spacing w:line="417" w:lineRule="auto" w:before="0" w:after="0"/>
        <w:ind w:left="160" w:right="874" w:firstLine="419"/>
        <w:jc w:val="left"/>
        <w:rPr>
          <w:rFonts w:ascii="Calibri" w:eastAsia="Calibri"/>
          <w:sz w:val="21"/>
        </w:rPr>
      </w:pPr>
      <w:r>
        <w:rPr>
          <w:spacing w:val="-3"/>
          <w:sz w:val="21"/>
        </w:rPr>
        <w:t>授权委托证明的内容要求（包括但不限于代理人身份，代理权限和代理有效期限等</w:t>
      </w:r>
      <w:r>
        <w:rPr>
          <w:spacing w:val="-106"/>
          <w:sz w:val="21"/>
        </w:rPr>
        <w:t>）</w:t>
      </w:r>
      <w:r>
        <w:rPr>
          <w:spacing w:val="-3"/>
          <w:sz w:val="21"/>
        </w:rPr>
        <w:t>、送达时间和地点</w:t>
      </w:r>
      <w:r>
        <w:rPr>
          <w:rFonts w:ascii="Calibri" w:eastAsia="Calibri"/>
          <w:sz w:val="21"/>
        </w:rPr>
        <w:t>;</w:t>
      </w:r>
    </w:p>
    <w:p>
      <w:pPr>
        <w:pStyle w:val="ListParagraph"/>
        <w:numPr>
          <w:ilvl w:val="0"/>
          <w:numId w:val="44"/>
        </w:numPr>
        <w:tabs>
          <w:tab w:pos="1110" w:val="left" w:leader="none"/>
        </w:tabs>
        <w:spacing w:line="269" w:lineRule="exact" w:before="0" w:after="0"/>
        <w:ind w:left="1109" w:right="0" w:hanging="530"/>
        <w:jc w:val="left"/>
        <w:rPr>
          <w:sz w:val="21"/>
        </w:rPr>
      </w:pPr>
      <w:r>
        <w:rPr>
          <w:spacing w:val="-3"/>
          <w:sz w:val="21"/>
        </w:rPr>
        <w:t>会务常设联系人姓名及联系电话；</w:t>
      </w:r>
    </w:p>
    <w:p>
      <w:pPr>
        <w:pStyle w:val="BodyText"/>
        <w:spacing w:before="7"/>
        <w:rPr>
          <w:sz w:val="15"/>
        </w:rPr>
      </w:pPr>
    </w:p>
    <w:p>
      <w:pPr>
        <w:pStyle w:val="ListParagraph"/>
        <w:numPr>
          <w:ilvl w:val="0"/>
          <w:numId w:val="44"/>
        </w:numPr>
        <w:tabs>
          <w:tab w:pos="1110" w:val="left" w:leader="none"/>
        </w:tabs>
        <w:spacing w:line="240" w:lineRule="auto" w:before="1" w:after="0"/>
        <w:ind w:left="1109" w:right="0" w:hanging="530"/>
        <w:jc w:val="left"/>
        <w:rPr>
          <w:sz w:val="21"/>
        </w:rPr>
      </w:pPr>
      <w:r>
        <w:rPr>
          <w:spacing w:val="-3"/>
          <w:sz w:val="21"/>
        </w:rPr>
        <w:t>出席会议者必须准备的文件和必须履行的手续；</w:t>
      </w:r>
    </w:p>
    <w:p>
      <w:pPr>
        <w:pStyle w:val="BodyText"/>
        <w:spacing w:before="6"/>
        <w:rPr>
          <w:sz w:val="15"/>
        </w:rPr>
      </w:pPr>
    </w:p>
    <w:p>
      <w:pPr>
        <w:pStyle w:val="ListParagraph"/>
        <w:numPr>
          <w:ilvl w:val="0"/>
          <w:numId w:val="44"/>
        </w:numPr>
        <w:tabs>
          <w:tab w:pos="1110" w:val="left" w:leader="none"/>
        </w:tabs>
        <w:spacing w:line="240" w:lineRule="auto" w:before="0" w:after="0"/>
        <w:ind w:left="1109" w:right="0" w:hanging="530"/>
        <w:jc w:val="left"/>
        <w:rPr>
          <w:sz w:val="21"/>
        </w:rPr>
      </w:pPr>
      <w:r>
        <w:rPr>
          <w:spacing w:val="-3"/>
          <w:sz w:val="21"/>
        </w:rPr>
        <w:t>召集人需要通知的其他事项。</w:t>
      </w:r>
    </w:p>
    <w:p>
      <w:pPr>
        <w:pStyle w:val="BodyText"/>
        <w:spacing w:before="7"/>
        <w:rPr>
          <w:sz w:val="15"/>
        </w:rPr>
      </w:pPr>
    </w:p>
    <w:p>
      <w:pPr>
        <w:pStyle w:val="BodyText"/>
        <w:spacing w:line="417" w:lineRule="auto"/>
        <w:ind w:left="160" w:right="871" w:firstLine="419"/>
        <w:jc w:val="both"/>
      </w:pPr>
      <w:r>
        <w:rPr>
          <w:rFonts w:ascii="Calibri" w:eastAsia="Calibri"/>
        </w:rPr>
        <w:t>2</w:t>
      </w:r>
      <w:r>
        <w:rPr>
          <w:spacing w:val="-3"/>
        </w:rPr>
        <w:t>、采取通讯开会方式并进行表决的情况下，由会议召集人决定在会议通知中说明本次</w:t>
      </w:r>
      <w:r>
        <w:rPr>
          <w:spacing w:val="-8"/>
        </w:rPr>
        <w:t>基金份额持有人大会所采取的具体通讯方式、委托的公证机关及其联系方式和联系人、书面</w:t>
      </w:r>
      <w:r>
        <w:rPr>
          <w:spacing w:val="-5"/>
        </w:rPr>
        <w:t>表决意见寄交的截止时间和收取方式。</w:t>
      </w:r>
    </w:p>
    <w:p>
      <w:pPr>
        <w:pStyle w:val="BodyText"/>
        <w:spacing w:line="417" w:lineRule="auto"/>
        <w:ind w:left="160" w:right="871" w:firstLine="419"/>
        <w:jc w:val="both"/>
      </w:pPr>
      <w:r>
        <w:rPr>
          <w:rFonts w:ascii="Calibri" w:eastAsia="Calibri"/>
        </w:rPr>
        <w:t>3</w:t>
      </w:r>
      <w:r>
        <w:rPr>
          <w:spacing w:val="-3"/>
        </w:rPr>
        <w:t>、如召集人为基金管理人，还应另行书面通知基金托管人到指定地点对表决意见的计</w:t>
      </w:r>
      <w:r>
        <w:rPr>
          <w:spacing w:val="-12"/>
        </w:rPr>
        <w:t>票进行监督；如召集人为基金托管人，则应另行书面通知基金管理人到指定地点对表决意见的计票进行监督；如召集人为基金份额持有人，则应另行书面通知基金管理人和基金托管人</w:t>
      </w:r>
      <w:r>
        <w:rPr>
          <w:spacing w:val="-11"/>
        </w:rPr>
        <w:t>到指定地点对表决意见的计票进行监督。基金管理人或基金托管人拒不派代表对书面表决意</w:t>
      </w:r>
    </w:p>
    <w:p>
      <w:pPr>
        <w:spacing w:after="0" w:line="417" w:lineRule="auto"/>
        <w:jc w:val="both"/>
        <w:sectPr>
          <w:pgSz w:w="11910" w:h="16840"/>
          <w:pgMar w:header="877" w:footer="995" w:top="1420" w:bottom="1180" w:left="1640" w:right="920"/>
        </w:sectPr>
      </w:pPr>
    </w:p>
    <w:p>
      <w:pPr>
        <w:pStyle w:val="BodyText"/>
        <w:spacing w:line="417" w:lineRule="auto" w:before="110"/>
        <w:ind w:left="580" w:right="4349" w:hanging="420"/>
      </w:pPr>
      <w:r>
        <w:rPr/>
        <w:t>见的计票进行监督的，不影响表决意见的计票效力。四、基金份额持有人出席会议的方式</w:t>
      </w:r>
    </w:p>
    <w:p>
      <w:pPr>
        <w:pStyle w:val="BodyText"/>
        <w:spacing w:line="417" w:lineRule="auto"/>
        <w:ind w:left="160" w:right="871" w:firstLine="419"/>
      </w:pPr>
      <w:r>
        <w:rPr>
          <w:spacing w:val="-8"/>
        </w:rPr>
        <w:t>基金份额持有人大会可通过现场开会方式、通讯开会方式或法律法规和监管机构允许的</w:t>
      </w:r>
      <w:r>
        <w:rPr>
          <w:spacing w:val="-5"/>
        </w:rPr>
        <w:t>其他方式召开，会议的召开方式由会议召集人确定。</w:t>
      </w:r>
    </w:p>
    <w:p>
      <w:pPr>
        <w:pStyle w:val="BodyText"/>
        <w:spacing w:line="417" w:lineRule="auto"/>
        <w:ind w:left="160" w:right="871" w:firstLine="419"/>
        <w:jc w:val="both"/>
      </w:pPr>
      <w:r>
        <w:rPr>
          <w:rFonts w:ascii="Calibri" w:eastAsia="Calibri"/>
        </w:rPr>
        <w:t>1</w:t>
      </w:r>
      <w:r>
        <w:rPr>
          <w:spacing w:val="-3"/>
        </w:rPr>
        <w:t>、现场开会。由基金份额持有人本人出席或以代理投票授权委托证明委派代表出席， </w:t>
      </w:r>
      <w:r>
        <w:rPr>
          <w:spacing w:val="-6"/>
        </w:rPr>
        <w:t>现场开会时基金管理人和基金托管人的授权代表应当列席基金份额持有人大会，基金管理人</w:t>
      </w:r>
      <w:r>
        <w:rPr>
          <w:spacing w:val="-10"/>
        </w:rPr>
        <w:t>或托管人不派代表列席的，不影响表决效力。现场开会同时符合以下条件时，可以进行基金</w:t>
      </w:r>
      <w:r>
        <w:rPr>
          <w:spacing w:val="-5"/>
        </w:rPr>
        <w:t>份额持有人大会议程：</w:t>
      </w:r>
    </w:p>
    <w:p>
      <w:pPr>
        <w:pStyle w:val="ListParagraph"/>
        <w:numPr>
          <w:ilvl w:val="0"/>
          <w:numId w:val="45"/>
        </w:numPr>
        <w:tabs>
          <w:tab w:pos="1112" w:val="left" w:leader="none"/>
        </w:tabs>
        <w:spacing w:line="417" w:lineRule="auto" w:before="0" w:after="0"/>
        <w:ind w:left="160" w:right="871" w:firstLine="419"/>
        <w:jc w:val="both"/>
        <w:rPr>
          <w:sz w:val="21"/>
        </w:rPr>
      </w:pPr>
      <w:r>
        <w:rPr>
          <w:spacing w:val="-3"/>
          <w:sz w:val="21"/>
        </w:rPr>
        <w:t>亲自出席会议者持有基金份额的凭证、受托出席会议者出具的委托人持有基金份额的凭证及委托人的代理投票授权委托证明符合法律法规</w:t>
      </w:r>
      <w:r>
        <w:rPr>
          <w:spacing w:val="-24"/>
          <w:sz w:val="21"/>
        </w:rPr>
        <w:t>、《基金合同》和会议通知的规定， </w:t>
      </w:r>
      <w:r>
        <w:rPr>
          <w:spacing w:val="-8"/>
          <w:sz w:val="21"/>
        </w:rPr>
        <w:t>并且持有基金份额的凭证与基金管理人持有的登记资料相符；</w:t>
      </w:r>
    </w:p>
    <w:p>
      <w:pPr>
        <w:pStyle w:val="ListParagraph"/>
        <w:numPr>
          <w:ilvl w:val="0"/>
          <w:numId w:val="45"/>
        </w:numPr>
        <w:tabs>
          <w:tab w:pos="1112" w:val="left" w:leader="none"/>
        </w:tabs>
        <w:spacing w:line="417" w:lineRule="auto" w:before="0" w:after="0"/>
        <w:ind w:left="160" w:right="873" w:firstLine="419"/>
        <w:jc w:val="both"/>
        <w:rPr>
          <w:sz w:val="21"/>
        </w:rPr>
      </w:pPr>
      <w:r>
        <w:rPr>
          <w:spacing w:val="-3"/>
          <w:sz w:val="21"/>
        </w:rPr>
        <w:t>经核对，汇总到会者出示的在权益登记日持有基金份额的凭证显示，有效的基金</w:t>
      </w:r>
      <w:r>
        <w:rPr>
          <w:spacing w:val="-3"/>
          <w:w w:val="100"/>
          <w:sz w:val="21"/>
        </w:rPr>
        <w:t>份额不少于本基金在权益登记日基金总份额的</w:t>
      </w:r>
      <w:r>
        <w:rPr>
          <w:spacing w:val="-53"/>
          <w:sz w:val="21"/>
        </w:rPr>
        <w:t> </w:t>
      </w:r>
      <w:r>
        <w:rPr>
          <w:rFonts w:ascii="Calibri" w:eastAsia="Calibri"/>
          <w:w w:val="100"/>
          <w:sz w:val="21"/>
        </w:rPr>
        <w:t>1</w:t>
      </w:r>
      <w:r>
        <w:rPr>
          <w:rFonts w:ascii="Calibri" w:eastAsia="Calibri"/>
          <w:spacing w:val="-3"/>
          <w:w w:val="100"/>
          <w:sz w:val="21"/>
        </w:rPr>
        <w:t>/</w:t>
      </w:r>
      <w:r>
        <w:rPr>
          <w:rFonts w:ascii="Calibri" w:eastAsia="Calibri"/>
          <w:spacing w:val="-1"/>
          <w:w w:val="100"/>
          <w:sz w:val="21"/>
        </w:rPr>
        <w:t>2</w:t>
      </w:r>
      <w:r>
        <w:rPr>
          <w:spacing w:val="-3"/>
          <w:w w:val="100"/>
          <w:sz w:val="21"/>
        </w:rPr>
        <w:t>（</w:t>
      </w:r>
      <w:r>
        <w:rPr>
          <w:w w:val="100"/>
          <w:sz w:val="21"/>
        </w:rPr>
        <w:t>含</w:t>
      </w:r>
      <w:r>
        <w:rPr>
          <w:spacing w:val="-53"/>
          <w:sz w:val="21"/>
        </w:rPr>
        <w:t> </w:t>
      </w:r>
      <w:r>
        <w:rPr>
          <w:rFonts w:ascii="Calibri" w:eastAsia="Calibri"/>
          <w:w w:val="100"/>
          <w:sz w:val="21"/>
        </w:rPr>
        <w:t>1</w:t>
      </w:r>
      <w:r>
        <w:rPr>
          <w:rFonts w:ascii="Calibri" w:eastAsia="Calibri"/>
          <w:spacing w:val="-3"/>
          <w:w w:val="100"/>
          <w:sz w:val="21"/>
        </w:rPr>
        <w:t>/</w:t>
      </w:r>
      <w:r>
        <w:rPr>
          <w:rFonts w:ascii="Calibri" w:eastAsia="Calibri"/>
          <w:spacing w:val="1"/>
          <w:w w:val="100"/>
          <w:sz w:val="21"/>
        </w:rPr>
        <w:t>2</w:t>
      </w:r>
      <w:r>
        <w:rPr>
          <w:spacing w:val="-108"/>
          <w:w w:val="100"/>
          <w:sz w:val="21"/>
        </w:rPr>
        <w:t>）。</w:t>
      </w:r>
    </w:p>
    <w:p>
      <w:pPr>
        <w:pStyle w:val="BodyText"/>
        <w:spacing w:line="417" w:lineRule="auto"/>
        <w:ind w:left="160" w:right="871" w:firstLine="419"/>
        <w:jc w:val="both"/>
      </w:pPr>
      <w:r>
        <w:rPr>
          <w:spacing w:val="-6"/>
        </w:rPr>
        <w:t>参加基金份额持有人大会的基金份额持有人的基金份额低于上述规定比例的，召集人可</w:t>
      </w:r>
      <w:r>
        <w:rPr>
          <w:spacing w:val="-8"/>
        </w:rPr>
        <w:t>以在原公告的基金份额持有人大会召开时间的三个月以后、六个月以内，就原定审议事项重新召集基金份额持有人大会。重新召集的基金份额持有人大会，应当有代表 </w:t>
      </w:r>
      <w:r>
        <w:rPr>
          <w:rFonts w:ascii="Calibri" w:eastAsia="Calibri"/>
        </w:rPr>
        <w:t>1/3 </w:t>
      </w:r>
      <w:r>
        <w:rPr/>
        <w:t>以上（</w:t>
      </w:r>
      <w:r>
        <w:rPr>
          <w:spacing w:val="-13"/>
        </w:rPr>
        <w:t>含</w:t>
      </w:r>
      <w:r>
        <w:rPr>
          <w:rFonts w:ascii="Calibri" w:eastAsia="Calibri"/>
        </w:rPr>
        <w:t>1/3</w:t>
      </w:r>
      <w:r>
        <w:rPr/>
        <w:t>）</w:t>
      </w:r>
      <w:r>
        <w:rPr>
          <w:spacing w:val="-3"/>
        </w:rPr>
        <w:t>基金份额的基金份额持有人或其代理人参加，方可召开。</w:t>
      </w:r>
    </w:p>
    <w:p>
      <w:pPr>
        <w:pStyle w:val="BodyText"/>
        <w:spacing w:line="417" w:lineRule="auto"/>
        <w:ind w:left="160" w:right="874" w:firstLine="419"/>
      </w:pPr>
      <w:r>
        <w:rPr>
          <w:rFonts w:ascii="Calibri" w:eastAsia="Calibri"/>
        </w:rPr>
        <w:t>2</w:t>
      </w:r>
      <w:r>
        <w:rPr/>
        <w:t>、通讯开会。通讯开会系指基金份额持有人将其对表决事项的投票以书面形式在表决截至日以前送达至召集人指定的地址。通讯开会应以书面方式进行表决。</w:t>
      </w:r>
    </w:p>
    <w:p>
      <w:pPr>
        <w:pStyle w:val="BodyText"/>
        <w:spacing w:line="269" w:lineRule="exact"/>
        <w:ind w:left="580"/>
      </w:pPr>
      <w:r>
        <w:rPr/>
        <w:t>在同时符合以下条件时，通讯开会的方式视为有效：</w:t>
      </w:r>
    </w:p>
    <w:p>
      <w:pPr>
        <w:pStyle w:val="BodyText"/>
        <w:spacing w:before="4"/>
        <w:rPr>
          <w:sz w:val="15"/>
        </w:rPr>
      </w:pPr>
    </w:p>
    <w:p>
      <w:pPr>
        <w:pStyle w:val="ListParagraph"/>
        <w:numPr>
          <w:ilvl w:val="0"/>
          <w:numId w:val="46"/>
        </w:numPr>
        <w:tabs>
          <w:tab w:pos="1110" w:val="left" w:leader="none"/>
        </w:tabs>
        <w:spacing w:line="417" w:lineRule="auto" w:before="1" w:after="0"/>
        <w:ind w:left="160" w:right="871" w:firstLine="419"/>
        <w:jc w:val="both"/>
        <w:rPr>
          <w:sz w:val="21"/>
        </w:rPr>
      </w:pPr>
      <w:r>
        <w:rPr>
          <w:spacing w:val="-5"/>
          <w:sz w:val="21"/>
        </w:rPr>
        <w:t>会议召集人按《基金合同》约定公布会议通知后，在 </w:t>
      </w:r>
      <w:r>
        <w:rPr>
          <w:rFonts w:ascii="Calibri" w:eastAsia="Calibri"/>
          <w:sz w:val="21"/>
        </w:rPr>
        <w:t>2</w:t>
      </w:r>
      <w:r>
        <w:rPr>
          <w:rFonts w:ascii="Calibri" w:eastAsia="Calibri"/>
          <w:spacing w:val="30"/>
          <w:sz w:val="21"/>
        </w:rPr>
        <w:t> </w:t>
      </w:r>
      <w:r>
        <w:rPr>
          <w:spacing w:val="-3"/>
          <w:sz w:val="21"/>
        </w:rPr>
        <w:t>个工作日内连续公布相关提示性公告；</w:t>
      </w:r>
    </w:p>
    <w:p>
      <w:pPr>
        <w:pStyle w:val="ListParagraph"/>
        <w:numPr>
          <w:ilvl w:val="0"/>
          <w:numId w:val="46"/>
        </w:numPr>
        <w:tabs>
          <w:tab w:pos="1112" w:val="left" w:leader="none"/>
        </w:tabs>
        <w:spacing w:line="417" w:lineRule="auto" w:before="0" w:after="0"/>
        <w:ind w:left="160" w:right="871" w:firstLine="419"/>
        <w:jc w:val="both"/>
        <w:rPr>
          <w:sz w:val="21"/>
        </w:rPr>
      </w:pPr>
      <w:r>
        <w:rPr>
          <w:spacing w:val="-3"/>
          <w:sz w:val="21"/>
        </w:rPr>
        <w:t>召集人按基金合同约定通知基金托管人（如果基金托管人为召集人，则为基金管理人</w:t>
      </w:r>
      <w:r>
        <w:rPr>
          <w:spacing w:val="-32"/>
          <w:sz w:val="21"/>
        </w:rPr>
        <w:t>）</w:t>
      </w:r>
      <w:r>
        <w:rPr>
          <w:spacing w:val="-6"/>
          <w:sz w:val="21"/>
        </w:rPr>
        <w:t>到指定地点对书面表决意见的计票进行监督。会议召集人在基金托管人</w:t>
      </w:r>
      <w:r>
        <w:rPr>
          <w:spacing w:val="-3"/>
          <w:sz w:val="21"/>
        </w:rPr>
        <w:t>（如果基金托</w:t>
      </w:r>
      <w:r>
        <w:rPr>
          <w:spacing w:val="-9"/>
          <w:sz w:val="21"/>
        </w:rPr>
        <w:t>管人为召集人，则为基金管理人</w:t>
      </w:r>
      <w:r>
        <w:rPr>
          <w:spacing w:val="-48"/>
          <w:sz w:val="21"/>
        </w:rPr>
        <w:t>）</w:t>
      </w:r>
      <w:r>
        <w:rPr>
          <w:spacing w:val="-3"/>
          <w:sz w:val="21"/>
        </w:rPr>
        <w:t>和公证机关的监督下按照会议通知规定的方式收取基金份</w:t>
      </w:r>
      <w:r>
        <w:rPr>
          <w:spacing w:val="-9"/>
          <w:sz w:val="21"/>
        </w:rPr>
        <w:t>额持有人的书面表决意见；基金托管人或基金管理人经通知不参加收取书面表决意见的，不</w:t>
      </w:r>
      <w:r>
        <w:rPr>
          <w:spacing w:val="-5"/>
          <w:sz w:val="21"/>
        </w:rPr>
        <w:t>影响表决效力；</w:t>
      </w:r>
    </w:p>
    <w:p>
      <w:pPr>
        <w:pStyle w:val="ListParagraph"/>
        <w:numPr>
          <w:ilvl w:val="0"/>
          <w:numId w:val="46"/>
        </w:numPr>
        <w:tabs>
          <w:tab w:pos="1163" w:val="left" w:leader="none"/>
        </w:tabs>
        <w:spacing w:line="417" w:lineRule="auto" w:before="0" w:after="0"/>
        <w:ind w:left="160" w:right="871" w:firstLine="472"/>
        <w:jc w:val="both"/>
        <w:rPr>
          <w:sz w:val="21"/>
        </w:rPr>
      </w:pPr>
      <w:r>
        <w:rPr>
          <w:spacing w:val="-4"/>
          <w:sz w:val="21"/>
        </w:rPr>
        <w:t>本人直接出具书面意见或授权他人代表出具书面意见的，基金份额持有人所持</w:t>
      </w:r>
      <w:r>
        <w:rPr>
          <w:w w:val="100"/>
          <w:sz w:val="21"/>
        </w:rPr>
        <w:t>有</w:t>
      </w:r>
      <w:r>
        <w:rPr>
          <w:spacing w:val="-3"/>
          <w:w w:val="100"/>
          <w:sz w:val="21"/>
        </w:rPr>
        <w:t>的基金份额不小于在权益登记日基金总份额的</w:t>
      </w:r>
      <w:r>
        <w:rPr>
          <w:spacing w:val="-53"/>
          <w:sz w:val="21"/>
        </w:rPr>
        <w:t> </w:t>
      </w:r>
      <w:r>
        <w:rPr>
          <w:rFonts w:ascii="Calibri" w:eastAsia="Calibri"/>
          <w:w w:val="100"/>
          <w:sz w:val="21"/>
        </w:rPr>
        <w:t>1</w:t>
      </w:r>
      <w:r>
        <w:rPr>
          <w:rFonts w:ascii="Calibri" w:eastAsia="Calibri"/>
          <w:spacing w:val="-3"/>
          <w:w w:val="100"/>
          <w:sz w:val="21"/>
        </w:rPr>
        <w:t>/</w:t>
      </w:r>
      <w:r>
        <w:rPr>
          <w:rFonts w:ascii="Calibri" w:eastAsia="Calibri"/>
          <w:spacing w:val="-1"/>
          <w:w w:val="100"/>
          <w:sz w:val="21"/>
        </w:rPr>
        <w:t>2</w:t>
      </w:r>
      <w:r>
        <w:rPr>
          <w:spacing w:val="-3"/>
          <w:w w:val="100"/>
          <w:sz w:val="21"/>
        </w:rPr>
        <w:t>（</w:t>
      </w:r>
      <w:r>
        <w:rPr>
          <w:w w:val="100"/>
          <w:sz w:val="21"/>
        </w:rPr>
        <w:t>含</w:t>
      </w:r>
      <w:r>
        <w:rPr>
          <w:spacing w:val="-53"/>
          <w:sz w:val="21"/>
        </w:rPr>
        <w:t> </w:t>
      </w:r>
      <w:r>
        <w:rPr>
          <w:rFonts w:ascii="Calibri" w:eastAsia="Calibri"/>
          <w:w w:val="100"/>
          <w:sz w:val="21"/>
        </w:rPr>
        <w:t>1</w:t>
      </w:r>
      <w:r>
        <w:rPr>
          <w:rFonts w:ascii="Calibri" w:eastAsia="Calibri"/>
          <w:spacing w:val="-3"/>
          <w:w w:val="100"/>
          <w:sz w:val="21"/>
        </w:rPr>
        <w:t>/</w:t>
      </w:r>
      <w:r>
        <w:rPr>
          <w:rFonts w:ascii="Calibri" w:eastAsia="Calibri"/>
          <w:spacing w:val="1"/>
          <w:w w:val="100"/>
          <w:sz w:val="21"/>
        </w:rPr>
        <w:t>2</w:t>
      </w:r>
      <w:r>
        <w:rPr>
          <w:spacing w:val="-108"/>
          <w:w w:val="100"/>
          <w:sz w:val="21"/>
        </w:rPr>
        <w:t>）；</w:t>
      </w:r>
    </w:p>
    <w:p>
      <w:pPr>
        <w:pStyle w:val="BodyText"/>
        <w:ind w:left="580"/>
      </w:pPr>
      <w:r>
        <w:rPr/>
        <w:t>参加基金份额持有人大会的基金份额持有人的基金份额低于上述规定比例的，召集人可</w:t>
      </w:r>
    </w:p>
    <w:p>
      <w:pPr>
        <w:spacing w:after="0"/>
        <w:sectPr>
          <w:pgSz w:w="11910" w:h="16840"/>
          <w:pgMar w:header="877" w:footer="995" w:top="1420" w:bottom="1180" w:left="1640" w:right="920"/>
        </w:sectPr>
      </w:pPr>
    </w:p>
    <w:p>
      <w:pPr>
        <w:pStyle w:val="BodyText"/>
        <w:spacing w:line="417" w:lineRule="auto" w:before="110"/>
        <w:ind w:left="160" w:right="871"/>
        <w:jc w:val="both"/>
      </w:pPr>
      <w:r>
        <w:rPr>
          <w:spacing w:val="-7"/>
        </w:rPr>
        <w:t>以在原公告的基金份额持有人大会召开时间的三个月以后、六个月以内，就原定审议事项重新召集基金份额持有人大会。重新召集的基金份额持有人大会，应当有代表 </w:t>
      </w:r>
      <w:r>
        <w:rPr>
          <w:rFonts w:ascii="Calibri" w:eastAsia="Calibri"/>
        </w:rPr>
        <w:t>1/3 </w:t>
      </w:r>
      <w:r>
        <w:rPr/>
        <w:t>以上（</w:t>
      </w:r>
      <w:r>
        <w:rPr>
          <w:spacing w:val="-13"/>
        </w:rPr>
        <w:t>含</w:t>
      </w:r>
      <w:r>
        <w:rPr>
          <w:rFonts w:ascii="Calibri" w:eastAsia="Calibri"/>
        </w:rPr>
        <w:t>1/3</w:t>
      </w:r>
      <w:r>
        <w:rPr/>
        <w:t>）</w:t>
      </w:r>
      <w:r>
        <w:rPr>
          <w:spacing w:val="-3"/>
        </w:rPr>
        <w:t>基金份额的基金份额持有人或其代理人参加，方可召开。</w:t>
      </w:r>
    </w:p>
    <w:p>
      <w:pPr>
        <w:pStyle w:val="ListParagraph"/>
        <w:numPr>
          <w:ilvl w:val="0"/>
          <w:numId w:val="46"/>
        </w:numPr>
        <w:tabs>
          <w:tab w:pos="1110" w:val="left" w:leader="none"/>
        </w:tabs>
        <w:spacing w:line="417" w:lineRule="auto" w:before="0" w:after="0"/>
        <w:ind w:left="160" w:right="871" w:firstLine="419"/>
        <w:jc w:val="both"/>
        <w:rPr>
          <w:sz w:val="21"/>
        </w:rPr>
      </w:pPr>
      <w:r>
        <w:rPr>
          <w:spacing w:val="-13"/>
          <w:sz w:val="21"/>
        </w:rPr>
        <w:t>上述第（</w:t>
      </w:r>
      <w:r>
        <w:rPr>
          <w:rFonts w:ascii="Calibri" w:eastAsia="Calibri"/>
          <w:spacing w:val="-13"/>
          <w:sz w:val="21"/>
        </w:rPr>
        <w:t>3</w:t>
      </w:r>
      <w:r>
        <w:rPr>
          <w:spacing w:val="-13"/>
          <w:sz w:val="21"/>
        </w:rPr>
        <w:t>）</w:t>
      </w:r>
      <w:r>
        <w:rPr>
          <w:spacing w:val="-3"/>
          <w:sz w:val="21"/>
        </w:rPr>
        <w:t>项中直接出具书面意见的基金份额持有人或受托代表他人出具书面 </w:t>
      </w:r>
      <w:r>
        <w:rPr>
          <w:spacing w:val="-10"/>
          <w:sz w:val="21"/>
        </w:rPr>
        <w:t>意见的代理人，同时提交的持有基金份额的凭证、受托出具书面意见的代理人出具的委托人</w:t>
      </w:r>
      <w:r>
        <w:rPr>
          <w:spacing w:val="-11"/>
          <w:sz w:val="21"/>
        </w:rPr>
        <w:t>持有基金份额的凭证及委托人的代理投票授权委托证明符合法律法规、《基金合同》和会议</w:t>
      </w:r>
      <w:r>
        <w:rPr>
          <w:spacing w:val="-7"/>
          <w:sz w:val="21"/>
        </w:rPr>
        <w:t>通知的规定，并与基金登记机构记录相符；</w:t>
      </w:r>
    </w:p>
    <w:p>
      <w:pPr>
        <w:pStyle w:val="BodyText"/>
        <w:spacing w:line="417" w:lineRule="auto"/>
        <w:ind w:left="160" w:right="871" w:firstLine="419"/>
        <w:jc w:val="both"/>
      </w:pPr>
      <w:r>
        <w:rPr>
          <w:rFonts w:ascii="Calibri" w:eastAsia="Calibri"/>
        </w:rPr>
        <w:t>3</w:t>
      </w:r>
      <w:r>
        <w:rPr>
          <w:spacing w:val="-3"/>
        </w:rPr>
        <w:t>、在法律法规或监管机构允许的情况下，经会议通知载明，基金份额持有人也可以采</w:t>
      </w:r>
      <w:r>
        <w:rPr>
          <w:spacing w:val="-10"/>
        </w:rPr>
        <w:t>用网络、电话或其他方式进行表决，或者采用网络、电话或其他方式授权他人代为出席会议</w:t>
      </w:r>
      <w:r>
        <w:rPr>
          <w:spacing w:val="-6"/>
        </w:rPr>
        <w:t>并表决。</w:t>
      </w:r>
    </w:p>
    <w:p>
      <w:pPr>
        <w:pStyle w:val="BodyText"/>
        <w:spacing w:line="417" w:lineRule="auto"/>
        <w:ind w:left="160" w:right="874" w:firstLine="419"/>
      </w:pPr>
      <w:r>
        <w:rPr>
          <w:rFonts w:ascii="Calibri" w:eastAsia="Calibri"/>
        </w:rPr>
        <w:t>4</w:t>
      </w:r>
      <w:r>
        <w:rPr/>
        <w:t>、基金份额持有人授权他人代为出席会议并表决的，授权方式可以采用书面、网络、电话、短信或其他方式，具体方式在会议通知中列明。</w:t>
      </w:r>
    </w:p>
    <w:p>
      <w:pPr>
        <w:pStyle w:val="BodyText"/>
        <w:spacing w:line="269" w:lineRule="exact"/>
        <w:ind w:left="580"/>
      </w:pPr>
      <w:r>
        <w:rPr/>
        <w:t>五、议事内容与程序</w:t>
      </w:r>
    </w:p>
    <w:p>
      <w:pPr>
        <w:pStyle w:val="BodyText"/>
        <w:spacing w:before="5"/>
        <w:rPr>
          <w:sz w:val="15"/>
        </w:rPr>
      </w:pPr>
    </w:p>
    <w:p>
      <w:pPr>
        <w:pStyle w:val="BodyText"/>
        <w:ind w:left="580"/>
      </w:pPr>
      <w:r>
        <w:rPr>
          <w:rFonts w:ascii="Calibri" w:eastAsia="Calibri"/>
        </w:rPr>
        <w:t>1</w:t>
      </w:r>
      <w:r>
        <w:rPr/>
        <w:t>、议事内容及提案权</w:t>
      </w:r>
    </w:p>
    <w:p>
      <w:pPr>
        <w:pStyle w:val="BodyText"/>
        <w:spacing w:before="7"/>
        <w:rPr>
          <w:sz w:val="15"/>
        </w:rPr>
      </w:pPr>
    </w:p>
    <w:p>
      <w:pPr>
        <w:pStyle w:val="BodyText"/>
        <w:spacing w:line="417" w:lineRule="auto" w:before="1"/>
        <w:ind w:left="160" w:right="871" w:firstLine="419"/>
        <w:jc w:val="both"/>
      </w:pPr>
      <w:r>
        <w:rPr>
          <w:spacing w:val="-8"/>
        </w:rPr>
        <w:t>议事内容为关系基金份额持有人利益的重大事项，如《基金合同》的重大修改、决定终</w:t>
      </w:r>
      <w:r>
        <w:rPr>
          <w:spacing w:val="-13"/>
        </w:rPr>
        <w:t>止《基金合同》、更换基金管理人、更换基金托管人、与其他基金合并</w:t>
      </w:r>
      <w:r>
        <w:rPr>
          <w:spacing w:val="-3"/>
        </w:rPr>
        <w:t>（法律法规、基金合同和中国证监会另有规定的除外</w:t>
      </w:r>
      <w:r>
        <w:rPr>
          <w:spacing w:val="-108"/>
        </w:rPr>
        <w:t>）</w:t>
      </w:r>
      <w:r>
        <w:rPr>
          <w:spacing w:val="-3"/>
        </w:rPr>
        <w:t>、法律法规及《基金合同》规定的其他事项以及会议召集人认为需提交基金份额持有人大会讨论的其他事项。</w:t>
      </w:r>
    </w:p>
    <w:p>
      <w:pPr>
        <w:pStyle w:val="BodyText"/>
        <w:spacing w:line="417" w:lineRule="auto"/>
        <w:ind w:left="160" w:right="871" w:firstLine="419"/>
      </w:pPr>
      <w:r>
        <w:rPr>
          <w:spacing w:val="-7"/>
        </w:rPr>
        <w:t>基金份额持有人大会的召集人发出召集会议的通知后，对原有提案的修改应当在基金份</w:t>
      </w:r>
      <w:r>
        <w:rPr>
          <w:spacing w:val="-5"/>
        </w:rPr>
        <w:t>额持有人大会召开前及时公告。</w:t>
      </w:r>
    </w:p>
    <w:p>
      <w:pPr>
        <w:pStyle w:val="BodyText"/>
        <w:spacing w:line="269" w:lineRule="exact"/>
        <w:ind w:left="580"/>
      </w:pPr>
      <w:r>
        <w:rPr/>
        <w:t>基金份额持有人大会不得对未事先公告的议事内容进行表决。</w:t>
      </w:r>
    </w:p>
    <w:p>
      <w:pPr>
        <w:pStyle w:val="BodyText"/>
        <w:spacing w:before="6"/>
        <w:rPr>
          <w:sz w:val="15"/>
        </w:rPr>
      </w:pPr>
    </w:p>
    <w:p>
      <w:pPr>
        <w:pStyle w:val="BodyText"/>
        <w:ind w:left="580"/>
      </w:pPr>
      <w:r>
        <w:rPr>
          <w:rFonts w:ascii="Calibri" w:eastAsia="Calibri"/>
        </w:rPr>
        <w:t>2</w:t>
      </w:r>
      <w:r>
        <w:rPr/>
        <w:t>、议事程序</w:t>
      </w:r>
    </w:p>
    <w:p>
      <w:pPr>
        <w:pStyle w:val="BodyText"/>
        <w:spacing w:before="7"/>
        <w:rPr>
          <w:sz w:val="15"/>
        </w:rPr>
      </w:pPr>
    </w:p>
    <w:p>
      <w:pPr>
        <w:pStyle w:val="ListParagraph"/>
        <w:numPr>
          <w:ilvl w:val="0"/>
          <w:numId w:val="47"/>
        </w:numPr>
        <w:tabs>
          <w:tab w:pos="1110" w:val="left" w:leader="none"/>
        </w:tabs>
        <w:spacing w:line="240" w:lineRule="auto" w:before="0" w:after="0"/>
        <w:ind w:left="1109" w:right="0" w:hanging="530"/>
        <w:jc w:val="left"/>
        <w:rPr>
          <w:sz w:val="21"/>
        </w:rPr>
      </w:pPr>
      <w:r>
        <w:rPr>
          <w:spacing w:val="-3"/>
          <w:sz w:val="21"/>
        </w:rPr>
        <w:t>现场开会</w:t>
      </w:r>
    </w:p>
    <w:p>
      <w:pPr>
        <w:pStyle w:val="BodyText"/>
        <w:spacing w:before="6"/>
        <w:rPr>
          <w:sz w:val="15"/>
        </w:rPr>
      </w:pPr>
    </w:p>
    <w:p>
      <w:pPr>
        <w:pStyle w:val="BodyText"/>
        <w:spacing w:line="417" w:lineRule="auto" w:before="1"/>
        <w:ind w:left="160" w:right="768" w:firstLine="419"/>
      </w:pPr>
      <w:r>
        <w:rPr>
          <w:spacing w:val="-3"/>
        </w:rPr>
        <w:t>在现场开会的方式下，首先由大会主持人按照下列第七条规定程序确定和公布监票人， </w:t>
      </w:r>
      <w:r>
        <w:rPr>
          <w:spacing w:val="-9"/>
        </w:rPr>
        <w:t>然后由大会主持人宣读提案，经讨论后进行表决，并形成大会决议。大会主持人为基金管理</w:t>
      </w:r>
      <w:r>
        <w:rPr>
          <w:spacing w:val="-12"/>
        </w:rPr>
        <w:t>人授权出席会议的代表，在基金管理人授权代表未能主持大会的情况下，由基金托管人授权</w:t>
      </w:r>
      <w:r>
        <w:rPr>
          <w:spacing w:val="-6"/>
        </w:rPr>
        <w:t>其出席会议的代表主持；如果基金管理人授权代表和基金托管人授权代表均未能主持大会， 则由出席大会的基金份额持有人和代理人所持表决权的 </w:t>
      </w:r>
      <w:r>
        <w:rPr>
          <w:rFonts w:ascii="Calibri" w:eastAsia="Calibri"/>
        </w:rPr>
        <w:t>50%</w:t>
      </w:r>
      <w:r>
        <w:rPr>
          <w:spacing w:val="-24"/>
        </w:rPr>
        <w:t>以上</w:t>
      </w:r>
      <w:r>
        <w:rPr>
          <w:spacing w:val="-3"/>
        </w:rPr>
        <w:t>（</w:t>
      </w:r>
      <w:r>
        <w:rPr>
          <w:spacing w:val="-21"/>
        </w:rPr>
        <w:t>含 </w:t>
      </w:r>
      <w:r>
        <w:rPr>
          <w:rFonts w:ascii="Calibri" w:eastAsia="Calibri"/>
          <w:spacing w:val="-13"/>
        </w:rPr>
        <w:t>50%</w:t>
      </w:r>
      <w:r>
        <w:rPr>
          <w:spacing w:val="-13"/>
        </w:rPr>
        <w:t>）</w:t>
      </w:r>
      <w:r>
        <w:rPr>
          <w:spacing w:val="-3"/>
        </w:rPr>
        <w:t>选举产生一名基</w:t>
      </w:r>
      <w:r>
        <w:rPr>
          <w:spacing w:val="-7"/>
        </w:rPr>
        <w:t>金份额持有人作为该次基金份额持有人大会的主持人。基金管理人和基金托管人拒不出席或</w:t>
      </w:r>
      <w:r>
        <w:rPr>
          <w:spacing w:val="-5"/>
        </w:rPr>
        <w:t>主持基金份额持有人大会，不影响基金份额持有人大会作出的决议的效力。</w:t>
      </w:r>
    </w:p>
    <w:p>
      <w:pPr>
        <w:spacing w:after="0" w:line="417" w:lineRule="auto"/>
        <w:sectPr>
          <w:pgSz w:w="11910" w:h="16840"/>
          <w:pgMar w:header="877" w:footer="995" w:top="1420" w:bottom="1180" w:left="1640" w:right="920"/>
        </w:sectPr>
      </w:pPr>
    </w:p>
    <w:p>
      <w:pPr>
        <w:pStyle w:val="BodyText"/>
        <w:spacing w:line="417" w:lineRule="auto" w:before="110"/>
        <w:ind w:left="160" w:right="871" w:firstLine="419"/>
        <w:jc w:val="both"/>
      </w:pPr>
      <w:r>
        <w:rPr>
          <w:spacing w:val="-8"/>
        </w:rPr>
        <w:t>会议召集人应当制作出席会议人员的签名册。签名册载明参加会议人员姓名</w:t>
      </w:r>
      <w:r>
        <w:rPr/>
        <w:t>（</w:t>
      </w:r>
      <w:r>
        <w:rPr>
          <w:spacing w:val="-2"/>
        </w:rPr>
        <w:t>或单位名称</w:t>
      </w:r>
      <w:r>
        <w:rPr>
          <w:spacing w:val="-106"/>
        </w:rPr>
        <w:t>）</w:t>
      </w:r>
      <w:r>
        <w:rPr>
          <w:spacing w:val="-3"/>
        </w:rPr>
        <w:t>、身份证明文件号码、持有或代表有表决权的基金份额、委托人姓名</w:t>
      </w:r>
      <w:r>
        <w:rPr/>
        <w:t>（</w:t>
      </w:r>
      <w:r>
        <w:rPr>
          <w:spacing w:val="-3"/>
        </w:rPr>
        <w:t>或单位名称</w:t>
      </w:r>
      <w:r>
        <w:rPr/>
        <w:t>）和</w:t>
      </w:r>
      <w:r>
        <w:rPr>
          <w:spacing w:val="-3"/>
        </w:rPr>
        <w:t>联系方式等事项。</w:t>
      </w:r>
    </w:p>
    <w:p>
      <w:pPr>
        <w:pStyle w:val="ListParagraph"/>
        <w:numPr>
          <w:ilvl w:val="0"/>
          <w:numId w:val="47"/>
        </w:numPr>
        <w:tabs>
          <w:tab w:pos="1110" w:val="left" w:leader="none"/>
        </w:tabs>
        <w:spacing w:line="269" w:lineRule="exact" w:before="0" w:after="0"/>
        <w:ind w:left="1109" w:right="0" w:hanging="530"/>
        <w:jc w:val="left"/>
        <w:rPr>
          <w:sz w:val="21"/>
        </w:rPr>
      </w:pPr>
      <w:r>
        <w:rPr>
          <w:spacing w:val="-3"/>
          <w:sz w:val="21"/>
        </w:rPr>
        <w:t>通讯开会</w:t>
      </w:r>
    </w:p>
    <w:p>
      <w:pPr>
        <w:pStyle w:val="BodyText"/>
        <w:spacing w:before="6"/>
        <w:rPr>
          <w:sz w:val="15"/>
        </w:rPr>
      </w:pPr>
    </w:p>
    <w:p>
      <w:pPr>
        <w:pStyle w:val="BodyText"/>
        <w:ind w:left="580"/>
      </w:pPr>
      <w:r>
        <w:rPr/>
        <w:t>在通讯开会的情况下，首先由召集人提前 </w:t>
      </w:r>
      <w:r>
        <w:rPr>
          <w:rFonts w:ascii="Calibri" w:eastAsia="Calibri"/>
        </w:rPr>
        <w:t>30 </w:t>
      </w:r>
      <w:r>
        <w:rPr/>
        <w:t>日公布提案，在所通知的表决截止日期后</w:t>
      </w:r>
    </w:p>
    <w:p>
      <w:pPr>
        <w:pStyle w:val="BodyText"/>
        <w:spacing w:before="7"/>
        <w:rPr>
          <w:sz w:val="15"/>
        </w:rPr>
      </w:pPr>
    </w:p>
    <w:p>
      <w:pPr>
        <w:pStyle w:val="BodyText"/>
        <w:spacing w:line="417" w:lineRule="auto"/>
        <w:ind w:left="580" w:right="775" w:hanging="420"/>
      </w:pPr>
      <w:r>
        <w:rPr>
          <w:rFonts w:ascii="Calibri" w:eastAsia="Calibri"/>
        </w:rPr>
        <w:t>2 </w:t>
      </w:r>
      <w:r>
        <w:rPr>
          <w:spacing w:val="-4"/>
        </w:rPr>
        <w:t>个工作日内在公证机关监督下由召集人统计全部有效表决，在公证机关监督下形成决议。</w:t>
      </w:r>
      <w:r>
        <w:rPr>
          <w:spacing w:val="-1"/>
        </w:rPr>
        <w:t>六、表决</w:t>
      </w:r>
    </w:p>
    <w:p>
      <w:pPr>
        <w:pStyle w:val="BodyText"/>
        <w:spacing w:line="417" w:lineRule="auto"/>
        <w:ind w:left="580" w:right="3929"/>
      </w:pPr>
      <w:r>
        <w:rPr>
          <w:spacing w:val="-3"/>
        </w:rPr>
        <w:t>基金份额持有人所持每份基金份额有一票表决权。 </w:t>
      </w:r>
      <w:r>
        <w:rPr>
          <w:spacing w:val="-4"/>
        </w:rPr>
        <w:t>基金份额持有人大会决议分为一般决议和特别决议：</w:t>
      </w:r>
    </w:p>
    <w:p>
      <w:pPr>
        <w:pStyle w:val="BodyText"/>
        <w:spacing w:line="417" w:lineRule="auto"/>
        <w:ind w:left="160" w:right="871" w:firstLine="419"/>
        <w:jc w:val="both"/>
      </w:pPr>
      <w:r>
        <w:rPr>
          <w:rFonts w:ascii="Calibri" w:eastAsia="Calibri"/>
        </w:rPr>
        <w:t>1</w:t>
      </w:r>
      <w:r>
        <w:rPr>
          <w:spacing w:val="-4"/>
        </w:rPr>
        <w:t>、一般决议，一般决议须经参加大会的基金份额持有人或其代理人所持表决权的 </w:t>
      </w:r>
      <w:r>
        <w:rPr>
          <w:rFonts w:ascii="Calibri" w:eastAsia="Calibri"/>
        </w:rPr>
        <w:t>50% </w:t>
      </w:r>
      <w:r>
        <w:rPr>
          <w:spacing w:val="-16"/>
        </w:rPr>
        <w:t>以上</w:t>
      </w:r>
      <w:r>
        <w:rPr>
          <w:spacing w:val="-3"/>
        </w:rPr>
        <w:t>（</w:t>
      </w:r>
      <w:r>
        <w:rPr>
          <w:spacing w:val="-20"/>
        </w:rPr>
        <w:t>含 </w:t>
      </w:r>
      <w:r>
        <w:rPr>
          <w:rFonts w:ascii="Calibri" w:eastAsia="Calibri"/>
          <w:spacing w:val="-9"/>
        </w:rPr>
        <w:t>50%</w:t>
      </w:r>
      <w:r>
        <w:rPr>
          <w:spacing w:val="-9"/>
        </w:rPr>
        <w:t>）</w:t>
      </w:r>
      <w:r>
        <w:rPr>
          <w:spacing w:val="-11"/>
        </w:rPr>
        <w:t>通过方为有效；除下列第 </w:t>
      </w:r>
      <w:r>
        <w:rPr>
          <w:rFonts w:ascii="Calibri" w:eastAsia="Calibri"/>
        </w:rPr>
        <w:t>2 </w:t>
      </w:r>
      <w:r>
        <w:rPr>
          <w:spacing w:val="-3"/>
        </w:rPr>
        <w:t>项所规定的须以特别决议通过事项以外的其他事项均以一般决议的方式通过。</w:t>
      </w:r>
    </w:p>
    <w:p>
      <w:pPr>
        <w:pStyle w:val="BodyText"/>
        <w:spacing w:line="269" w:lineRule="exact"/>
        <w:ind w:left="580"/>
        <w:jc w:val="both"/>
        <w:rPr>
          <w:rFonts w:ascii="Calibri" w:eastAsia="Calibri"/>
        </w:rPr>
      </w:pPr>
      <w:r>
        <w:rPr>
          <w:rFonts w:ascii="Calibri" w:eastAsia="Calibri"/>
        </w:rPr>
        <w:t>2</w:t>
      </w:r>
      <w:r>
        <w:rPr>
          <w:spacing w:val="-13"/>
        </w:rPr>
        <w:t>、特别决议，特别决议应当经参加大会的基金份额持有人或其代理人所持表决权的 </w:t>
      </w:r>
      <w:r>
        <w:rPr>
          <w:rFonts w:ascii="Calibri" w:eastAsia="Calibri"/>
        </w:rPr>
        <w:t>2/3</w:t>
      </w:r>
    </w:p>
    <w:p>
      <w:pPr>
        <w:pStyle w:val="BodyText"/>
        <w:spacing w:before="4"/>
        <w:rPr>
          <w:rFonts w:ascii="Calibri"/>
          <w:sz w:val="16"/>
        </w:rPr>
      </w:pPr>
    </w:p>
    <w:p>
      <w:pPr>
        <w:pStyle w:val="BodyText"/>
        <w:ind w:left="160"/>
      </w:pPr>
      <w:r>
        <w:rPr>
          <w:spacing w:val="-3"/>
        </w:rPr>
        <w:t>以上（</w:t>
      </w:r>
      <w:r>
        <w:rPr>
          <w:spacing w:val="-2"/>
        </w:rPr>
        <w:t>含 </w:t>
      </w:r>
      <w:r>
        <w:rPr>
          <w:rFonts w:ascii="Calibri" w:eastAsia="Calibri"/>
          <w:spacing w:val="-3"/>
        </w:rPr>
        <w:t>2/3</w:t>
      </w:r>
      <w:r>
        <w:rPr>
          <w:spacing w:val="-3"/>
        </w:rPr>
        <w:t>）</w:t>
      </w:r>
      <w:r>
        <w:rPr>
          <w:spacing w:val="-5"/>
        </w:rPr>
        <w:t>通过方可做出。转换基金运作方式、更换基金管理人或者基金托管人、终止</w:t>
      </w:r>
    </w:p>
    <w:p>
      <w:pPr>
        <w:pStyle w:val="BodyText"/>
        <w:spacing w:before="7"/>
        <w:rPr>
          <w:sz w:val="15"/>
        </w:rPr>
      </w:pPr>
    </w:p>
    <w:p>
      <w:pPr>
        <w:pStyle w:val="BodyText"/>
        <w:spacing w:line="417" w:lineRule="auto"/>
        <w:ind w:left="580" w:right="3195" w:hanging="420"/>
      </w:pPr>
      <w:r>
        <w:rPr>
          <w:spacing w:val="-12"/>
        </w:rPr>
        <w:t>《基金合同》、本基金与其他基金合并以特别决议通过方为有效。</w:t>
      </w:r>
      <w:r>
        <w:rPr>
          <w:spacing w:val="-6"/>
        </w:rPr>
        <w:t>基金份额持有人大会采取记名方式进行投票表决。</w:t>
      </w:r>
    </w:p>
    <w:p>
      <w:pPr>
        <w:pStyle w:val="BodyText"/>
        <w:spacing w:line="417" w:lineRule="auto"/>
        <w:ind w:left="160" w:right="871" w:firstLine="419"/>
        <w:jc w:val="both"/>
      </w:pPr>
      <w:r>
        <w:rPr>
          <w:spacing w:val="-9"/>
        </w:rPr>
        <w:t>采取通讯方式进行表决时，除非在计票时有充分的相反证据证明，否则提交符合会议通知中规定的确认投资者身份文件的表决视为有效出席的投资者，表面符合会议通知规定的书</w:t>
      </w:r>
      <w:r>
        <w:rPr>
          <w:spacing w:val="-11"/>
        </w:rPr>
        <w:t>面表决意见视为有效表决，表决意见模糊不清或相互矛盾的视为弃权表决，但应当计入出具</w:t>
      </w:r>
      <w:r>
        <w:rPr>
          <w:spacing w:val="-6"/>
        </w:rPr>
        <w:t>书面意见的基金份额持有人所代表的基金份额总数。</w:t>
      </w:r>
    </w:p>
    <w:p>
      <w:pPr>
        <w:pStyle w:val="BodyText"/>
        <w:spacing w:line="417" w:lineRule="auto"/>
        <w:ind w:left="160" w:right="871" w:firstLine="419"/>
      </w:pPr>
      <w:r>
        <w:rPr>
          <w:spacing w:val="-6"/>
        </w:rPr>
        <w:t>基金份额持有人大会的各项提案或同一项提案内并列的各项议题应当分开审议、逐项表决。</w:t>
      </w:r>
    </w:p>
    <w:p>
      <w:pPr>
        <w:pStyle w:val="BodyText"/>
        <w:ind w:left="580"/>
      </w:pPr>
      <w:r>
        <w:rPr/>
        <w:t>七、计票</w:t>
      </w:r>
    </w:p>
    <w:p>
      <w:pPr>
        <w:pStyle w:val="BodyText"/>
        <w:spacing w:before="6"/>
        <w:rPr>
          <w:sz w:val="15"/>
        </w:rPr>
      </w:pPr>
    </w:p>
    <w:p>
      <w:pPr>
        <w:pStyle w:val="BodyText"/>
        <w:ind w:left="580"/>
      </w:pPr>
      <w:r>
        <w:rPr>
          <w:rFonts w:ascii="Calibri" w:eastAsia="Calibri"/>
        </w:rPr>
        <w:t>1</w:t>
      </w:r>
      <w:r>
        <w:rPr/>
        <w:t>、现场开会</w:t>
      </w:r>
    </w:p>
    <w:p>
      <w:pPr>
        <w:pStyle w:val="BodyText"/>
        <w:spacing w:before="6"/>
        <w:rPr>
          <w:sz w:val="15"/>
        </w:rPr>
      </w:pPr>
    </w:p>
    <w:p>
      <w:pPr>
        <w:pStyle w:val="ListParagraph"/>
        <w:numPr>
          <w:ilvl w:val="0"/>
          <w:numId w:val="48"/>
        </w:numPr>
        <w:tabs>
          <w:tab w:pos="1112" w:val="left" w:leader="none"/>
        </w:tabs>
        <w:spacing w:line="417" w:lineRule="auto" w:before="1" w:after="0"/>
        <w:ind w:left="160" w:right="871" w:firstLine="419"/>
        <w:jc w:val="both"/>
        <w:rPr>
          <w:sz w:val="21"/>
        </w:rPr>
      </w:pPr>
      <w:r>
        <w:rPr>
          <w:spacing w:val="-3"/>
          <w:sz w:val="21"/>
        </w:rPr>
        <w:t>如大会由基金管理人或基金托管人召集，基金份额持有人大会的主持人应当在会</w:t>
      </w:r>
      <w:r>
        <w:rPr>
          <w:sz w:val="21"/>
        </w:rPr>
        <w:t>议开始后宣布在出席会议的基金份额持有人和代理人中选举两名基金份额持有人代表与大</w:t>
      </w:r>
      <w:r>
        <w:rPr>
          <w:spacing w:val="-8"/>
          <w:sz w:val="21"/>
        </w:rPr>
        <w:t>会召集人授权的一名监督员共同担任监票人；如大会由基金份额持有人自行召集或大会虽然</w:t>
      </w:r>
      <w:r>
        <w:rPr>
          <w:spacing w:val="-10"/>
          <w:sz w:val="21"/>
        </w:rPr>
        <w:t>由基金管理人或基金托管人召集，但是基金管理人或基金托管人未出席大会的，基金份额持有人大会的主持人应当在会议开始后宣布在出席会议的基金份额持有人中选举三名基金份</w:t>
      </w:r>
      <w:r>
        <w:rPr>
          <w:spacing w:val="-5"/>
          <w:sz w:val="21"/>
        </w:rPr>
        <w:t>额持有人代表担任监票人。基金管理人或基金托管人不出席大会的，不影响计票的效力。</w:t>
      </w:r>
    </w:p>
    <w:p>
      <w:pPr>
        <w:spacing w:after="0" w:line="417" w:lineRule="auto"/>
        <w:jc w:val="both"/>
        <w:rPr>
          <w:sz w:val="21"/>
        </w:rPr>
        <w:sectPr>
          <w:pgSz w:w="11910" w:h="16840"/>
          <w:pgMar w:header="877" w:footer="995" w:top="1420" w:bottom="1180" w:left="1640" w:right="920"/>
        </w:sectPr>
      </w:pPr>
    </w:p>
    <w:p>
      <w:pPr>
        <w:pStyle w:val="ListParagraph"/>
        <w:numPr>
          <w:ilvl w:val="0"/>
          <w:numId w:val="48"/>
        </w:numPr>
        <w:tabs>
          <w:tab w:pos="1112" w:val="left" w:leader="none"/>
        </w:tabs>
        <w:spacing w:line="417" w:lineRule="auto" w:before="110" w:after="0"/>
        <w:ind w:left="160" w:right="874" w:firstLine="419"/>
        <w:jc w:val="left"/>
        <w:rPr>
          <w:sz w:val="21"/>
        </w:rPr>
      </w:pPr>
      <w:r>
        <w:rPr>
          <w:spacing w:val="-3"/>
          <w:sz w:val="21"/>
        </w:rPr>
        <w:t>监票人应当在基金份额持有人表决后立即进行清点并由大会主持人当场公布计票结果。</w:t>
      </w:r>
    </w:p>
    <w:p>
      <w:pPr>
        <w:pStyle w:val="ListParagraph"/>
        <w:numPr>
          <w:ilvl w:val="0"/>
          <w:numId w:val="48"/>
        </w:numPr>
        <w:tabs>
          <w:tab w:pos="1112" w:val="left" w:leader="none"/>
        </w:tabs>
        <w:spacing w:line="417" w:lineRule="auto" w:before="0" w:after="0"/>
        <w:ind w:left="160" w:right="871" w:firstLine="419"/>
        <w:jc w:val="both"/>
        <w:rPr>
          <w:sz w:val="21"/>
        </w:rPr>
      </w:pPr>
      <w:r>
        <w:rPr>
          <w:spacing w:val="-3"/>
          <w:sz w:val="21"/>
        </w:rPr>
        <w:t>如果会议主持人或基金份额持有人或代理人对于提交的表决结果有怀疑，可以在</w:t>
      </w:r>
      <w:r>
        <w:rPr>
          <w:spacing w:val="-7"/>
          <w:sz w:val="21"/>
        </w:rPr>
        <w:t>宣布表决结果后立即对所投票数要求进行重新清点。监票人应当进行重新清点，重新清点以</w:t>
      </w:r>
      <w:r>
        <w:rPr>
          <w:spacing w:val="-5"/>
          <w:sz w:val="21"/>
        </w:rPr>
        <w:t>一次为限。重新清点后，大会主持人应当当场公布重新清点结果。</w:t>
      </w:r>
    </w:p>
    <w:p>
      <w:pPr>
        <w:pStyle w:val="ListParagraph"/>
        <w:numPr>
          <w:ilvl w:val="0"/>
          <w:numId w:val="48"/>
        </w:numPr>
        <w:tabs>
          <w:tab w:pos="1112" w:val="left" w:leader="none"/>
        </w:tabs>
        <w:spacing w:line="417" w:lineRule="auto" w:before="0" w:after="0"/>
        <w:ind w:left="160" w:right="874" w:firstLine="419"/>
        <w:jc w:val="left"/>
        <w:rPr>
          <w:sz w:val="21"/>
        </w:rPr>
      </w:pPr>
      <w:r>
        <w:rPr>
          <w:spacing w:val="-3"/>
          <w:sz w:val="21"/>
        </w:rPr>
        <w:t>计票过程应由公证机关予以公证，基金管理人或基金托管人拒不出席大会的，不影响计票的效力。</w:t>
      </w:r>
    </w:p>
    <w:p>
      <w:pPr>
        <w:pStyle w:val="BodyText"/>
        <w:ind w:left="580"/>
      </w:pPr>
      <w:r>
        <w:rPr>
          <w:rFonts w:ascii="Calibri" w:eastAsia="Calibri"/>
        </w:rPr>
        <w:t>2</w:t>
      </w:r>
      <w:r>
        <w:rPr/>
        <w:t>、通讯开会</w:t>
      </w:r>
    </w:p>
    <w:p>
      <w:pPr>
        <w:pStyle w:val="BodyText"/>
        <w:spacing w:before="6"/>
        <w:rPr>
          <w:sz w:val="15"/>
        </w:rPr>
      </w:pPr>
    </w:p>
    <w:p>
      <w:pPr>
        <w:pStyle w:val="BodyText"/>
        <w:spacing w:line="417" w:lineRule="auto"/>
        <w:ind w:left="160" w:right="871" w:firstLine="419"/>
        <w:jc w:val="both"/>
      </w:pPr>
      <w:r>
        <w:rPr>
          <w:spacing w:val="-11"/>
        </w:rPr>
        <w:t>在通讯开会的情况下，计票方式为：由大会召集人授权的两名监督员在基金托管人授权</w:t>
      </w:r>
      <w:r>
        <w:rPr>
          <w:spacing w:val="-18"/>
        </w:rPr>
        <w:t>代表</w:t>
      </w:r>
      <w:r>
        <w:rPr>
          <w:spacing w:val="-3"/>
        </w:rPr>
        <w:t>（</w:t>
      </w:r>
      <w:r>
        <w:rPr>
          <w:spacing w:val="-6"/>
        </w:rPr>
        <w:t>若由基金托管人召集，则为基金管理人授权代表</w:t>
      </w:r>
      <w:r>
        <w:rPr>
          <w:spacing w:val="-27"/>
        </w:rPr>
        <w:t>）</w:t>
      </w:r>
      <w:r>
        <w:rPr>
          <w:spacing w:val="-6"/>
        </w:rPr>
        <w:t>的监督下进行计票，并由公证机关</w:t>
      </w:r>
      <w:r>
        <w:rPr>
          <w:spacing w:val="-12"/>
        </w:rPr>
        <w:t>对其计票过程予以公证。基金管理人或基金托管人拒派代表对书面表决意见的计票进行监督</w:t>
      </w:r>
      <w:r>
        <w:rPr>
          <w:spacing w:val="-6"/>
        </w:rPr>
        <w:t>的，不影响计票和表决结果。</w:t>
      </w:r>
    </w:p>
    <w:p>
      <w:pPr>
        <w:pStyle w:val="BodyText"/>
        <w:spacing w:line="268" w:lineRule="exact"/>
        <w:ind w:left="580"/>
      </w:pPr>
      <w:r>
        <w:rPr/>
        <w:t>八、生效与公告</w:t>
      </w:r>
    </w:p>
    <w:p>
      <w:pPr>
        <w:pStyle w:val="BodyText"/>
        <w:spacing w:before="6"/>
        <w:rPr>
          <w:sz w:val="15"/>
        </w:rPr>
      </w:pPr>
    </w:p>
    <w:p>
      <w:pPr>
        <w:pStyle w:val="BodyText"/>
        <w:spacing w:line="417" w:lineRule="auto" w:before="1"/>
        <w:ind w:left="580" w:right="1138"/>
      </w:pPr>
      <w:r>
        <w:rPr/>
        <w:t>基金份额持有人大会的决议，召集人应当自通过之日起 </w:t>
      </w:r>
      <w:r>
        <w:rPr>
          <w:rFonts w:ascii="Calibri" w:eastAsia="Calibri"/>
        </w:rPr>
        <w:t>5 </w:t>
      </w:r>
      <w:r>
        <w:rPr/>
        <w:t>日内报中国证监会备案。基金份额持有人大会的决议自表决通过之日起生效。</w:t>
      </w:r>
    </w:p>
    <w:p>
      <w:pPr>
        <w:pStyle w:val="BodyText"/>
        <w:spacing w:line="417" w:lineRule="auto"/>
        <w:ind w:left="160" w:right="874" w:firstLine="419"/>
      </w:pPr>
      <w:r>
        <w:rPr/>
        <w:t>基金份额持有人大会决议自生效之日起 </w:t>
      </w:r>
      <w:r>
        <w:rPr>
          <w:rFonts w:ascii="Calibri" w:eastAsia="Calibri"/>
        </w:rPr>
        <w:t>2 </w:t>
      </w:r>
      <w:r>
        <w:rPr/>
        <w:t>个工作日内按照法律法规和中国证监会相关规定的要求在指定媒介上公告。</w:t>
      </w:r>
    </w:p>
    <w:p>
      <w:pPr>
        <w:pStyle w:val="BodyText"/>
        <w:spacing w:line="417" w:lineRule="auto"/>
        <w:ind w:left="160" w:right="662" w:firstLine="419"/>
      </w:pPr>
      <w:r>
        <w:rPr>
          <w:spacing w:val="-12"/>
        </w:rPr>
        <w:t>基金管理人、基金托管人和基金份额持有人应当执行生效的基金份额持有人大会的决议。</w:t>
      </w:r>
      <w:r>
        <w:rPr>
          <w:spacing w:val="-10"/>
        </w:rPr>
        <w:t>生效的基金份额持有人大会决议对全体基金份额持有人、基金管理人、基金托管人均有约束 力。</w:t>
      </w:r>
    </w:p>
    <w:p>
      <w:pPr>
        <w:pStyle w:val="BodyText"/>
        <w:spacing w:line="269" w:lineRule="exact"/>
        <w:ind w:left="580"/>
      </w:pPr>
      <w:r>
        <w:rPr/>
        <w:t>九、关于本基金所持目标 </w:t>
      </w:r>
      <w:r>
        <w:rPr>
          <w:rFonts w:ascii="Calibri" w:eastAsia="Calibri"/>
        </w:rPr>
        <w:t>ETF </w:t>
      </w:r>
      <w:r>
        <w:rPr/>
        <w:t>份额行使表决权的方式</w:t>
      </w:r>
    </w:p>
    <w:p>
      <w:pPr>
        <w:pStyle w:val="BodyText"/>
        <w:spacing w:before="7"/>
        <w:rPr>
          <w:sz w:val="15"/>
        </w:rPr>
      </w:pPr>
    </w:p>
    <w:p>
      <w:pPr>
        <w:pStyle w:val="BodyText"/>
        <w:spacing w:line="417" w:lineRule="auto"/>
        <w:ind w:left="160" w:right="871" w:firstLine="419"/>
        <w:jc w:val="both"/>
      </w:pPr>
      <w:r>
        <w:rPr>
          <w:spacing w:val="-7"/>
        </w:rPr>
        <w:t>鉴于本基金是目标 </w:t>
      </w:r>
      <w:r>
        <w:rPr>
          <w:rFonts w:ascii="Calibri" w:eastAsia="Calibri"/>
        </w:rPr>
        <w:t>ETF </w:t>
      </w:r>
      <w:r>
        <w:rPr>
          <w:spacing w:val="-11"/>
        </w:rPr>
        <w:t>的联接基金，本基金的基金份额持有人可以凭所持有的本基金份</w:t>
      </w:r>
      <w:r>
        <w:rPr>
          <w:spacing w:val="2"/>
        </w:rPr>
        <w:t>额行使与目标</w:t>
      </w:r>
      <w:r>
        <w:rPr>
          <w:rFonts w:ascii="Calibri" w:eastAsia="Calibri"/>
        </w:rPr>
        <w:t>ETF </w:t>
      </w:r>
      <w:r>
        <w:rPr>
          <w:spacing w:val="-10"/>
        </w:rPr>
        <w:t>相关的持有人权利，如目标 </w:t>
      </w:r>
      <w:r>
        <w:rPr>
          <w:rFonts w:ascii="Calibri" w:eastAsia="Calibri"/>
        </w:rPr>
        <w:t>ETF </w:t>
      </w:r>
      <w:r>
        <w:rPr>
          <w:spacing w:val="-9"/>
        </w:rPr>
        <w:t>持有人大会召集权、参加目标 </w:t>
      </w:r>
      <w:r>
        <w:rPr>
          <w:rFonts w:ascii="Calibri" w:eastAsia="Calibri"/>
        </w:rPr>
        <w:t>ETF </w:t>
      </w:r>
      <w:r>
        <w:rPr>
          <w:spacing w:val="-2"/>
        </w:rPr>
        <w:t>持有人</w:t>
      </w:r>
      <w:r>
        <w:rPr>
          <w:spacing w:val="-12"/>
        </w:rPr>
        <w:t>大会的表决权。计算参会份额和计票时，本基金基金份额持有人的参会份额数和票数按权益</w:t>
      </w:r>
      <w:r>
        <w:rPr>
          <w:spacing w:val="-9"/>
        </w:rPr>
        <w:t>登记日本基金所持有的目标 </w:t>
      </w:r>
      <w:r>
        <w:rPr>
          <w:rFonts w:ascii="Calibri" w:eastAsia="Calibri"/>
        </w:rPr>
        <w:t>ETF </w:t>
      </w:r>
      <w:r>
        <w:rPr>
          <w:spacing w:val="-11"/>
        </w:rPr>
        <w:t>的基金份额、该持有人所持有的本基金份额占本基金总份额</w:t>
      </w:r>
      <w:r>
        <w:rPr>
          <w:spacing w:val="-13"/>
        </w:rPr>
        <w:t>的比例折算。本基金份额持有人，如经基金管理人确认其单独或合计持有的联接基金份额所</w:t>
      </w:r>
      <w:r>
        <w:rPr>
          <w:spacing w:val="-15"/>
        </w:rPr>
        <w:t>对应的目标 </w:t>
      </w:r>
      <w:r>
        <w:rPr>
          <w:rFonts w:ascii="Calibri" w:eastAsia="Calibri"/>
        </w:rPr>
        <w:t>ETF </w:t>
      </w:r>
      <w:r>
        <w:rPr>
          <w:spacing w:val="-9"/>
        </w:rPr>
        <w:t>份额不少于目标 </w:t>
      </w:r>
      <w:r>
        <w:rPr>
          <w:rFonts w:ascii="Calibri" w:eastAsia="Calibri"/>
        </w:rPr>
        <w:t>ETF </w:t>
      </w:r>
      <w:r>
        <w:rPr>
          <w:spacing w:val="-12"/>
        </w:rPr>
        <w:t>总份额的 </w:t>
      </w:r>
      <w:r>
        <w:rPr>
          <w:rFonts w:ascii="Calibri" w:eastAsia="Calibri"/>
        </w:rPr>
        <w:t>10%</w:t>
      </w:r>
      <w:r>
        <w:rPr>
          <w:spacing w:val="-16"/>
        </w:rPr>
        <w:t>的，可对目标 </w:t>
      </w:r>
      <w:r>
        <w:rPr>
          <w:rFonts w:ascii="Calibri" w:eastAsia="Calibri"/>
        </w:rPr>
        <w:t>ETF </w:t>
      </w:r>
      <w:r>
        <w:rPr>
          <w:spacing w:val="-3"/>
        </w:rPr>
        <w:t>行使基金份额持有人大会的召集权。</w:t>
      </w:r>
    </w:p>
    <w:p>
      <w:pPr>
        <w:pStyle w:val="BodyText"/>
        <w:spacing w:line="417" w:lineRule="auto"/>
        <w:ind w:left="160" w:right="871" w:firstLine="419"/>
        <w:jc w:val="both"/>
      </w:pPr>
      <w:r>
        <w:rPr>
          <w:spacing w:val="-4"/>
        </w:rPr>
        <w:t>如目标 </w:t>
      </w:r>
      <w:r>
        <w:rPr>
          <w:rFonts w:ascii="Calibri" w:eastAsia="Calibri"/>
        </w:rPr>
        <w:t>ETF  </w:t>
      </w:r>
      <w:r>
        <w:rPr>
          <w:spacing w:val="-3"/>
        </w:rPr>
        <w:t>召开基金份额持有人大会，本基金的基金份额持有人有权亲自出席</w:t>
      </w:r>
      <w:r>
        <w:rPr>
          <w:rFonts w:ascii="Calibri" w:eastAsia="Calibri"/>
        </w:rPr>
        <w:t>/</w:t>
      </w:r>
      <w:r>
        <w:rPr>
          <w:spacing w:val="-2"/>
        </w:rPr>
        <w:t>出具书</w:t>
      </w:r>
      <w:r>
        <w:rPr>
          <w:spacing w:val="-3"/>
        </w:rPr>
        <w:t>面表决意见或以代理投票授权委托书委派代表出席</w:t>
      </w:r>
      <w:r>
        <w:rPr>
          <w:rFonts w:ascii="Calibri" w:eastAsia="Calibri"/>
          <w:spacing w:val="-3"/>
        </w:rPr>
        <w:t>/</w:t>
      </w:r>
      <w:r>
        <w:rPr>
          <w:spacing w:val="-2"/>
        </w:rPr>
        <w:t>出具书面表决意见，并有权按照所持有</w:t>
      </w:r>
    </w:p>
    <w:p>
      <w:pPr>
        <w:spacing w:after="0" w:line="417" w:lineRule="auto"/>
        <w:jc w:val="both"/>
        <w:sectPr>
          <w:pgSz w:w="11910" w:h="16840"/>
          <w:pgMar w:header="877" w:footer="995" w:top="1420" w:bottom="1180" w:left="1640" w:right="920"/>
        </w:sectPr>
      </w:pPr>
    </w:p>
    <w:p>
      <w:pPr>
        <w:pStyle w:val="BodyText"/>
        <w:spacing w:before="110"/>
        <w:ind w:left="160"/>
      </w:pPr>
      <w:r>
        <w:rPr/>
        <w:t>的本基金基金份额对应的目标 </w:t>
      </w:r>
      <w:r>
        <w:rPr>
          <w:rFonts w:ascii="Calibri" w:eastAsia="Calibri"/>
        </w:rPr>
        <w:t>ETF </w:t>
      </w:r>
      <w:r>
        <w:rPr/>
        <w:t>份额参与投票表决。</w:t>
      </w:r>
    </w:p>
    <w:p>
      <w:pPr>
        <w:pStyle w:val="BodyText"/>
        <w:spacing w:before="6"/>
        <w:rPr>
          <w:sz w:val="15"/>
        </w:rPr>
      </w:pPr>
    </w:p>
    <w:p>
      <w:pPr>
        <w:pStyle w:val="BodyText"/>
        <w:spacing w:line="417" w:lineRule="auto"/>
        <w:ind w:left="160" w:right="874" w:firstLine="419"/>
      </w:pPr>
      <w:r>
        <w:rPr/>
        <w:t>本基金的基金管理人可接受本基金的基金份额持有人的委托以本基金的基金份额持有人代理人的身份出席目标</w:t>
      </w:r>
      <w:r>
        <w:rPr>
          <w:rFonts w:ascii="Calibri" w:eastAsia="Calibri"/>
        </w:rPr>
        <w:t>ETF </w:t>
      </w:r>
      <w:r>
        <w:rPr/>
        <w:t>的基金份额持有人大会并参与表决。</w:t>
      </w:r>
    </w:p>
    <w:p>
      <w:pPr>
        <w:pStyle w:val="BodyText"/>
        <w:spacing w:line="269" w:lineRule="exact"/>
        <w:ind w:left="580"/>
      </w:pPr>
      <w:r>
        <w:rPr/>
        <w:t>十、法律法规或监管部门对基金份额持有人大会另有规定的，从其规定。</w:t>
      </w:r>
    </w:p>
    <w:p>
      <w:pPr>
        <w:pStyle w:val="BodyText"/>
        <w:spacing w:before="7"/>
        <w:rPr>
          <w:sz w:val="15"/>
        </w:rPr>
      </w:pPr>
    </w:p>
    <w:p>
      <w:pPr>
        <w:tabs>
          <w:tab w:pos="1055" w:val="left" w:leader="none"/>
        </w:tabs>
        <w:spacing w:before="0"/>
        <w:ind w:left="0" w:right="291" w:firstLine="0"/>
        <w:jc w:val="center"/>
        <w:rPr>
          <w:b/>
          <w:sz w:val="21"/>
        </w:rPr>
      </w:pPr>
      <w:r>
        <w:rPr>
          <w:b/>
          <w:sz w:val="21"/>
        </w:rPr>
        <w:t>第三部分</w:t>
        <w:tab/>
        <w:t>基金收</w:t>
      </w:r>
      <w:r>
        <w:rPr>
          <w:b/>
          <w:spacing w:val="-3"/>
          <w:sz w:val="21"/>
        </w:rPr>
        <w:t>益</w:t>
      </w:r>
      <w:r>
        <w:rPr>
          <w:b/>
          <w:sz w:val="21"/>
        </w:rPr>
        <w:t>分</w:t>
      </w:r>
      <w:r>
        <w:rPr>
          <w:b/>
          <w:spacing w:val="-3"/>
          <w:sz w:val="21"/>
        </w:rPr>
        <w:t>配</w:t>
      </w:r>
      <w:r>
        <w:rPr>
          <w:b/>
          <w:sz w:val="21"/>
        </w:rPr>
        <w:t>原则、执行方式</w:t>
      </w:r>
    </w:p>
    <w:p>
      <w:pPr>
        <w:pStyle w:val="BodyText"/>
        <w:spacing w:before="7"/>
        <w:rPr>
          <w:b/>
          <w:sz w:val="15"/>
        </w:rPr>
      </w:pPr>
    </w:p>
    <w:p>
      <w:pPr>
        <w:pStyle w:val="BodyText"/>
        <w:ind w:left="633"/>
      </w:pPr>
      <w:r>
        <w:rPr/>
        <w:t>一、基金利润的构成</w:t>
      </w:r>
    </w:p>
    <w:p>
      <w:pPr>
        <w:pStyle w:val="BodyText"/>
        <w:spacing w:before="7"/>
        <w:rPr>
          <w:sz w:val="15"/>
        </w:rPr>
      </w:pPr>
    </w:p>
    <w:p>
      <w:pPr>
        <w:pStyle w:val="BodyText"/>
        <w:spacing w:line="417" w:lineRule="auto"/>
        <w:ind w:left="160" w:right="875" w:firstLine="472"/>
      </w:pPr>
      <w:r>
        <w:rPr/>
        <w:t>基金利润指基金利息收入、投资收益、公允价值变动收益和其他收入扣除相关费用后的余额，基金已实现收益指基金利润减去公允价值变动收益后的余额。</w:t>
      </w:r>
    </w:p>
    <w:p>
      <w:pPr>
        <w:pStyle w:val="BodyText"/>
        <w:ind w:left="633"/>
      </w:pPr>
      <w:r>
        <w:rPr/>
        <w:t>二、基金可供分配利润</w:t>
      </w:r>
    </w:p>
    <w:p>
      <w:pPr>
        <w:pStyle w:val="BodyText"/>
        <w:spacing w:before="7"/>
        <w:rPr>
          <w:sz w:val="15"/>
        </w:rPr>
      </w:pPr>
    </w:p>
    <w:p>
      <w:pPr>
        <w:pStyle w:val="BodyText"/>
        <w:spacing w:line="417" w:lineRule="auto"/>
        <w:ind w:left="160" w:right="875" w:firstLine="472"/>
      </w:pPr>
      <w:r>
        <w:rPr/>
        <w:t>基金可供分配利润指截至收益分配基准日基金未分配利润与未分配利润中已实现收益的孰低数。</w:t>
      </w:r>
    </w:p>
    <w:p>
      <w:pPr>
        <w:pStyle w:val="BodyText"/>
        <w:spacing w:line="269" w:lineRule="exact"/>
        <w:ind w:left="633"/>
      </w:pPr>
      <w:r>
        <w:rPr/>
        <w:t>三、基金收益分配原则</w:t>
      </w:r>
    </w:p>
    <w:p>
      <w:pPr>
        <w:pStyle w:val="BodyText"/>
        <w:spacing w:before="6"/>
        <w:rPr>
          <w:sz w:val="15"/>
        </w:rPr>
      </w:pPr>
    </w:p>
    <w:p>
      <w:pPr>
        <w:pStyle w:val="BodyText"/>
        <w:spacing w:line="417" w:lineRule="auto"/>
        <w:ind w:left="160" w:right="873" w:firstLine="472"/>
        <w:jc w:val="both"/>
      </w:pPr>
      <w:r>
        <w:rPr>
          <w:rFonts w:ascii="Calibri" w:eastAsia="Calibri"/>
        </w:rPr>
        <w:t>1</w:t>
      </w:r>
      <w:r>
        <w:rPr>
          <w:spacing w:val="-4"/>
        </w:rPr>
        <w:t>、在符合有关基金分红条件的前提下，本基金每年收益分配次数最多为 </w:t>
      </w:r>
      <w:r>
        <w:rPr>
          <w:rFonts w:ascii="Calibri" w:eastAsia="Calibri"/>
        </w:rPr>
        <w:t>12 </w:t>
      </w:r>
      <w:r>
        <w:rPr>
          <w:spacing w:val="-1"/>
        </w:rPr>
        <w:t>次，每次</w:t>
      </w:r>
      <w:r>
        <w:rPr>
          <w:spacing w:val="-5"/>
        </w:rPr>
        <w:t>收益分配比例不得低于该次可供分配利润的 </w:t>
      </w:r>
      <w:r>
        <w:rPr>
          <w:rFonts w:ascii="Calibri" w:eastAsia="Calibri"/>
          <w:spacing w:val="-9"/>
        </w:rPr>
        <w:t>20%</w:t>
      </w:r>
      <w:r>
        <w:rPr>
          <w:spacing w:val="-13"/>
        </w:rPr>
        <w:t>，若《基金合同》生效不满 </w:t>
      </w:r>
      <w:r>
        <w:rPr>
          <w:rFonts w:ascii="Calibri" w:eastAsia="Calibri"/>
        </w:rPr>
        <w:t>3 </w:t>
      </w:r>
      <w:r>
        <w:rPr>
          <w:spacing w:val="-3"/>
        </w:rPr>
        <w:t>个月可不进行收益分配；</w:t>
      </w:r>
    </w:p>
    <w:p>
      <w:pPr>
        <w:pStyle w:val="BodyText"/>
        <w:spacing w:line="417" w:lineRule="auto"/>
        <w:ind w:left="160" w:right="871" w:firstLine="472"/>
        <w:jc w:val="both"/>
      </w:pPr>
      <w:r>
        <w:rPr>
          <w:rFonts w:ascii="Calibri" w:eastAsia="Calibri"/>
        </w:rPr>
        <w:t>2</w:t>
      </w:r>
      <w:r>
        <w:rPr>
          <w:spacing w:val="-7"/>
        </w:rPr>
        <w:t>、本基金收益分配方式分两种：现金分红与红利再投资，投资者可选择现金红利或将</w:t>
      </w:r>
      <w:r>
        <w:rPr>
          <w:spacing w:val="-10"/>
        </w:rPr>
        <w:t>现金红利自动转为基金份额进行再投资；若投资者不选择，本基金默认的收益分配方式是现</w:t>
      </w:r>
      <w:r>
        <w:rPr>
          <w:spacing w:val="-6"/>
        </w:rPr>
        <w:t>金分红；</w:t>
      </w:r>
    </w:p>
    <w:p>
      <w:pPr>
        <w:pStyle w:val="BodyText"/>
        <w:spacing w:line="417" w:lineRule="auto"/>
        <w:ind w:left="160" w:right="871" w:firstLine="472"/>
      </w:pPr>
      <w:r>
        <w:rPr>
          <w:rFonts w:ascii="Calibri" w:eastAsia="Calibri"/>
        </w:rPr>
        <w:t>3</w:t>
      </w:r>
      <w:r>
        <w:rPr>
          <w:spacing w:val="-7"/>
        </w:rPr>
        <w:t>、基金收益分配后基金份额净值不能低于面值；即基金收益分配基准日的基金份额净</w:t>
      </w:r>
      <w:r>
        <w:rPr>
          <w:spacing w:val="-5"/>
        </w:rPr>
        <w:t>值减去每单位基金份额收益分配金额后不能低于面值。</w:t>
      </w:r>
    </w:p>
    <w:p>
      <w:pPr>
        <w:pStyle w:val="BodyText"/>
        <w:spacing w:line="417" w:lineRule="auto"/>
        <w:ind w:left="160" w:right="871" w:firstLine="472"/>
        <w:jc w:val="both"/>
      </w:pPr>
      <w:r>
        <w:rPr>
          <w:rFonts w:ascii="Calibri" w:eastAsia="Calibri"/>
        </w:rPr>
        <w:t>4</w:t>
      </w:r>
      <w:r>
        <w:rPr>
          <w:spacing w:val="-8"/>
        </w:rPr>
        <w:t>、由于基金费用的不同，不同类别的基金份额在收益分配数额方面可能有所不同，基</w:t>
      </w:r>
      <w:r>
        <w:rPr>
          <w:spacing w:val="-9"/>
        </w:rPr>
        <w:t>金管理人可对各类别基金份额分别制定收益分配方案，同一类别的每一基金份额享有同等分配权；</w:t>
      </w:r>
    </w:p>
    <w:p>
      <w:pPr>
        <w:pStyle w:val="BodyText"/>
        <w:ind w:left="633"/>
      </w:pPr>
      <w:r>
        <w:rPr>
          <w:rFonts w:ascii="Calibri" w:eastAsia="Calibri"/>
        </w:rPr>
        <w:t>5</w:t>
      </w:r>
      <w:r>
        <w:rPr/>
        <w:t>、法律法规或监管机关另有规定的，从其规定。</w:t>
      </w:r>
    </w:p>
    <w:p>
      <w:pPr>
        <w:pStyle w:val="BodyText"/>
        <w:spacing w:before="6"/>
        <w:rPr>
          <w:sz w:val="15"/>
        </w:rPr>
      </w:pPr>
    </w:p>
    <w:p>
      <w:pPr>
        <w:pStyle w:val="BodyText"/>
        <w:spacing w:line="417" w:lineRule="auto"/>
        <w:ind w:left="160" w:right="871" w:firstLine="472"/>
        <w:jc w:val="both"/>
      </w:pPr>
      <w:r>
        <w:rPr>
          <w:spacing w:val="-1"/>
        </w:rPr>
        <w:t>在不违反法律法规且对现有基金份额持有人利益无实质不利影响的情况下，基金管理</w:t>
      </w:r>
      <w:r>
        <w:rPr>
          <w:spacing w:val="-12"/>
        </w:rPr>
        <w:t>人、登记机构和基金托管人协商一致并按照监管部门要求履行适当程序后可对基金收益分配</w:t>
      </w:r>
      <w:r>
        <w:rPr>
          <w:spacing w:val="-6"/>
        </w:rPr>
        <w:t>原则进行调整，不需召开基金份额持有人大会，但应于变更实施日前在指定媒介公告。</w:t>
      </w:r>
    </w:p>
    <w:p>
      <w:pPr>
        <w:pStyle w:val="BodyText"/>
        <w:spacing w:line="269" w:lineRule="exact"/>
        <w:ind w:left="633"/>
      </w:pPr>
      <w:r>
        <w:rPr/>
        <w:t>四、收益分配方案</w:t>
      </w:r>
    </w:p>
    <w:p>
      <w:pPr>
        <w:pStyle w:val="BodyText"/>
        <w:spacing w:before="7"/>
        <w:rPr>
          <w:sz w:val="15"/>
        </w:rPr>
      </w:pPr>
    </w:p>
    <w:p>
      <w:pPr>
        <w:pStyle w:val="BodyText"/>
        <w:spacing w:line="417" w:lineRule="auto" w:before="1"/>
        <w:ind w:left="160" w:right="730" w:firstLine="472"/>
      </w:pPr>
      <w:r>
        <w:rPr/>
        <w:t>基金收益分配方案中应载明截止收益分配基准日的可供分配利润、基金收益分配对象、分配时间、分配数额及比例、分配方式等内容。</w:t>
      </w:r>
    </w:p>
    <w:p>
      <w:pPr>
        <w:spacing w:after="0" w:line="417" w:lineRule="auto"/>
        <w:sectPr>
          <w:pgSz w:w="11910" w:h="16840"/>
          <w:pgMar w:header="877" w:footer="995" w:top="1420" w:bottom="1180" w:left="1640" w:right="920"/>
        </w:sectPr>
      </w:pPr>
    </w:p>
    <w:p>
      <w:pPr>
        <w:pStyle w:val="BodyText"/>
        <w:spacing w:before="110"/>
        <w:ind w:left="633"/>
      </w:pPr>
      <w:r>
        <w:rPr/>
        <w:t>五、收益分配方案的确定、公告与实施</w:t>
      </w:r>
    </w:p>
    <w:p>
      <w:pPr>
        <w:pStyle w:val="BodyText"/>
        <w:spacing w:before="6"/>
        <w:rPr>
          <w:sz w:val="15"/>
        </w:rPr>
      </w:pPr>
    </w:p>
    <w:p>
      <w:pPr>
        <w:pStyle w:val="BodyText"/>
        <w:spacing w:line="417" w:lineRule="auto"/>
        <w:ind w:left="160" w:right="871" w:firstLine="472"/>
      </w:pPr>
      <w:r>
        <w:rPr/>
        <w:t>本基金收益分配方案由基金管理人拟定，并由基金托管人复核，在 </w:t>
      </w:r>
      <w:r>
        <w:rPr>
          <w:rFonts w:ascii="Calibri" w:eastAsia="Calibri"/>
        </w:rPr>
        <w:t>2 </w:t>
      </w:r>
      <w:r>
        <w:rPr/>
        <w:t>日内在指定媒介公告。</w:t>
      </w:r>
    </w:p>
    <w:p>
      <w:pPr>
        <w:pStyle w:val="BodyText"/>
        <w:spacing w:line="269" w:lineRule="exact"/>
        <w:ind w:left="633"/>
      </w:pPr>
      <w:r>
        <w:rPr/>
        <w:t>基金红利发放日距离收益分配基准日（即可供分配利润计算截止日）的时间不得超过</w:t>
      </w:r>
    </w:p>
    <w:p>
      <w:pPr>
        <w:pStyle w:val="BodyText"/>
        <w:spacing w:before="7"/>
        <w:rPr>
          <w:sz w:val="15"/>
        </w:rPr>
      </w:pPr>
    </w:p>
    <w:p>
      <w:pPr>
        <w:pStyle w:val="BodyText"/>
        <w:ind w:left="160"/>
      </w:pPr>
      <w:r>
        <w:rPr>
          <w:rFonts w:ascii="Calibri" w:eastAsia="Calibri"/>
        </w:rPr>
        <w:t>15 </w:t>
      </w:r>
      <w:r>
        <w:rPr/>
        <w:t>个工作日。</w:t>
      </w:r>
    </w:p>
    <w:p>
      <w:pPr>
        <w:pStyle w:val="BodyText"/>
        <w:spacing w:before="7"/>
        <w:rPr>
          <w:sz w:val="15"/>
        </w:rPr>
      </w:pPr>
    </w:p>
    <w:p>
      <w:pPr>
        <w:pStyle w:val="BodyText"/>
        <w:ind w:left="633"/>
      </w:pPr>
      <w:r>
        <w:rPr/>
        <w:t>六、基金收益分配中发生的费用</w:t>
      </w:r>
    </w:p>
    <w:p>
      <w:pPr>
        <w:pStyle w:val="BodyText"/>
        <w:spacing w:before="7"/>
        <w:rPr>
          <w:sz w:val="15"/>
        </w:rPr>
      </w:pPr>
    </w:p>
    <w:p>
      <w:pPr>
        <w:pStyle w:val="BodyText"/>
        <w:spacing w:line="417" w:lineRule="auto"/>
        <w:ind w:left="160" w:right="768" w:firstLine="419"/>
      </w:pPr>
      <w:r>
        <w:rPr>
          <w:spacing w:val="-6"/>
        </w:rPr>
        <w:t>基金收益分配时所发生的银行转账或其他手续费用由投资者自行承担。当投资者的现金</w:t>
      </w:r>
      <w:r>
        <w:rPr>
          <w:spacing w:val="-11"/>
        </w:rPr>
        <w:t>红利小于一定金额，不足以支付银行转账或其他手续费用时，基金登记机构可将基金份额持</w:t>
      </w:r>
      <w:r>
        <w:rPr>
          <w:spacing w:val="-6"/>
        </w:rPr>
        <w:t>有人的现金红利自动转为同一类别的基金份额。红利再投资的计算方法，依照《业务规则》执行。</w:t>
      </w:r>
    </w:p>
    <w:p>
      <w:pPr>
        <w:tabs>
          <w:tab w:pos="2419" w:val="left" w:leader="none"/>
        </w:tabs>
        <w:spacing w:line="417" w:lineRule="auto" w:before="0"/>
        <w:ind w:left="580" w:right="1654" w:firstLine="782"/>
        <w:jc w:val="left"/>
        <w:rPr>
          <w:sz w:val="21"/>
        </w:rPr>
      </w:pPr>
      <w:r>
        <w:rPr>
          <w:b/>
          <w:sz w:val="21"/>
        </w:rPr>
        <w:t>第四部分</w:t>
        <w:tab/>
        <w:t>与基金</w:t>
      </w:r>
      <w:r>
        <w:rPr>
          <w:b/>
          <w:spacing w:val="-3"/>
          <w:sz w:val="21"/>
        </w:rPr>
        <w:t>财</w:t>
      </w:r>
      <w:r>
        <w:rPr>
          <w:b/>
          <w:sz w:val="21"/>
        </w:rPr>
        <w:t>产</w:t>
      </w:r>
      <w:r>
        <w:rPr>
          <w:b/>
          <w:spacing w:val="-3"/>
          <w:sz w:val="21"/>
        </w:rPr>
        <w:t>管</w:t>
      </w:r>
      <w:r>
        <w:rPr>
          <w:b/>
          <w:sz w:val="21"/>
        </w:rPr>
        <w:t>理、运用有关费用</w:t>
      </w:r>
      <w:r>
        <w:rPr>
          <w:b/>
          <w:spacing w:val="-3"/>
          <w:sz w:val="21"/>
        </w:rPr>
        <w:t>的</w:t>
      </w:r>
      <w:r>
        <w:rPr>
          <w:b/>
          <w:sz w:val="21"/>
        </w:rPr>
        <w:t>提</w:t>
      </w:r>
      <w:r>
        <w:rPr>
          <w:b/>
          <w:spacing w:val="-3"/>
          <w:sz w:val="21"/>
        </w:rPr>
        <w:t>取</w:t>
      </w:r>
      <w:r>
        <w:rPr>
          <w:b/>
          <w:sz w:val="21"/>
        </w:rPr>
        <w:t>、支付方式与比</w:t>
      </w:r>
      <w:r>
        <w:rPr>
          <w:b/>
          <w:spacing w:val="-15"/>
          <w:sz w:val="21"/>
        </w:rPr>
        <w:t>例</w:t>
      </w:r>
      <w:r>
        <w:rPr>
          <w:sz w:val="21"/>
        </w:rPr>
        <w:t>一、</w:t>
      </w:r>
      <w:r>
        <w:rPr>
          <w:spacing w:val="-3"/>
          <w:sz w:val="21"/>
        </w:rPr>
        <w:t>基</w:t>
      </w:r>
      <w:r>
        <w:rPr>
          <w:sz w:val="21"/>
        </w:rPr>
        <w:t>金</w:t>
      </w:r>
      <w:r>
        <w:rPr>
          <w:spacing w:val="-3"/>
          <w:sz w:val="21"/>
        </w:rPr>
        <w:t>费</w:t>
      </w:r>
      <w:r>
        <w:rPr>
          <w:sz w:val="21"/>
        </w:rPr>
        <w:t>用</w:t>
      </w:r>
      <w:r>
        <w:rPr>
          <w:spacing w:val="-3"/>
          <w:sz w:val="21"/>
        </w:rPr>
        <w:t>的</w:t>
      </w:r>
      <w:r>
        <w:rPr>
          <w:sz w:val="21"/>
        </w:rPr>
        <w:t>种类</w:t>
      </w:r>
    </w:p>
    <w:p>
      <w:pPr>
        <w:pStyle w:val="BodyText"/>
        <w:spacing w:line="269" w:lineRule="exact"/>
        <w:ind w:left="580"/>
      </w:pPr>
      <w:r>
        <w:rPr>
          <w:rFonts w:ascii="Calibri" w:eastAsia="Calibri"/>
        </w:rPr>
        <w:t>1</w:t>
      </w:r>
      <w:r>
        <w:rPr>
          <w:spacing w:val="-3"/>
        </w:rPr>
        <w:t>、基金管理人的管理费；</w:t>
      </w:r>
    </w:p>
    <w:p>
      <w:pPr>
        <w:pStyle w:val="BodyText"/>
        <w:spacing w:before="6"/>
        <w:rPr>
          <w:sz w:val="15"/>
        </w:rPr>
      </w:pPr>
    </w:p>
    <w:p>
      <w:pPr>
        <w:pStyle w:val="BodyText"/>
        <w:ind w:left="580"/>
      </w:pPr>
      <w:r>
        <w:rPr>
          <w:rFonts w:ascii="Calibri" w:eastAsia="Calibri"/>
        </w:rPr>
        <w:t>2</w:t>
      </w:r>
      <w:r>
        <w:rPr>
          <w:spacing w:val="-3"/>
        </w:rPr>
        <w:t>、基金托管人的托管费；</w:t>
      </w:r>
    </w:p>
    <w:p>
      <w:pPr>
        <w:pStyle w:val="BodyText"/>
        <w:spacing w:before="7"/>
        <w:rPr>
          <w:sz w:val="15"/>
        </w:rPr>
      </w:pPr>
    </w:p>
    <w:p>
      <w:pPr>
        <w:pStyle w:val="BodyText"/>
        <w:spacing w:before="1"/>
        <w:ind w:left="580"/>
      </w:pPr>
      <w:r>
        <w:rPr>
          <w:rFonts w:ascii="Calibri" w:eastAsia="Calibri"/>
        </w:rPr>
        <w:t>3</w:t>
      </w:r>
      <w:r>
        <w:rPr/>
        <w:t>、基金的销售服务费；</w:t>
      </w:r>
    </w:p>
    <w:p>
      <w:pPr>
        <w:pStyle w:val="BodyText"/>
        <w:spacing w:before="6"/>
        <w:rPr>
          <w:sz w:val="15"/>
        </w:rPr>
      </w:pPr>
    </w:p>
    <w:p>
      <w:pPr>
        <w:pStyle w:val="BodyText"/>
        <w:spacing w:line="417" w:lineRule="auto"/>
        <w:ind w:left="160" w:right="873" w:firstLine="419"/>
      </w:pPr>
      <w:r>
        <w:rPr>
          <w:rFonts w:ascii="Calibri" w:eastAsia="Calibri"/>
        </w:rPr>
        <w:t>4</w:t>
      </w:r>
      <w:r>
        <w:rPr>
          <w:spacing w:val="-9"/>
        </w:rPr>
        <w:t>、除法律法规、中国证监会另有规定外</w:t>
      </w:r>
      <w:r>
        <w:rPr>
          <w:spacing w:val="-14"/>
        </w:rPr>
        <w:t>，《基金合同》生效后与基金相关的信息披露费用；</w:t>
      </w:r>
    </w:p>
    <w:p>
      <w:pPr>
        <w:pStyle w:val="BodyText"/>
        <w:spacing w:line="269" w:lineRule="exact"/>
        <w:ind w:left="580"/>
      </w:pPr>
      <w:r>
        <w:rPr>
          <w:rFonts w:ascii="Calibri" w:eastAsia="Calibri"/>
        </w:rPr>
        <w:t>5</w:t>
      </w:r>
      <w:r>
        <w:rPr/>
        <w:t>、《基金合同》生效后与基金相关的会计师费、律师费、仲裁费和诉讼费；</w:t>
      </w:r>
    </w:p>
    <w:p>
      <w:pPr>
        <w:pStyle w:val="BodyText"/>
        <w:spacing w:before="7"/>
        <w:rPr>
          <w:sz w:val="15"/>
        </w:rPr>
      </w:pPr>
    </w:p>
    <w:p>
      <w:pPr>
        <w:pStyle w:val="BodyText"/>
        <w:ind w:left="580"/>
      </w:pPr>
      <w:r>
        <w:rPr>
          <w:rFonts w:ascii="Calibri" w:eastAsia="Calibri"/>
        </w:rPr>
        <w:t>6</w:t>
      </w:r>
      <w:r>
        <w:rPr/>
        <w:t>、基金份额持有人大会费用；</w:t>
      </w:r>
    </w:p>
    <w:p>
      <w:pPr>
        <w:pStyle w:val="BodyText"/>
        <w:spacing w:before="7"/>
        <w:rPr>
          <w:sz w:val="15"/>
        </w:rPr>
      </w:pPr>
    </w:p>
    <w:p>
      <w:pPr>
        <w:pStyle w:val="BodyText"/>
        <w:spacing w:line="417" w:lineRule="auto"/>
        <w:ind w:left="160" w:right="871" w:firstLine="419"/>
        <w:jc w:val="both"/>
      </w:pPr>
      <w:r>
        <w:rPr>
          <w:rFonts w:ascii="Calibri" w:eastAsia="Calibri"/>
        </w:rPr>
        <w:t>7</w:t>
      </w:r>
      <w:r>
        <w:rPr>
          <w:spacing w:val="-8"/>
        </w:rPr>
        <w:t>、基金投资目标 </w:t>
      </w:r>
      <w:r>
        <w:rPr>
          <w:rFonts w:ascii="Calibri" w:eastAsia="Calibri"/>
        </w:rPr>
        <w:t>ETF </w:t>
      </w:r>
      <w:r>
        <w:rPr>
          <w:spacing w:val="-3"/>
        </w:rPr>
        <w:t>的相关费用</w:t>
      </w:r>
      <w:r>
        <w:rPr/>
        <w:t>（</w:t>
      </w:r>
      <w:r>
        <w:rPr>
          <w:spacing w:val="-7"/>
        </w:rPr>
        <w:t>包括但不限于目标 </w:t>
      </w:r>
      <w:r>
        <w:rPr>
          <w:rFonts w:ascii="Calibri" w:eastAsia="Calibri"/>
        </w:rPr>
        <w:t>ETF </w:t>
      </w:r>
      <w:r>
        <w:rPr>
          <w:spacing w:val="-3"/>
        </w:rPr>
        <w:t>的交易费用、申购赎回费用</w:t>
      </w:r>
      <w:r>
        <w:rPr>
          <w:spacing w:val="-3"/>
          <w:w w:val="100"/>
        </w:rPr>
        <w:t>等</w:t>
      </w:r>
      <w:r>
        <w:rPr>
          <w:spacing w:val="-106"/>
          <w:w w:val="100"/>
        </w:rPr>
        <w:t>）</w:t>
      </w:r>
      <w:r>
        <w:rPr>
          <w:w w:val="100"/>
        </w:rPr>
        <w:t>；</w:t>
      </w:r>
    </w:p>
    <w:p>
      <w:pPr>
        <w:pStyle w:val="BodyText"/>
        <w:spacing w:line="417" w:lineRule="auto"/>
        <w:ind w:left="160" w:right="871" w:firstLine="419"/>
        <w:jc w:val="both"/>
      </w:pPr>
      <w:r>
        <w:rPr>
          <w:rFonts w:ascii="Calibri" w:eastAsia="Calibri"/>
        </w:rPr>
        <w:t>8</w:t>
      </w:r>
      <w:r>
        <w:rPr>
          <w:spacing w:val="-5"/>
        </w:rPr>
        <w:t>、基金的证券</w:t>
      </w:r>
      <w:r>
        <w:rPr>
          <w:rFonts w:ascii="Calibri" w:eastAsia="Calibri"/>
          <w:spacing w:val="-3"/>
        </w:rPr>
        <w:t>/</w:t>
      </w:r>
      <w:r>
        <w:rPr>
          <w:spacing w:val="-5"/>
        </w:rPr>
        <w:t>期货交易或因结算而产生的费用</w:t>
      </w:r>
      <w:r>
        <w:rPr>
          <w:spacing w:val="-3"/>
        </w:rPr>
        <w:t>（</w:t>
      </w:r>
      <w:r>
        <w:rPr>
          <w:spacing w:val="-6"/>
        </w:rPr>
        <w:t>包括但不限于经手费、印花税、证管</w:t>
      </w:r>
      <w:r>
        <w:rPr>
          <w:spacing w:val="-12"/>
        </w:rPr>
        <w:t>费、过户费、手续费、券商佣金、权证交易的结算费、证券账户相关费用及其他类似性质的</w:t>
      </w:r>
      <w:r>
        <w:rPr>
          <w:spacing w:val="-9"/>
          <w:w w:val="100"/>
        </w:rPr>
        <w:t>费用等</w:t>
      </w:r>
      <w:r>
        <w:rPr>
          <w:spacing w:val="-106"/>
          <w:w w:val="100"/>
        </w:rPr>
        <w:t>）</w:t>
      </w:r>
      <w:r>
        <w:rPr>
          <w:w w:val="100"/>
        </w:rPr>
        <w:t>；</w:t>
      </w:r>
    </w:p>
    <w:p>
      <w:pPr>
        <w:pStyle w:val="BodyText"/>
        <w:spacing w:line="269" w:lineRule="exact"/>
        <w:ind w:left="580"/>
      </w:pPr>
      <w:r>
        <w:rPr>
          <w:rFonts w:ascii="Calibri" w:eastAsia="Calibri"/>
        </w:rPr>
        <w:t>9</w:t>
      </w:r>
      <w:r>
        <w:rPr/>
        <w:t>、基金的银行汇划费用；</w:t>
      </w:r>
    </w:p>
    <w:p>
      <w:pPr>
        <w:pStyle w:val="BodyText"/>
        <w:spacing w:before="7"/>
        <w:rPr>
          <w:sz w:val="15"/>
        </w:rPr>
      </w:pPr>
    </w:p>
    <w:p>
      <w:pPr>
        <w:pStyle w:val="BodyText"/>
        <w:ind w:left="580"/>
      </w:pPr>
      <w:r>
        <w:rPr>
          <w:rFonts w:ascii="Calibri" w:eastAsia="Calibri"/>
        </w:rPr>
        <w:t>10</w:t>
      </w:r>
      <w:r>
        <w:rPr/>
        <w:t>、基金收益分配中发生的费用；</w:t>
      </w:r>
    </w:p>
    <w:p>
      <w:pPr>
        <w:pStyle w:val="BodyText"/>
        <w:spacing w:before="6"/>
        <w:rPr>
          <w:sz w:val="15"/>
        </w:rPr>
      </w:pPr>
    </w:p>
    <w:p>
      <w:pPr>
        <w:pStyle w:val="BodyText"/>
        <w:spacing w:before="1"/>
        <w:ind w:left="580"/>
      </w:pPr>
      <w:r>
        <w:rPr>
          <w:rFonts w:ascii="Calibri" w:eastAsia="Calibri"/>
        </w:rPr>
        <w:t>11</w:t>
      </w:r>
      <w:r>
        <w:rPr/>
        <w:t>、基金的开户费用、账户维护费用；</w:t>
      </w:r>
    </w:p>
    <w:p>
      <w:pPr>
        <w:pStyle w:val="BodyText"/>
        <w:spacing w:before="6"/>
        <w:rPr>
          <w:sz w:val="15"/>
        </w:rPr>
      </w:pPr>
    </w:p>
    <w:p>
      <w:pPr>
        <w:pStyle w:val="BodyText"/>
        <w:spacing w:line="417" w:lineRule="auto"/>
        <w:ind w:left="580" w:right="1193"/>
      </w:pPr>
      <w:r>
        <w:rPr>
          <w:rFonts w:ascii="Calibri" w:eastAsia="Calibri"/>
        </w:rPr>
        <w:t>12</w:t>
      </w:r>
      <w:r>
        <w:rPr/>
        <w:t>、按照国家有关规定和《基金合同》约定，可以在基金财产中列支的其他费用； 二、基金费用计提方法、计提标准和支付方式</w:t>
      </w:r>
    </w:p>
    <w:p>
      <w:pPr>
        <w:pStyle w:val="BodyText"/>
        <w:ind w:left="580"/>
      </w:pPr>
      <w:r>
        <w:rPr>
          <w:rFonts w:ascii="Calibri" w:eastAsia="Calibri"/>
        </w:rPr>
        <w:t>1</w:t>
      </w:r>
      <w:r>
        <w:rPr/>
        <w:t>、基金管理人的管理费</w:t>
      </w:r>
    </w:p>
    <w:p>
      <w:pPr>
        <w:spacing w:after="0"/>
        <w:sectPr>
          <w:footerReference w:type="default" r:id="rId153"/>
          <w:pgSz w:w="11910" w:h="16840"/>
          <w:pgMar w:footer="995" w:header="877" w:top="1420" w:bottom="1180" w:left="1640" w:right="920"/>
        </w:sectPr>
      </w:pPr>
    </w:p>
    <w:p>
      <w:pPr>
        <w:pStyle w:val="BodyText"/>
        <w:spacing w:line="417" w:lineRule="auto" w:before="110"/>
        <w:ind w:left="160" w:right="871" w:firstLine="419"/>
        <w:jc w:val="both"/>
      </w:pPr>
      <w:r>
        <w:rPr/>
        <w:t>本基金的管理费按前一日基金资产净值扣除基金资产中目标 </w:t>
      </w:r>
      <w:r>
        <w:rPr>
          <w:rFonts w:ascii="Calibri" w:eastAsia="Calibri"/>
        </w:rPr>
        <w:t>ETF </w:t>
      </w:r>
      <w:r>
        <w:rPr/>
        <w:t>份额所对应资产净值后剩余部分的 </w:t>
      </w:r>
      <w:r>
        <w:rPr>
          <w:rFonts w:ascii="Calibri" w:eastAsia="Calibri"/>
        </w:rPr>
        <w:t>0.50%</w:t>
      </w:r>
      <w:r>
        <w:rPr/>
        <w:t>年费率计提。管理费的计算方法如下：</w:t>
      </w:r>
    </w:p>
    <w:p>
      <w:pPr>
        <w:pStyle w:val="BodyText"/>
        <w:spacing w:line="269" w:lineRule="exact"/>
        <w:ind w:left="580"/>
      </w:pPr>
      <w:r>
        <w:rPr>
          <w:rFonts w:ascii="Calibri" w:hAnsi="Calibri" w:eastAsia="Calibri"/>
        </w:rPr>
        <w:t>H</w:t>
      </w:r>
      <w:r>
        <w:rPr/>
        <w:t>＝</w:t>
      </w:r>
      <w:r>
        <w:rPr>
          <w:rFonts w:ascii="Calibri" w:hAnsi="Calibri" w:eastAsia="Calibri"/>
        </w:rPr>
        <w:t>E×0.50%÷</w:t>
      </w:r>
      <w:r>
        <w:rPr/>
        <w:t>当年天数</w:t>
      </w:r>
    </w:p>
    <w:p>
      <w:pPr>
        <w:pStyle w:val="BodyText"/>
        <w:spacing w:before="6"/>
        <w:rPr>
          <w:sz w:val="15"/>
        </w:rPr>
      </w:pPr>
    </w:p>
    <w:p>
      <w:pPr>
        <w:pStyle w:val="BodyText"/>
        <w:ind w:left="580"/>
        <w:jc w:val="both"/>
      </w:pPr>
      <w:r>
        <w:rPr>
          <w:rFonts w:ascii="Calibri" w:eastAsia="Calibri"/>
        </w:rPr>
        <w:t>H </w:t>
      </w:r>
      <w:r>
        <w:rPr/>
        <w:t>为每日应计提的基金管理费</w:t>
      </w:r>
    </w:p>
    <w:p>
      <w:pPr>
        <w:pStyle w:val="BodyText"/>
        <w:spacing w:before="7"/>
        <w:rPr>
          <w:sz w:val="15"/>
        </w:rPr>
      </w:pPr>
    </w:p>
    <w:p>
      <w:pPr>
        <w:pStyle w:val="BodyText"/>
        <w:spacing w:line="417" w:lineRule="auto"/>
        <w:ind w:left="160" w:right="768" w:firstLine="419"/>
        <w:jc w:val="both"/>
      </w:pPr>
      <w:r>
        <w:rPr>
          <w:rFonts w:ascii="Calibri" w:eastAsia="Calibri"/>
        </w:rPr>
        <w:t>E </w:t>
      </w:r>
      <w:r>
        <w:rPr/>
        <w:t>为前一日的基金资产净值扣除基金资产中目标 </w:t>
      </w:r>
      <w:r>
        <w:rPr>
          <w:rFonts w:ascii="Calibri" w:eastAsia="Calibri"/>
        </w:rPr>
        <w:t>ETF </w:t>
      </w:r>
      <w:r>
        <w:rPr/>
        <w:t>份额所对应资产净值后剩余部分， 若为负数，则</w:t>
      </w:r>
      <w:r>
        <w:rPr>
          <w:rFonts w:ascii="Calibri" w:eastAsia="Calibri"/>
        </w:rPr>
        <w:t>E </w:t>
      </w:r>
      <w:r>
        <w:rPr/>
        <w:t>取 </w:t>
      </w:r>
      <w:r>
        <w:rPr>
          <w:rFonts w:ascii="Calibri" w:eastAsia="Calibri"/>
        </w:rPr>
        <w:t>0</w:t>
      </w:r>
      <w:r>
        <w:rPr/>
        <w:t>。</w:t>
      </w:r>
    </w:p>
    <w:p>
      <w:pPr>
        <w:pStyle w:val="BodyText"/>
        <w:spacing w:line="417" w:lineRule="auto"/>
        <w:ind w:left="160" w:right="871" w:firstLine="419"/>
        <w:jc w:val="both"/>
      </w:pPr>
      <w:r>
        <w:rPr>
          <w:spacing w:val="-9"/>
        </w:rPr>
        <w:t>基金管理费每日计算，逐日累计至每月月末，按月支付，由基金托管人根据与基金管理</w:t>
      </w:r>
      <w:r>
        <w:rPr>
          <w:spacing w:val="-12"/>
        </w:rPr>
        <w:t>人核对一致的财务数据，自动在次月前 </w:t>
      </w:r>
      <w:r>
        <w:rPr>
          <w:rFonts w:ascii="Calibri" w:eastAsia="Calibri"/>
        </w:rPr>
        <w:t>5 </w:t>
      </w:r>
      <w:r>
        <w:rPr>
          <w:spacing w:val="-9"/>
        </w:rPr>
        <w:t>个工作日内，按照指定的账户路径从基金财产中一</w:t>
      </w:r>
      <w:r>
        <w:rPr>
          <w:spacing w:val="-5"/>
        </w:rPr>
        <w:t>次性支付给基金管理人。若遇法定节假日、公休假等，支付日期顺延。</w:t>
      </w:r>
    </w:p>
    <w:p>
      <w:pPr>
        <w:pStyle w:val="BodyText"/>
        <w:ind w:left="580"/>
      </w:pPr>
      <w:r>
        <w:rPr>
          <w:rFonts w:ascii="Calibri" w:eastAsia="Calibri"/>
        </w:rPr>
        <w:t>2</w:t>
      </w:r>
      <w:r>
        <w:rPr/>
        <w:t>、基金托管人的托管费</w:t>
      </w:r>
    </w:p>
    <w:p>
      <w:pPr>
        <w:pStyle w:val="BodyText"/>
        <w:spacing w:before="7"/>
        <w:rPr>
          <w:sz w:val="15"/>
        </w:rPr>
      </w:pPr>
    </w:p>
    <w:p>
      <w:pPr>
        <w:pStyle w:val="BodyText"/>
        <w:spacing w:line="417" w:lineRule="auto"/>
        <w:ind w:left="160" w:right="871" w:firstLine="419"/>
      </w:pPr>
      <w:r>
        <w:rPr/>
        <w:t>本基金的托管费按前一日基金资产净值扣除基金资产中目标 </w:t>
      </w:r>
      <w:r>
        <w:rPr>
          <w:rFonts w:ascii="Calibri" w:eastAsia="Calibri"/>
        </w:rPr>
        <w:t>ETF </w:t>
      </w:r>
      <w:r>
        <w:rPr/>
        <w:t>份额所对应资产净值后剩余部分的 </w:t>
      </w:r>
      <w:r>
        <w:rPr>
          <w:rFonts w:ascii="Calibri" w:eastAsia="Calibri"/>
        </w:rPr>
        <w:t>0.10%</w:t>
      </w:r>
      <w:r>
        <w:rPr/>
        <w:t>的年费率计提。托管费的计算方法如下：</w:t>
      </w:r>
    </w:p>
    <w:p>
      <w:pPr>
        <w:pStyle w:val="BodyText"/>
        <w:spacing w:line="269" w:lineRule="exact"/>
        <w:ind w:left="580"/>
      </w:pPr>
      <w:r>
        <w:rPr>
          <w:rFonts w:ascii="Calibri" w:hAnsi="Calibri" w:eastAsia="Calibri"/>
        </w:rPr>
        <w:t>H</w:t>
      </w:r>
      <w:r>
        <w:rPr/>
        <w:t>＝</w:t>
      </w:r>
      <w:r>
        <w:rPr>
          <w:rFonts w:ascii="Calibri" w:hAnsi="Calibri" w:eastAsia="Calibri"/>
        </w:rPr>
        <w:t>E×0.10%÷</w:t>
      </w:r>
      <w:r>
        <w:rPr/>
        <w:t>当年天数</w:t>
      </w:r>
    </w:p>
    <w:p>
      <w:pPr>
        <w:pStyle w:val="BodyText"/>
        <w:spacing w:before="6"/>
        <w:rPr>
          <w:sz w:val="15"/>
        </w:rPr>
      </w:pPr>
    </w:p>
    <w:p>
      <w:pPr>
        <w:pStyle w:val="BodyText"/>
        <w:ind w:left="580"/>
        <w:jc w:val="both"/>
      </w:pPr>
      <w:r>
        <w:rPr>
          <w:rFonts w:ascii="Calibri" w:eastAsia="Calibri"/>
        </w:rPr>
        <w:t>H </w:t>
      </w:r>
      <w:r>
        <w:rPr/>
        <w:t>为每日应计提的基金托管费</w:t>
      </w:r>
    </w:p>
    <w:p>
      <w:pPr>
        <w:pStyle w:val="BodyText"/>
        <w:spacing w:before="7"/>
        <w:rPr>
          <w:sz w:val="15"/>
        </w:rPr>
      </w:pPr>
    </w:p>
    <w:p>
      <w:pPr>
        <w:pStyle w:val="BodyText"/>
        <w:spacing w:line="417" w:lineRule="auto" w:before="1"/>
        <w:ind w:left="160" w:right="768" w:firstLine="419"/>
        <w:jc w:val="both"/>
      </w:pPr>
      <w:r>
        <w:rPr>
          <w:rFonts w:ascii="Calibri" w:eastAsia="Calibri"/>
        </w:rPr>
        <w:t>E </w:t>
      </w:r>
      <w:r>
        <w:rPr/>
        <w:t>为前一日的基金资产净值扣除基金资产中目标 </w:t>
      </w:r>
      <w:r>
        <w:rPr>
          <w:rFonts w:ascii="Calibri" w:eastAsia="Calibri"/>
        </w:rPr>
        <w:t>ETF </w:t>
      </w:r>
      <w:r>
        <w:rPr/>
        <w:t>份额所对应资产净值后剩余部分， 若为负数，则</w:t>
      </w:r>
      <w:r>
        <w:rPr>
          <w:rFonts w:ascii="Calibri" w:eastAsia="Calibri"/>
        </w:rPr>
        <w:t>E </w:t>
      </w:r>
      <w:r>
        <w:rPr/>
        <w:t>取 </w:t>
      </w:r>
      <w:r>
        <w:rPr>
          <w:rFonts w:ascii="Calibri" w:eastAsia="Calibri"/>
        </w:rPr>
        <w:t>0</w:t>
      </w:r>
      <w:r>
        <w:rPr/>
        <w:t>。</w:t>
      </w:r>
    </w:p>
    <w:p>
      <w:pPr>
        <w:pStyle w:val="BodyText"/>
        <w:spacing w:line="417" w:lineRule="auto"/>
        <w:ind w:left="160" w:right="871" w:firstLine="419"/>
        <w:jc w:val="both"/>
      </w:pPr>
      <w:r>
        <w:rPr>
          <w:spacing w:val="-9"/>
        </w:rPr>
        <w:t>基金托管费每日计算，逐日累计至每月月末，按月支付，由基金托管人根据与基金管理</w:t>
      </w:r>
      <w:r>
        <w:rPr>
          <w:spacing w:val="-12"/>
        </w:rPr>
        <w:t>人核对一致的财务数据，自动在次月前 </w:t>
      </w:r>
      <w:r>
        <w:rPr>
          <w:rFonts w:ascii="Calibri" w:eastAsia="Calibri"/>
        </w:rPr>
        <w:t>5 </w:t>
      </w:r>
      <w:r>
        <w:rPr>
          <w:spacing w:val="-9"/>
        </w:rPr>
        <w:t>个工作日内，按照指定的账户路径从基金财产中一</w:t>
      </w:r>
      <w:r>
        <w:rPr>
          <w:spacing w:val="-5"/>
        </w:rPr>
        <w:t>次性支取。若遇法定节假日、公休日等，支付日期顺延。</w:t>
      </w:r>
    </w:p>
    <w:p>
      <w:pPr>
        <w:pStyle w:val="BodyText"/>
        <w:spacing w:line="269" w:lineRule="exact"/>
        <w:ind w:left="580"/>
      </w:pPr>
      <w:r>
        <w:rPr>
          <w:rFonts w:ascii="Calibri" w:eastAsia="Calibri"/>
        </w:rPr>
        <w:t>3</w:t>
      </w:r>
      <w:r>
        <w:rPr/>
        <w:t>、销售服务费</w:t>
      </w:r>
    </w:p>
    <w:p>
      <w:pPr>
        <w:pStyle w:val="BodyText"/>
        <w:spacing w:before="6"/>
        <w:rPr>
          <w:sz w:val="15"/>
        </w:rPr>
      </w:pPr>
    </w:p>
    <w:p>
      <w:pPr>
        <w:pStyle w:val="BodyText"/>
        <w:spacing w:line="417" w:lineRule="auto"/>
        <w:ind w:left="160" w:right="765" w:firstLine="419"/>
      </w:pPr>
      <w:r>
        <w:rPr>
          <w:spacing w:val="-8"/>
        </w:rPr>
        <w:t>销售服务费可用于本基金市场推广、销售以及基金份额持有人服务等各项费用。本基金</w:t>
      </w:r>
      <w:r>
        <w:rPr>
          <w:spacing w:val="-5"/>
        </w:rPr>
        <w:t>份额分为不同的类别，适用不同的销售服务费率。其中，</w:t>
      </w:r>
      <w:r>
        <w:rPr>
          <w:rFonts w:ascii="Calibri" w:eastAsia="Calibri"/>
        </w:rPr>
        <w:t>A </w:t>
      </w:r>
      <w:r>
        <w:rPr>
          <w:spacing w:val="-3"/>
        </w:rPr>
        <w:t>类基金份额不收取销售服务费， </w:t>
      </w:r>
      <w:r>
        <w:rPr>
          <w:rFonts w:ascii="Calibri" w:eastAsia="Calibri"/>
          <w:spacing w:val="-3"/>
        </w:rPr>
        <w:t>C</w:t>
      </w:r>
      <w:r>
        <w:rPr>
          <w:rFonts w:ascii="Calibri" w:eastAsia="Calibri"/>
          <w:spacing w:val="5"/>
        </w:rPr>
        <w:t> </w:t>
      </w:r>
      <w:r>
        <w:rPr>
          <w:spacing w:val="-7"/>
        </w:rPr>
        <w:t>类基金份额销售服务费年费率为 </w:t>
      </w:r>
      <w:r>
        <w:rPr>
          <w:rFonts w:ascii="Calibri" w:eastAsia="Calibri"/>
        </w:rPr>
        <w:t>0.3%</w:t>
      </w:r>
      <w:r>
        <w:rPr/>
        <w:t>。</w:t>
      </w:r>
    </w:p>
    <w:p>
      <w:pPr>
        <w:pStyle w:val="BodyText"/>
        <w:ind w:left="580"/>
      </w:pPr>
      <w:r>
        <w:rPr/>
        <w:t>各类别基金份额的销售服务费计算方法如下：</w:t>
      </w:r>
    </w:p>
    <w:p>
      <w:pPr>
        <w:pStyle w:val="BodyText"/>
        <w:spacing w:before="7"/>
        <w:rPr>
          <w:sz w:val="15"/>
        </w:rPr>
      </w:pPr>
    </w:p>
    <w:p>
      <w:pPr>
        <w:pStyle w:val="BodyText"/>
        <w:ind w:left="580"/>
      </w:pPr>
      <w:r>
        <w:rPr>
          <w:rFonts w:ascii="Calibri" w:hAnsi="Calibri" w:eastAsia="Calibri"/>
        </w:rPr>
        <w:t>H</w:t>
      </w:r>
      <w:r>
        <w:rPr/>
        <w:t>＝</w:t>
      </w:r>
      <w:r>
        <w:rPr>
          <w:rFonts w:ascii="Calibri" w:hAnsi="Calibri" w:eastAsia="Calibri"/>
        </w:rPr>
        <w:t>E×R÷</w:t>
      </w:r>
      <w:r>
        <w:rPr/>
        <w:t>当年天数</w:t>
      </w:r>
    </w:p>
    <w:p>
      <w:pPr>
        <w:pStyle w:val="BodyText"/>
        <w:spacing w:before="6"/>
        <w:rPr>
          <w:sz w:val="15"/>
        </w:rPr>
      </w:pPr>
    </w:p>
    <w:p>
      <w:pPr>
        <w:pStyle w:val="BodyText"/>
        <w:spacing w:before="1"/>
        <w:ind w:left="580"/>
      </w:pPr>
      <w:r>
        <w:rPr>
          <w:rFonts w:ascii="Calibri" w:eastAsia="Calibri"/>
        </w:rPr>
        <w:t>H </w:t>
      </w:r>
      <w:r>
        <w:rPr/>
        <w:t>为各类别基金份额每日应计提的销售服务费</w:t>
      </w:r>
    </w:p>
    <w:p>
      <w:pPr>
        <w:pStyle w:val="BodyText"/>
        <w:spacing w:before="6"/>
        <w:rPr>
          <w:sz w:val="15"/>
        </w:rPr>
      </w:pPr>
    </w:p>
    <w:p>
      <w:pPr>
        <w:pStyle w:val="BodyText"/>
        <w:ind w:left="580"/>
      </w:pPr>
      <w:r>
        <w:rPr>
          <w:rFonts w:ascii="Calibri" w:eastAsia="Calibri"/>
        </w:rPr>
        <w:t>E</w:t>
      </w:r>
      <w:r>
        <w:rPr>
          <w:rFonts w:ascii="Calibri" w:eastAsia="Calibri"/>
          <w:spacing w:val="25"/>
        </w:rPr>
        <w:t> </w:t>
      </w:r>
      <w:r>
        <w:rPr>
          <w:spacing w:val="-3"/>
        </w:rPr>
        <w:t>为各类别基金份额前一日基金资产净值</w:t>
      </w:r>
    </w:p>
    <w:p>
      <w:pPr>
        <w:pStyle w:val="BodyText"/>
        <w:spacing w:before="7"/>
        <w:rPr>
          <w:sz w:val="15"/>
        </w:rPr>
      </w:pPr>
    </w:p>
    <w:p>
      <w:pPr>
        <w:pStyle w:val="BodyText"/>
        <w:ind w:left="580"/>
      </w:pPr>
      <w:r>
        <w:rPr>
          <w:rFonts w:ascii="Calibri" w:eastAsia="Calibri"/>
        </w:rPr>
        <w:t>R</w:t>
      </w:r>
      <w:r>
        <w:rPr>
          <w:rFonts w:ascii="Calibri" w:eastAsia="Calibri"/>
          <w:spacing w:val="26"/>
        </w:rPr>
        <w:t> </w:t>
      </w:r>
      <w:r>
        <w:rPr>
          <w:spacing w:val="-3"/>
        </w:rPr>
        <w:t>为各类别基金份额适用的销售服务费率</w:t>
      </w:r>
    </w:p>
    <w:p>
      <w:pPr>
        <w:pStyle w:val="BodyText"/>
        <w:spacing w:before="7"/>
        <w:rPr>
          <w:sz w:val="15"/>
        </w:rPr>
      </w:pPr>
    </w:p>
    <w:p>
      <w:pPr>
        <w:pStyle w:val="BodyText"/>
        <w:spacing w:line="417" w:lineRule="auto"/>
        <w:ind w:left="160" w:right="871" w:firstLine="419"/>
      </w:pPr>
      <w:r>
        <w:rPr>
          <w:spacing w:val="-9"/>
        </w:rPr>
        <w:t>销售服务费每日计算，逐日累计至每月月末，按月支付。由基金托管人根据与基金管理</w:t>
      </w:r>
      <w:r>
        <w:rPr>
          <w:spacing w:val="-12"/>
        </w:rPr>
        <w:t>人核对一致的财务数据，自动在月初 </w:t>
      </w:r>
      <w:r>
        <w:rPr>
          <w:rFonts w:ascii="Calibri" w:eastAsia="Calibri"/>
        </w:rPr>
        <w:t>5 </w:t>
      </w:r>
      <w:r>
        <w:rPr>
          <w:spacing w:val="-6"/>
        </w:rPr>
        <w:t>个工作日内从基金财产中一次性划出，经登记机构分</w:t>
      </w:r>
    </w:p>
    <w:p>
      <w:pPr>
        <w:spacing w:after="0" w:line="417" w:lineRule="auto"/>
        <w:sectPr>
          <w:footerReference w:type="default" r:id="rId154"/>
          <w:pgSz w:w="11910" w:h="16840"/>
          <w:pgMar w:footer="995" w:header="877" w:top="1420" w:bottom="1180" w:left="1640" w:right="920"/>
          <w:pgNumType w:start="151"/>
        </w:sectPr>
      </w:pPr>
    </w:p>
    <w:p>
      <w:pPr>
        <w:pStyle w:val="BodyText"/>
        <w:spacing w:before="110"/>
        <w:ind w:left="160"/>
      </w:pPr>
      <w:r>
        <w:rPr/>
        <w:t>别支付给各个基金销售机构。若遇法定节假日、公休日等，支付日期顺延。</w:t>
      </w:r>
    </w:p>
    <w:p>
      <w:pPr>
        <w:pStyle w:val="BodyText"/>
        <w:spacing w:before="6"/>
        <w:rPr>
          <w:sz w:val="15"/>
        </w:rPr>
      </w:pPr>
    </w:p>
    <w:p>
      <w:pPr>
        <w:pStyle w:val="BodyText"/>
        <w:spacing w:line="417" w:lineRule="auto"/>
        <w:ind w:left="160" w:right="873" w:firstLine="419"/>
      </w:pPr>
      <w:r>
        <w:rPr/>
        <w:t>上述</w:t>
      </w:r>
      <w:r>
        <w:rPr>
          <w:rFonts w:ascii="Calibri" w:hAnsi="Calibri" w:eastAsia="Calibri"/>
        </w:rPr>
        <w:t>“</w:t>
      </w:r>
      <w:r>
        <w:rPr>
          <w:spacing w:val="-6"/>
        </w:rPr>
        <w:t>一、基金费用的种类</w:t>
      </w:r>
      <w:r>
        <w:rPr>
          <w:rFonts w:ascii="Calibri" w:hAnsi="Calibri" w:eastAsia="Calibri"/>
        </w:rPr>
        <w:t>”</w:t>
      </w:r>
      <w:r>
        <w:rPr>
          <w:spacing w:val="-14"/>
        </w:rPr>
        <w:t>中第 </w:t>
      </w:r>
      <w:r>
        <w:rPr>
          <w:rFonts w:ascii="Calibri" w:hAnsi="Calibri" w:eastAsia="Calibri"/>
        </w:rPr>
        <w:t>4</w:t>
      </w:r>
      <w:r>
        <w:rPr/>
        <w:t>－</w:t>
      </w:r>
      <w:r>
        <w:rPr>
          <w:rFonts w:ascii="Calibri" w:hAnsi="Calibri" w:eastAsia="Calibri"/>
        </w:rPr>
        <w:t>12 </w:t>
      </w:r>
      <w:r>
        <w:rPr>
          <w:spacing w:val="-7"/>
        </w:rPr>
        <w:t>项费用，根据有关法规及相应协议规定，按费用</w:t>
      </w:r>
      <w:r>
        <w:rPr>
          <w:spacing w:val="-5"/>
        </w:rPr>
        <w:t>实际支出金额列入当期费用，由基金托管人从基金财产中支付。</w:t>
      </w:r>
    </w:p>
    <w:p>
      <w:pPr>
        <w:pStyle w:val="BodyText"/>
        <w:spacing w:line="417" w:lineRule="auto"/>
        <w:ind w:left="580" w:right="6241"/>
      </w:pPr>
      <w:r>
        <w:rPr/>
        <w:t>三、不列入基金费用的项目下列费用不列入基金费用：</w:t>
      </w:r>
    </w:p>
    <w:p>
      <w:pPr>
        <w:pStyle w:val="BodyText"/>
        <w:spacing w:line="417" w:lineRule="auto"/>
        <w:ind w:left="160" w:right="874" w:firstLine="419"/>
      </w:pPr>
      <w:r>
        <w:rPr>
          <w:rFonts w:ascii="Calibri" w:eastAsia="Calibri"/>
        </w:rPr>
        <w:t>1</w:t>
      </w:r>
      <w:r>
        <w:rPr/>
        <w:t>、基金管理人和基金托管人因未履行或未完全履行义务导致的费用支出或基金财产的损失；</w:t>
      </w:r>
    </w:p>
    <w:p>
      <w:pPr>
        <w:pStyle w:val="BodyText"/>
        <w:ind w:left="580"/>
      </w:pPr>
      <w:r>
        <w:rPr>
          <w:rFonts w:ascii="Calibri" w:eastAsia="Calibri"/>
        </w:rPr>
        <w:t>2</w:t>
      </w:r>
      <w:r>
        <w:rPr/>
        <w:t>、基金管理人和基金托管人处理与基金运作无关的事项发生的费用；</w:t>
      </w:r>
    </w:p>
    <w:p>
      <w:pPr>
        <w:pStyle w:val="BodyText"/>
        <w:spacing w:before="7"/>
        <w:rPr>
          <w:sz w:val="15"/>
        </w:rPr>
      </w:pPr>
    </w:p>
    <w:p>
      <w:pPr>
        <w:pStyle w:val="BodyText"/>
        <w:ind w:left="580"/>
      </w:pPr>
      <w:r>
        <w:rPr>
          <w:rFonts w:ascii="Calibri" w:eastAsia="Calibri"/>
        </w:rPr>
        <w:t>3</w:t>
      </w:r>
      <w:r>
        <w:rPr/>
        <w:t>、《基金合同》生效前的相关费用；</w:t>
      </w:r>
    </w:p>
    <w:p>
      <w:pPr>
        <w:pStyle w:val="BodyText"/>
        <w:spacing w:before="6"/>
        <w:rPr>
          <w:sz w:val="15"/>
        </w:rPr>
      </w:pPr>
    </w:p>
    <w:p>
      <w:pPr>
        <w:pStyle w:val="BodyText"/>
        <w:spacing w:line="417" w:lineRule="auto" w:before="1"/>
        <w:ind w:left="580" w:right="1512"/>
      </w:pPr>
      <w:r>
        <w:rPr>
          <w:rFonts w:ascii="Calibri" w:eastAsia="Calibri"/>
        </w:rPr>
        <w:t>4</w:t>
      </w:r>
      <w:r>
        <w:rPr/>
        <w:t>、其他根据相关法律法规及中国证监会的有关规定不得列入基金费用的项目。四、基金税收</w:t>
      </w:r>
    </w:p>
    <w:p>
      <w:pPr>
        <w:tabs>
          <w:tab w:pos="3578" w:val="left" w:leader="none"/>
        </w:tabs>
        <w:spacing w:line="417" w:lineRule="auto" w:before="0"/>
        <w:ind w:left="2522" w:right="1406" w:hanging="1943"/>
        <w:jc w:val="left"/>
        <w:rPr>
          <w:b/>
          <w:sz w:val="21"/>
        </w:rPr>
      </w:pPr>
      <w:r>
        <w:rPr>
          <w:sz w:val="21"/>
        </w:rPr>
        <w:t>本基</w:t>
      </w:r>
      <w:r>
        <w:rPr>
          <w:spacing w:val="-3"/>
          <w:sz w:val="21"/>
        </w:rPr>
        <w:t>金</w:t>
      </w:r>
      <w:r>
        <w:rPr>
          <w:sz w:val="21"/>
        </w:rPr>
        <w:t>运</w:t>
      </w:r>
      <w:r>
        <w:rPr>
          <w:spacing w:val="-3"/>
          <w:sz w:val="21"/>
        </w:rPr>
        <w:t>作</w:t>
      </w:r>
      <w:r>
        <w:rPr>
          <w:sz w:val="21"/>
        </w:rPr>
        <w:t>过</w:t>
      </w:r>
      <w:r>
        <w:rPr>
          <w:spacing w:val="-3"/>
          <w:sz w:val="21"/>
        </w:rPr>
        <w:t>程</w:t>
      </w:r>
      <w:r>
        <w:rPr>
          <w:sz w:val="21"/>
        </w:rPr>
        <w:t>中</w:t>
      </w:r>
      <w:r>
        <w:rPr>
          <w:spacing w:val="-3"/>
          <w:sz w:val="21"/>
        </w:rPr>
        <w:t>涉</w:t>
      </w:r>
      <w:r>
        <w:rPr>
          <w:sz w:val="21"/>
        </w:rPr>
        <w:t>及</w:t>
      </w:r>
      <w:r>
        <w:rPr>
          <w:spacing w:val="-3"/>
          <w:sz w:val="21"/>
        </w:rPr>
        <w:t>的</w:t>
      </w:r>
      <w:r>
        <w:rPr>
          <w:sz w:val="21"/>
        </w:rPr>
        <w:t>各纳</w:t>
      </w:r>
      <w:r>
        <w:rPr>
          <w:spacing w:val="-3"/>
          <w:sz w:val="21"/>
        </w:rPr>
        <w:t>税</w:t>
      </w:r>
      <w:r>
        <w:rPr>
          <w:sz w:val="21"/>
        </w:rPr>
        <w:t>主</w:t>
      </w:r>
      <w:r>
        <w:rPr>
          <w:spacing w:val="-3"/>
          <w:sz w:val="21"/>
        </w:rPr>
        <w:t>体</w:t>
      </w:r>
      <w:r>
        <w:rPr>
          <w:sz w:val="21"/>
        </w:rPr>
        <w:t>，</w:t>
      </w:r>
      <w:r>
        <w:rPr>
          <w:spacing w:val="-3"/>
          <w:sz w:val="21"/>
        </w:rPr>
        <w:t>其</w:t>
      </w:r>
      <w:r>
        <w:rPr>
          <w:sz w:val="21"/>
        </w:rPr>
        <w:t>纳</w:t>
      </w:r>
      <w:r>
        <w:rPr>
          <w:spacing w:val="-3"/>
          <w:sz w:val="21"/>
        </w:rPr>
        <w:t>税</w:t>
      </w:r>
      <w:r>
        <w:rPr>
          <w:sz w:val="21"/>
        </w:rPr>
        <w:t>义</w:t>
      </w:r>
      <w:r>
        <w:rPr>
          <w:spacing w:val="-3"/>
          <w:sz w:val="21"/>
        </w:rPr>
        <w:t>务</w:t>
      </w:r>
      <w:r>
        <w:rPr>
          <w:sz w:val="21"/>
        </w:rPr>
        <w:t>按国</w:t>
      </w:r>
      <w:r>
        <w:rPr>
          <w:spacing w:val="-3"/>
          <w:sz w:val="21"/>
        </w:rPr>
        <w:t>家</w:t>
      </w:r>
      <w:r>
        <w:rPr>
          <w:sz w:val="21"/>
        </w:rPr>
        <w:t>税</w:t>
      </w:r>
      <w:r>
        <w:rPr>
          <w:spacing w:val="-3"/>
          <w:sz w:val="21"/>
        </w:rPr>
        <w:t>收</w:t>
      </w:r>
      <w:r>
        <w:rPr>
          <w:sz w:val="21"/>
        </w:rPr>
        <w:t>法</w:t>
      </w:r>
      <w:r>
        <w:rPr>
          <w:spacing w:val="-3"/>
          <w:sz w:val="21"/>
        </w:rPr>
        <w:t>律</w:t>
      </w:r>
      <w:r>
        <w:rPr>
          <w:sz w:val="21"/>
        </w:rPr>
        <w:t>、</w:t>
      </w:r>
      <w:r>
        <w:rPr>
          <w:spacing w:val="-3"/>
          <w:sz w:val="21"/>
        </w:rPr>
        <w:t>法</w:t>
      </w:r>
      <w:r>
        <w:rPr>
          <w:sz w:val="21"/>
        </w:rPr>
        <w:t>规</w:t>
      </w:r>
      <w:r>
        <w:rPr>
          <w:spacing w:val="-3"/>
          <w:sz w:val="21"/>
        </w:rPr>
        <w:t>执</w:t>
      </w:r>
      <w:r>
        <w:rPr>
          <w:sz w:val="21"/>
        </w:rPr>
        <w:t>行。</w:t>
      </w:r>
      <w:r>
        <w:rPr>
          <w:b/>
          <w:sz w:val="21"/>
        </w:rPr>
        <w:t>第五部分</w:t>
        <w:tab/>
        <w:t>基金财</w:t>
      </w:r>
      <w:r>
        <w:rPr>
          <w:b/>
          <w:spacing w:val="-3"/>
          <w:sz w:val="21"/>
        </w:rPr>
        <w:t>产</w:t>
      </w:r>
      <w:r>
        <w:rPr>
          <w:b/>
          <w:sz w:val="21"/>
        </w:rPr>
        <w:t>的</w:t>
      </w:r>
      <w:r>
        <w:rPr>
          <w:b/>
          <w:spacing w:val="-3"/>
          <w:sz w:val="21"/>
        </w:rPr>
        <w:t>投</w:t>
      </w:r>
      <w:r>
        <w:rPr>
          <w:b/>
          <w:sz w:val="21"/>
        </w:rPr>
        <w:t>资方向和投资限制</w:t>
      </w:r>
    </w:p>
    <w:p>
      <w:pPr>
        <w:pStyle w:val="BodyText"/>
        <w:spacing w:line="269" w:lineRule="exact"/>
        <w:ind w:left="580"/>
      </w:pPr>
      <w:r>
        <w:rPr/>
        <w:t>一、投资范围</w:t>
      </w:r>
    </w:p>
    <w:p>
      <w:pPr>
        <w:pStyle w:val="BodyText"/>
        <w:spacing w:before="6"/>
        <w:rPr>
          <w:sz w:val="15"/>
        </w:rPr>
      </w:pPr>
    </w:p>
    <w:p>
      <w:pPr>
        <w:pStyle w:val="BodyText"/>
        <w:spacing w:line="417" w:lineRule="auto"/>
        <w:ind w:left="160" w:right="871" w:firstLine="419"/>
        <w:jc w:val="both"/>
      </w:pPr>
      <w:r>
        <w:rPr>
          <w:spacing w:val="-6"/>
        </w:rPr>
        <w:t>本基金主要投资于目标 </w:t>
      </w:r>
      <w:r>
        <w:rPr>
          <w:rFonts w:ascii="Calibri" w:eastAsia="Calibri"/>
        </w:rPr>
        <w:t>ETF </w:t>
      </w:r>
      <w:r>
        <w:rPr>
          <w:spacing w:val="-11"/>
        </w:rPr>
        <w:t>基金份额。为更好地实现投资目标，基金还可投资于标的指</w:t>
      </w:r>
      <w:r>
        <w:rPr>
          <w:spacing w:val="-14"/>
        </w:rPr>
        <w:t>数成份股、备选成份股、非成份股、债券</w:t>
      </w:r>
      <w:r>
        <w:rPr>
          <w:rFonts w:ascii="Calibri" w:eastAsia="Calibri"/>
        </w:rPr>
        <w:t>(</w:t>
      </w:r>
      <w:r>
        <w:rPr>
          <w:spacing w:val="-6"/>
        </w:rPr>
        <w:t>包括国内依法发行和上市交易的国债、央行票据、</w:t>
      </w:r>
      <w:r>
        <w:rPr>
          <w:spacing w:val="-13"/>
        </w:rPr>
        <w:t>金融债券、企业债券、公司债券、中期票据、短期融资券、超短期融资券、次级债券、政府</w:t>
      </w:r>
      <w:r>
        <w:rPr>
          <w:spacing w:val="-12"/>
        </w:rPr>
        <w:t>支持机构债券、政府支持债券、地方政府债券、中小企业私募债券、可转换债券、可交换债券及其他经中国证监会允许投资的债券</w:t>
      </w:r>
      <w:r>
        <w:rPr>
          <w:rFonts w:ascii="Calibri" w:eastAsia="Calibri"/>
          <w:spacing w:val="3"/>
        </w:rPr>
        <w:t>)</w:t>
      </w:r>
      <w:r>
        <w:rPr>
          <w:spacing w:val="-1"/>
        </w:rPr>
        <w:t>、股指期货、权证、股票期权、国债期货、货币市</w:t>
      </w:r>
      <w:r>
        <w:rPr>
          <w:spacing w:val="-7"/>
        </w:rPr>
        <w:t>场工具以及法律法规或中国证监会允许基金投资的其他金融工具</w:t>
      </w:r>
      <w:r>
        <w:rPr/>
        <w:t>（</w:t>
      </w:r>
      <w:r>
        <w:rPr>
          <w:spacing w:val="-3"/>
        </w:rPr>
        <w:t>但须符合中国证监会相关规定</w:t>
      </w:r>
      <w:r>
        <w:rPr>
          <w:spacing w:val="-108"/>
        </w:rPr>
        <w:t>）</w:t>
      </w:r>
      <w:r>
        <w:rPr/>
        <w:t>。</w:t>
      </w:r>
    </w:p>
    <w:p>
      <w:pPr>
        <w:pStyle w:val="BodyText"/>
        <w:spacing w:line="417" w:lineRule="auto"/>
        <w:ind w:left="160" w:right="871" w:firstLine="419"/>
      </w:pPr>
      <w:r>
        <w:rPr>
          <w:spacing w:val="-7"/>
        </w:rPr>
        <w:t>如法律法规或监管机构以后允许基金投资其他品种，基金管理人在履行适当程序后，可</w:t>
      </w:r>
      <w:r>
        <w:rPr>
          <w:spacing w:val="-5"/>
        </w:rPr>
        <w:t>以将其纳入投资范围。</w:t>
      </w:r>
    </w:p>
    <w:p>
      <w:pPr>
        <w:pStyle w:val="BodyText"/>
        <w:spacing w:line="417" w:lineRule="auto"/>
        <w:ind w:left="160" w:right="871" w:firstLine="419"/>
        <w:jc w:val="both"/>
      </w:pPr>
      <w:r>
        <w:rPr>
          <w:spacing w:val="-9"/>
        </w:rPr>
        <w:t>基金的投资组合比例为：本基金投资于目标 </w:t>
      </w:r>
      <w:r>
        <w:rPr>
          <w:rFonts w:ascii="Calibri" w:eastAsia="Calibri"/>
        </w:rPr>
        <w:t>ETF </w:t>
      </w:r>
      <w:r>
        <w:rPr>
          <w:spacing w:val="-6"/>
        </w:rPr>
        <w:t>的比例不低于基金资产净值的 </w:t>
      </w:r>
      <w:r>
        <w:rPr>
          <w:rFonts w:ascii="Calibri" w:eastAsia="Calibri"/>
        </w:rPr>
        <w:t>90%</w:t>
      </w:r>
      <w:r>
        <w:rPr>
          <w:spacing w:val="-39"/>
        </w:rPr>
        <w:t>。每</w:t>
      </w:r>
      <w:r>
        <w:rPr>
          <w:spacing w:val="-9"/>
        </w:rPr>
        <w:t>个交易日日终在扣除股指期货、国债期货、股票期权合约需缴纳的交易保证金后，保持不低</w:t>
      </w:r>
      <w:r>
        <w:rPr>
          <w:spacing w:val="-6"/>
        </w:rPr>
        <w:t>于基金资产净值 </w:t>
      </w:r>
      <w:r>
        <w:rPr>
          <w:rFonts w:ascii="Calibri" w:eastAsia="Calibri"/>
        </w:rPr>
        <w:t>5%</w:t>
      </w:r>
      <w:r>
        <w:rPr>
          <w:spacing w:val="-3"/>
        </w:rPr>
        <w:t>的现金或者到期日在一年以内的政府债券。其中，现金不包括结算备付金、存出保证金、应收申购款等。</w:t>
      </w:r>
    </w:p>
    <w:p>
      <w:pPr>
        <w:pStyle w:val="BodyText"/>
        <w:spacing w:line="268" w:lineRule="exact"/>
        <w:ind w:left="580"/>
      </w:pPr>
      <w:r>
        <w:rPr/>
        <w:t>二、投资限制</w:t>
      </w:r>
    </w:p>
    <w:p>
      <w:pPr>
        <w:pStyle w:val="BodyText"/>
        <w:spacing w:before="6"/>
        <w:rPr>
          <w:sz w:val="15"/>
        </w:rPr>
      </w:pPr>
    </w:p>
    <w:p>
      <w:pPr>
        <w:pStyle w:val="BodyText"/>
        <w:spacing w:before="1"/>
        <w:ind w:left="580"/>
      </w:pPr>
      <w:r>
        <w:rPr>
          <w:rFonts w:ascii="Calibri" w:eastAsia="Calibri"/>
        </w:rPr>
        <w:t>1</w:t>
      </w:r>
      <w:r>
        <w:rPr/>
        <w:t>、组合限制</w:t>
      </w:r>
    </w:p>
    <w:p>
      <w:pPr>
        <w:pStyle w:val="BodyText"/>
        <w:spacing w:before="6"/>
        <w:rPr>
          <w:sz w:val="15"/>
        </w:rPr>
      </w:pPr>
    </w:p>
    <w:p>
      <w:pPr>
        <w:pStyle w:val="BodyText"/>
        <w:ind w:left="580"/>
      </w:pPr>
      <w:r>
        <w:rPr/>
        <w:t>基金的投资组合应遵循以下限制：</w:t>
      </w:r>
    </w:p>
    <w:p>
      <w:pPr>
        <w:spacing w:after="0"/>
        <w:sectPr>
          <w:pgSz w:w="11910" w:h="16840"/>
          <w:pgMar w:header="877" w:footer="995" w:top="1420" w:bottom="1180" w:left="1640" w:right="920"/>
        </w:sectPr>
      </w:pPr>
    </w:p>
    <w:p>
      <w:pPr>
        <w:pStyle w:val="ListParagraph"/>
        <w:numPr>
          <w:ilvl w:val="0"/>
          <w:numId w:val="49"/>
        </w:numPr>
        <w:tabs>
          <w:tab w:pos="1110" w:val="left" w:leader="none"/>
        </w:tabs>
        <w:spacing w:line="240" w:lineRule="auto" w:before="110" w:after="0"/>
        <w:ind w:left="1109" w:right="0" w:hanging="530"/>
        <w:jc w:val="left"/>
        <w:rPr>
          <w:sz w:val="21"/>
        </w:rPr>
      </w:pPr>
      <w:r>
        <w:rPr>
          <w:spacing w:val="-9"/>
          <w:sz w:val="21"/>
        </w:rPr>
        <w:t>本基金投资于目标 </w:t>
      </w:r>
      <w:r>
        <w:rPr>
          <w:rFonts w:ascii="Calibri" w:eastAsia="Calibri"/>
          <w:sz w:val="21"/>
        </w:rPr>
        <w:t>ETF</w:t>
      </w:r>
      <w:r>
        <w:rPr>
          <w:rFonts w:ascii="Calibri" w:eastAsia="Calibri"/>
          <w:spacing w:val="4"/>
          <w:sz w:val="21"/>
        </w:rPr>
        <w:t> </w:t>
      </w:r>
      <w:r>
        <w:rPr>
          <w:spacing w:val="-7"/>
          <w:sz w:val="21"/>
        </w:rPr>
        <w:t>的比例不低于基金资产净值的 </w:t>
      </w:r>
      <w:r>
        <w:rPr>
          <w:rFonts w:ascii="Calibri" w:eastAsia="Calibri"/>
          <w:sz w:val="21"/>
        </w:rPr>
        <w:t>90%</w:t>
      </w:r>
      <w:r>
        <w:rPr>
          <w:sz w:val="21"/>
        </w:rPr>
        <w:t>；</w:t>
      </w:r>
    </w:p>
    <w:p>
      <w:pPr>
        <w:pStyle w:val="BodyText"/>
        <w:spacing w:before="6"/>
        <w:rPr>
          <w:sz w:val="15"/>
        </w:rPr>
      </w:pPr>
    </w:p>
    <w:p>
      <w:pPr>
        <w:pStyle w:val="ListParagraph"/>
        <w:numPr>
          <w:ilvl w:val="0"/>
          <w:numId w:val="49"/>
        </w:numPr>
        <w:tabs>
          <w:tab w:pos="1110" w:val="left" w:leader="none"/>
        </w:tabs>
        <w:spacing w:line="240" w:lineRule="auto" w:before="0" w:after="0"/>
        <w:ind w:left="1109" w:right="0" w:hanging="530"/>
        <w:jc w:val="left"/>
        <w:rPr>
          <w:sz w:val="21"/>
        </w:rPr>
      </w:pPr>
      <w:r>
        <w:rPr>
          <w:spacing w:val="-5"/>
          <w:sz w:val="21"/>
        </w:rPr>
        <w:t>本基金持有的全部权证，其市值不得超过基金资产净值的 </w:t>
      </w:r>
      <w:r>
        <w:rPr>
          <w:rFonts w:ascii="Calibri" w:eastAsia="Calibri"/>
          <w:sz w:val="21"/>
        </w:rPr>
        <w:t>3%</w:t>
      </w:r>
      <w:r>
        <w:rPr>
          <w:sz w:val="21"/>
        </w:rPr>
        <w:t>；</w:t>
      </w:r>
    </w:p>
    <w:p>
      <w:pPr>
        <w:pStyle w:val="BodyText"/>
        <w:spacing w:before="7"/>
        <w:rPr>
          <w:sz w:val="15"/>
        </w:rPr>
      </w:pPr>
    </w:p>
    <w:p>
      <w:pPr>
        <w:pStyle w:val="ListParagraph"/>
        <w:numPr>
          <w:ilvl w:val="0"/>
          <w:numId w:val="49"/>
        </w:numPr>
        <w:tabs>
          <w:tab w:pos="1110" w:val="left" w:leader="none"/>
        </w:tabs>
        <w:spacing w:line="240" w:lineRule="auto" w:before="0" w:after="0"/>
        <w:ind w:left="1109" w:right="0" w:hanging="530"/>
        <w:jc w:val="left"/>
        <w:rPr>
          <w:sz w:val="21"/>
        </w:rPr>
      </w:pPr>
      <w:r>
        <w:rPr>
          <w:spacing w:val="-5"/>
          <w:sz w:val="21"/>
        </w:rPr>
        <w:t>本基金管理人管理的全部基金持有的同一权证，不得超过该权证的 </w:t>
      </w:r>
      <w:r>
        <w:rPr>
          <w:rFonts w:ascii="Calibri" w:eastAsia="Calibri"/>
          <w:sz w:val="21"/>
        </w:rPr>
        <w:t>10%</w:t>
      </w:r>
      <w:r>
        <w:rPr>
          <w:sz w:val="21"/>
        </w:rPr>
        <w:t>；</w:t>
      </w:r>
    </w:p>
    <w:p>
      <w:pPr>
        <w:pStyle w:val="BodyText"/>
        <w:spacing w:before="7"/>
        <w:rPr>
          <w:sz w:val="15"/>
        </w:rPr>
      </w:pPr>
    </w:p>
    <w:p>
      <w:pPr>
        <w:pStyle w:val="ListParagraph"/>
        <w:numPr>
          <w:ilvl w:val="0"/>
          <w:numId w:val="49"/>
        </w:numPr>
        <w:tabs>
          <w:tab w:pos="1126" w:val="left" w:leader="none"/>
        </w:tabs>
        <w:spacing w:line="240" w:lineRule="auto" w:before="0" w:after="0"/>
        <w:ind w:left="1125" w:right="0" w:hanging="546"/>
        <w:jc w:val="left"/>
        <w:rPr>
          <w:sz w:val="21"/>
        </w:rPr>
      </w:pPr>
      <w:r>
        <w:rPr>
          <w:spacing w:val="3"/>
          <w:sz w:val="21"/>
        </w:rPr>
        <w:t>本基金在任何交易日买入权证的总金额，不得超过上一交易日基金资产净值的</w:t>
      </w:r>
    </w:p>
    <w:p>
      <w:pPr>
        <w:pStyle w:val="BodyText"/>
        <w:spacing w:before="7"/>
        <w:rPr>
          <w:sz w:val="15"/>
        </w:rPr>
      </w:pPr>
    </w:p>
    <w:p>
      <w:pPr>
        <w:pStyle w:val="BodyText"/>
        <w:ind w:left="160"/>
      </w:pPr>
      <w:r>
        <w:rPr>
          <w:rFonts w:ascii="Calibri" w:eastAsia="Calibri"/>
        </w:rPr>
        <w:t>0.5%</w:t>
      </w:r>
      <w:r>
        <w:rPr/>
        <w:t>；</w:t>
      </w:r>
    </w:p>
    <w:p>
      <w:pPr>
        <w:pStyle w:val="BodyText"/>
        <w:spacing w:before="6"/>
        <w:rPr>
          <w:sz w:val="15"/>
        </w:rPr>
      </w:pPr>
    </w:p>
    <w:p>
      <w:pPr>
        <w:pStyle w:val="ListParagraph"/>
        <w:numPr>
          <w:ilvl w:val="0"/>
          <w:numId w:val="49"/>
        </w:numPr>
        <w:tabs>
          <w:tab w:pos="1112" w:val="left" w:leader="none"/>
        </w:tabs>
        <w:spacing w:line="417" w:lineRule="auto" w:before="0" w:after="0"/>
        <w:ind w:left="160" w:right="874" w:firstLine="419"/>
        <w:jc w:val="both"/>
        <w:rPr>
          <w:sz w:val="21"/>
        </w:rPr>
      </w:pPr>
      <w:r>
        <w:rPr>
          <w:spacing w:val="-3"/>
          <w:sz w:val="21"/>
        </w:rPr>
        <w:t>本基金投资于同一原始权益人的各类资产支持证券的比例，不得超过基金资产净</w:t>
      </w:r>
      <w:r>
        <w:rPr>
          <w:spacing w:val="-21"/>
          <w:sz w:val="21"/>
        </w:rPr>
        <w:t>值的 </w:t>
      </w:r>
      <w:r>
        <w:rPr>
          <w:rFonts w:ascii="Calibri" w:eastAsia="Calibri"/>
          <w:sz w:val="21"/>
        </w:rPr>
        <w:t>10%</w:t>
      </w:r>
      <w:r>
        <w:rPr>
          <w:sz w:val="21"/>
        </w:rPr>
        <w:t>；</w:t>
      </w:r>
    </w:p>
    <w:p>
      <w:pPr>
        <w:pStyle w:val="ListParagraph"/>
        <w:numPr>
          <w:ilvl w:val="0"/>
          <w:numId w:val="49"/>
        </w:numPr>
        <w:tabs>
          <w:tab w:pos="1110" w:val="left" w:leader="none"/>
        </w:tabs>
        <w:spacing w:line="240" w:lineRule="auto" w:before="1" w:after="0"/>
        <w:ind w:left="1109" w:right="0" w:hanging="530"/>
        <w:jc w:val="both"/>
        <w:rPr>
          <w:sz w:val="21"/>
        </w:rPr>
      </w:pPr>
      <w:r>
        <w:rPr>
          <w:spacing w:val="-5"/>
          <w:sz w:val="21"/>
        </w:rPr>
        <w:t>本基金持有的全部资产支持证券，其市值不得超过基金资产净值的 </w:t>
      </w:r>
      <w:r>
        <w:rPr>
          <w:rFonts w:ascii="Calibri" w:eastAsia="Calibri"/>
          <w:sz w:val="21"/>
        </w:rPr>
        <w:t>20%</w:t>
      </w:r>
      <w:r>
        <w:rPr>
          <w:sz w:val="21"/>
        </w:rPr>
        <w:t>；</w:t>
      </w:r>
    </w:p>
    <w:p>
      <w:pPr>
        <w:pStyle w:val="BodyText"/>
        <w:spacing w:before="6"/>
        <w:rPr>
          <w:sz w:val="15"/>
        </w:rPr>
      </w:pPr>
    </w:p>
    <w:p>
      <w:pPr>
        <w:pStyle w:val="ListParagraph"/>
        <w:numPr>
          <w:ilvl w:val="0"/>
          <w:numId w:val="49"/>
        </w:numPr>
        <w:tabs>
          <w:tab w:pos="1116" w:val="left" w:leader="none"/>
        </w:tabs>
        <w:spacing w:line="417" w:lineRule="auto" w:before="0" w:after="0"/>
        <w:ind w:left="160" w:right="877" w:firstLine="419"/>
        <w:jc w:val="both"/>
        <w:rPr>
          <w:sz w:val="21"/>
        </w:rPr>
      </w:pPr>
      <w:r>
        <w:rPr>
          <w:sz w:val="21"/>
        </w:rPr>
        <w:t>本基金持有的同一</w:t>
      </w:r>
      <w:r>
        <w:rPr>
          <w:rFonts w:ascii="Calibri" w:eastAsia="Calibri"/>
          <w:sz w:val="21"/>
        </w:rPr>
        <w:t>(</w:t>
      </w:r>
      <w:r>
        <w:rPr>
          <w:sz w:val="21"/>
        </w:rPr>
        <w:t>指同一信用级别</w:t>
      </w:r>
      <w:r>
        <w:rPr>
          <w:rFonts w:ascii="Calibri" w:eastAsia="Calibri"/>
          <w:spacing w:val="3"/>
          <w:sz w:val="21"/>
        </w:rPr>
        <w:t>)</w:t>
      </w:r>
      <w:r>
        <w:rPr>
          <w:spacing w:val="-1"/>
          <w:sz w:val="21"/>
        </w:rPr>
        <w:t>资产支持证券的比例，不得超过该资产支持</w:t>
      </w:r>
      <w:r>
        <w:rPr>
          <w:spacing w:val="-11"/>
          <w:sz w:val="21"/>
        </w:rPr>
        <w:t>证券规模的 </w:t>
      </w:r>
      <w:r>
        <w:rPr>
          <w:rFonts w:ascii="Calibri" w:eastAsia="Calibri"/>
          <w:sz w:val="21"/>
        </w:rPr>
        <w:t>10%</w:t>
      </w:r>
      <w:r>
        <w:rPr>
          <w:sz w:val="21"/>
        </w:rPr>
        <w:t>；</w:t>
      </w:r>
    </w:p>
    <w:p>
      <w:pPr>
        <w:pStyle w:val="ListParagraph"/>
        <w:numPr>
          <w:ilvl w:val="0"/>
          <w:numId w:val="49"/>
        </w:numPr>
        <w:tabs>
          <w:tab w:pos="1112" w:val="left" w:leader="none"/>
        </w:tabs>
        <w:spacing w:line="417" w:lineRule="auto" w:before="0" w:after="0"/>
        <w:ind w:left="160" w:right="874" w:firstLine="419"/>
        <w:jc w:val="both"/>
        <w:rPr>
          <w:sz w:val="21"/>
        </w:rPr>
      </w:pPr>
      <w:r>
        <w:rPr>
          <w:spacing w:val="-3"/>
          <w:sz w:val="21"/>
        </w:rPr>
        <w:t>本基金管理人管理的全部基金投资于同一原始权益人的各类资产支持证券，不得</w:t>
      </w:r>
      <w:r>
        <w:rPr>
          <w:spacing w:val="-6"/>
          <w:sz w:val="21"/>
        </w:rPr>
        <w:t>超过其各类资产支持证券合计规模的 </w:t>
      </w:r>
      <w:r>
        <w:rPr>
          <w:rFonts w:ascii="Calibri" w:eastAsia="Calibri"/>
          <w:sz w:val="21"/>
        </w:rPr>
        <w:t>10%</w:t>
      </w:r>
      <w:r>
        <w:rPr>
          <w:sz w:val="21"/>
        </w:rPr>
        <w:t>；</w:t>
      </w:r>
    </w:p>
    <w:p>
      <w:pPr>
        <w:pStyle w:val="ListParagraph"/>
        <w:numPr>
          <w:ilvl w:val="0"/>
          <w:numId w:val="49"/>
        </w:numPr>
        <w:tabs>
          <w:tab w:pos="1110" w:val="left" w:leader="none"/>
        </w:tabs>
        <w:spacing w:line="417" w:lineRule="auto" w:before="0" w:after="0"/>
        <w:ind w:left="160" w:right="871" w:firstLine="419"/>
        <w:jc w:val="both"/>
        <w:rPr>
          <w:sz w:val="21"/>
        </w:rPr>
      </w:pPr>
      <w:r>
        <w:rPr>
          <w:spacing w:val="-4"/>
          <w:sz w:val="21"/>
        </w:rPr>
        <w:t>本基金应投资于信用级别评级为 </w:t>
      </w:r>
      <w:r>
        <w:rPr>
          <w:rFonts w:ascii="Calibri" w:eastAsia="Calibri"/>
          <w:sz w:val="21"/>
        </w:rPr>
        <w:t>BBB</w:t>
      </w:r>
      <w:r>
        <w:rPr>
          <w:rFonts w:ascii="Calibri" w:eastAsia="Calibri"/>
          <w:spacing w:val="42"/>
          <w:sz w:val="21"/>
        </w:rPr>
        <w:t> </w:t>
      </w:r>
      <w:r>
        <w:rPr>
          <w:sz w:val="21"/>
        </w:rPr>
        <w:t>以上</w:t>
      </w:r>
      <w:r>
        <w:rPr>
          <w:rFonts w:ascii="Calibri" w:eastAsia="Calibri"/>
          <w:sz w:val="21"/>
        </w:rPr>
        <w:t>(</w:t>
      </w:r>
      <w:r>
        <w:rPr>
          <w:spacing w:val="-7"/>
          <w:sz w:val="21"/>
        </w:rPr>
        <w:t>含 </w:t>
      </w:r>
      <w:r>
        <w:rPr>
          <w:rFonts w:ascii="Calibri" w:eastAsia="Calibri"/>
          <w:sz w:val="21"/>
        </w:rPr>
        <w:t>BBB)</w:t>
      </w:r>
      <w:r>
        <w:rPr>
          <w:spacing w:val="-3"/>
          <w:sz w:val="21"/>
        </w:rPr>
        <w:t>的资产支持证券。基金持有资</w:t>
      </w:r>
      <w:r>
        <w:rPr>
          <w:spacing w:val="-1"/>
          <w:sz w:val="21"/>
        </w:rPr>
        <w:t>产支持证券期间，如果其信用等级下降、不再符合投资标准，应在评级报告发布之日起 </w:t>
      </w:r>
      <w:r>
        <w:rPr>
          <w:rFonts w:ascii="Calibri" w:eastAsia="Calibri"/>
          <w:sz w:val="21"/>
        </w:rPr>
        <w:t>3 </w:t>
      </w:r>
      <w:r>
        <w:rPr>
          <w:spacing w:val="-3"/>
          <w:sz w:val="21"/>
        </w:rPr>
        <w:t>个月内予以全部卖出；</w:t>
      </w:r>
    </w:p>
    <w:p>
      <w:pPr>
        <w:pStyle w:val="ListParagraph"/>
        <w:numPr>
          <w:ilvl w:val="0"/>
          <w:numId w:val="49"/>
        </w:numPr>
        <w:tabs>
          <w:tab w:pos="1215" w:val="left" w:leader="none"/>
        </w:tabs>
        <w:spacing w:line="417" w:lineRule="auto" w:before="0" w:after="0"/>
        <w:ind w:left="160" w:right="875" w:firstLine="419"/>
        <w:jc w:val="left"/>
        <w:rPr>
          <w:sz w:val="21"/>
        </w:rPr>
      </w:pPr>
      <w:r>
        <w:rPr>
          <w:spacing w:val="-7"/>
          <w:sz w:val="21"/>
        </w:rPr>
        <w:t>基金财产参与股票发行申购，本基金所申报的金额不超过本基金的总资产，本 </w:t>
      </w:r>
      <w:r>
        <w:rPr>
          <w:spacing w:val="-3"/>
          <w:sz w:val="21"/>
        </w:rPr>
        <w:t>基金所申报的股票数量不超过拟发行股票公司本次发行股票的总量；</w:t>
      </w:r>
    </w:p>
    <w:p>
      <w:pPr>
        <w:pStyle w:val="ListParagraph"/>
        <w:numPr>
          <w:ilvl w:val="0"/>
          <w:numId w:val="49"/>
        </w:numPr>
        <w:tabs>
          <w:tab w:pos="1215" w:val="left" w:leader="none"/>
        </w:tabs>
        <w:spacing w:line="417" w:lineRule="auto" w:before="0" w:after="0"/>
        <w:ind w:left="160" w:right="871" w:firstLine="419"/>
        <w:jc w:val="left"/>
        <w:rPr>
          <w:sz w:val="21"/>
        </w:rPr>
      </w:pPr>
      <w:r>
        <w:rPr>
          <w:spacing w:val="-3"/>
          <w:sz w:val="21"/>
        </w:rPr>
        <w:t>本基金进入全国银行间同业市场进行债券回购的资金余额不得超过基金资产净</w:t>
      </w:r>
      <w:r>
        <w:rPr>
          <w:spacing w:val="-18"/>
          <w:sz w:val="21"/>
        </w:rPr>
        <w:t>值的 </w:t>
      </w:r>
      <w:r>
        <w:rPr>
          <w:rFonts w:ascii="Calibri" w:eastAsia="Calibri"/>
          <w:sz w:val="21"/>
        </w:rPr>
        <w:t>40%</w:t>
      </w:r>
      <w:r>
        <w:rPr>
          <w:sz w:val="21"/>
        </w:rPr>
        <w:t>；</w:t>
      </w:r>
    </w:p>
    <w:p>
      <w:pPr>
        <w:pStyle w:val="ListParagraph"/>
        <w:numPr>
          <w:ilvl w:val="0"/>
          <w:numId w:val="49"/>
        </w:numPr>
        <w:tabs>
          <w:tab w:pos="1215" w:val="left" w:leader="none"/>
        </w:tabs>
        <w:spacing w:line="417" w:lineRule="auto" w:before="0" w:after="0"/>
        <w:ind w:left="160" w:right="871" w:firstLine="419"/>
        <w:jc w:val="both"/>
        <w:rPr>
          <w:sz w:val="21"/>
        </w:rPr>
      </w:pPr>
      <w:r>
        <w:rPr>
          <w:spacing w:val="-7"/>
          <w:sz w:val="21"/>
        </w:rPr>
        <w:t>本基金在任何交易日日终，持有的买入股指期货合约价值，不得超过基金资产 </w:t>
      </w:r>
      <w:r>
        <w:rPr>
          <w:spacing w:val="-11"/>
          <w:sz w:val="21"/>
        </w:rPr>
        <w:t>净值的 </w:t>
      </w:r>
      <w:r>
        <w:rPr>
          <w:rFonts w:ascii="Calibri" w:eastAsia="Calibri"/>
          <w:spacing w:val="-12"/>
          <w:sz w:val="21"/>
        </w:rPr>
        <w:t>10%</w:t>
      </w:r>
      <w:r>
        <w:rPr>
          <w:spacing w:val="-10"/>
          <w:sz w:val="21"/>
        </w:rPr>
        <w:t>；在任何交易日日终，持有的卖出期货合约价值不得超过基金持有的股票总市值</w:t>
      </w:r>
      <w:r>
        <w:rPr>
          <w:spacing w:val="6"/>
          <w:sz w:val="21"/>
        </w:rPr>
        <w:t>的 </w:t>
      </w:r>
      <w:r>
        <w:rPr>
          <w:rFonts w:ascii="Calibri" w:eastAsia="Calibri"/>
          <w:spacing w:val="-5"/>
          <w:sz w:val="21"/>
        </w:rPr>
        <w:t>20%</w:t>
      </w:r>
      <w:r>
        <w:rPr>
          <w:spacing w:val="-5"/>
          <w:sz w:val="21"/>
        </w:rPr>
        <w:t>，在任何交易日内交易</w:t>
      </w:r>
      <w:r>
        <w:rPr>
          <w:sz w:val="21"/>
        </w:rPr>
        <w:t>（</w:t>
      </w:r>
      <w:r>
        <w:rPr>
          <w:spacing w:val="-3"/>
          <w:sz w:val="21"/>
        </w:rPr>
        <w:t>不包括平仓</w:t>
      </w:r>
      <w:r>
        <w:rPr>
          <w:spacing w:val="-13"/>
          <w:sz w:val="21"/>
        </w:rPr>
        <w:t>）</w:t>
      </w:r>
      <w:r>
        <w:rPr>
          <w:spacing w:val="-3"/>
          <w:sz w:val="21"/>
        </w:rPr>
        <w:t>的股指期货合约的成交金额不得超过上一交</w:t>
      </w:r>
      <w:r>
        <w:rPr>
          <w:spacing w:val="-8"/>
          <w:sz w:val="21"/>
        </w:rPr>
        <w:t>易日基金资产净值的 </w:t>
      </w:r>
      <w:r>
        <w:rPr>
          <w:rFonts w:ascii="Calibri" w:eastAsia="Calibri"/>
          <w:sz w:val="21"/>
        </w:rPr>
        <w:t>20%</w:t>
      </w:r>
      <w:r>
        <w:rPr>
          <w:sz w:val="21"/>
        </w:rPr>
        <w:t>；</w:t>
      </w:r>
    </w:p>
    <w:p>
      <w:pPr>
        <w:pStyle w:val="ListParagraph"/>
        <w:numPr>
          <w:ilvl w:val="0"/>
          <w:numId w:val="49"/>
        </w:numPr>
        <w:tabs>
          <w:tab w:pos="1215" w:val="left" w:leader="none"/>
        </w:tabs>
        <w:spacing w:line="417" w:lineRule="auto" w:before="0" w:after="0"/>
        <w:ind w:left="160" w:right="871" w:firstLine="419"/>
        <w:jc w:val="both"/>
        <w:rPr>
          <w:sz w:val="21"/>
        </w:rPr>
      </w:pPr>
      <w:r>
        <w:rPr>
          <w:spacing w:val="-8"/>
          <w:sz w:val="21"/>
        </w:rPr>
        <w:t>基金在任何交易日日终，持有的买入国债期货合约价值，不得超过基金资产净 </w:t>
      </w:r>
      <w:r>
        <w:rPr>
          <w:spacing w:val="-12"/>
          <w:sz w:val="21"/>
        </w:rPr>
        <w:t>值的 </w:t>
      </w:r>
      <w:r>
        <w:rPr>
          <w:rFonts w:ascii="Calibri" w:eastAsia="Calibri"/>
          <w:spacing w:val="-13"/>
          <w:sz w:val="21"/>
        </w:rPr>
        <w:t>15%</w:t>
      </w:r>
      <w:r>
        <w:rPr>
          <w:spacing w:val="-9"/>
          <w:sz w:val="21"/>
        </w:rPr>
        <w:t>；基金在任何交易日日终，持有的卖出国债期货合约价值不得超过基金持有的债券总市值的 </w:t>
      </w:r>
      <w:r>
        <w:rPr>
          <w:rFonts w:ascii="Calibri" w:eastAsia="Calibri"/>
          <w:spacing w:val="-9"/>
          <w:sz w:val="21"/>
        </w:rPr>
        <w:t>30%</w:t>
      </w:r>
      <w:r>
        <w:rPr>
          <w:spacing w:val="-7"/>
          <w:sz w:val="21"/>
        </w:rPr>
        <w:t>；基金在任何交易日内交易</w:t>
      </w:r>
      <w:r>
        <w:rPr>
          <w:sz w:val="21"/>
        </w:rPr>
        <w:t>（</w:t>
      </w:r>
      <w:r>
        <w:rPr>
          <w:spacing w:val="-3"/>
          <w:sz w:val="21"/>
        </w:rPr>
        <w:t>不包括平仓</w:t>
      </w:r>
      <w:r>
        <w:rPr>
          <w:spacing w:val="-32"/>
          <w:sz w:val="21"/>
        </w:rPr>
        <w:t>）</w:t>
      </w:r>
      <w:r>
        <w:rPr>
          <w:spacing w:val="-3"/>
          <w:sz w:val="21"/>
        </w:rPr>
        <w:t>的国债期货合约的成交金额不得超</w:t>
      </w:r>
      <w:r>
        <w:rPr>
          <w:spacing w:val="-7"/>
          <w:sz w:val="21"/>
        </w:rPr>
        <w:t>过上一交易日基金资产净值的 </w:t>
      </w:r>
      <w:r>
        <w:rPr>
          <w:rFonts w:ascii="Calibri" w:eastAsia="Calibri"/>
          <w:sz w:val="21"/>
        </w:rPr>
        <w:t>30%</w:t>
      </w:r>
      <w:r>
        <w:rPr>
          <w:sz w:val="21"/>
        </w:rPr>
        <w:t>；</w:t>
      </w:r>
    </w:p>
    <w:p>
      <w:pPr>
        <w:pStyle w:val="ListParagraph"/>
        <w:numPr>
          <w:ilvl w:val="0"/>
          <w:numId w:val="49"/>
        </w:numPr>
        <w:tabs>
          <w:tab w:pos="1218" w:val="left" w:leader="none"/>
        </w:tabs>
        <w:spacing w:line="417" w:lineRule="auto" w:before="0" w:after="0"/>
        <w:ind w:left="160" w:right="871" w:firstLine="419"/>
        <w:jc w:val="both"/>
        <w:rPr>
          <w:sz w:val="21"/>
        </w:rPr>
      </w:pPr>
      <w:r>
        <w:rPr>
          <w:spacing w:val="-9"/>
          <w:sz w:val="21"/>
        </w:rPr>
        <w:t>在任何交易日日终，持有的买入股指期货和国债期货合约价值与有价证券市值 </w:t>
      </w:r>
      <w:r>
        <w:rPr>
          <w:spacing w:val="-7"/>
          <w:sz w:val="21"/>
        </w:rPr>
        <w:t>之和，不得超过基金资产净值的 </w:t>
      </w:r>
      <w:r>
        <w:rPr>
          <w:rFonts w:ascii="Calibri" w:eastAsia="Calibri"/>
          <w:sz w:val="21"/>
        </w:rPr>
        <w:t>100%</w:t>
      </w:r>
      <w:r>
        <w:rPr>
          <w:sz w:val="21"/>
        </w:rPr>
        <w:t>；</w:t>
      </w:r>
    </w:p>
    <w:p>
      <w:pPr>
        <w:pStyle w:val="ListParagraph"/>
        <w:numPr>
          <w:ilvl w:val="0"/>
          <w:numId w:val="49"/>
        </w:numPr>
        <w:tabs>
          <w:tab w:pos="1215" w:val="left" w:leader="none"/>
        </w:tabs>
        <w:spacing w:line="240" w:lineRule="auto" w:before="0" w:after="0"/>
        <w:ind w:left="1215" w:right="0" w:hanging="635"/>
        <w:jc w:val="left"/>
        <w:rPr>
          <w:sz w:val="21"/>
        </w:rPr>
      </w:pPr>
      <w:r>
        <w:rPr>
          <w:spacing w:val="-7"/>
          <w:sz w:val="21"/>
        </w:rPr>
        <w:t>每个交易日日终在扣除股指期货、国债期货、股票期权合约需缴纳的交易保证金</w:t>
      </w:r>
    </w:p>
    <w:p>
      <w:pPr>
        <w:spacing w:after="0" w:line="240" w:lineRule="auto"/>
        <w:jc w:val="left"/>
        <w:rPr>
          <w:sz w:val="21"/>
        </w:rPr>
        <w:sectPr>
          <w:pgSz w:w="11910" w:h="16840"/>
          <w:pgMar w:header="877" w:footer="995" w:top="1420" w:bottom="1180" w:left="1640" w:right="920"/>
        </w:sectPr>
      </w:pPr>
    </w:p>
    <w:p>
      <w:pPr>
        <w:pStyle w:val="BodyText"/>
        <w:spacing w:line="417" w:lineRule="auto" w:before="110"/>
        <w:ind w:left="160" w:right="819"/>
      </w:pPr>
      <w:r>
        <w:rPr/>
        <w:t>后，保持不低于基金资产净值 </w:t>
      </w:r>
      <w:r>
        <w:rPr>
          <w:rFonts w:ascii="Calibri" w:eastAsia="Calibri"/>
        </w:rPr>
        <w:t>5%</w:t>
      </w:r>
      <w:r>
        <w:rPr/>
        <w:t>的现金或者到期日在一年以内的政府债券，其中，现金不包括结算备付金、存出保证金、应收申购款等；</w:t>
      </w:r>
    </w:p>
    <w:p>
      <w:pPr>
        <w:pStyle w:val="ListParagraph"/>
        <w:numPr>
          <w:ilvl w:val="0"/>
          <w:numId w:val="49"/>
        </w:numPr>
        <w:tabs>
          <w:tab w:pos="1218" w:val="left" w:leader="none"/>
        </w:tabs>
        <w:spacing w:line="269" w:lineRule="exact" w:before="0" w:after="0"/>
        <w:ind w:left="1217" w:right="0" w:hanging="638"/>
        <w:jc w:val="both"/>
        <w:rPr>
          <w:sz w:val="21"/>
        </w:rPr>
      </w:pPr>
      <w:r>
        <w:rPr>
          <w:spacing w:val="-5"/>
          <w:sz w:val="21"/>
        </w:rPr>
        <w:t>本基金持有单只中小企业私募债券，其市值不得超过基金资产净值的 </w:t>
      </w:r>
      <w:r>
        <w:rPr>
          <w:rFonts w:ascii="Calibri" w:eastAsia="Calibri"/>
          <w:sz w:val="21"/>
        </w:rPr>
        <w:t>10%</w:t>
      </w:r>
      <w:r>
        <w:rPr>
          <w:sz w:val="21"/>
        </w:rPr>
        <w:t>；</w:t>
      </w:r>
    </w:p>
    <w:p>
      <w:pPr>
        <w:pStyle w:val="BodyText"/>
        <w:spacing w:before="6"/>
        <w:rPr>
          <w:sz w:val="15"/>
        </w:rPr>
      </w:pPr>
    </w:p>
    <w:p>
      <w:pPr>
        <w:pStyle w:val="ListParagraph"/>
        <w:numPr>
          <w:ilvl w:val="0"/>
          <w:numId w:val="49"/>
        </w:numPr>
        <w:tabs>
          <w:tab w:pos="1218" w:val="left" w:leader="none"/>
        </w:tabs>
        <w:spacing w:line="240" w:lineRule="auto" w:before="0" w:after="0"/>
        <w:ind w:left="1217" w:right="0" w:hanging="638"/>
        <w:jc w:val="both"/>
        <w:rPr>
          <w:sz w:val="21"/>
        </w:rPr>
      </w:pPr>
      <w:r>
        <w:rPr>
          <w:spacing w:val="-7"/>
          <w:sz w:val="21"/>
        </w:rPr>
        <w:t>基金总资产不得超过基金净资产的 </w:t>
      </w:r>
      <w:r>
        <w:rPr>
          <w:rFonts w:ascii="Calibri" w:eastAsia="Calibri"/>
          <w:sz w:val="21"/>
        </w:rPr>
        <w:t>140%</w:t>
      </w:r>
      <w:r>
        <w:rPr>
          <w:sz w:val="21"/>
        </w:rPr>
        <w:t>；</w:t>
      </w:r>
    </w:p>
    <w:p>
      <w:pPr>
        <w:pStyle w:val="BodyText"/>
        <w:spacing w:before="7"/>
        <w:rPr>
          <w:sz w:val="15"/>
        </w:rPr>
      </w:pPr>
    </w:p>
    <w:p>
      <w:pPr>
        <w:pStyle w:val="ListParagraph"/>
        <w:numPr>
          <w:ilvl w:val="0"/>
          <w:numId w:val="49"/>
        </w:numPr>
        <w:tabs>
          <w:tab w:pos="1215" w:val="left" w:leader="none"/>
        </w:tabs>
        <w:spacing w:line="417" w:lineRule="auto" w:before="0" w:after="0"/>
        <w:ind w:left="160" w:right="871" w:firstLine="419"/>
        <w:jc w:val="both"/>
        <w:rPr>
          <w:sz w:val="21"/>
        </w:rPr>
      </w:pPr>
      <w:r>
        <w:rPr>
          <w:spacing w:val="-3"/>
          <w:sz w:val="21"/>
        </w:rPr>
        <w:t>基金因未平仓的股票期权合约支付和收取的权利金总额不得超过基金资产净值</w:t>
      </w:r>
      <w:r>
        <w:rPr>
          <w:spacing w:val="11"/>
          <w:sz w:val="21"/>
        </w:rPr>
        <w:t>的 </w:t>
      </w:r>
      <w:r>
        <w:rPr>
          <w:rFonts w:ascii="Calibri" w:eastAsia="Calibri"/>
          <w:spacing w:val="-4"/>
          <w:sz w:val="21"/>
        </w:rPr>
        <w:t>10%</w:t>
      </w:r>
      <w:r>
        <w:rPr>
          <w:spacing w:val="-6"/>
          <w:sz w:val="21"/>
        </w:rPr>
        <w:t>；开仓卖出认购股票期权的，应持有足额标的证券；开仓卖出认沽股票期权的，应持有合约行权所需的全额现金或交易所规则认可的可冲抵股票期权保证金的现金等价物；未</w:t>
      </w:r>
      <w:r>
        <w:rPr>
          <w:spacing w:val="-4"/>
          <w:sz w:val="21"/>
        </w:rPr>
        <w:t>平仓的股票期权合约面值不得超过基金资产净值的 </w:t>
      </w:r>
      <w:r>
        <w:rPr>
          <w:rFonts w:ascii="Calibri" w:eastAsia="Calibri"/>
          <w:sz w:val="21"/>
        </w:rPr>
        <w:t>20%</w:t>
      </w:r>
      <w:r>
        <w:rPr>
          <w:spacing w:val="-12"/>
          <w:sz w:val="21"/>
        </w:rPr>
        <w:t>。其中，合约面值按照行权价乘以合</w:t>
      </w:r>
      <w:r>
        <w:rPr>
          <w:spacing w:val="-3"/>
          <w:sz w:val="21"/>
        </w:rPr>
        <w:t>约乘数计算；</w:t>
      </w:r>
    </w:p>
    <w:p>
      <w:pPr>
        <w:pStyle w:val="ListParagraph"/>
        <w:numPr>
          <w:ilvl w:val="0"/>
          <w:numId w:val="49"/>
        </w:numPr>
        <w:tabs>
          <w:tab w:pos="1218" w:val="left" w:leader="none"/>
        </w:tabs>
        <w:spacing w:line="417" w:lineRule="auto" w:before="0" w:after="0"/>
        <w:ind w:left="160" w:right="765" w:firstLine="419"/>
        <w:jc w:val="left"/>
        <w:rPr>
          <w:sz w:val="21"/>
        </w:rPr>
      </w:pPr>
      <w:r>
        <w:rPr>
          <w:spacing w:val="-4"/>
          <w:sz w:val="21"/>
        </w:rPr>
        <w:t>本基金主动投资于流动性受限资产的市值合计不得超过本基金资产净值的 </w:t>
      </w:r>
      <w:r>
        <w:rPr>
          <w:rFonts w:ascii="Calibri" w:eastAsia="Calibri"/>
          <w:sz w:val="21"/>
        </w:rPr>
        <w:t>15%</w:t>
      </w:r>
      <w:r>
        <w:rPr>
          <w:sz w:val="21"/>
        </w:rPr>
        <w:t>。</w:t>
      </w:r>
      <w:r>
        <w:rPr>
          <w:spacing w:val="-12"/>
          <w:sz w:val="21"/>
        </w:rPr>
        <w:t>因证券市场波动、上市公司股票停牌、基金规模变动等基金管理人之外的因素致使基金不符</w:t>
      </w:r>
      <w:r>
        <w:rPr>
          <w:spacing w:val="-6"/>
          <w:sz w:val="21"/>
        </w:rPr>
        <w:t>合前述所规定比例限制的，基金管理人不得主动新增流动性受限资产的投资。</w:t>
      </w:r>
    </w:p>
    <w:p>
      <w:pPr>
        <w:pStyle w:val="ListParagraph"/>
        <w:numPr>
          <w:ilvl w:val="0"/>
          <w:numId w:val="49"/>
        </w:numPr>
        <w:tabs>
          <w:tab w:pos="1215" w:val="left" w:leader="none"/>
        </w:tabs>
        <w:spacing w:line="417" w:lineRule="auto" w:before="0" w:after="0"/>
        <w:ind w:left="160" w:right="871" w:firstLine="419"/>
        <w:jc w:val="left"/>
        <w:rPr>
          <w:sz w:val="21"/>
        </w:rPr>
      </w:pPr>
      <w:r>
        <w:rPr>
          <w:spacing w:val="-3"/>
          <w:sz w:val="21"/>
        </w:rPr>
        <w:t>本基金与私募类证券资管产品及中国证监会认定的其他主体为交易对手开展逆回购交易的，可接受质押品的资质要求应当与基金合同约定的投资范围保持一致。</w:t>
      </w:r>
    </w:p>
    <w:p>
      <w:pPr>
        <w:pStyle w:val="ListParagraph"/>
        <w:numPr>
          <w:ilvl w:val="0"/>
          <w:numId w:val="49"/>
        </w:numPr>
        <w:tabs>
          <w:tab w:pos="1218" w:val="left" w:leader="none"/>
        </w:tabs>
        <w:spacing w:line="240" w:lineRule="auto" w:before="0" w:after="0"/>
        <w:ind w:left="1217" w:right="0" w:hanging="638"/>
        <w:jc w:val="left"/>
        <w:rPr>
          <w:sz w:val="21"/>
        </w:rPr>
      </w:pPr>
      <w:r>
        <w:rPr>
          <w:spacing w:val="-3"/>
          <w:sz w:val="21"/>
        </w:rPr>
        <w:t>法律法规及中国证监会规定的其他投资限制。</w:t>
      </w:r>
    </w:p>
    <w:p>
      <w:pPr>
        <w:pStyle w:val="BodyText"/>
        <w:spacing w:before="6"/>
        <w:rPr>
          <w:sz w:val="15"/>
        </w:rPr>
      </w:pPr>
    </w:p>
    <w:p>
      <w:pPr>
        <w:pStyle w:val="BodyText"/>
        <w:spacing w:line="417" w:lineRule="auto"/>
        <w:ind w:left="160" w:right="871" w:firstLine="419"/>
        <w:jc w:val="both"/>
      </w:pPr>
      <w:r>
        <w:rPr>
          <w:spacing w:val="-12"/>
        </w:rPr>
        <w:t>因证券、期货市场波动、基金规模变动等基金管理人之外因素致使基金投资不符合上述</w:t>
      </w:r>
      <w:r>
        <w:rPr>
          <w:spacing w:val="-24"/>
        </w:rPr>
        <w:t>第</w:t>
      </w:r>
      <w:r>
        <w:rPr>
          <w:spacing w:val="-10"/>
        </w:rPr>
        <w:t>（</w:t>
      </w:r>
      <w:r>
        <w:rPr>
          <w:rFonts w:ascii="Calibri" w:eastAsia="Calibri"/>
          <w:spacing w:val="-10"/>
        </w:rPr>
        <w:t>1</w:t>
      </w:r>
      <w:r>
        <w:rPr>
          <w:spacing w:val="-10"/>
        </w:rPr>
        <w:t>）</w:t>
      </w:r>
      <w:r>
        <w:rPr>
          <w:spacing w:val="-8"/>
        </w:rPr>
        <w:t>项约定的投资比例的，基金管理人应当在 </w:t>
      </w:r>
      <w:r>
        <w:rPr>
          <w:rFonts w:ascii="Calibri" w:eastAsia="Calibri"/>
        </w:rPr>
        <w:t>20 </w:t>
      </w:r>
      <w:r>
        <w:rPr>
          <w:spacing w:val="-6"/>
        </w:rPr>
        <w:t>个交易日内进行调整，但中国证监会规</w:t>
      </w:r>
      <w:r>
        <w:rPr>
          <w:spacing w:val="-4"/>
        </w:rPr>
        <w:t>定的特殊情形除外。</w:t>
      </w:r>
    </w:p>
    <w:p>
      <w:pPr>
        <w:pStyle w:val="BodyText"/>
        <w:spacing w:line="417" w:lineRule="auto"/>
        <w:ind w:left="160" w:right="768" w:firstLine="419"/>
      </w:pPr>
      <w:r>
        <w:rPr>
          <w:w w:val="100"/>
        </w:rPr>
        <w:t>除第</w:t>
      </w:r>
      <w:r>
        <w:rPr>
          <w:spacing w:val="-3"/>
          <w:w w:val="100"/>
        </w:rPr>
        <w:t>（</w:t>
      </w:r>
      <w:r>
        <w:rPr>
          <w:rFonts w:ascii="Calibri" w:eastAsia="Calibri"/>
          <w:w w:val="100"/>
        </w:rPr>
        <w:t>9</w:t>
      </w:r>
      <w:r>
        <w:rPr>
          <w:spacing w:val="-108"/>
          <w:w w:val="100"/>
        </w:rPr>
        <w:t>）</w:t>
      </w:r>
      <w:r>
        <w:rPr>
          <w:spacing w:val="-106"/>
          <w:w w:val="100"/>
        </w:rPr>
        <w:t>、</w:t>
      </w:r>
      <w:r>
        <w:rPr>
          <w:spacing w:val="-3"/>
          <w:w w:val="100"/>
        </w:rPr>
        <w:t>（</w:t>
      </w:r>
      <w:r>
        <w:rPr>
          <w:rFonts w:ascii="Calibri" w:eastAsia="Calibri"/>
          <w:w w:val="100"/>
        </w:rPr>
        <w:t>1</w:t>
      </w:r>
      <w:r>
        <w:rPr>
          <w:rFonts w:ascii="Calibri" w:eastAsia="Calibri"/>
          <w:spacing w:val="-2"/>
          <w:w w:val="100"/>
        </w:rPr>
        <w:t>5</w:t>
      </w:r>
      <w:r>
        <w:rPr>
          <w:spacing w:val="-106"/>
          <w:w w:val="100"/>
        </w:rPr>
        <w:t>）、</w:t>
      </w:r>
      <w:r>
        <w:rPr>
          <w:spacing w:val="-2"/>
          <w:w w:val="100"/>
        </w:rPr>
        <w:t>（</w:t>
      </w:r>
      <w:r>
        <w:rPr>
          <w:rFonts w:ascii="Calibri" w:eastAsia="Calibri"/>
          <w:spacing w:val="-2"/>
          <w:w w:val="100"/>
        </w:rPr>
        <w:t>1</w:t>
      </w:r>
      <w:r>
        <w:rPr>
          <w:rFonts w:ascii="Calibri" w:eastAsia="Calibri"/>
          <w:w w:val="100"/>
        </w:rPr>
        <w:t>9</w:t>
      </w:r>
      <w:r>
        <w:rPr>
          <w:spacing w:val="-106"/>
          <w:w w:val="100"/>
        </w:rPr>
        <w:t>）</w:t>
      </w:r>
      <w:r>
        <w:rPr>
          <w:spacing w:val="-108"/>
          <w:w w:val="100"/>
        </w:rPr>
        <w:t>、</w:t>
      </w:r>
      <w:r>
        <w:rPr>
          <w:spacing w:val="-3"/>
          <w:w w:val="100"/>
        </w:rPr>
        <w:t>（</w:t>
      </w:r>
      <w:r>
        <w:rPr>
          <w:rFonts w:ascii="Calibri" w:eastAsia="Calibri"/>
          <w:w w:val="100"/>
        </w:rPr>
        <w:t>2</w:t>
      </w:r>
      <w:r>
        <w:rPr>
          <w:rFonts w:ascii="Calibri" w:eastAsia="Calibri"/>
          <w:spacing w:val="-2"/>
          <w:w w:val="100"/>
        </w:rPr>
        <w:t>0</w:t>
      </w:r>
      <w:r>
        <w:rPr>
          <w:w w:val="100"/>
        </w:rPr>
        <w:t>）</w:t>
      </w:r>
      <w:r>
        <w:rPr>
          <w:spacing w:val="-3"/>
          <w:w w:val="100"/>
        </w:rPr>
        <w:t>项另有约定外，因证券市场波动、上市公司合并、基金</w:t>
      </w:r>
      <w:r>
        <w:rPr>
          <w:spacing w:val="-10"/>
        </w:rPr>
        <w:t>规模变动、标的指数成份股调整、标的指数成份股流动性限制、目标 </w:t>
      </w:r>
      <w:r>
        <w:rPr>
          <w:rFonts w:ascii="Calibri" w:eastAsia="Calibri"/>
        </w:rPr>
        <w:t>ETF </w:t>
      </w:r>
      <w:r>
        <w:rPr>
          <w:spacing w:val="-7"/>
        </w:rPr>
        <w:t>申购、赎回、交易</w:t>
      </w:r>
      <w:r>
        <w:rPr>
          <w:spacing w:val="-4"/>
        </w:rPr>
        <w:t>被暂停或交收延迟等基金管理人之外的因素致使基金投资比例不符合上述规定投资比例的， </w:t>
      </w:r>
      <w:r>
        <w:rPr>
          <w:spacing w:val="-9"/>
        </w:rPr>
        <w:t>基金管理人应当在 </w:t>
      </w:r>
      <w:r>
        <w:rPr>
          <w:rFonts w:ascii="Calibri" w:eastAsia="Calibri"/>
        </w:rPr>
        <w:t>10 </w:t>
      </w:r>
      <w:r>
        <w:rPr>
          <w:spacing w:val="-3"/>
        </w:rPr>
        <w:t>个交易日内进行调整。法律法规另有规定的，从其规定。</w:t>
      </w:r>
    </w:p>
    <w:p>
      <w:pPr>
        <w:pStyle w:val="BodyText"/>
        <w:spacing w:line="417" w:lineRule="auto"/>
        <w:ind w:left="160" w:right="871" w:firstLine="419"/>
        <w:jc w:val="both"/>
      </w:pPr>
      <w:r>
        <w:rPr>
          <w:spacing w:val="-2"/>
        </w:rPr>
        <w:t>基金管理人应当自基金合同生效之日起 </w:t>
      </w:r>
      <w:r>
        <w:rPr>
          <w:rFonts w:ascii="Calibri" w:eastAsia="Calibri"/>
        </w:rPr>
        <w:t>6 </w:t>
      </w:r>
      <w:r>
        <w:rPr>
          <w:spacing w:val="-3"/>
        </w:rPr>
        <w:t>个月内使基金的投资组合比例符合基金合同</w:t>
      </w:r>
      <w:r>
        <w:rPr>
          <w:spacing w:val="-11"/>
        </w:rPr>
        <w:t>的有关约定。期间，基金的投资范围、投资策略应当符合基金合同的约定。基金托管人对基</w:t>
      </w:r>
      <w:r>
        <w:rPr>
          <w:spacing w:val="-6"/>
        </w:rPr>
        <w:t>金的投资的监督与检查自本基金合同生效之日起开始。</w:t>
      </w:r>
    </w:p>
    <w:p>
      <w:pPr>
        <w:pStyle w:val="BodyText"/>
        <w:spacing w:line="417" w:lineRule="auto"/>
        <w:ind w:left="160" w:right="871" w:firstLine="419"/>
        <w:jc w:val="both"/>
      </w:pPr>
      <w:r>
        <w:rPr>
          <w:spacing w:val="-6"/>
        </w:rPr>
        <w:t>如果法律法规或监管部门对本基金合同约定投资组合比例限制进行变更的，以变更后的</w:t>
      </w:r>
      <w:r>
        <w:rPr>
          <w:spacing w:val="-11"/>
        </w:rPr>
        <w:t>规定为准。法律法规或监管部门取消上述限制，如适用于本基金，基金管理人在履行适当程</w:t>
      </w:r>
      <w:r>
        <w:rPr>
          <w:spacing w:val="-6"/>
        </w:rPr>
        <w:t>序后，则本基金投资不再受相关限制。</w:t>
      </w:r>
    </w:p>
    <w:p>
      <w:pPr>
        <w:pStyle w:val="BodyText"/>
        <w:ind w:left="580"/>
      </w:pPr>
      <w:r>
        <w:rPr>
          <w:rFonts w:ascii="Calibri" w:eastAsia="Calibri"/>
        </w:rPr>
        <w:t>2</w:t>
      </w:r>
      <w:r>
        <w:rPr/>
        <w:t>、禁止行为</w:t>
      </w:r>
    </w:p>
    <w:p>
      <w:pPr>
        <w:pStyle w:val="BodyText"/>
        <w:spacing w:before="6"/>
        <w:rPr>
          <w:sz w:val="15"/>
        </w:rPr>
      </w:pPr>
    </w:p>
    <w:p>
      <w:pPr>
        <w:pStyle w:val="BodyText"/>
        <w:ind w:left="580"/>
      </w:pPr>
      <w:r>
        <w:rPr/>
        <w:t>为维护基金份额持有人的合法权益，基金财产不得用于下列投资或者活动：</w:t>
      </w:r>
    </w:p>
    <w:p>
      <w:pPr>
        <w:spacing w:after="0"/>
        <w:sectPr>
          <w:pgSz w:w="11910" w:h="16840"/>
          <w:pgMar w:header="877" w:footer="995" w:top="1420" w:bottom="1180" w:left="1640" w:right="920"/>
        </w:sectPr>
      </w:pPr>
    </w:p>
    <w:p>
      <w:pPr>
        <w:pStyle w:val="ListParagraph"/>
        <w:numPr>
          <w:ilvl w:val="0"/>
          <w:numId w:val="50"/>
        </w:numPr>
        <w:tabs>
          <w:tab w:pos="1110" w:val="left" w:leader="none"/>
        </w:tabs>
        <w:spacing w:line="240" w:lineRule="auto" w:before="110" w:after="0"/>
        <w:ind w:left="1109" w:right="0" w:hanging="530"/>
        <w:jc w:val="left"/>
        <w:rPr>
          <w:sz w:val="21"/>
        </w:rPr>
      </w:pPr>
      <w:r>
        <w:rPr>
          <w:spacing w:val="-3"/>
          <w:sz w:val="21"/>
        </w:rPr>
        <w:t>承销证券；</w:t>
      </w:r>
    </w:p>
    <w:p>
      <w:pPr>
        <w:pStyle w:val="BodyText"/>
        <w:spacing w:before="6"/>
        <w:rPr>
          <w:sz w:val="15"/>
        </w:rPr>
      </w:pPr>
    </w:p>
    <w:p>
      <w:pPr>
        <w:pStyle w:val="ListParagraph"/>
        <w:numPr>
          <w:ilvl w:val="0"/>
          <w:numId w:val="50"/>
        </w:numPr>
        <w:tabs>
          <w:tab w:pos="1110" w:val="left" w:leader="none"/>
        </w:tabs>
        <w:spacing w:line="240" w:lineRule="auto" w:before="0" w:after="0"/>
        <w:ind w:left="1109" w:right="0" w:hanging="530"/>
        <w:jc w:val="left"/>
        <w:rPr>
          <w:sz w:val="21"/>
        </w:rPr>
      </w:pPr>
      <w:r>
        <w:rPr>
          <w:spacing w:val="-3"/>
          <w:sz w:val="21"/>
        </w:rPr>
        <w:t>违反规定向他人贷款或者提供担保；</w:t>
      </w:r>
    </w:p>
    <w:p>
      <w:pPr>
        <w:pStyle w:val="BodyText"/>
        <w:spacing w:before="7"/>
        <w:rPr>
          <w:sz w:val="15"/>
        </w:rPr>
      </w:pPr>
    </w:p>
    <w:p>
      <w:pPr>
        <w:pStyle w:val="ListParagraph"/>
        <w:numPr>
          <w:ilvl w:val="0"/>
          <w:numId w:val="50"/>
        </w:numPr>
        <w:tabs>
          <w:tab w:pos="1110" w:val="left" w:leader="none"/>
        </w:tabs>
        <w:spacing w:line="240" w:lineRule="auto" w:before="0" w:after="0"/>
        <w:ind w:left="1109" w:right="0" w:hanging="530"/>
        <w:jc w:val="left"/>
        <w:rPr>
          <w:sz w:val="21"/>
        </w:rPr>
      </w:pPr>
      <w:r>
        <w:rPr>
          <w:spacing w:val="-3"/>
          <w:sz w:val="21"/>
        </w:rPr>
        <w:t>从事承担无限责任的投资；</w:t>
      </w:r>
    </w:p>
    <w:p>
      <w:pPr>
        <w:pStyle w:val="BodyText"/>
        <w:spacing w:before="7"/>
        <w:rPr>
          <w:sz w:val="15"/>
        </w:rPr>
      </w:pPr>
    </w:p>
    <w:p>
      <w:pPr>
        <w:pStyle w:val="ListParagraph"/>
        <w:numPr>
          <w:ilvl w:val="0"/>
          <w:numId w:val="50"/>
        </w:numPr>
        <w:tabs>
          <w:tab w:pos="1110" w:val="left" w:leader="none"/>
        </w:tabs>
        <w:spacing w:line="240" w:lineRule="auto" w:before="0" w:after="0"/>
        <w:ind w:left="1109" w:right="0" w:hanging="530"/>
        <w:jc w:val="left"/>
        <w:rPr>
          <w:sz w:val="21"/>
        </w:rPr>
      </w:pPr>
      <w:r>
        <w:rPr>
          <w:spacing w:val="-3"/>
          <w:sz w:val="21"/>
        </w:rPr>
        <w:t>向其基金管理人、基金托管人出资；</w:t>
      </w:r>
    </w:p>
    <w:p>
      <w:pPr>
        <w:pStyle w:val="BodyText"/>
        <w:spacing w:before="7"/>
        <w:rPr>
          <w:sz w:val="15"/>
        </w:rPr>
      </w:pPr>
    </w:p>
    <w:p>
      <w:pPr>
        <w:pStyle w:val="ListParagraph"/>
        <w:numPr>
          <w:ilvl w:val="0"/>
          <w:numId w:val="50"/>
        </w:numPr>
        <w:tabs>
          <w:tab w:pos="1110" w:val="left" w:leader="none"/>
        </w:tabs>
        <w:spacing w:line="240" w:lineRule="auto" w:before="0" w:after="0"/>
        <w:ind w:left="1109" w:right="0" w:hanging="530"/>
        <w:jc w:val="left"/>
        <w:rPr>
          <w:sz w:val="21"/>
        </w:rPr>
      </w:pPr>
      <w:r>
        <w:rPr>
          <w:spacing w:val="-3"/>
          <w:sz w:val="21"/>
        </w:rPr>
        <w:t>从事内幕交易、操纵证券交易价格及其他不正当的证券交易活动；</w:t>
      </w:r>
    </w:p>
    <w:p>
      <w:pPr>
        <w:pStyle w:val="BodyText"/>
        <w:spacing w:before="6"/>
        <w:rPr>
          <w:sz w:val="15"/>
        </w:rPr>
      </w:pPr>
    </w:p>
    <w:p>
      <w:pPr>
        <w:pStyle w:val="ListParagraph"/>
        <w:numPr>
          <w:ilvl w:val="0"/>
          <w:numId w:val="50"/>
        </w:numPr>
        <w:tabs>
          <w:tab w:pos="1110" w:val="left" w:leader="none"/>
        </w:tabs>
        <w:spacing w:line="240" w:lineRule="auto" w:before="0" w:after="0"/>
        <w:ind w:left="1109" w:right="0" w:hanging="530"/>
        <w:jc w:val="left"/>
        <w:rPr>
          <w:sz w:val="21"/>
        </w:rPr>
      </w:pPr>
      <w:r>
        <w:rPr>
          <w:spacing w:val="-3"/>
          <w:sz w:val="21"/>
        </w:rPr>
        <w:t>法律、行政法规和中国证监会规定禁止的其他活动。</w:t>
      </w:r>
    </w:p>
    <w:p>
      <w:pPr>
        <w:pStyle w:val="BodyText"/>
        <w:spacing w:before="7"/>
        <w:rPr>
          <w:sz w:val="15"/>
        </w:rPr>
      </w:pPr>
    </w:p>
    <w:p>
      <w:pPr>
        <w:pStyle w:val="BodyText"/>
        <w:spacing w:line="417" w:lineRule="auto"/>
        <w:ind w:left="160" w:right="765" w:firstLine="419"/>
      </w:pPr>
      <w:r>
        <w:rPr>
          <w:spacing w:val="-8"/>
        </w:rPr>
        <w:t>基金管理人运用基金财产买卖基金管理人、基金托管人及其控股股东、实际控制人或者</w:t>
      </w:r>
      <w:r>
        <w:rPr>
          <w:spacing w:val="-9"/>
        </w:rPr>
        <w:t>与其有重大利害关系的公司发行的证券或者承销期内承销的证券，或者从事其他重大关联交</w:t>
      </w:r>
      <w:r>
        <w:rPr>
          <w:spacing w:val="-10"/>
        </w:rPr>
        <w:t>易的，应当符合基金的投资目标和投资策略，遵循基金份额持有人利益优先原则，防范利益</w:t>
      </w:r>
      <w:r>
        <w:rPr>
          <w:spacing w:val="-11"/>
        </w:rPr>
        <w:t>冲突，建立健全内部审批机制和评估机制，按照市场公平合理价格执行。相关交易必须事先</w:t>
      </w:r>
      <w:r>
        <w:rPr>
          <w:spacing w:val="-13"/>
        </w:rPr>
        <w:t>得到基金托管人的同意，并按法律法规予以披露。重大关联交易应提交基金管理人董事会审</w:t>
      </w:r>
      <w:r>
        <w:rPr>
          <w:spacing w:val="-12"/>
        </w:rPr>
        <w:t>议，并经过三分之二以上的独立董事通过。基金管理人董事会应至少每半年对关联交易事项</w:t>
      </w:r>
      <w:r>
        <w:rPr>
          <w:spacing w:val="-8"/>
        </w:rPr>
        <w:t>进行审查。本基金投资基金管理人或基金管理人关联方管理基金</w:t>
      </w:r>
      <w:r>
        <w:rPr/>
        <w:t>（</w:t>
      </w:r>
      <w:r>
        <w:rPr>
          <w:spacing w:val="6"/>
        </w:rPr>
        <w:t>包括目标 </w:t>
      </w:r>
      <w:r>
        <w:rPr>
          <w:rFonts w:ascii="Calibri" w:eastAsia="Calibri"/>
        </w:rPr>
        <w:t>ETF</w:t>
      </w:r>
      <w:r>
        <w:rPr/>
        <w:t>）的情况， </w:t>
      </w:r>
      <w:r>
        <w:rPr>
          <w:spacing w:val="-3"/>
        </w:rPr>
        <w:t>不属于前述重大关联交易，但是应当按照法律法规或监管规定的要求履行信息披露义务。</w:t>
      </w:r>
    </w:p>
    <w:p>
      <w:pPr>
        <w:pStyle w:val="BodyText"/>
        <w:spacing w:line="417" w:lineRule="auto"/>
        <w:ind w:left="160" w:right="871" w:firstLine="419"/>
      </w:pPr>
      <w:r>
        <w:rPr>
          <w:spacing w:val="-8"/>
        </w:rPr>
        <w:t>法律法规或监管部门变更或取消上述限制，如适用于本基金，则本基金投资不再受相关</w:t>
      </w:r>
      <w:r>
        <w:rPr>
          <w:spacing w:val="-5"/>
        </w:rPr>
        <w:t>限制，自动适用变更后的法律法规或监管规定，不需另行召开基金份额持有人大会。</w:t>
      </w:r>
    </w:p>
    <w:p>
      <w:pPr>
        <w:tabs>
          <w:tab w:pos="3367" w:val="left" w:leader="none"/>
        </w:tabs>
        <w:spacing w:line="269" w:lineRule="exact" w:before="0"/>
        <w:ind w:left="2311" w:right="0" w:firstLine="0"/>
        <w:jc w:val="left"/>
        <w:rPr>
          <w:b/>
          <w:sz w:val="21"/>
        </w:rPr>
      </w:pPr>
      <w:r>
        <w:rPr>
          <w:b/>
          <w:sz w:val="21"/>
        </w:rPr>
        <w:t>第六部分</w:t>
        <w:tab/>
        <w:t>基金净</w:t>
      </w:r>
      <w:r>
        <w:rPr>
          <w:b/>
          <w:spacing w:val="-3"/>
          <w:sz w:val="21"/>
        </w:rPr>
        <w:t>值</w:t>
      </w:r>
      <w:r>
        <w:rPr>
          <w:b/>
          <w:sz w:val="21"/>
        </w:rPr>
        <w:t>信</w:t>
      </w:r>
      <w:r>
        <w:rPr>
          <w:b/>
          <w:spacing w:val="-3"/>
          <w:sz w:val="21"/>
        </w:rPr>
        <w:t>息</w:t>
      </w:r>
      <w:r>
        <w:rPr>
          <w:b/>
          <w:sz w:val="21"/>
        </w:rPr>
        <w:t>的计算方法和公告</w:t>
      </w:r>
      <w:r>
        <w:rPr>
          <w:b/>
          <w:spacing w:val="-3"/>
          <w:sz w:val="21"/>
        </w:rPr>
        <w:t>方</w:t>
      </w:r>
      <w:r>
        <w:rPr>
          <w:b/>
          <w:sz w:val="21"/>
        </w:rPr>
        <w:t>式</w:t>
      </w:r>
    </w:p>
    <w:p>
      <w:pPr>
        <w:pStyle w:val="BodyText"/>
        <w:spacing w:before="6"/>
        <w:rPr>
          <w:b/>
          <w:sz w:val="15"/>
        </w:rPr>
      </w:pPr>
    </w:p>
    <w:p>
      <w:pPr>
        <w:pStyle w:val="BodyText"/>
        <w:spacing w:line="417" w:lineRule="auto" w:before="1"/>
        <w:ind w:left="160" w:right="871" w:firstLine="419"/>
      </w:pPr>
      <w:r>
        <w:rPr>
          <w:spacing w:val="-8"/>
        </w:rPr>
        <w:t>基金管理人应当在不晚于每个开放日的次日，通过指定网站、基金销售机构网站或者营</w:t>
      </w:r>
      <w:r>
        <w:rPr>
          <w:spacing w:val="-5"/>
        </w:rPr>
        <w:t>业网点，披露开放日的基金份额净值和基金份额累计净值。</w:t>
      </w:r>
    </w:p>
    <w:p>
      <w:pPr>
        <w:pStyle w:val="BodyText"/>
        <w:spacing w:line="417" w:lineRule="auto"/>
        <w:ind w:left="160" w:right="871" w:firstLine="419"/>
      </w:pPr>
      <w:r>
        <w:rPr>
          <w:spacing w:val="-7"/>
        </w:rPr>
        <w:t>基金管理人应当在不晚于半年度和年度最后一日的次日，在指定网站披露半年度和年度</w:t>
      </w:r>
      <w:r>
        <w:rPr>
          <w:spacing w:val="-5"/>
        </w:rPr>
        <w:t>最后一日的基金份额净值和基金份额累计净值。</w:t>
      </w:r>
    </w:p>
    <w:p>
      <w:pPr>
        <w:tabs>
          <w:tab w:pos="2419" w:val="left" w:leader="none"/>
        </w:tabs>
        <w:spacing w:line="417" w:lineRule="auto" w:before="0"/>
        <w:ind w:left="580" w:right="1654" w:firstLine="782"/>
        <w:jc w:val="left"/>
        <w:rPr>
          <w:sz w:val="21"/>
        </w:rPr>
      </w:pPr>
      <w:r>
        <w:rPr>
          <w:b/>
          <w:sz w:val="21"/>
        </w:rPr>
        <w:t>第七部分</w:t>
        <w:tab/>
        <w:t>基金合</w:t>
      </w:r>
      <w:r>
        <w:rPr>
          <w:b/>
          <w:spacing w:val="-3"/>
          <w:sz w:val="21"/>
        </w:rPr>
        <w:t>同</w:t>
      </w:r>
      <w:r>
        <w:rPr>
          <w:b/>
          <w:sz w:val="21"/>
        </w:rPr>
        <w:t>解</w:t>
      </w:r>
      <w:r>
        <w:rPr>
          <w:b/>
          <w:spacing w:val="-3"/>
          <w:sz w:val="21"/>
        </w:rPr>
        <w:t>除</w:t>
      </w:r>
      <w:r>
        <w:rPr>
          <w:b/>
          <w:sz w:val="21"/>
        </w:rPr>
        <w:t>和终止的事由、程</w:t>
      </w:r>
      <w:r>
        <w:rPr>
          <w:b/>
          <w:spacing w:val="-3"/>
          <w:sz w:val="21"/>
        </w:rPr>
        <w:t>序</w:t>
      </w:r>
      <w:r>
        <w:rPr>
          <w:b/>
          <w:sz w:val="21"/>
        </w:rPr>
        <w:t>以</w:t>
      </w:r>
      <w:r>
        <w:rPr>
          <w:b/>
          <w:spacing w:val="-3"/>
          <w:sz w:val="21"/>
        </w:rPr>
        <w:t>及</w:t>
      </w:r>
      <w:r>
        <w:rPr>
          <w:b/>
          <w:sz w:val="21"/>
        </w:rPr>
        <w:t>基金财产清算方</w:t>
      </w:r>
      <w:r>
        <w:rPr>
          <w:b/>
          <w:spacing w:val="-15"/>
          <w:sz w:val="21"/>
        </w:rPr>
        <w:t>式</w:t>
      </w:r>
      <w:r>
        <w:rPr>
          <w:sz w:val="21"/>
        </w:rPr>
        <w:t>一</w:t>
      </w:r>
      <w:r>
        <w:rPr>
          <w:spacing w:val="-106"/>
          <w:sz w:val="21"/>
        </w:rPr>
        <w:t>、</w:t>
      </w:r>
      <w:r>
        <w:rPr>
          <w:spacing w:val="-3"/>
          <w:sz w:val="21"/>
        </w:rPr>
        <w:t>《</w:t>
      </w:r>
      <w:r>
        <w:rPr>
          <w:sz w:val="21"/>
        </w:rPr>
        <w:t>基</w:t>
      </w:r>
      <w:r>
        <w:rPr>
          <w:spacing w:val="-3"/>
          <w:sz w:val="21"/>
        </w:rPr>
        <w:t>金</w:t>
      </w:r>
      <w:r>
        <w:rPr>
          <w:sz w:val="21"/>
        </w:rPr>
        <w:t>合</w:t>
      </w:r>
      <w:r>
        <w:rPr>
          <w:spacing w:val="-3"/>
          <w:sz w:val="21"/>
        </w:rPr>
        <w:t>同</w:t>
      </w:r>
      <w:r>
        <w:rPr>
          <w:sz w:val="21"/>
        </w:rPr>
        <w:t>》</w:t>
      </w:r>
      <w:r>
        <w:rPr>
          <w:spacing w:val="-3"/>
          <w:sz w:val="21"/>
        </w:rPr>
        <w:t>的</w:t>
      </w:r>
      <w:r>
        <w:rPr>
          <w:sz w:val="21"/>
        </w:rPr>
        <w:t>变更</w:t>
      </w:r>
    </w:p>
    <w:p>
      <w:pPr>
        <w:pStyle w:val="BodyText"/>
        <w:spacing w:line="417" w:lineRule="auto"/>
        <w:ind w:left="160" w:right="871" w:firstLine="419"/>
        <w:jc w:val="both"/>
      </w:pPr>
      <w:r>
        <w:rPr>
          <w:rFonts w:ascii="Calibri" w:eastAsia="Calibri"/>
        </w:rPr>
        <w:t>1</w:t>
      </w:r>
      <w:r>
        <w:rPr>
          <w:spacing w:val="-3"/>
        </w:rPr>
        <w:t>、变更基金合同涉及法律法规规定或本基金合同约定应经基金份额持有人大会决议通</w:t>
      </w:r>
      <w:r>
        <w:rPr>
          <w:spacing w:val="-11"/>
        </w:rPr>
        <w:t>过的事项的，应召开基金份额持有人大会决议通过。对于可不经基金份额持有人大会决议通</w:t>
      </w:r>
      <w:r>
        <w:rPr>
          <w:spacing w:val="-6"/>
        </w:rPr>
        <w:t>过的事项，由基金管理人和基金托管人同意后变更并公告，并报中国证监会备案。</w:t>
      </w:r>
    </w:p>
    <w:p>
      <w:pPr>
        <w:pStyle w:val="BodyText"/>
        <w:spacing w:line="417" w:lineRule="auto"/>
        <w:ind w:left="160" w:right="873" w:firstLine="419"/>
      </w:pPr>
      <w:r>
        <w:rPr>
          <w:rFonts w:ascii="Calibri" w:eastAsia="Calibri"/>
        </w:rPr>
        <w:t>2</w:t>
      </w:r>
      <w:r>
        <w:rPr/>
        <w:t>、关于《基金合同》变更的基金份额持有人大会决议自表决通过之日起生效，自决议生效后两日内在指定媒介公告。</w:t>
      </w:r>
    </w:p>
    <w:p>
      <w:pPr>
        <w:pStyle w:val="BodyText"/>
        <w:ind w:left="580"/>
      </w:pPr>
      <w:r>
        <w:rPr/>
        <w:t>二、《基金合同》的终止事由</w:t>
      </w:r>
    </w:p>
    <w:p>
      <w:pPr>
        <w:pStyle w:val="BodyText"/>
        <w:spacing w:before="5"/>
        <w:rPr>
          <w:sz w:val="15"/>
        </w:rPr>
      </w:pPr>
    </w:p>
    <w:p>
      <w:pPr>
        <w:pStyle w:val="BodyText"/>
        <w:ind w:left="580"/>
      </w:pPr>
      <w:r>
        <w:rPr/>
        <w:t>有下列情形之一的，《基金合同》应当终止：</w:t>
      </w:r>
    </w:p>
    <w:p>
      <w:pPr>
        <w:spacing w:after="0"/>
        <w:sectPr>
          <w:pgSz w:w="11910" w:h="16840"/>
          <w:pgMar w:header="877" w:footer="995" w:top="1420" w:bottom="1180" w:left="1640" w:right="920"/>
        </w:sectPr>
      </w:pPr>
    </w:p>
    <w:p>
      <w:pPr>
        <w:pStyle w:val="BodyText"/>
        <w:spacing w:before="110"/>
        <w:ind w:left="580"/>
      </w:pPr>
      <w:r>
        <w:rPr>
          <w:rFonts w:ascii="Calibri" w:eastAsia="Calibri"/>
        </w:rPr>
        <w:t>1</w:t>
      </w:r>
      <w:r>
        <w:rPr/>
        <w:t>、基金份额持有人大会决定终止的；</w:t>
      </w:r>
    </w:p>
    <w:p>
      <w:pPr>
        <w:pStyle w:val="BodyText"/>
        <w:spacing w:before="6"/>
        <w:rPr>
          <w:sz w:val="15"/>
        </w:rPr>
      </w:pPr>
    </w:p>
    <w:p>
      <w:pPr>
        <w:pStyle w:val="BodyText"/>
        <w:spacing w:line="417" w:lineRule="auto"/>
        <w:ind w:left="160" w:right="818" w:firstLine="419"/>
      </w:pPr>
      <w:r>
        <w:rPr>
          <w:rFonts w:ascii="Calibri" w:eastAsia="Calibri"/>
        </w:rPr>
        <w:t>2</w:t>
      </w:r>
      <w:r>
        <w:rPr/>
        <w:t>、基金管理人、基金托管人职责终止，在 </w:t>
      </w:r>
      <w:r>
        <w:rPr>
          <w:rFonts w:ascii="Calibri" w:eastAsia="Calibri"/>
        </w:rPr>
        <w:t>6 </w:t>
      </w:r>
      <w:r>
        <w:rPr/>
        <w:t>个月内没有新基金管理人、新基金托管人承接的；</w:t>
      </w:r>
    </w:p>
    <w:p>
      <w:pPr>
        <w:pStyle w:val="BodyText"/>
        <w:spacing w:line="417" w:lineRule="auto"/>
        <w:ind w:left="160" w:right="818" w:firstLine="419"/>
      </w:pPr>
      <w:r>
        <w:rPr>
          <w:rFonts w:ascii="Calibri" w:eastAsia="Calibri"/>
        </w:rPr>
        <w:t>3</w:t>
      </w:r>
      <w:r>
        <w:rPr/>
        <w:t>、基金合同生效之日起三年后的对应日，基金资产规模低于 </w:t>
      </w:r>
      <w:r>
        <w:rPr>
          <w:rFonts w:ascii="Calibri" w:eastAsia="Calibri"/>
        </w:rPr>
        <w:t>2 </w:t>
      </w:r>
      <w:r>
        <w:rPr/>
        <w:t>亿元的。法律法规或中国证监会另有规定时从其规定；</w:t>
      </w:r>
    </w:p>
    <w:p>
      <w:pPr>
        <w:pStyle w:val="BodyText"/>
        <w:spacing w:line="269" w:lineRule="exact"/>
        <w:ind w:left="580"/>
      </w:pPr>
      <w:r>
        <w:rPr>
          <w:rFonts w:ascii="Calibri" w:eastAsia="Calibri"/>
        </w:rPr>
        <w:t>4</w:t>
      </w:r>
      <w:r>
        <w:rPr/>
        <w:t>、《基金合同》约定的其他情形；</w:t>
      </w:r>
    </w:p>
    <w:p>
      <w:pPr>
        <w:pStyle w:val="BodyText"/>
        <w:spacing w:before="7"/>
        <w:rPr>
          <w:sz w:val="15"/>
        </w:rPr>
      </w:pPr>
    </w:p>
    <w:p>
      <w:pPr>
        <w:pStyle w:val="BodyText"/>
        <w:spacing w:line="417" w:lineRule="auto"/>
        <w:ind w:left="580" w:right="4244"/>
      </w:pPr>
      <w:r>
        <w:rPr>
          <w:rFonts w:ascii="Calibri" w:eastAsia="Calibri"/>
        </w:rPr>
        <w:t>5</w:t>
      </w:r>
      <w:r>
        <w:rPr/>
        <w:t>、相关法律法规和中国证监会规定的其他情况。三、基金财产的清算</w:t>
      </w:r>
    </w:p>
    <w:p>
      <w:pPr>
        <w:pStyle w:val="BodyText"/>
        <w:spacing w:line="417" w:lineRule="auto"/>
        <w:ind w:left="160" w:right="873" w:firstLine="419"/>
        <w:jc w:val="both"/>
      </w:pPr>
      <w:r>
        <w:rPr>
          <w:rFonts w:ascii="Calibri" w:eastAsia="Calibri"/>
        </w:rPr>
        <w:t>1</w:t>
      </w:r>
      <w:r>
        <w:rPr>
          <w:spacing w:val="-13"/>
        </w:rPr>
        <w:t>、基金财产清算小组：自出现《基金合同》终止事由之日起 </w:t>
      </w:r>
      <w:r>
        <w:rPr>
          <w:rFonts w:ascii="Calibri" w:eastAsia="Calibri"/>
        </w:rPr>
        <w:t>30 </w:t>
      </w:r>
      <w:r>
        <w:rPr>
          <w:spacing w:val="-3"/>
        </w:rPr>
        <w:t>个工作日内成立清算小组，基金管理人组织基金财产清算小组并在中国证监会的监督下进行基金清算。</w:t>
      </w:r>
    </w:p>
    <w:p>
      <w:pPr>
        <w:pStyle w:val="BodyText"/>
        <w:spacing w:line="417" w:lineRule="auto"/>
        <w:ind w:left="160" w:right="871" w:firstLine="419"/>
        <w:jc w:val="both"/>
      </w:pPr>
      <w:r>
        <w:rPr>
          <w:rFonts w:ascii="Calibri" w:eastAsia="Calibri"/>
        </w:rPr>
        <w:t>2</w:t>
      </w:r>
      <w:r>
        <w:rPr>
          <w:spacing w:val="-3"/>
        </w:rPr>
        <w:t>、基金财产清算小组组成：基金财产清算小组成员由基金管理人、基金托管人、具有</w:t>
      </w:r>
      <w:r>
        <w:rPr>
          <w:spacing w:val="-8"/>
        </w:rPr>
        <w:t>从事证券相关业务资格的注册会计师、律师以及中国证监会指定的人员组成。基金财产清算</w:t>
      </w:r>
      <w:r>
        <w:rPr>
          <w:spacing w:val="-5"/>
        </w:rPr>
        <w:t>小组可以聘用必要的工作人员。</w:t>
      </w:r>
    </w:p>
    <w:p>
      <w:pPr>
        <w:pStyle w:val="BodyText"/>
        <w:spacing w:line="417" w:lineRule="auto"/>
        <w:ind w:left="160" w:right="874" w:firstLine="419"/>
      </w:pPr>
      <w:r>
        <w:rPr>
          <w:rFonts w:ascii="Calibri" w:eastAsia="Calibri"/>
        </w:rPr>
        <w:t>3</w:t>
      </w:r>
      <w:r>
        <w:rPr/>
        <w:t>、基金财产清算小组职责：基金财产清算小组负责基金财产的保管、清理、估价、变现和分配。基金财产清算小组可以依法进行必要的民事活动。</w:t>
      </w:r>
    </w:p>
    <w:p>
      <w:pPr>
        <w:pStyle w:val="BodyText"/>
        <w:ind w:left="580"/>
      </w:pPr>
      <w:r>
        <w:rPr>
          <w:rFonts w:ascii="Calibri" w:eastAsia="Calibri"/>
        </w:rPr>
        <w:t>4</w:t>
      </w:r>
      <w:r>
        <w:rPr/>
        <w:t>、基金财产清算程序：</w:t>
      </w:r>
    </w:p>
    <w:p>
      <w:pPr>
        <w:pStyle w:val="BodyText"/>
        <w:spacing w:before="6"/>
        <w:rPr>
          <w:sz w:val="15"/>
        </w:rPr>
      </w:pPr>
    </w:p>
    <w:p>
      <w:pPr>
        <w:pStyle w:val="ListParagraph"/>
        <w:numPr>
          <w:ilvl w:val="0"/>
          <w:numId w:val="51"/>
        </w:numPr>
        <w:tabs>
          <w:tab w:pos="1112" w:val="left" w:leader="none"/>
        </w:tabs>
        <w:spacing w:line="240" w:lineRule="auto" w:before="0" w:after="0"/>
        <w:ind w:left="1111" w:right="0" w:hanging="532"/>
        <w:jc w:val="left"/>
        <w:rPr>
          <w:sz w:val="21"/>
        </w:rPr>
      </w:pPr>
      <w:r>
        <w:rPr>
          <w:spacing w:val="-3"/>
          <w:sz w:val="21"/>
        </w:rPr>
        <w:t>《基金合同》终止情形出现时，由基金财产清算小组统一接管基金；</w:t>
      </w:r>
    </w:p>
    <w:p>
      <w:pPr>
        <w:pStyle w:val="BodyText"/>
        <w:spacing w:before="7"/>
        <w:rPr>
          <w:sz w:val="15"/>
        </w:rPr>
      </w:pPr>
    </w:p>
    <w:p>
      <w:pPr>
        <w:pStyle w:val="ListParagraph"/>
        <w:numPr>
          <w:ilvl w:val="0"/>
          <w:numId w:val="51"/>
        </w:numPr>
        <w:tabs>
          <w:tab w:pos="1110" w:val="left" w:leader="none"/>
        </w:tabs>
        <w:spacing w:line="240" w:lineRule="auto" w:before="0" w:after="0"/>
        <w:ind w:left="1109" w:right="0" w:hanging="530"/>
        <w:jc w:val="left"/>
        <w:rPr>
          <w:sz w:val="21"/>
        </w:rPr>
      </w:pPr>
      <w:r>
        <w:rPr>
          <w:spacing w:val="-3"/>
          <w:sz w:val="21"/>
        </w:rPr>
        <w:t>对基金财产和债权债务进行清理和确认；</w:t>
      </w:r>
    </w:p>
    <w:p>
      <w:pPr>
        <w:pStyle w:val="BodyText"/>
        <w:spacing w:before="6"/>
        <w:rPr>
          <w:sz w:val="15"/>
        </w:rPr>
      </w:pPr>
    </w:p>
    <w:p>
      <w:pPr>
        <w:pStyle w:val="ListParagraph"/>
        <w:numPr>
          <w:ilvl w:val="0"/>
          <w:numId w:val="51"/>
        </w:numPr>
        <w:tabs>
          <w:tab w:pos="1110" w:val="left" w:leader="none"/>
        </w:tabs>
        <w:spacing w:line="240" w:lineRule="auto" w:before="1" w:after="0"/>
        <w:ind w:left="1109" w:right="0" w:hanging="530"/>
        <w:jc w:val="left"/>
        <w:rPr>
          <w:sz w:val="21"/>
        </w:rPr>
      </w:pPr>
      <w:r>
        <w:rPr>
          <w:spacing w:val="-3"/>
          <w:sz w:val="21"/>
        </w:rPr>
        <w:t>对基金财产进行估值和变现；</w:t>
      </w:r>
    </w:p>
    <w:p>
      <w:pPr>
        <w:pStyle w:val="BodyText"/>
        <w:spacing w:before="6"/>
        <w:rPr>
          <w:sz w:val="15"/>
        </w:rPr>
      </w:pPr>
    </w:p>
    <w:p>
      <w:pPr>
        <w:pStyle w:val="ListParagraph"/>
        <w:numPr>
          <w:ilvl w:val="0"/>
          <w:numId w:val="51"/>
        </w:numPr>
        <w:tabs>
          <w:tab w:pos="1110" w:val="left" w:leader="none"/>
        </w:tabs>
        <w:spacing w:line="240" w:lineRule="auto" w:before="0" w:after="0"/>
        <w:ind w:left="1109" w:right="0" w:hanging="530"/>
        <w:jc w:val="left"/>
        <w:rPr>
          <w:sz w:val="21"/>
        </w:rPr>
      </w:pPr>
      <w:r>
        <w:rPr>
          <w:spacing w:val="-3"/>
          <w:sz w:val="21"/>
        </w:rPr>
        <w:t>制作清算报告；</w:t>
      </w:r>
    </w:p>
    <w:p>
      <w:pPr>
        <w:pStyle w:val="BodyText"/>
        <w:spacing w:before="7"/>
        <w:rPr>
          <w:sz w:val="15"/>
        </w:rPr>
      </w:pPr>
    </w:p>
    <w:p>
      <w:pPr>
        <w:pStyle w:val="ListParagraph"/>
        <w:numPr>
          <w:ilvl w:val="0"/>
          <w:numId w:val="51"/>
        </w:numPr>
        <w:tabs>
          <w:tab w:pos="1112" w:val="left" w:leader="none"/>
        </w:tabs>
        <w:spacing w:line="417" w:lineRule="auto" w:before="0" w:after="0"/>
        <w:ind w:left="160" w:right="874" w:firstLine="419"/>
        <w:jc w:val="left"/>
        <w:rPr>
          <w:sz w:val="21"/>
        </w:rPr>
      </w:pPr>
      <w:r>
        <w:rPr>
          <w:spacing w:val="-3"/>
          <w:sz w:val="21"/>
        </w:rPr>
        <w:t>聘请会计师事务所对清算报告进行外部审计，聘请律师事务所对清算报告出具法律意见书；</w:t>
      </w:r>
    </w:p>
    <w:p>
      <w:pPr>
        <w:pStyle w:val="ListParagraph"/>
        <w:numPr>
          <w:ilvl w:val="0"/>
          <w:numId w:val="51"/>
        </w:numPr>
        <w:tabs>
          <w:tab w:pos="1110" w:val="left" w:leader="none"/>
        </w:tabs>
        <w:spacing w:line="240" w:lineRule="auto" w:before="0" w:after="0"/>
        <w:ind w:left="1109" w:right="0" w:hanging="530"/>
        <w:jc w:val="left"/>
        <w:rPr>
          <w:sz w:val="21"/>
        </w:rPr>
      </w:pPr>
      <w:r>
        <w:rPr>
          <w:spacing w:val="-3"/>
          <w:sz w:val="21"/>
        </w:rPr>
        <w:t>将清算报告报中国证监会备案并公告。</w:t>
      </w:r>
    </w:p>
    <w:p>
      <w:pPr>
        <w:pStyle w:val="BodyText"/>
        <w:spacing w:before="7"/>
        <w:rPr>
          <w:sz w:val="15"/>
        </w:rPr>
      </w:pPr>
    </w:p>
    <w:p>
      <w:pPr>
        <w:pStyle w:val="ListParagraph"/>
        <w:numPr>
          <w:ilvl w:val="0"/>
          <w:numId w:val="51"/>
        </w:numPr>
        <w:tabs>
          <w:tab w:pos="1110" w:val="left" w:leader="none"/>
        </w:tabs>
        <w:spacing w:line="240" w:lineRule="auto" w:before="0" w:after="0"/>
        <w:ind w:left="1109" w:right="0" w:hanging="530"/>
        <w:jc w:val="left"/>
        <w:rPr>
          <w:sz w:val="21"/>
        </w:rPr>
      </w:pPr>
      <w:r>
        <w:rPr>
          <w:spacing w:val="-3"/>
          <w:sz w:val="21"/>
        </w:rPr>
        <w:t>对基金财产进行分配；</w:t>
      </w:r>
    </w:p>
    <w:p>
      <w:pPr>
        <w:pStyle w:val="BodyText"/>
        <w:spacing w:before="7"/>
        <w:rPr>
          <w:sz w:val="15"/>
        </w:rPr>
      </w:pPr>
    </w:p>
    <w:p>
      <w:pPr>
        <w:pStyle w:val="BodyText"/>
        <w:spacing w:line="417" w:lineRule="auto"/>
        <w:ind w:left="160" w:right="818" w:firstLine="419"/>
      </w:pPr>
      <w:r>
        <w:rPr>
          <w:rFonts w:ascii="Calibri" w:eastAsia="Calibri"/>
        </w:rPr>
        <w:t>5</w:t>
      </w:r>
      <w:r>
        <w:rPr/>
        <w:t>、基金财产清算的期限为 </w:t>
      </w:r>
      <w:r>
        <w:rPr>
          <w:rFonts w:ascii="Calibri" w:eastAsia="Calibri"/>
        </w:rPr>
        <w:t>6 </w:t>
      </w:r>
      <w:r>
        <w:rPr/>
        <w:t>个月，但因本基金所持证券的流动性受到限制而不能及时变现的，清算期限相应顺延。</w:t>
      </w:r>
    </w:p>
    <w:p>
      <w:pPr>
        <w:pStyle w:val="BodyText"/>
        <w:spacing w:line="269" w:lineRule="exact"/>
        <w:ind w:left="580"/>
      </w:pPr>
      <w:r>
        <w:rPr/>
        <w:t>四、清算费用</w:t>
      </w:r>
    </w:p>
    <w:p>
      <w:pPr>
        <w:pStyle w:val="BodyText"/>
        <w:spacing w:before="6"/>
        <w:rPr>
          <w:sz w:val="15"/>
        </w:rPr>
      </w:pPr>
    </w:p>
    <w:p>
      <w:pPr>
        <w:pStyle w:val="BodyText"/>
        <w:spacing w:line="417" w:lineRule="auto" w:before="1"/>
        <w:ind w:left="160" w:right="871" w:firstLine="419"/>
      </w:pPr>
      <w:r>
        <w:rPr>
          <w:spacing w:val="-6"/>
        </w:rPr>
        <w:t>清算费用是指基金财产清算小组在进行基金清算过程中发生的所有合理费用，清算费用</w:t>
      </w:r>
      <w:r>
        <w:rPr>
          <w:spacing w:val="-4"/>
        </w:rPr>
        <w:t>由基金财产清算小组优先从基金财产中支付。</w:t>
      </w:r>
    </w:p>
    <w:p>
      <w:pPr>
        <w:pStyle w:val="BodyText"/>
        <w:ind w:left="580"/>
      </w:pPr>
      <w:r>
        <w:rPr/>
        <w:t>五、基金财产清算剩余资产的分配</w:t>
      </w:r>
    </w:p>
    <w:p>
      <w:pPr>
        <w:spacing w:after="0"/>
        <w:sectPr>
          <w:pgSz w:w="11910" w:h="16840"/>
          <w:pgMar w:header="877" w:footer="995" w:top="1420" w:bottom="1180" w:left="1640" w:right="920"/>
        </w:sectPr>
      </w:pPr>
    </w:p>
    <w:p>
      <w:pPr>
        <w:pStyle w:val="BodyText"/>
        <w:spacing w:line="417" w:lineRule="auto" w:before="110"/>
        <w:ind w:left="160" w:right="871" w:firstLine="419"/>
      </w:pPr>
      <w:r>
        <w:rPr>
          <w:spacing w:val="-10"/>
        </w:rPr>
        <w:t>依据基金财产清算的分配方案，将基金财产清算后的全部剩余资产扣除基金财产清算费</w:t>
      </w:r>
      <w:r>
        <w:rPr>
          <w:spacing w:val="-5"/>
        </w:rPr>
        <w:t>用、交纳所欠税款并清偿基金债务后，按基金份额持有人持有的基金份额比例进行分配。</w:t>
      </w:r>
    </w:p>
    <w:p>
      <w:pPr>
        <w:pStyle w:val="BodyText"/>
        <w:spacing w:line="269" w:lineRule="exact"/>
        <w:ind w:left="580"/>
      </w:pPr>
      <w:r>
        <w:rPr/>
        <w:t>六、基金财产清算的公告</w:t>
      </w:r>
    </w:p>
    <w:p>
      <w:pPr>
        <w:pStyle w:val="BodyText"/>
        <w:spacing w:before="6"/>
        <w:rPr>
          <w:sz w:val="15"/>
        </w:rPr>
      </w:pPr>
    </w:p>
    <w:p>
      <w:pPr>
        <w:pStyle w:val="BodyText"/>
        <w:spacing w:line="417" w:lineRule="auto"/>
        <w:ind w:left="160" w:right="871" w:firstLine="419"/>
        <w:jc w:val="both"/>
      </w:pPr>
      <w:r>
        <w:rPr>
          <w:spacing w:val="-9"/>
        </w:rPr>
        <w:t>清算过程中的有关重大事项须及时公告；基金财产清算报告经会计师事务所审计并由律师事务所出具法律意见书后报中国证监会备案并公告。基金财产清算公告于基金财产清算报</w:t>
      </w:r>
      <w:r>
        <w:rPr>
          <w:spacing w:val="-10"/>
        </w:rPr>
        <w:t>告报中国证监会备案后 </w:t>
      </w:r>
      <w:r>
        <w:rPr>
          <w:rFonts w:ascii="Calibri" w:eastAsia="Calibri"/>
        </w:rPr>
        <w:t>5 </w:t>
      </w:r>
      <w:r>
        <w:rPr>
          <w:spacing w:val="-3"/>
        </w:rPr>
        <w:t>个工作日内由基金财产清算小组进行公告。</w:t>
      </w:r>
    </w:p>
    <w:p>
      <w:pPr>
        <w:pStyle w:val="BodyText"/>
        <w:spacing w:line="269" w:lineRule="exact"/>
        <w:ind w:left="580"/>
      </w:pPr>
      <w:r>
        <w:rPr/>
        <w:t>七、基金财产清算账册及文件的保存</w:t>
      </w:r>
    </w:p>
    <w:p>
      <w:pPr>
        <w:pStyle w:val="BodyText"/>
        <w:spacing w:before="8"/>
        <w:rPr>
          <w:sz w:val="15"/>
        </w:rPr>
      </w:pPr>
    </w:p>
    <w:p>
      <w:pPr>
        <w:pStyle w:val="BodyText"/>
        <w:ind w:left="580"/>
      </w:pPr>
      <w:r>
        <w:rPr/>
        <w:t>基金财产清算账册及有关文件由基金托管人保存 </w:t>
      </w:r>
      <w:r>
        <w:rPr>
          <w:rFonts w:ascii="Calibri" w:eastAsia="Calibri"/>
        </w:rPr>
        <w:t>15 </w:t>
      </w:r>
      <w:r>
        <w:rPr/>
        <w:t>年以上。</w:t>
      </w:r>
    </w:p>
    <w:p>
      <w:pPr>
        <w:pStyle w:val="BodyText"/>
        <w:spacing w:before="6"/>
        <w:rPr>
          <w:sz w:val="15"/>
        </w:rPr>
      </w:pPr>
    </w:p>
    <w:p>
      <w:pPr>
        <w:spacing w:before="1"/>
        <w:ind w:left="3365" w:right="0" w:firstLine="0"/>
        <w:jc w:val="both"/>
        <w:rPr>
          <w:b/>
          <w:sz w:val="21"/>
        </w:rPr>
      </w:pPr>
      <w:r>
        <w:rPr>
          <w:b/>
          <w:sz w:val="21"/>
        </w:rPr>
        <w:t>第八部分 争议解决方式</w:t>
      </w:r>
    </w:p>
    <w:p>
      <w:pPr>
        <w:pStyle w:val="BodyText"/>
        <w:spacing w:before="6"/>
        <w:rPr>
          <w:b/>
          <w:sz w:val="15"/>
        </w:rPr>
      </w:pPr>
    </w:p>
    <w:p>
      <w:pPr>
        <w:pStyle w:val="BodyText"/>
        <w:spacing w:line="417" w:lineRule="auto"/>
        <w:ind w:left="160" w:right="871" w:firstLine="419"/>
        <w:jc w:val="both"/>
      </w:pPr>
      <w:r>
        <w:rPr>
          <w:spacing w:val="-11"/>
        </w:rPr>
        <w:t>各方当事人同意，因《基金合同》而产生的或与《基金合同》有关的一切争议，如经友</w:t>
      </w:r>
      <w:r>
        <w:rPr>
          <w:spacing w:val="-13"/>
        </w:rPr>
        <w:t>好协商未能解决的，应提交北京仲裁委员会，根据该会当时有效的仲裁规则按普通程序进行</w:t>
      </w:r>
      <w:r>
        <w:rPr>
          <w:spacing w:val="-12"/>
        </w:rPr>
        <w:t>仲裁，仲裁地点为北京，仲裁裁决是终局性的并对各方当事人具有约束力，仲裁费由败诉方承担。</w:t>
      </w:r>
    </w:p>
    <w:p>
      <w:pPr>
        <w:pStyle w:val="BodyText"/>
        <w:spacing w:line="268" w:lineRule="exact"/>
        <w:ind w:left="580"/>
      </w:pPr>
      <w:r>
        <w:rPr/>
        <w:t>《基金合同》受中国法律管辖。</w:t>
      </w:r>
    </w:p>
    <w:p>
      <w:pPr>
        <w:pStyle w:val="BodyText"/>
        <w:spacing w:before="7"/>
        <w:rPr>
          <w:sz w:val="15"/>
        </w:rPr>
      </w:pPr>
    </w:p>
    <w:p>
      <w:pPr>
        <w:tabs>
          <w:tab w:pos="2944" w:val="left" w:leader="none"/>
        </w:tabs>
        <w:spacing w:before="0"/>
        <w:ind w:left="1888" w:right="0" w:firstLine="0"/>
        <w:jc w:val="left"/>
        <w:rPr>
          <w:b/>
          <w:sz w:val="21"/>
        </w:rPr>
      </w:pPr>
      <w:r>
        <w:rPr>
          <w:b/>
          <w:sz w:val="21"/>
        </w:rPr>
        <w:t>第九部分</w:t>
        <w:tab/>
        <w:t>基金合</w:t>
      </w:r>
      <w:r>
        <w:rPr>
          <w:b/>
          <w:spacing w:val="-3"/>
          <w:sz w:val="21"/>
        </w:rPr>
        <w:t>同</w:t>
      </w:r>
      <w:r>
        <w:rPr>
          <w:b/>
          <w:sz w:val="21"/>
        </w:rPr>
        <w:t>存</w:t>
      </w:r>
      <w:r>
        <w:rPr>
          <w:b/>
          <w:spacing w:val="-3"/>
          <w:sz w:val="21"/>
        </w:rPr>
        <w:t>放</w:t>
      </w:r>
      <w:r>
        <w:rPr>
          <w:b/>
          <w:sz w:val="21"/>
        </w:rPr>
        <w:t>地和投资者取得基</w:t>
      </w:r>
      <w:r>
        <w:rPr>
          <w:b/>
          <w:spacing w:val="-3"/>
          <w:sz w:val="21"/>
        </w:rPr>
        <w:t>金</w:t>
      </w:r>
      <w:r>
        <w:rPr>
          <w:b/>
          <w:sz w:val="21"/>
        </w:rPr>
        <w:t>合</w:t>
      </w:r>
      <w:r>
        <w:rPr>
          <w:b/>
          <w:spacing w:val="-3"/>
          <w:sz w:val="21"/>
        </w:rPr>
        <w:t>同</w:t>
      </w:r>
      <w:r>
        <w:rPr>
          <w:b/>
          <w:sz w:val="21"/>
        </w:rPr>
        <w:t>的方式</w:t>
      </w:r>
    </w:p>
    <w:p>
      <w:pPr>
        <w:pStyle w:val="BodyText"/>
        <w:spacing w:before="7"/>
        <w:rPr>
          <w:b/>
          <w:sz w:val="15"/>
        </w:rPr>
      </w:pPr>
    </w:p>
    <w:p>
      <w:pPr>
        <w:pStyle w:val="BodyText"/>
        <w:spacing w:line="417" w:lineRule="auto"/>
        <w:ind w:left="160" w:right="871" w:firstLine="419"/>
      </w:pPr>
      <w:r>
        <w:rPr>
          <w:spacing w:val="-10"/>
        </w:rPr>
        <w:t>《基金合同》正本一式六份，除上报有关监管机构一式二份外，基金管理人、基金托管</w:t>
      </w:r>
      <w:r>
        <w:rPr>
          <w:spacing w:val="-5"/>
        </w:rPr>
        <w:t>人各持有二份，每份具有同等的法律效力。</w:t>
      </w:r>
    </w:p>
    <w:p>
      <w:pPr>
        <w:pStyle w:val="BodyText"/>
        <w:spacing w:line="417" w:lineRule="auto"/>
        <w:ind w:left="160" w:right="871" w:firstLine="419"/>
      </w:pPr>
      <w:r>
        <w:rPr>
          <w:spacing w:val="-10"/>
        </w:rPr>
        <w:t>《基金合同》可印制成册，供投资者在基金管理人、基金托管人、销售机构的办公场所</w:t>
      </w:r>
      <w:r>
        <w:rPr>
          <w:spacing w:val="-5"/>
        </w:rPr>
        <w:t>和营业场所查阅。</w:t>
      </w:r>
    </w:p>
    <w:p>
      <w:pPr>
        <w:pStyle w:val="BodyText"/>
        <w:spacing w:line="417" w:lineRule="auto"/>
        <w:ind w:left="160" w:right="871" w:firstLine="419"/>
      </w:pPr>
      <w:r>
        <w:rPr>
          <w:spacing w:val="-10"/>
        </w:rPr>
        <w:t>依法必须披露的信息发布后，基金管理人、基金托管人应当按照相关法律法规规定将信</w:t>
      </w:r>
      <w:r>
        <w:rPr>
          <w:spacing w:val="-5"/>
        </w:rPr>
        <w:t>息置备于公司住所，供社会公众查阅、复制。</w:t>
      </w:r>
    </w:p>
    <w:p>
      <w:pPr>
        <w:spacing w:after="0" w:line="417" w:lineRule="auto"/>
        <w:sectPr>
          <w:pgSz w:w="11910" w:h="16840"/>
          <w:pgMar w:header="877" w:footer="995" w:top="1420" w:bottom="1180" w:left="1640" w:right="920"/>
        </w:sectPr>
      </w:pPr>
    </w:p>
    <w:p>
      <w:pPr>
        <w:pStyle w:val="BodyText"/>
        <w:spacing w:before="4"/>
        <w:rPr>
          <w:rFonts w:ascii="Times New Roman"/>
          <w:sz w:val="17"/>
        </w:rPr>
      </w:pPr>
    </w:p>
    <w:p>
      <w:pPr>
        <w:spacing w:after="0"/>
        <w:rPr>
          <w:rFonts w:ascii="Times New Roman"/>
          <w:sz w:val="17"/>
        </w:rPr>
        <w:sectPr>
          <w:pgSz w:w="11910" w:h="16840"/>
          <w:pgMar w:header="877" w:footer="995" w:top="1420" w:bottom="1180" w:left="1640" w:right="920"/>
        </w:sectPr>
      </w:pPr>
    </w:p>
    <w:p>
      <w:pPr>
        <w:pStyle w:val="BodyText"/>
        <w:rPr>
          <w:rFonts w:ascii="Times New Roman"/>
          <w:sz w:val="20"/>
        </w:rPr>
      </w:pPr>
    </w:p>
    <w:p>
      <w:pPr>
        <w:pStyle w:val="BodyText"/>
        <w:spacing w:before="2"/>
        <w:rPr>
          <w:rFonts w:ascii="Times New Roman"/>
          <w:sz w:val="19"/>
        </w:rPr>
      </w:pPr>
    </w:p>
    <w:p>
      <w:pPr>
        <w:pStyle w:val="Heading1"/>
        <w:spacing w:before="0"/>
        <w:ind w:left="7"/>
      </w:pPr>
      <w:bookmarkStart w:name="_bookmark25" w:id="26"/>
      <w:bookmarkEnd w:id="26"/>
      <w:r>
        <w:rPr>
          <w:b w:val="0"/>
        </w:rPr>
      </w:r>
      <w:r>
        <w:rPr/>
        <w:t>附件二：基金托管协议摘要</w:t>
      </w:r>
    </w:p>
    <w:p>
      <w:pPr>
        <w:pStyle w:val="BodyText"/>
        <w:rPr>
          <w:b/>
          <w:sz w:val="20"/>
        </w:rPr>
      </w:pPr>
    </w:p>
    <w:p>
      <w:pPr>
        <w:pStyle w:val="BodyText"/>
        <w:spacing w:before="2"/>
        <w:rPr>
          <w:b/>
        </w:rPr>
      </w:pPr>
    </w:p>
    <w:p>
      <w:pPr>
        <w:pStyle w:val="Heading1"/>
        <w:spacing w:before="0"/>
      </w:pPr>
      <w:r>
        <w:rPr/>
        <w:t>一、托管协议当事人</w:t>
      </w:r>
    </w:p>
    <w:p>
      <w:pPr>
        <w:pStyle w:val="BodyText"/>
        <w:rPr>
          <w:b/>
          <w:sz w:val="10"/>
        </w:rPr>
      </w:pPr>
    </w:p>
    <w:p>
      <w:pPr>
        <w:pStyle w:val="BodyText"/>
        <w:spacing w:before="71"/>
        <w:ind w:left="580"/>
      </w:pPr>
      <w:r>
        <w:rPr/>
        <w:t>（一）基金管理人</w:t>
      </w:r>
    </w:p>
    <w:p>
      <w:pPr>
        <w:pStyle w:val="BodyText"/>
        <w:spacing w:before="7"/>
        <w:rPr>
          <w:sz w:val="15"/>
        </w:rPr>
      </w:pPr>
    </w:p>
    <w:p>
      <w:pPr>
        <w:pStyle w:val="BodyText"/>
        <w:ind w:left="580"/>
      </w:pPr>
      <w:r>
        <w:rPr/>
        <w:t>名称：华夏基金管理有限公司</w:t>
      </w:r>
    </w:p>
    <w:p>
      <w:pPr>
        <w:pStyle w:val="BodyText"/>
        <w:spacing w:before="7"/>
        <w:rPr>
          <w:sz w:val="15"/>
        </w:rPr>
      </w:pPr>
    </w:p>
    <w:p>
      <w:pPr>
        <w:pStyle w:val="BodyText"/>
        <w:ind w:left="580"/>
      </w:pPr>
      <w:r>
        <w:rPr/>
        <w:t>注册地址：北京市顺义区安庆大街甲 </w:t>
      </w:r>
      <w:r>
        <w:rPr>
          <w:rFonts w:ascii="Calibri" w:eastAsia="Calibri"/>
        </w:rPr>
        <w:t>3 </w:t>
      </w:r>
      <w:r>
        <w:rPr/>
        <w:t>号院</w:t>
      </w:r>
    </w:p>
    <w:p>
      <w:pPr>
        <w:pStyle w:val="BodyText"/>
        <w:spacing w:before="6"/>
        <w:rPr>
          <w:sz w:val="15"/>
        </w:rPr>
      </w:pPr>
    </w:p>
    <w:p>
      <w:pPr>
        <w:pStyle w:val="BodyText"/>
        <w:spacing w:line="417" w:lineRule="auto" w:before="1"/>
        <w:ind w:left="580" w:right="3337"/>
        <w:rPr>
          <w:rFonts w:ascii="Calibri" w:eastAsia="Calibri"/>
        </w:rPr>
      </w:pPr>
      <w:r>
        <w:rPr/>
        <w:t>办公地址：北京市西城区金融大街 </w:t>
      </w:r>
      <w:r>
        <w:rPr>
          <w:rFonts w:ascii="Calibri" w:eastAsia="Calibri"/>
        </w:rPr>
        <w:t>33 </w:t>
      </w:r>
      <w:r>
        <w:rPr/>
        <w:t>号通泰大厦</w:t>
      </w:r>
      <w:r>
        <w:rPr>
          <w:rFonts w:ascii="Calibri" w:eastAsia="Calibri"/>
        </w:rPr>
        <w:t>B </w:t>
      </w:r>
      <w:r>
        <w:rPr/>
        <w:t>座 </w:t>
      </w:r>
      <w:r>
        <w:rPr>
          <w:rFonts w:ascii="Calibri" w:eastAsia="Calibri"/>
        </w:rPr>
        <w:t>8 </w:t>
      </w:r>
      <w:r>
        <w:rPr/>
        <w:t>层邮政编码：</w:t>
      </w:r>
      <w:r>
        <w:rPr>
          <w:rFonts w:ascii="Calibri" w:eastAsia="Calibri"/>
        </w:rPr>
        <w:t>100033</w:t>
      </w:r>
    </w:p>
    <w:p>
      <w:pPr>
        <w:pStyle w:val="BodyText"/>
        <w:ind w:left="580"/>
      </w:pPr>
      <w:r>
        <w:rPr/>
        <w:t>法定代表人：杨明辉</w:t>
      </w:r>
    </w:p>
    <w:p>
      <w:pPr>
        <w:pStyle w:val="BodyText"/>
        <w:spacing w:before="6"/>
        <w:rPr>
          <w:sz w:val="15"/>
        </w:rPr>
      </w:pPr>
    </w:p>
    <w:p>
      <w:pPr>
        <w:pStyle w:val="BodyText"/>
        <w:spacing w:before="1"/>
        <w:ind w:left="580"/>
      </w:pPr>
      <w:r>
        <w:rPr/>
        <w:t>成立日期：</w:t>
      </w:r>
      <w:r>
        <w:rPr>
          <w:rFonts w:ascii="Calibri" w:eastAsia="Calibri"/>
        </w:rPr>
        <w:t>1998 </w:t>
      </w:r>
      <w:r>
        <w:rPr/>
        <w:t>年 </w:t>
      </w:r>
      <w:r>
        <w:rPr>
          <w:rFonts w:ascii="Calibri" w:eastAsia="Calibri"/>
        </w:rPr>
        <w:t>4 </w:t>
      </w:r>
      <w:r>
        <w:rPr/>
        <w:t>月 </w:t>
      </w:r>
      <w:r>
        <w:rPr>
          <w:rFonts w:ascii="Calibri" w:eastAsia="Calibri"/>
        </w:rPr>
        <w:t>9 </w:t>
      </w:r>
      <w:r>
        <w:rPr/>
        <w:t>日</w:t>
      </w:r>
    </w:p>
    <w:p>
      <w:pPr>
        <w:pStyle w:val="BodyText"/>
        <w:spacing w:before="6"/>
        <w:rPr>
          <w:sz w:val="15"/>
        </w:rPr>
      </w:pPr>
    </w:p>
    <w:p>
      <w:pPr>
        <w:pStyle w:val="BodyText"/>
        <w:spacing w:line="417" w:lineRule="auto"/>
        <w:ind w:left="580" w:right="2897"/>
      </w:pPr>
      <w:r>
        <w:rPr/>
        <w:t>批准设立机关及批准设立文号：中国证监会证监基字</w:t>
      </w:r>
      <w:r>
        <w:rPr>
          <w:rFonts w:ascii="Calibri" w:eastAsia="Calibri"/>
        </w:rPr>
        <w:t>[1998]16 </w:t>
      </w:r>
      <w:r>
        <w:rPr/>
        <w:t>号组织形式：有限责任公司</w:t>
      </w:r>
    </w:p>
    <w:p>
      <w:pPr>
        <w:pStyle w:val="BodyText"/>
        <w:spacing w:line="417" w:lineRule="auto"/>
        <w:ind w:left="580" w:right="6865"/>
      </w:pPr>
      <w:r>
        <w:rPr/>
        <w:t>注册资本：</w:t>
      </w:r>
      <w:r>
        <w:rPr>
          <w:rFonts w:ascii="Calibri" w:eastAsia="Calibri"/>
        </w:rPr>
        <w:t>2.38 </w:t>
      </w:r>
      <w:r>
        <w:rPr/>
        <w:t>亿元存续期间：</w:t>
      </w:r>
      <w:r>
        <w:rPr>
          <w:rFonts w:ascii="Calibri" w:eastAsia="Calibri"/>
        </w:rPr>
        <w:t>100 </w:t>
      </w:r>
      <w:r>
        <w:rPr/>
        <w:t>年</w:t>
      </w:r>
    </w:p>
    <w:p>
      <w:pPr>
        <w:pStyle w:val="BodyText"/>
        <w:ind w:left="580"/>
      </w:pPr>
      <w:r>
        <w:rPr/>
        <w:t>（二）基金托管人</w:t>
      </w:r>
    </w:p>
    <w:p>
      <w:pPr>
        <w:pStyle w:val="BodyText"/>
        <w:spacing w:before="7"/>
        <w:rPr>
          <w:sz w:val="15"/>
        </w:rPr>
      </w:pPr>
    </w:p>
    <w:p>
      <w:pPr>
        <w:pStyle w:val="BodyText"/>
        <w:spacing w:line="417" w:lineRule="auto"/>
        <w:ind w:left="580" w:right="3298"/>
      </w:pPr>
      <w:r>
        <w:rPr/>
        <w:t>名称：中国建设银行股份有限公司（简称：中国建设银行） 住所：北京市西城区金融大街 </w:t>
      </w:r>
      <w:r>
        <w:rPr>
          <w:rFonts w:ascii="Calibri" w:eastAsia="Calibri"/>
        </w:rPr>
        <w:t>25 </w:t>
      </w:r>
      <w:r>
        <w:rPr/>
        <w:t>号</w:t>
      </w:r>
    </w:p>
    <w:p>
      <w:pPr>
        <w:pStyle w:val="BodyText"/>
        <w:spacing w:line="417" w:lineRule="auto"/>
        <w:ind w:left="580" w:right="4135"/>
        <w:rPr>
          <w:rFonts w:ascii="Calibri" w:eastAsia="Calibri"/>
        </w:rPr>
      </w:pPr>
      <w:r>
        <w:rPr>
          <w:spacing w:val="-6"/>
        </w:rPr>
        <w:t>办公地址：北京市西城区闹市口大街 </w:t>
      </w:r>
      <w:r>
        <w:rPr>
          <w:rFonts w:ascii="Calibri" w:eastAsia="Calibri"/>
        </w:rPr>
        <w:t>1 </w:t>
      </w:r>
      <w:r>
        <w:rPr>
          <w:spacing w:val="-17"/>
        </w:rPr>
        <w:t>号院 </w:t>
      </w:r>
      <w:r>
        <w:rPr>
          <w:rFonts w:ascii="Calibri" w:eastAsia="Calibri"/>
        </w:rPr>
        <w:t>1 </w:t>
      </w:r>
      <w:r>
        <w:rPr/>
        <w:t>号楼</w:t>
      </w:r>
      <w:r>
        <w:rPr>
          <w:spacing w:val="-1"/>
        </w:rPr>
        <w:t>邮政编码：</w:t>
      </w:r>
      <w:r>
        <w:rPr>
          <w:rFonts w:ascii="Calibri" w:eastAsia="Calibri"/>
        </w:rPr>
        <w:t>100033</w:t>
      </w:r>
    </w:p>
    <w:p>
      <w:pPr>
        <w:pStyle w:val="BodyText"/>
        <w:spacing w:line="269" w:lineRule="exact"/>
        <w:ind w:left="580"/>
      </w:pPr>
      <w:r>
        <w:rPr/>
        <w:t>法定代表人：田国立</w:t>
      </w:r>
    </w:p>
    <w:p>
      <w:pPr>
        <w:pStyle w:val="BodyText"/>
        <w:spacing w:before="6"/>
        <w:rPr>
          <w:sz w:val="15"/>
        </w:rPr>
      </w:pPr>
    </w:p>
    <w:p>
      <w:pPr>
        <w:pStyle w:val="BodyText"/>
        <w:ind w:left="580"/>
      </w:pPr>
      <w:r>
        <w:rPr/>
        <w:t>成立日期：</w:t>
      </w:r>
      <w:r>
        <w:rPr>
          <w:rFonts w:ascii="Calibri" w:eastAsia="Calibri"/>
        </w:rPr>
        <w:t>2004 </w:t>
      </w:r>
      <w:r>
        <w:rPr/>
        <w:t>年 </w:t>
      </w:r>
      <w:r>
        <w:rPr>
          <w:rFonts w:ascii="Calibri" w:eastAsia="Calibri"/>
        </w:rPr>
        <w:t>09 </w:t>
      </w:r>
      <w:r>
        <w:rPr/>
        <w:t>月 </w:t>
      </w:r>
      <w:r>
        <w:rPr>
          <w:rFonts w:ascii="Calibri" w:eastAsia="Calibri"/>
        </w:rPr>
        <w:t>17 </w:t>
      </w:r>
      <w:r>
        <w:rPr/>
        <w:t>日</w:t>
      </w:r>
    </w:p>
    <w:p>
      <w:pPr>
        <w:pStyle w:val="BodyText"/>
        <w:spacing w:before="7"/>
        <w:rPr>
          <w:sz w:val="15"/>
        </w:rPr>
      </w:pPr>
    </w:p>
    <w:p>
      <w:pPr>
        <w:pStyle w:val="BodyText"/>
        <w:spacing w:line="417" w:lineRule="auto" w:before="1"/>
        <w:ind w:left="580" w:right="3528"/>
      </w:pPr>
      <w:r>
        <w:rPr/>
        <w:t>基金托管业务批准文号：中国证监会证监基字</w:t>
      </w:r>
      <w:r>
        <w:rPr>
          <w:rFonts w:ascii="Calibri" w:eastAsia="Calibri"/>
        </w:rPr>
        <w:t>[1998]12 </w:t>
      </w:r>
      <w:r>
        <w:rPr/>
        <w:t>号组织形式：股份有限公司</w:t>
      </w:r>
    </w:p>
    <w:p>
      <w:pPr>
        <w:pStyle w:val="BodyText"/>
        <w:spacing w:line="417" w:lineRule="auto"/>
        <w:ind w:left="580" w:right="2667"/>
      </w:pPr>
      <w:r>
        <w:rPr/>
        <w:t>注册资本：人民币贰仟伍佰亿壹仟零玖拾柒万柒仟肆佰捌拾陆元整存续期间：持续经营</w:t>
      </w:r>
    </w:p>
    <w:p>
      <w:pPr>
        <w:pStyle w:val="BodyText"/>
        <w:spacing w:line="417" w:lineRule="auto"/>
        <w:ind w:left="160" w:right="871" w:firstLine="419"/>
        <w:jc w:val="both"/>
      </w:pPr>
      <w:r>
        <w:rPr>
          <w:spacing w:val="-10"/>
        </w:rPr>
        <w:t>经营范围：吸收公众存款；发放短期、中期、长期贷款；办理国内外结算；办理票据承</w:t>
      </w:r>
      <w:r>
        <w:rPr>
          <w:spacing w:val="-21"/>
        </w:rPr>
        <w:t>兑与贴现；发行金融债券；代理发行、代理兑付、承销政府债券；买卖政府债券、金融债券； </w:t>
      </w:r>
      <w:r>
        <w:rPr>
          <w:spacing w:val="-14"/>
        </w:rPr>
        <w:t>从事同业拆借；买卖、代理买卖外汇；从事银行卡业务；提供信用证服务及担保；代理收付款项及代理保险业务；提供保管箱服务；经中国银行业监督管理机构等监管部门批准的其他</w:t>
      </w:r>
    </w:p>
    <w:p>
      <w:pPr>
        <w:spacing w:after="0" w:line="417" w:lineRule="auto"/>
        <w:jc w:val="both"/>
        <w:sectPr>
          <w:pgSz w:w="11910" w:h="16840"/>
          <w:pgMar w:header="877" w:footer="995" w:top="1420" w:bottom="1180" w:left="1640" w:right="920"/>
        </w:sectPr>
      </w:pPr>
    </w:p>
    <w:p>
      <w:pPr>
        <w:pStyle w:val="BodyText"/>
        <w:spacing w:before="110"/>
        <w:ind w:left="160"/>
      </w:pPr>
      <w:r>
        <w:rPr/>
        <w:t>业务。</w:t>
      </w:r>
    </w:p>
    <w:p>
      <w:pPr>
        <w:pStyle w:val="BodyText"/>
        <w:spacing w:before="12"/>
        <w:rPr>
          <w:sz w:val="9"/>
        </w:rPr>
      </w:pPr>
    </w:p>
    <w:p>
      <w:pPr>
        <w:spacing w:before="71"/>
        <w:ind w:left="432" w:right="725" w:firstLine="0"/>
        <w:jc w:val="center"/>
        <w:rPr>
          <w:b/>
          <w:sz w:val="21"/>
        </w:rPr>
      </w:pPr>
      <w:r>
        <w:rPr>
          <w:b/>
          <w:sz w:val="21"/>
        </w:rPr>
        <w:t>二、基金托管人对基金管理人的业务监督和核查</w:t>
      </w:r>
    </w:p>
    <w:p>
      <w:pPr>
        <w:pStyle w:val="BodyText"/>
        <w:spacing w:before="7"/>
        <w:rPr>
          <w:b/>
          <w:sz w:val="15"/>
        </w:rPr>
      </w:pPr>
    </w:p>
    <w:p>
      <w:pPr>
        <w:pStyle w:val="BodyText"/>
        <w:spacing w:line="417" w:lineRule="auto"/>
        <w:ind w:left="160" w:right="871" w:firstLine="419"/>
        <w:jc w:val="both"/>
      </w:pPr>
      <w:r>
        <w:rPr>
          <w:spacing w:val="-6"/>
        </w:rPr>
        <w:t>本基金主要投资于目标 </w:t>
      </w:r>
      <w:r>
        <w:rPr>
          <w:rFonts w:ascii="Calibri" w:eastAsia="Calibri"/>
        </w:rPr>
        <w:t>ETF </w:t>
      </w:r>
      <w:r>
        <w:rPr>
          <w:spacing w:val="-11"/>
        </w:rPr>
        <w:t>基金份额。为更好地实现投资目标，基金还可投资于标的指</w:t>
      </w:r>
      <w:r>
        <w:rPr>
          <w:spacing w:val="-14"/>
        </w:rPr>
        <w:t>数成份股、备选成份股、非成份股、债券</w:t>
      </w:r>
      <w:r>
        <w:rPr>
          <w:rFonts w:ascii="Calibri" w:eastAsia="Calibri"/>
        </w:rPr>
        <w:t>(</w:t>
      </w:r>
      <w:r>
        <w:rPr>
          <w:spacing w:val="-6"/>
        </w:rPr>
        <w:t>包括国内依法发行和上市交易的国债、央行票据、</w:t>
      </w:r>
      <w:r>
        <w:rPr>
          <w:spacing w:val="-13"/>
        </w:rPr>
        <w:t>金融债券、企业债券、公司债券、中期票据、短期融资券、超短期融资券、次级债券、政府</w:t>
      </w:r>
      <w:r>
        <w:rPr>
          <w:spacing w:val="-12"/>
        </w:rPr>
        <w:t>支持机构债券、政府支持债券、地方政府债券、中小企业私募债券、可转换债券、可交换债券及其他经中国证监会允许投资的债券</w:t>
      </w:r>
      <w:r>
        <w:rPr>
          <w:rFonts w:ascii="Calibri" w:eastAsia="Calibri"/>
          <w:spacing w:val="3"/>
        </w:rPr>
        <w:t>)</w:t>
      </w:r>
      <w:r>
        <w:rPr>
          <w:spacing w:val="-1"/>
        </w:rPr>
        <w:t>、股指期货、权证、股票期权、国债期货、货币市</w:t>
      </w:r>
      <w:r>
        <w:rPr>
          <w:spacing w:val="-7"/>
        </w:rPr>
        <w:t>场工具以及法律法规或中国证监会允许基金投资的其他金融工具</w:t>
      </w:r>
      <w:r>
        <w:rPr/>
        <w:t>（</w:t>
      </w:r>
      <w:r>
        <w:rPr>
          <w:spacing w:val="-3"/>
        </w:rPr>
        <w:t>但须符合中国证监会相关规定</w:t>
      </w:r>
      <w:r>
        <w:rPr>
          <w:spacing w:val="-108"/>
        </w:rPr>
        <w:t>）</w:t>
      </w:r>
      <w:r>
        <w:rPr/>
        <w:t>。</w:t>
      </w:r>
    </w:p>
    <w:p>
      <w:pPr>
        <w:pStyle w:val="BodyText"/>
        <w:spacing w:line="417" w:lineRule="auto"/>
        <w:ind w:left="160" w:right="871" w:firstLine="419"/>
      </w:pPr>
      <w:r>
        <w:rPr>
          <w:spacing w:val="-7"/>
        </w:rPr>
        <w:t>如法律法规或监管机构以后允许基金投资其他品种，基金管理人在履行适当程序后，可</w:t>
      </w:r>
      <w:r>
        <w:rPr>
          <w:spacing w:val="-5"/>
        </w:rPr>
        <w:t>以将其纳入投资范围。</w:t>
      </w:r>
    </w:p>
    <w:p>
      <w:pPr>
        <w:pStyle w:val="BodyText"/>
        <w:spacing w:line="417" w:lineRule="auto"/>
        <w:ind w:left="160" w:right="871" w:firstLine="419"/>
        <w:jc w:val="both"/>
      </w:pPr>
      <w:r>
        <w:rPr>
          <w:spacing w:val="-9"/>
        </w:rPr>
        <w:t>基金的投资组合比例为：本基金投资于目标 </w:t>
      </w:r>
      <w:r>
        <w:rPr>
          <w:rFonts w:ascii="Calibri" w:eastAsia="Calibri"/>
        </w:rPr>
        <w:t>ETF </w:t>
      </w:r>
      <w:r>
        <w:rPr>
          <w:spacing w:val="-6"/>
        </w:rPr>
        <w:t>的比例不低于基金资产净值的 </w:t>
      </w:r>
      <w:r>
        <w:rPr>
          <w:rFonts w:ascii="Calibri" w:eastAsia="Calibri"/>
        </w:rPr>
        <w:t>90%</w:t>
      </w:r>
      <w:r>
        <w:rPr>
          <w:spacing w:val="-39"/>
        </w:rPr>
        <w:t>。每</w:t>
      </w:r>
      <w:r>
        <w:rPr>
          <w:spacing w:val="-9"/>
        </w:rPr>
        <w:t>个交易日日终在扣除股指期货、国债期货、股票期权合约需缴纳的交易保证金后，保持不低</w:t>
      </w:r>
      <w:r>
        <w:rPr>
          <w:spacing w:val="-6"/>
        </w:rPr>
        <w:t>于基金资产净值 </w:t>
      </w:r>
      <w:r>
        <w:rPr>
          <w:rFonts w:ascii="Calibri" w:eastAsia="Calibri"/>
        </w:rPr>
        <w:t>5%</w:t>
      </w:r>
      <w:r>
        <w:rPr>
          <w:spacing w:val="-3"/>
        </w:rPr>
        <w:t>的现金或者到期日在一年以内的政府债券。其中，现金不包括结算备付金、存出保证金、应收申购款等。</w:t>
      </w:r>
    </w:p>
    <w:p>
      <w:pPr>
        <w:pStyle w:val="BodyText"/>
        <w:spacing w:line="417" w:lineRule="auto"/>
        <w:ind w:left="160" w:right="871" w:firstLine="419"/>
      </w:pPr>
      <w:r>
        <w:rPr/>
        <w:t>（二</w:t>
      </w:r>
      <w:r>
        <w:rPr>
          <w:spacing w:val="-22"/>
        </w:rPr>
        <w:t>）</w:t>
      </w:r>
      <w:r>
        <w:rPr>
          <w:spacing w:val="-8"/>
        </w:rPr>
        <w:t>基金托管人根据有关法律法规的规定及《基金合同》的约定，对基金投资、融资</w:t>
      </w:r>
      <w:r>
        <w:rPr>
          <w:spacing w:val="-5"/>
        </w:rPr>
        <w:t>比例进行监督。基金托管人按下述比例和调整期限进行监督：</w:t>
      </w:r>
    </w:p>
    <w:p>
      <w:pPr>
        <w:pStyle w:val="ListParagraph"/>
        <w:numPr>
          <w:ilvl w:val="0"/>
          <w:numId w:val="52"/>
        </w:numPr>
        <w:tabs>
          <w:tab w:pos="1110" w:val="left" w:leader="none"/>
        </w:tabs>
        <w:spacing w:line="269" w:lineRule="exact" w:before="0" w:after="0"/>
        <w:ind w:left="1109" w:right="0" w:hanging="530"/>
        <w:jc w:val="left"/>
        <w:rPr>
          <w:sz w:val="21"/>
        </w:rPr>
      </w:pPr>
      <w:r>
        <w:rPr>
          <w:spacing w:val="-9"/>
          <w:sz w:val="21"/>
        </w:rPr>
        <w:t>本基金投资于目标 </w:t>
      </w:r>
      <w:r>
        <w:rPr>
          <w:rFonts w:ascii="Calibri" w:eastAsia="Calibri"/>
          <w:sz w:val="21"/>
        </w:rPr>
        <w:t>ETF</w:t>
      </w:r>
      <w:r>
        <w:rPr>
          <w:rFonts w:ascii="Calibri" w:eastAsia="Calibri"/>
          <w:spacing w:val="4"/>
          <w:sz w:val="21"/>
        </w:rPr>
        <w:t> </w:t>
      </w:r>
      <w:r>
        <w:rPr>
          <w:spacing w:val="-7"/>
          <w:sz w:val="21"/>
        </w:rPr>
        <w:t>的比例不低于基金资产净值的 </w:t>
      </w:r>
      <w:r>
        <w:rPr>
          <w:rFonts w:ascii="Calibri" w:eastAsia="Calibri"/>
          <w:sz w:val="21"/>
        </w:rPr>
        <w:t>90%</w:t>
      </w:r>
      <w:r>
        <w:rPr>
          <w:sz w:val="21"/>
        </w:rPr>
        <w:t>；</w:t>
      </w:r>
    </w:p>
    <w:p>
      <w:pPr>
        <w:pStyle w:val="BodyText"/>
        <w:spacing w:before="5"/>
        <w:rPr>
          <w:sz w:val="15"/>
        </w:rPr>
      </w:pPr>
    </w:p>
    <w:p>
      <w:pPr>
        <w:pStyle w:val="ListParagraph"/>
        <w:numPr>
          <w:ilvl w:val="0"/>
          <w:numId w:val="52"/>
        </w:numPr>
        <w:tabs>
          <w:tab w:pos="1110" w:val="left" w:leader="none"/>
        </w:tabs>
        <w:spacing w:line="240" w:lineRule="auto" w:before="1" w:after="0"/>
        <w:ind w:left="1109" w:right="0" w:hanging="530"/>
        <w:jc w:val="left"/>
        <w:rPr>
          <w:sz w:val="21"/>
        </w:rPr>
      </w:pPr>
      <w:r>
        <w:rPr>
          <w:spacing w:val="-5"/>
          <w:sz w:val="21"/>
        </w:rPr>
        <w:t>本基金持有的全部权证，其市值不得超过基金资产净值的 </w:t>
      </w:r>
      <w:r>
        <w:rPr>
          <w:rFonts w:ascii="Calibri" w:eastAsia="Calibri"/>
          <w:sz w:val="21"/>
        </w:rPr>
        <w:t>3%</w:t>
      </w:r>
      <w:r>
        <w:rPr>
          <w:sz w:val="21"/>
        </w:rPr>
        <w:t>；</w:t>
      </w:r>
    </w:p>
    <w:p>
      <w:pPr>
        <w:pStyle w:val="BodyText"/>
        <w:spacing w:before="6"/>
        <w:rPr>
          <w:sz w:val="15"/>
        </w:rPr>
      </w:pPr>
    </w:p>
    <w:p>
      <w:pPr>
        <w:pStyle w:val="ListParagraph"/>
        <w:numPr>
          <w:ilvl w:val="0"/>
          <w:numId w:val="52"/>
        </w:numPr>
        <w:tabs>
          <w:tab w:pos="1112" w:val="left" w:leader="none"/>
        </w:tabs>
        <w:spacing w:line="417" w:lineRule="auto" w:before="0" w:after="0"/>
        <w:ind w:left="160" w:right="874" w:firstLine="419"/>
        <w:jc w:val="left"/>
        <w:rPr>
          <w:sz w:val="21"/>
        </w:rPr>
      </w:pPr>
      <w:r>
        <w:rPr>
          <w:spacing w:val="-3"/>
          <w:sz w:val="21"/>
        </w:rPr>
        <w:t>本基金管理人管理且由本基金托管人托管的全部基金持有的同一权证，不得超过</w:t>
      </w:r>
      <w:r>
        <w:rPr>
          <w:spacing w:val="-14"/>
          <w:sz w:val="21"/>
        </w:rPr>
        <w:t>该权证的 </w:t>
      </w:r>
      <w:r>
        <w:rPr>
          <w:rFonts w:ascii="Calibri" w:eastAsia="Calibri"/>
          <w:sz w:val="21"/>
        </w:rPr>
        <w:t>10%</w:t>
      </w:r>
      <w:r>
        <w:rPr>
          <w:sz w:val="21"/>
        </w:rPr>
        <w:t>；</w:t>
      </w:r>
    </w:p>
    <w:p>
      <w:pPr>
        <w:pStyle w:val="ListParagraph"/>
        <w:numPr>
          <w:ilvl w:val="0"/>
          <w:numId w:val="52"/>
        </w:numPr>
        <w:tabs>
          <w:tab w:pos="1126" w:val="left" w:leader="none"/>
        </w:tabs>
        <w:spacing w:line="240" w:lineRule="auto" w:before="1" w:after="0"/>
        <w:ind w:left="1125" w:right="0" w:hanging="546"/>
        <w:jc w:val="left"/>
        <w:rPr>
          <w:sz w:val="21"/>
        </w:rPr>
      </w:pPr>
      <w:r>
        <w:rPr>
          <w:spacing w:val="3"/>
          <w:sz w:val="21"/>
        </w:rPr>
        <w:t>本基金在任何交易日买入权证的总金额，不得超过上一交易日基金资产净值的</w:t>
      </w:r>
    </w:p>
    <w:p>
      <w:pPr>
        <w:pStyle w:val="BodyText"/>
        <w:spacing w:before="6"/>
        <w:rPr>
          <w:sz w:val="15"/>
        </w:rPr>
      </w:pPr>
    </w:p>
    <w:p>
      <w:pPr>
        <w:pStyle w:val="BodyText"/>
        <w:ind w:left="160"/>
      </w:pPr>
      <w:r>
        <w:rPr>
          <w:rFonts w:ascii="Calibri" w:eastAsia="Calibri"/>
        </w:rPr>
        <w:t>0.5%</w:t>
      </w:r>
      <w:r>
        <w:rPr/>
        <w:t>；</w:t>
      </w:r>
    </w:p>
    <w:p>
      <w:pPr>
        <w:pStyle w:val="BodyText"/>
        <w:spacing w:before="7"/>
        <w:rPr>
          <w:sz w:val="15"/>
        </w:rPr>
      </w:pPr>
    </w:p>
    <w:p>
      <w:pPr>
        <w:pStyle w:val="ListParagraph"/>
        <w:numPr>
          <w:ilvl w:val="0"/>
          <w:numId w:val="52"/>
        </w:numPr>
        <w:tabs>
          <w:tab w:pos="1112" w:val="left" w:leader="none"/>
        </w:tabs>
        <w:spacing w:line="417" w:lineRule="auto" w:before="0" w:after="0"/>
        <w:ind w:left="160" w:right="874" w:firstLine="419"/>
        <w:jc w:val="left"/>
        <w:rPr>
          <w:sz w:val="21"/>
        </w:rPr>
      </w:pPr>
      <w:r>
        <w:rPr>
          <w:spacing w:val="-3"/>
          <w:sz w:val="21"/>
        </w:rPr>
        <w:t>本基金投资于同一原始权益人的各类资产支持证券的比例，不得超过基金资产净</w:t>
      </w:r>
      <w:r>
        <w:rPr>
          <w:spacing w:val="-21"/>
          <w:sz w:val="21"/>
        </w:rPr>
        <w:t>值的 </w:t>
      </w:r>
      <w:r>
        <w:rPr>
          <w:rFonts w:ascii="Calibri" w:eastAsia="Calibri"/>
          <w:sz w:val="21"/>
        </w:rPr>
        <w:t>10%</w:t>
      </w:r>
      <w:r>
        <w:rPr>
          <w:sz w:val="21"/>
        </w:rPr>
        <w:t>；</w:t>
      </w:r>
    </w:p>
    <w:p>
      <w:pPr>
        <w:pStyle w:val="ListParagraph"/>
        <w:numPr>
          <w:ilvl w:val="0"/>
          <w:numId w:val="52"/>
        </w:numPr>
        <w:tabs>
          <w:tab w:pos="1110" w:val="left" w:leader="none"/>
        </w:tabs>
        <w:spacing w:line="269" w:lineRule="exact" w:before="0" w:after="0"/>
        <w:ind w:left="1109" w:right="0" w:hanging="530"/>
        <w:jc w:val="left"/>
        <w:rPr>
          <w:sz w:val="21"/>
        </w:rPr>
      </w:pPr>
      <w:r>
        <w:rPr>
          <w:spacing w:val="-5"/>
          <w:sz w:val="21"/>
        </w:rPr>
        <w:t>本基金持有的全部资产支持证券，其市值不得超过基金资产净值的 </w:t>
      </w:r>
      <w:r>
        <w:rPr>
          <w:rFonts w:ascii="Calibri" w:eastAsia="Calibri"/>
          <w:sz w:val="21"/>
        </w:rPr>
        <w:t>20%</w:t>
      </w:r>
      <w:r>
        <w:rPr>
          <w:sz w:val="21"/>
        </w:rPr>
        <w:t>；</w:t>
      </w:r>
    </w:p>
    <w:p>
      <w:pPr>
        <w:pStyle w:val="BodyText"/>
        <w:spacing w:before="7"/>
        <w:rPr>
          <w:sz w:val="15"/>
        </w:rPr>
      </w:pPr>
    </w:p>
    <w:p>
      <w:pPr>
        <w:pStyle w:val="ListParagraph"/>
        <w:numPr>
          <w:ilvl w:val="0"/>
          <w:numId w:val="52"/>
        </w:numPr>
        <w:tabs>
          <w:tab w:pos="1116" w:val="left" w:leader="none"/>
        </w:tabs>
        <w:spacing w:line="417" w:lineRule="auto" w:before="0" w:after="0"/>
        <w:ind w:left="160" w:right="877" w:firstLine="419"/>
        <w:jc w:val="left"/>
        <w:rPr>
          <w:sz w:val="21"/>
        </w:rPr>
      </w:pPr>
      <w:r>
        <w:rPr>
          <w:sz w:val="21"/>
        </w:rPr>
        <w:t>本基金持有的同一</w:t>
      </w:r>
      <w:r>
        <w:rPr>
          <w:rFonts w:ascii="Calibri" w:eastAsia="Calibri"/>
          <w:sz w:val="21"/>
        </w:rPr>
        <w:t>(</w:t>
      </w:r>
      <w:r>
        <w:rPr>
          <w:sz w:val="21"/>
        </w:rPr>
        <w:t>指同一信用级别</w:t>
      </w:r>
      <w:r>
        <w:rPr>
          <w:rFonts w:ascii="Calibri" w:eastAsia="Calibri"/>
          <w:spacing w:val="3"/>
          <w:sz w:val="21"/>
        </w:rPr>
        <w:t>)</w:t>
      </w:r>
      <w:r>
        <w:rPr>
          <w:spacing w:val="-1"/>
          <w:sz w:val="21"/>
        </w:rPr>
        <w:t>资产支持证券的比例，不得超过该资产支持</w:t>
      </w:r>
      <w:r>
        <w:rPr>
          <w:spacing w:val="-11"/>
          <w:sz w:val="21"/>
        </w:rPr>
        <w:t>证券规模的 </w:t>
      </w:r>
      <w:r>
        <w:rPr>
          <w:rFonts w:ascii="Calibri" w:eastAsia="Calibri"/>
          <w:sz w:val="21"/>
        </w:rPr>
        <w:t>10%</w:t>
      </w:r>
      <w:r>
        <w:rPr>
          <w:sz w:val="21"/>
        </w:rPr>
        <w:t>；</w:t>
      </w:r>
    </w:p>
    <w:p>
      <w:pPr>
        <w:pStyle w:val="ListParagraph"/>
        <w:numPr>
          <w:ilvl w:val="0"/>
          <w:numId w:val="52"/>
        </w:numPr>
        <w:tabs>
          <w:tab w:pos="1112" w:val="left" w:leader="none"/>
        </w:tabs>
        <w:spacing w:line="417" w:lineRule="auto" w:before="0" w:after="0"/>
        <w:ind w:left="160" w:right="873" w:firstLine="419"/>
        <w:jc w:val="left"/>
        <w:rPr>
          <w:sz w:val="21"/>
        </w:rPr>
      </w:pPr>
      <w:r>
        <w:rPr>
          <w:spacing w:val="-3"/>
          <w:sz w:val="21"/>
        </w:rPr>
        <w:t>本基金管理人管理的且由本基金托管人托管的全部基金投资于同一原始权益人的</w:t>
      </w:r>
      <w:r>
        <w:rPr>
          <w:spacing w:val="-5"/>
          <w:sz w:val="21"/>
        </w:rPr>
        <w:t>各类资产支持证券，不得超过其各类资产支持证券合计规模的 </w:t>
      </w:r>
      <w:r>
        <w:rPr>
          <w:rFonts w:ascii="Calibri" w:eastAsia="Calibri"/>
          <w:sz w:val="21"/>
        </w:rPr>
        <w:t>10%</w:t>
      </w:r>
      <w:r>
        <w:rPr>
          <w:sz w:val="21"/>
        </w:rPr>
        <w:t>；</w:t>
      </w:r>
    </w:p>
    <w:p>
      <w:pPr>
        <w:spacing w:after="0" w:line="417" w:lineRule="auto"/>
        <w:jc w:val="left"/>
        <w:rPr>
          <w:sz w:val="21"/>
        </w:rPr>
        <w:sectPr>
          <w:footerReference w:type="default" r:id="rId155"/>
          <w:pgSz w:w="11910" w:h="16840"/>
          <w:pgMar w:footer="995" w:header="877" w:top="1420" w:bottom="1180" w:left="1640" w:right="920"/>
        </w:sectPr>
      </w:pPr>
    </w:p>
    <w:p>
      <w:pPr>
        <w:pStyle w:val="ListParagraph"/>
        <w:numPr>
          <w:ilvl w:val="0"/>
          <w:numId w:val="52"/>
        </w:numPr>
        <w:tabs>
          <w:tab w:pos="1110" w:val="left" w:leader="none"/>
        </w:tabs>
        <w:spacing w:line="417" w:lineRule="auto" w:before="110" w:after="0"/>
        <w:ind w:left="160" w:right="871" w:firstLine="419"/>
        <w:jc w:val="both"/>
        <w:rPr>
          <w:sz w:val="21"/>
        </w:rPr>
      </w:pPr>
      <w:r>
        <w:rPr>
          <w:spacing w:val="-4"/>
          <w:sz w:val="21"/>
        </w:rPr>
        <w:t>本基金应投资于信用级别评级为 </w:t>
      </w:r>
      <w:r>
        <w:rPr>
          <w:rFonts w:ascii="Calibri" w:eastAsia="Calibri"/>
          <w:sz w:val="21"/>
        </w:rPr>
        <w:t>BBB</w:t>
      </w:r>
      <w:r>
        <w:rPr>
          <w:rFonts w:ascii="Calibri" w:eastAsia="Calibri"/>
          <w:spacing w:val="42"/>
          <w:sz w:val="21"/>
        </w:rPr>
        <w:t> </w:t>
      </w:r>
      <w:r>
        <w:rPr>
          <w:sz w:val="21"/>
        </w:rPr>
        <w:t>以上</w:t>
      </w:r>
      <w:r>
        <w:rPr>
          <w:rFonts w:ascii="Calibri" w:eastAsia="Calibri"/>
          <w:sz w:val="21"/>
        </w:rPr>
        <w:t>(</w:t>
      </w:r>
      <w:r>
        <w:rPr>
          <w:spacing w:val="-7"/>
          <w:sz w:val="21"/>
        </w:rPr>
        <w:t>含 </w:t>
      </w:r>
      <w:r>
        <w:rPr>
          <w:rFonts w:ascii="Calibri" w:eastAsia="Calibri"/>
          <w:sz w:val="21"/>
        </w:rPr>
        <w:t>BBB)</w:t>
      </w:r>
      <w:r>
        <w:rPr>
          <w:spacing w:val="-3"/>
          <w:sz w:val="21"/>
        </w:rPr>
        <w:t>的资产支持证券。基金持有资</w:t>
      </w:r>
      <w:r>
        <w:rPr>
          <w:spacing w:val="-1"/>
          <w:sz w:val="21"/>
        </w:rPr>
        <w:t>产支持证券期间，如果其信用等级下降、不再符合投资标准，应在评级报告发布之日起 </w:t>
      </w:r>
      <w:r>
        <w:rPr>
          <w:rFonts w:ascii="Calibri" w:eastAsia="Calibri"/>
          <w:sz w:val="21"/>
        </w:rPr>
        <w:t>3 </w:t>
      </w:r>
      <w:r>
        <w:rPr>
          <w:spacing w:val="-3"/>
          <w:sz w:val="21"/>
        </w:rPr>
        <w:t>个月内予以全部卖出；</w:t>
      </w:r>
    </w:p>
    <w:p>
      <w:pPr>
        <w:pStyle w:val="ListParagraph"/>
        <w:numPr>
          <w:ilvl w:val="0"/>
          <w:numId w:val="52"/>
        </w:numPr>
        <w:tabs>
          <w:tab w:pos="1215" w:val="left" w:leader="none"/>
        </w:tabs>
        <w:spacing w:line="417" w:lineRule="auto" w:before="0" w:after="0"/>
        <w:ind w:left="160" w:right="875" w:firstLine="419"/>
        <w:jc w:val="left"/>
        <w:rPr>
          <w:sz w:val="21"/>
        </w:rPr>
      </w:pPr>
      <w:r>
        <w:rPr>
          <w:spacing w:val="-7"/>
          <w:sz w:val="21"/>
        </w:rPr>
        <w:t>基金财产参与股票发行申购，本基金所申报的金额不超过本基金的总资产，本 </w:t>
      </w:r>
      <w:r>
        <w:rPr>
          <w:spacing w:val="-3"/>
          <w:sz w:val="21"/>
        </w:rPr>
        <w:t>基金所申报的股票数量不超过拟发行股票公司本次发行股票的总量；</w:t>
      </w:r>
    </w:p>
    <w:p>
      <w:pPr>
        <w:pStyle w:val="ListParagraph"/>
        <w:numPr>
          <w:ilvl w:val="0"/>
          <w:numId w:val="52"/>
        </w:numPr>
        <w:tabs>
          <w:tab w:pos="1215" w:val="left" w:leader="none"/>
        </w:tabs>
        <w:spacing w:line="417" w:lineRule="auto" w:before="0" w:after="0"/>
        <w:ind w:left="160" w:right="871" w:firstLine="419"/>
        <w:jc w:val="left"/>
        <w:rPr>
          <w:sz w:val="21"/>
        </w:rPr>
      </w:pPr>
      <w:r>
        <w:rPr>
          <w:spacing w:val="-3"/>
          <w:sz w:val="21"/>
        </w:rPr>
        <w:t>本基金进入全国银行间同业市场进行债券回购的资金余额不得超过基金资产净</w:t>
      </w:r>
      <w:r>
        <w:rPr>
          <w:spacing w:val="-18"/>
          <w:sz w:val="21"/>
        </w:rPr>
        <w:t>值的 </w:t>
      </w:r>
      <w:r>
        <w:rPr>
          <w:rFonts w:ascii="Calibri" w:eastAsia="Calibri"/>
          <w:sz w:val="21"/>
        </w:rPr>
        <w:t>40%</w:t>
      </w:r>
      <w:r>
        <w:rPr>
          <w:sz w:val="21"/>
        </w:rPr>
        <w:t>；</w:t>
      </w:r>
    </w:p>
    <w:p>
      <w:pPr>
        <w:pStyle w:val="ListParagraph"/>
        <w:numPr>
          <w:ilvl w:val="0"/>
          <w:numId w:val="52"/>
        </w:numPr>
        <w:tabs>
          <w:tab w:pos="1215" w:val="left" w:leader="none"/>
        </w:tabs>
        <w:spacing w:line="417" w:lineRule="auto" w:before="0" w:after="0"/>
        <w:ind w:left="160" w:right="871" w:firstLine="419"/>
        <w:jc w:val="both"/>
        <w:rPr>
          <w:sz w:val="21"/>
        </w:rPr>
      </w:pPr>
      <w:r>
        <w:rPr>
          <w:spacing w:val="-7"/>
          <w:sz w:val="21"/>
        </w:rPr>
        <w:t>本基金在任何交易日日终，持有的买入股指期货合约价值，不得超过基金资产 </w:t>
      </w:r>
      <w:r>
        <w:rPr>
          <w:spacing w:val="-11"/>
          <w:sz w:val="21"/>
        </w:rPr>
        <w:t>净值的 </w:t>
      </w:r>
      <w:r>
        <w:rPr>
          <w:rFonts w:ascii="Calibri" w:eastAsia="Calibri"/>
          <w:spacing w:val="-12"/>
          <w:sz w:val="21"/>
        </w:rPr>
        <w:t>10%</w:t>
      </w:r>
      <w:r>
        <w:rPr>
          <w:spacing w:val="-10"/>
          <w:sz w:val="21"/>
        </w:rPr>
        <w:t>；在任何交易日日终，持有的卖出期货合约价值不得超过基金持有的股票总市值</w:t>
      </w:r>
      <w:r>
        <w:rPr>
          <w:spacing w:val="6"/>
          <w:sz w:val="21"/>
        </w:rPr>
        <w:t>的 </w:t>
      </w:r>
      <w:r>
        <w:rPr>
          <w:rFonts w:ascii="Calibri" w:eastAsia="Calibri"/>
          <w:spacing w:val="-5"/>
          <w:sz w:val="21"/>
        </w:rPr>
        <w:t>20%</w:t>
      </w:r>
      <w:r>
        <w:rPr>
          <w:spacing w:val="-5"/>
          <w:sz w:val="21"/>
        </w:rPr>
        <w:t>，在任何交易日内交易</w:t>
      </w:r>
      <w:r>
        <w:rPr>
          <w:sz w:val="21"/>
        </w:rPr>
        <w:t>（</w:t>
      </w:r>
      <w:r>
        <w:rPr>
          <w:spacing w:val="-3"/>
          <w:sz w:val="21"/>
        </w:rPr>
        <w:t>不包括平仓</w:t>
      </w:r>
      <w:r>
        <w:rPr>
          <w:spacing w:val="-13"/>
          <w:sz w:val="21"/>
        </w:rPr>
        <w:t>）</w:t>
      </w:r>
      <w:r>
        <w:rPr>
          <w:spacing w:val="-3"/>
          <w:sz w:val="21"/>
        </w:rPr>
        <w:t>的股指期货合约的成交金额不得超过上一交</w:t>
      </w:r>
      <w:r>
        <w:rPr>
          <w:spacing w:val="-8"/>
          <w:sz w:val="21"/>
        </w:rPr>
        <w:t>易日基金资产净值的 </w:t>
      </w:r>
      <w:r>
        <w:rPr>
          <w:rFonts w:ascii="Calibri" w:eastAsia="Calibri"/>
          <w:sz w:val="21"/>
        </w:rPr>
        <w:t>20%</w:t>
      </w:r>
      <w:r>
        <w:rPr>
          <w:sz w:val="21"/>
        </w:rPr>
        <w:t>；</w:t>
      </w:r>
    </w:p>
    <w:p>
      <w:pPr>
        <w:pStyle w:val="ListParagraph"/>
        <w:numPr>
          <w:ilvl w:val="0"/>
          <w:numId w:val="52"/>
        </w:numPr>
        <w:tabs>
          <w:tab w:pos="1215" w:val="left" w:leader="none"/>
        </w:tabs>
        <w:spacing w:line="417" w:lineRule="auto" w:before="0" w:after="0"/>
        <w:ind w:left="160" w:right="871" w:firstLine="419"/>
        <w:jc w:val="both"/>
        <w:rPr>
          <w:sz w:val="21"/>
        </w:rPr>
      </w:pPr>
      <w:r>
        <w:rPr>
          <w:spacing w:val="-8"/>
          <w:sz w:val="21"/>
        </w:rPr>
        <w:t>基金在任何交易日日终，持有的买入国债期货合约价值，不得超过基金资产净 </w:t>
      </w:r>
      <w:r>
        <w:rPr>
          <w:spacing w:val="-12"/>
          <w:sz w:val="21"/>
        </w:rPr>
        <w:t>值的 </w:t>
      </w:r>
      <w:r>
        <w:rPr>
          <w:rFonts w:ascii="Calibri" w:eastAsia="Calibri"/>
          <w:spacing w:val="-13"/>
          <w:sz w:val="21"/>
        </w:rPr>
        <w:t>15%</w:t>
      </w:r>
      <w:r>
        <w:rPr>
          <w:spacing w:val="-9"/>
          <w:sz w:val="21"/>
        </w:rPr>
        <w:t>；基金在任何交易日日终，持有的卖出国债期货合约价值不得超过基金持有的债券总市值的 </w:t>
      </w:r>
      <w:r>
        <w:rPr>
          <w:rFonts w:ascii="Calibri" w:eastAsia="Calibri"/>
          <w:spacing w:val="-9"/>
          <w:sz w:val="21"/>
        </w:rPr>
        <w:t>30%</w:t>
      </w:r>
      <w:r>
        <w:rPr>
          <w:spacing w:val="-7"/>
          <w:sz w:val="21"/>
        </w:rPr>
        <w:t>；基金在任何交易日内交易</w:t>
      </w:r>
      <w:r>
        <w:rPr>
          <w:sz w:val="21"/>
        </w:rPr>
        <w:t>（</w:t>
      </w:r>
      <w:r>
        <w:rPr>
          <w:spacing w:val="-3"/>
          <w:sz w:val="21"/>
        </w:rPr>
        <w:t>不包括平仓</w:t>
      </w:r>
      <w:r>
        <w:rPr>
          <w:spacing w:val="-32"/>
          <w:sz w:val="21"/>
        </w:rPr>
        <w:t>）</w:t>
      </w:r>
      <w:r>
        <w:rPr>
          <w:spacing w:val="-3"/>
          <w:sz w:val="21"/>
        </w:rPr>
        <w:t>的国债期货合约的成交金额不得超</w:t>
      </w:r>
      <w:r>
        <w:rPr>
          <w:spacing w:val="-7"/>
          <w:sz w:val="21"/>
        </w:rPr>
        <w:t>过上一交易日基金资产净值的 </w:t>
      </w:r>
      <w:r>
        <w:rPr>
          <w:rFonts w:ascii="Calibri" w:eastAsia="Calibri"/>
          <w:sz w:val="21"/>
        </w:rPr>
        <w:t>30%</w:t>
      </w:r>
      <w:r>
        <w:rPr>
          <w:sz w:val="21"/>
        </w:rPr>
        <w:t>；</w:t>
      </w:r>
    </w:p>
    <w:p>
      <w:pPr>
        <w:pStyle w:val="ListParagraph"/>
        <w:numPr>
          <w:ilvl w:val="0"/>
          <w:numId w:val="52"/>
        </w:numPr>
        <w:tabs>
          <w:tab w:pos="1218" w:val="left" w:leader="none"/>
        </w:tabs>
        <w:spacing w:line="417" w:lineRule="auto" w:before="0" w:after="0"/>
        <w:ind w:left="160" w:right="871" w:firstLine="419"/>
        <w:jc w:val="both"/>
        <w:rPr>
          <w:sz w:val="21"/>
        </w:rPr>
      </w:pPr>
      <w:r>
        <w:rPr>
          <w:spacing w:val="-9"/>
          <w:sz w:val="21"/>
        </w:rPr>
        <w:t>在任何交易日日终，持有的买入股指期货和国债期货合约价值与有价证券市值 </w:t>
      </w:r>
      <w:r>
        <w:rPr>
          <w:spacing w:val="-7"/>
          <w:sz w:val="21"/>
        </w:rPr>
        <w:t>之和，不得超过基金资产净值的 </w:t>
      </w:r>
      <w:r>
        <w:rPr>
          <w:rFonts w:ascii="Calibri" w:eastAsia="Calibri"/>
          <w:sz w:val="21"/>
        </w:rPr>
        <w:t>100%</w:t>
      </w:r>
      <w:r>
        <w:rPr>
          <w:sz w:val="21"/>
        </w:rPr>
        <w:t>；</w:t>
      </w:r>
    </w:p>
    <w:p>
      <w:pPr>
        <w:pStyle w:val="ListParagraph"/>
        <w:numPr>
          <w:ilvl w:val="0"/>
          <w:numId w:val="52"/>
        </w:numPr>
        <w:tabs>
          <w:tab w:pos="1215" w:val="left" w:leader="none"/>
        </w:tabs>
        <w:spacing w:line="417" w:lineRule="auto" w:before="0" w:after="0"/>
        <w:ind w:left="160" w:right="871" w:firstLine="419"/>
        <w:jc w:val="both"/>
        <w:rPr>
          <w:sz w:val="21"/>
        </w:rPr>
      </w:pPr>
      <w:r>
        <w:rPr>
          <w:spacing w:val="-7"/>
          <w:sz w:val="21"/>
        </w:rPr>
        <w:t>每个交易日日终在扣除股指期货、国债期货、股票期权合约需缴纳的交易保证 </w:t>
      </w:r>
      <w:r>
        <w:rPr>
          <w:spacing w:val="-4"/>
          <w:sz w:val="21"/>
        </w:rPr>
        <w:t>金后，保持不低于基金资产净值 </w:t>
      </w:r>
      <w:r>
        <w:rPr>
          <w:rFonts w:ascii="Calibri" w:eastAsia="Calibri"/>
          <w:sz w:val="21"/>
        </w:rPr>
        <w:t>5%</w:t>
      </w:r>
      <w:r>
        <w:rPr>
          <w:spacing w:val="-3"/>
          <w:sz w:val="21"/>
        </w:rPr>
        <w:t>的现金或者到期日在一年以内的政府债券，其中，现金不包括结算备付金、存出保证金、应收申购款等；</w:t>
      </w:r>
    </w:p>
    <w:p>
      <w:pPr>
        <w:pStyle w:val="BodyText"/>
        <w:spacing w:line="417" w:lineRule="auto"/>
        <w:ind w:left="160" w:right="871" w:firstLine="419"/>
      </w:pPr>
      <w:r>
        <w:rPr>
          <w:spacing w:val="-9"/>
        </w:rPr>
        <w:t>本基金在开始进行期货投资之前，应与基金托管人、期货公司三方一同就期货开户、清算、估值、交收等事宜另行签署《期货投资托管操作三方备忘录》。</w:t>
      </w:r>
    </w:p>
    <w:p>
      <w:pPr>
        <w:pStyle w:val="BodyText"/>
        <w:spacing w:line="417" w:lineRule="auto"/>
        <w:ind w:left="160" w:right="871" w:firstLine="419"/>
        <w:jc w:val="both"/>
      </w:pPr>
      <w:r>
        <w:rPr>
          <w:spacing w:val="-11"/>
        </w:rPr>
        <w:t>本产品如需参加期权交易，应当按照现有证券账户开立方式向中国证券登记结算有限责</w:t>
      </w:r>
      <w:r>
        <w:rPr>
          <w:spacing w:val="-12"/>
        </w:rPr>
        <w:t>任公司申请新开立一个普通证券账户，基金管理人负责将该证券账户指定交易在证券公司或</w:t>
      </w:r>
      <w:r>
        <w:rPr>
          <w:spacing w:val="-10"/>
        </w:rPr>
        <w:t>期货公司，由相应证券公司</w:t>
      </w:r>
      <w:r>
        <w:rPr/>
        <w:t>（</w:t>
      </w:r>
      <w:r>
        <w:rPr>
          <w:spacing w:val="-3"/>
        </w:rPr>
        <w:t>或期货公司</w:t>
      </w:r>
      <w:r>
        <w:rPr>
          <w:spacing w:val="-25"/>
        </w:rPr>
        <w:t>）</w:t>
      </w:r>
      <w:r>
        <w:rPr>
          <w:spacing w:val="-5"/>
        </w:rPr>
        <w:t>为本产品开立衍生品合约账户后，再通过该证券公司</w:t>
      </w:r>
      <w:r>
        <w:rPr>
          <w:spacing w:val="-3"/>
        </w:rPr>
        <w:t>（或期货公司）参与期权交易。</w:t>
      </w:r>
    </w:p>
    <w:p>
      <w:pPr>
        <w:pStyle w:val="ListParagraph"/>
        <w:numPr>
          <w:ilvl w:val="0"/>
          <w:numId w:val="52"/>
        </w:numPr>
        <w:tabs>
          <w:tab w:pos="1218" w:val="left" w:leader="none"/>
        </w:tabs>
        <w:spacing w:line="268" w:lineRule="exact" w:before="0" w:after="0"/>
        <w:ind w:left="1217" w:right="0" w:hanging="638"/>
        <w:jc w:val="both"/>
        <w:rPr>
          <w:sz w:val="21"/>
        </w:rPr>
      </w:pPr>
      <w:r>
        <w:rPr>
          <w:spacing w:val="-5"/>
          <w:sz w:val="21"/>
        </w:rPr>
        <w:t>本基金持有单只中小企业私募债券，其市值不得超过基金资产净值的 </w:t>
      </w:r>
      <w:r>
        <w:rPr>
          <w:rFonts w:ascii="Calibri" w:eastAsia="Calibri"/>
          <w:sz w:val="21"/>
        </w:rPr>
        <w:t>10%</w:t>
      </w:r>
      <w:r>
        <w:rPr>
          <w:sz w:val="21"/>
        </w:rPr>
        <w:t>；</w:t>
      </w:r>
    </w:p>
    <w:p>
      <w:pPr>
        <w:pStyle w:val="ListParagraph"/>
        <w:numPr>
          <w:ilvl w:val="0"/>
          <w:numId w:val="52"/>
        </w:numPr>
        <w:tabs>
          <w:tab w:pos="1218" w:val="left" w:leader="none"/>
        </w:tabs>
        <w:spacing w:line="240" w:lineRule="auto" w:before="197" w:after="0"/>
        <w:ind w:left="1217" w:right="0" w:hanging="638"/>
        <w:jc w:val="left"/>
        <w:rPr>
          <w:sz w:val="21"/>
        </w:rPr>
      </w:pPr>
      <w:r>
        <w:rPr>
          <w:spacing w:val="-7"/>
          <w:sz w:val="21"/>
        </w:rPr>
        <w:t>基金总资产不得超过基金净资产的 </w:t>
      </w:r>
      <w:r>
        <w:rPr>
          <w:rFonts w:ascii="Calibri" w:eastAsia="Calibri"/>
          <w:sz w:val="21"/>
        </w:rPr>
        <w:t>140%</w:t>
      </w:r>
      <w:r>
        <w:rPr>
          <w:sz w:val="21"/>
        </w:rPr>
        <w:t>；</w:t>
      </w:r>
    </w:p>
    <w:p>
      <w:pPr>
        <w:pStyle w:val="BodyText"/>
        <w:spacing w:before="6"/>
        <w:rPr>
          <w:sz w:val="15"/>
        </w:rPr>
      </w:pPr>
    </w:p>
    <w:p>
      <w:pPr>
        <w:pStyle w:val="ListParagraph"/>
        <w:numPr>
          <w:ilvl w:val="0"/>
          <w:numId w:val="52"/>
        </w:numPr>
        <w:tabs>
          <w:tab w:pos="1215" w:val="left" w:leader="none"/>
        </w:tabs>
        <w:spacing w:line="240" w:lineRule="auto" w:before="1" w:after="0"/>
        <w:ind w:left="1215" w:right="0" w:hanging="635"/>
        <w:jc w:val="left"/>
        <w:rPr>
          <w:sz w:val="21"/>
        </w:rPr>
      </w:pPr>
      <w:r>
        <w:rPr>
          <w:spacing w:val="-3"/>
          <w:sz w:val="21"/>
        </w:rPr>
        <w:t>基金因未平仓的股票期权合约支付和收取的权利金总额不得超过基金资产净值的</w:t>
      </w:r>
    </w:p>
    <w:p>
      <w:pPr>
        <w:pStyle w:val="BodyText"/>
        <w:spacing w:before="6"/>
        <w:rPr>
          <w:sz w:val="15"/>
        </w:rPr>
      </w:pPr>
    </w:p>
    <w:p>
      <w:pPr>
        <w:pStyle w:val="BodyText"/>
        <w:ind w:left="160"/>
      </w:pPr>
      <w:r>
        <w:rPr>
          <w:rFonts w:ascii="Calibri" w:eastAsia="Calibri"/>
        </w:rPr>
        <w:t>10%</w:t>
      </w:r>
      <w:r>
        <w:rPr/>
        <w:t>；开仓卖出认购股票期权的，应持有足额标的证券；开仓卖出认沽股票期权的，应持有</w:t>
      </w:r>
    </w:p>
    <w:p>
      <w:pPr>
        <w:spacing w:after="0"/>
        <w:sectPr>
          <w:footerReference w:type="default" r:id="rId156"/>
          <w:pgSz w:w="11910" w:h="16840"/>
          <w:pgMar w:footer="995" w:header="877" w:top="1420" w:bottom="1180" w:left="1640" w:right="920"/>
          <w:pgNumType w:start="161"/>
        </w:sectPr>
      </w:pPr>
    </w:p>
    <w:p>
      <w:pPr>
        <w:pStyle w:val="BodyText"/>
        <w:spacing w:line="417" w:lineRule="auto" w:before="110"/>
        <w:ind w:left="160" w:right="871"/>
        <w:jc w:val="both"/>
      </w:pPr>
      <w:r>
        <w:rPr>
          <w:spacing w:val="-6"/>
        </w:rPr>
        <w:t>合约行权所需的全额现金或交易所规则认可的可冲抵股票期权保证金的现金等价物；未平仓</w:t>
      </w:r>
      <w:r>
        <w:rPr>
          <w:spacing w:val="-5"/>
        </w:rPr>
        <w:t>的股票期权合约面值不得超过基金资产净值的 </w:t>
      </w:r>
      <w:r>
        <w:rPr>
          <w:rFonts w:ascii="Calibri" w:eastAsia="Calibri"/>
        </w:rPr>
        <w:t>20%</w:t>
      </w:r>
      <w:r>
        <w:rPr>
          <w:spacing w:val="-12"/>
        </w:rPr>
        <w:t>。其中，合约面值按照行权价乘以合约乘</w:t>
      </w:r>
      <w:r>
        <w:rPr>
          <w:spacing w:val="-7"/>
        </w:rPr>
        <w:t>数计算；</w:t>
      </w:r>
    </w:p>
    <w:p>
      <w:pPr>
        <w:pStyle w:val="ListParagraph"/>
        <w:numPr>
          <w:ilvl w:val="0"/>
          <w:numId w:val="52"/>
        </w:numPr>
        <w:tabs>
          <w:tab w:pos="1218" w:val="left" w:leader="none"/>
        </w:tabs>
        <w:spacing w:line="417" w:lineRule="auto" w:before="0" w:after="0"/>
        <w:ind w:left="160" w:right="765" w:firstLine="419"/>
        <w:jc w:val="left"/>
        <w:rPr>
          <w:sz w:val="21"/>
        </w:rPr>
      </w:pPr>
      <w:r>
        <w:rPr>
          <w:spacing w:val="-4"/>
          <w:sz w:val="21"/>
        </w:rPr>
        <w:t>本基金主动投资于流动性受限资产的市值合计不得超过本基金资产净值的 </w:t>
      </w:r>
      <w:r>
        <w:rPr>
          <w:rFonts w:ascii="Calibri" w:eastAsia="Calibri"/>
          <w:sz w:val="21"/>
        </w:rPr>
        <w:t>15%</w:t>
      </w:r>
      <w:r>
        <w:rPr>
          <w:sz w:val="21"/>
        </w:rPr>
        <w:t>。</w:t>
      </w:r>
      <w:r>
        <w:rPr>
          <w:spacing w:val="-12"/>
          <w:sz w:val="21"/>
        </w:rPr>
        <w:t>因证券市场波动、上市公司股票停牌、基金规模变动等基金管理人之外的因素致使基金不符</w:t>
      </w:r>
      <w:r>
        <w:rPr>
          <w:spacing w:val="-6"/>
          <w:sz w:val="21"/>
        </w:rPr>
        <w:t>合前述所规定比例限制的，基金管理人不得主动新增流动性受限资产的投资。</w:t>
      </w:r>
    </w:p>
    <w:p>
      <w:pPr>
        <w:pStyle w:val="ListParagraph"/>
        <w:numPr>
          <w:ilvl w:val="0"/>
          <w:numId w:val="52"/>
        </w:numPr>
        <w:tabs>
          <w:tab w:pos="1218" w:val="left" w:leader="none"/>
        </w:tabs>
        <w:spacing w:line="269" w:lineRule="exact" w:before="0" w:after="0"/>
        <w:ind w:left="1217" w:right="0" w:hanging="638"/>
        <w:jc w:val="left"/>
        <w:rPr>
          <w:sz w:val="21"/>
        </w:rPr>
      </w:pPr>
      <w:r>
        <w:rPr>
          <w:spacing w:val="-3"/>
          <w:sz w:val="21"/>
        </w:rPr>
        <w:t>法律法规及中国证监会规定的其他投资限制。</w:t>
      </w:r>
    </w:p>
    <w:p>
      <w:pPr>
        <w:pStyle w:val="BodyText"/>
        <w:spacing w:before="6"/>
        <w:rPr>
          <w:sz w:val="15"/>
        </w:rPr>
      </w:pPr>
    </w:p>
    <w:p>
      <w:pPr>
        <w:pStyle w:val="BodyText"/>
        <w:spacing w:line="417" w:lineRule="auto" w:before="1"/>
        <w:ind w:left="160" w:right="871" w:firstLine="419"/>
        <w:jc w:val="both"/>
      </w:pPr>
      <w:r>
        <w:rPr>
          <w:spacing w:val="-12"/>
        </w:rPr>
        <w:t>因证券、期货市场波动、基金规模变动等基金管理人之外因素致使基金投资不符合上述</w:t>
      </w:r>
      <w:r>
        <w:rPr>
          <w:spacing w:val="-24"/>
        </w:rPr>
        <w:t>第</w:t>
      </w:r>
      <w:r>
        <w:rPr>
          <w:spacing w:val="-10"/>
        </w:rPr>
        <w:t>（</w:t>
      </w:r>
      <w:r>
        <w:rPr>
          <w:rFonts w:ascii="Calibri" w:eastAsia="Calibri"/>
          <w:spacing w:val="-10"/>
        </w:rPr>
        <w:t>1</w:t>
      </w:r>
      <w:r>
        <w:rPr>
          <w:spacing w:val="-10"/>
        </w:rPr>
        <w:t>）</w:t>
      </w:r>
      <w:r>
        <w:rPr>
          <w:spacing w:val="-8"/>
        </w:rPr>
        <w:t>项约定的投资比例的，基金管理人应当在 </w:t>
      </w:r>
      <w:r>
        <w:rPr>
          <w:rFonts w:ascii="Calibri" w:eastAsia="Calibri"/>
        </w:rPr>
        <w:t>20 </w:t>
      </w:r>
      <w:r>
        <w:rPr>
          <w:spacing w:val="-6"/>
        </w:rPr>
        <w:t>个交易日内进行调整，但中国证监会规</w:t>
      </w:r>
      <w:r>
        <w:rPr>
          <w:spacing w:val="-4"/>
        </w:rPr>
        <w:t>定的特殊情形除外。</w:t>
      </w:r>
    </w:p>
    <w:p>
      <w:pPr>
        <w:pStyle w:val="BodyText"/>
        <w:spacing w:line="417" w:lineRule="auto"/>
        <w:ind w:left="160" w:right="871" w:firstLine="419"/>
        <w:jc w:val="both"/>
      </w:pPr>
      <w:r>
        <w:rPr>
          <w:w w:val="100"/>
        </w:rPr>
        <w:t>除第</w:t>
      </w:r>
      <w:r>
        <w:rPr>
          <w:spacing w:val="-3"/>
          <w:w w:val="100"/>
        </w:rPr>
        <w:t>（</w:t>
      </w:r>
      <w:r>
        <w:rPr>
          <w:rFonts w:ascii="Calibri" w:eastAsia="Calibri"/>
          <w:w w:val="100"/>
        </w:rPr>
        <w:t>9</w:t>
      </w:r>
      <w:r>
        <w:rPr>
          <w:spacing w:val="-106"/>
          <w:w w:val="100"/>
        </w:rPr>
        <w:t>）</w:t>
      </w:r>
      <w:r>
        <w:rPr>
          <w:spacing w:val="-108"/>
          <w:w w:val="100"/>
        </w:rPr>
        <w:t>、</w:t>
      </w:r>
      <w:r>
        <w:rPr>
          <w:spacing w:val="-1"/>
          <w:w w:val="100"/>
        </w:rPr>
        <w:t>（</w:t>
      </w:r>
      <w:r>
        <w:rPr>
          <w:rFonts w:ascii="Calibri" w:eastAsia="Calibri"/>
          <w:spacing w:val="-2"/>
          <w:w w:val="100"/>
        </w:rPr>
        <w:t>1</w:t>
      </w:r>
      <w:r>
        <w:rPr>
          <w:rFonts w:ascii="Calibri" w:eastAsia="Calibri"/>
          <w:w w:val="100"/>
        </w:rPr>
        <w:t>5</w:t>
      </w:r>
      <w:r>
        <w:rPr>
          <w:spacing w:val="-106"/>
          <w:w w:val="100"/>
        </w:rPr>
        <w:t>）</w:t>
      </w:r>
      <w:r>
        <w:rPr>
          <w:spacing w:val="-108"/>
          <w:w w:val="100"/>
        </w:rPr>
        <w:t>、</w:t>
      </w:r>
      <w:r>
        <w:rPr>
          <w:spacing w:val="-2"/>
          <w:w w:val="100"/>
        </w:rPr>
        <w:t>（</w:t>
      </w:r>
      <w:r>
        <w:rPr>
          <w:rFonts w:ascii="Calibri" w:eastAsia="Calibri"/>
          <w:w w:val="100"/>
        </w:rPr>
        <w:t>1</w:t>
      </w:r>
      <w:r>
        <w:rPr>
          <w:rFonts w:ascii="Calibri" w:eastAsia="Calibri"/>
          <w:spacing w:val="-2"/>
          <w:w w:val="100"/>
        </w:rPr>
        <w:t>9</w:t>
      </w:r>
      <w:r>
        <w:rPr>
          <w:w w:val="100"/>
        </w:rPr>
        <w:t>）</w:t>
      </w:r>
      <w:r>
        <w:rPr>
          <w:spacing w:val="-3"/>
          <w:w w:val="100"/>
        </w:rPr>
        <w:t>项另有约定外，因证券市场波动、证券发行人合并、基金规模</w:t>
      </w:r>
      <w:r>
        <w:rPr>
          <w:spacing w:val="-9"/>
        </w:rPr>
        <w:t>变动、标的指数成份股调整、标的指数成份股流动性限制、目标 </w:t>
      </w:r>
      <w:r>
        <w:rPr>
          <w:rFonts w:ascii="Calibri" w:eastAsia="Calibri"/>
        </w:rPr>
        <w:t>ETF </w:t>
      </w:r>
      <w:r>
        <w:rPr>
          <w:spacing w:val="-7"/>
        </w:rPr>
        <w:t>申购、赎回、交易被暂</w:t>
      </w:r>
      <w:r>
        <w:rPr>
          <w:spacing w:val="-8"/>
        </w:rPr>
        <w:t>停或交收延迟等基金管理人之外的因素致使基金投资比例不符合上述规定投资比例的，基金</w:t>
      </w:r>
      <w:r>
        <w:rPr>
          <w:spacing w:val="-12"/>
        </w:rPr>
        <w:t>管理人应当在 </w:t>
      </w:r>
      <w:r>
        <w:rPr>
          <w:rFonts w:ascii="Calibri" w:eastAsia="Calibri"/>
        </w:rPr>
        <w:t>10 </w:t>
      </w:r>
      <w:r>
        <w:rPr>
          <w:spacing w:val="-3"/>
        </w:rPr>
        <w:t>个交易日内进行调整。法律法规另有规定的，从其规定。</w:t>
      </w:r>
    </w:p>
    <w:p>
      <w:pPr>
        <w:pStyle w:val="BodyText"/>
        <w:spacing w:line="417" w:lineRule="auto"/>
        <w:ind w:left="160" w:right="871" w:firstLine="419"/>
        <w:jc w:val="both"/>
      </w:pPr>
      <w:r>
        <w:rPr>
          <w:spacing w:val="-2"/>
        </w:rPr>
        <w:t>基金管理人应当自基金合同生效之日起 </w:t>
      </w:r>
      <w:r>
        <w:rPr>
          <w:rFonts w:ascii="Calibri" w:eastAsia="Calibri"/>
        </w:rPr>
        <w:t>6 </w:t>
      </w:r>
      <w:r>
        <w:rPr>
          <w:spacing w:val="-3"/>
        </w:rPr>
        <w:t>个月内使基金的投资组合比例符合基金合同</w:t>
      </w:r>
      <w:r>
        <w:rPr>
          <w:spacing w:val="-11"/>
        </w:rPr>
        <w:t>的有关约定。期间，基金的投资范围、投资策略应当符合基金合同的约定。基金托管人对基</w:t>
      </w:r>
      <w:r>
        <w:rPr>
          <w:spacing w:val="-6"/>
        </w:rPr>
        <w:t>金的投资的监督与检查自本基金合同生效之日起开始。</w:t>
      </w:r>
    </w:p>
    <w:p>
      <w:pPr>
        <w:pStyle w:val="BodyText"/>
        <w:spacing w:line="417" w:lineRule="auto"/>
        <w:ind w:left="160" w:right="871" w:firstLine="419"/>
        <w:jc w:val="both"/>
      </w:pPr>
      <w:r>
        <w:rPr>
          <w:spacing w:val="-6"/>
        </w:rPr>
        <w:t>如果法律法规或监管部门对本基金合同约定投资组合比例限制进行变更的，以变更后的</w:t>
      </w:r>
      <w:r>
        <w:rPr>
          <w:spacing w:val="-11"/>
        </w:rPr>
        <w:t>规定为准。法律法规或监管部门取消上述限制，如适用于本基金，基金管理人在履行适当程</w:t>
      </w:r>
      <w:r>
        <w:rPr>
          <w:spacing w:val="-6"/>
        </w:rPr>
        <w:t>序后，则本基金投资不再受相关限制。</w:t>
      </w:r>
    </w:p>
    <w:p>
      <w:pPr>
        <w:pStyle w:val="BodyText"/>
        <w:spacing w:line="417" w:lineRule="auto"/>
        <w:ind w:left="160" w:right="871" w:firstLine="419"/>
      </w:pPr>
      <w:r>
        <w:rPr/>
        <w:t>（三</w:t>
      </w:r>
      <w:r>
        <w:rPr>
          <w:spacing w:val="-27"/>
        </w:rPr>
        <w:t>）</w:t>
      </w:r>
      <w:r>
        <w:rPr>
          <w:spacing w:val="-7"/>
        </w:rPr>
        <w:t>基金托管人根据有关法律法规的规定及《基金合同》的约定，对本托管协议第十</w:t>
      </w:r>
      <w:r>
        <w:rPr>
          <w:spacing w:val="-5"/>
        </w:rPr>
        <w:t>五条第九款基金投资禁止行为通过事后监督方式进行监督。</w:t>
      </w:r>
    </w:p>
    <w:p>
      <w:pPr>
        <w:pStyle w:val="BodyText"/>
        <w:spacing w:line="417" w:lineRule="auto"/>
        <w:ind w:left="160" w:right="871" w:firstLine="419"/>
        <w:jc w:val="both"/>
      </w:pPr>
      <w:r>
        <w:rPr>
          <w:spacing w:val="-8"/>
        </w:rPr>
        <w:t>基金管理人运用基金财产买卖基金管理人、基金托管人及其控股股东、实际控制人或者</w:t>
      </w:r>
      <w:r>
        <w:rPr>
          <w:spacing w:val="-9"/>
        </w:rPr>
        <w:t>与其有重大利害关系的公司发行的证券或者承销期内承销的证券，或者从事其他重大关联交</w:t>
      </w:r>
      <w:r>
        <w:rPr>
          <w:spacing w:val="-10"/>
        </w:rPr>
        <w:t>易的，应当符合基金的投资目标和投资策略，遵循基金份额持有人利益优先的原则，防范利</w:t>
      </w:r>
      <w:r>
        <w:rPr>
          <w:spacing w:val="-12"/>
        </w:rPr>
        <w:t>益冲突，建立健全内部审批机制和评估机制，按照市场公平合理价格执行。相关交易必须事先得到基金托管人的同意，并按法律法规予以披露。重大关联交易应提交基金管理人董事会</w:t>
      </w:r>
      <w:r>
        <w:rPr>
          <w:spacing w:val="-13"/>
        </w:rPr>
        <w:t>审议，并经过三分之二以上的独立董事通过。基金管理人董事会应至少每半年对关联交易事</w:t>
      </w:r>
      <w:r>
        <w:rPr>
          <w:spacing w:val="-15"/>
        </w:rPr>
        <w:t>项进行审查。本基金投资基金管理人或基金管理人关联方管理基金</w:t>
      </w:r>
      <w:r>
        <w:rPr>
          <w:spacing w:val="-3"/>
        </w:rPr>
        <w:t>（</w:t>
      </w:r>
      <w:r>
        <w:rPr>
          <w:spacing w:val="-7"/>
        </w:rPr>
        <w:t>包括目标 </w:t>
      </w:r>
      <w:r>
        <w:rPr>
          <w:rFonts w:ascii="Calibri" w:eastAsia="Calibri"/>
          <w:spacing w:val="-22"/>
        </w:rPr>
        <w:t>ETF</w:t>
      </w:r>
      <w:r>
        <w:rPr>
          <w:spacing w:val="-22"/>
        </w:rPr>
        <w:t>）</w:t>
      </w:r>
      <w:r>
        <w:rPr>
          <w:spacing w:val="-3"/>
        </w:rPr>
        <w:t>的情况， 不属于前述重大关联交易，但是应当按照法律法规或监管规定的要求履行信息披露义务。</w:t>
      </w:r>
    </w:p>
    <w:p>
      <w:pPr>
        <w:spacing w:after="0" w:line="417" w:lineRule="auto"/>
        <w:jc w:val="both"/>
        <w:sectPr>
          <w:pgSz w:w="11910" w:h="16840"/>
          <w:pgMar w:header="877" w:footer="995" w:top="1420" w:bottom="1180" w:left="1640" w:right="920"/>
        </w:sectPr>
      </w:pPr>
    </w:p>
    <w:p>
      <w:pPr>
        <w:pStyle w:val="BodyText"/>
        <w:spacing w:line="417" w:lineRule="auto" w:before="110"/>
        <w:ind w:left="160" w:right="768" w:firstLine="419"/>
      </w:pPr>
      <w:r>
        <w:rPr/>
        <w:t>（四</w:t>
      </w:r>
      <w:r>
        <w:rPr>
          <w:spacing w:val="-27"/>
        </w:rPr>
        <w:t>）</w:t>
      </w:r>
      <w:r>
        <w:rPr>
          <w:spacing w:val="-7"/>
        </w:rPr>
        <w:t>基金托管人根据有关法律法规的规定及《基金合同》的约定，对基金管理人参与</w:t>
      </w:r>
      <w:r>
        <w:rPr>
          <w:spacing w:val="-12"/>
        </w:rPr>
        <w:t>银行间债券市场进行监督。基金管理人应在基金投资运作之前向基金托管人提供符合法律法规及行业标准的、经慎重选择的、本基金适用的银行间债券市场交易对手名单，并约定各交</w:t>
      </w:r>
      <w:r>
        <w:rPr>
          <w:spacing w:val="-13"/>
        </w:rPr>
        <w:t>易对手所适用的交易结算方式。基金管理人应严格按照交易对手名单的范围在银行间债券市场选择交易对手。基金托管人监督基金管理人是否按事前提供的银行间债券市场交易对手名</w:t>
      </w:r>
      <w:r>
        <w:rPr>
          <w:spacing w:val="-6"/>
        </w:rPr>
        <w:t>单进行交易。基金管理人可以每半年对银行间债券市场交易对手名单及结算方式进行更新， </w:t>
      </w:r>
      <w:r>
        <w:rPr>
          <w:spacing w:val="-4"/>
        </w:rPr>
        <w:t>新名单确定前已与本次剔除的交易对手所进行但尚未结算的交易，仍应按照协议进行结算。</w:t>
      </w:r>
      <w:r>
        <w:rPr>
          <w:spacing w:val="-6"/>
        </w:rPr>
        <w:t>如基金管理人根据市场情况需要临时调整银行间债券市场交易对手名单及结算方式的，应向基金托管人说明理由，并在与交易对手发生交易前 </w:t>
      </w:r>
      <w:r>
        <w:rPr>
          <w:rFonts w:ascii="Calibri" w:eastAsia="Calibri"/>
        </w:rPr>
        <w:t>3 </w:t>
      </w:r>
      <w:r>
        <w:rPr>
          <w:spacing w:val="-3"/>
        </w:rPr>
        <w:t>个工作日内与基金托管人协商解决。</w:t>
      </w:r>
    </w:p>
    <w:p>
      <w:pPr>
        <w:pStyle w:val="BodyText"/>
        <w:spacing w:line="417" w:lineRule="auto"/>
        <w:ind w:left="160" w:right="871" w:firstLine="419"/>
        <w:jc w:val="both"/>
      </w:pPr>
      <w:r>
        <w:rPr>
          <w:spacing w:val="-8"/>
        </w:rPr>
        <w:t>基金管理人负责对交易对手的资信控制，按银行间债券市场的交易规则进行交易，并负</w:t>
      </w:r>
      <w:r>
        <w:rPr>
          <w:spacing w:val="-9"/>
        </w:rPr>
        <w:t>责解决因交易对手不履行合同而造成的纠纷及损失，基金托管人不承担由此造成的任何法律</w:t>
      </w:r>
      <w:r>
        <w:rPr>
          <w:spacing w:val="-13"/>
        </w:rPr>
        <w:t>责任及损失。若未履约的交易对手在基金托管人与基金管理人确定的时间前仍未承担违约责</w:t>
      </w:r>
      <w:r>
        <w:rPr>
          <w:spacing w:val="-12"/>
        </w:rPr>
        <w:t>任及其他相关法律责任的，基金管理人可以对相应损失先行予以承担，然后再向相关交易对手追偿。基金托管人则根据银行间债券市场成交单对合同履行情况进行监督。如基金托管人</w:t>
      </w:r>
      <w:r>
        <w:rPr>
          <w:spacing w:val="-9"/>
        </w:rPr>
        <w:t>事后发现基金管理人没有按照事先约定的交易对手或交易方式进行交易时，基金托管人应及</w:t>
      </w:r>
      <w:r>
        <w:rPr>
          <w:spacing w:val="-5"/>
        </w:rPr>
        <w:t>时提醒基金管理人，基金托管人不承担由此造成的任何损失和责任。</w:t>
      </w:r>
    </w:p>
    <w:p>
      <w:pPr>
        <w:pStyle w:val="BodyText"/>
        <w:spacing w:line="417" w:lineRule="auto"/>
        <w:ind w:left="160" w:right="871" w:firstLine="419"/>
      </w:pPr>
      <w:r>
        <w:rPr/>
        <w:t>（五</w:t>
      </w:r>
      <w:r>
        <w:rPr>
          <w:spacing w:val="-27"/>
        </w:rPr>
        <w:t>）</w:t>
      </w:r>
      <w:r>
        <w:rPr>
          <w:spacing w:val="-7"/>
        </w:rPr>
        <w:t>基金托管人根据有关法律法规的规定及《基金合同》的约定，对基金管理人投资</w:t>
      </w:r>
      <w:r>
        <w:rPr>
          <w:spacing w:val="-5"/>
        </w:rPr>
        <w:t>流通受限证券进行监督。</w:t>
      </w:r>
    </w:p>
    <w:p>
      <w:pPr>
        <w:pStyle w:val="BodyText"/>
        <w:spacing w:line="417" w:lineRule="auto"/>
        <w:ind w:left="160" w:right="871" w:firstLine="419"/>
        <w:jc w:val="both"/>
      </w:pPr>
      <w:r>
        <w:rPr>
          <w:spacing w:val="-9"/>
        </w:rPr>
        <w:t>基金管理人投资流通受限证券，应事先根据中国证监会相关规定，明确基金投资流通受</w:t>
      </w:r>
      <w:r>
        <w:rPr>
          <w:spacing w:val="-11"/>
        </w:rPr>
        <w:t>限证券的比例，制订严格的投资决策流程和风险控制制度，防范流动性风险、法律风险和操</w:t>
      </w:r>
      <w:r>
        <w:rPr>
          <w:spacing w:val="-12"/>
        </w:rPr>
        <w:t>作风险等各种风险。基金托管人对基金管理人是否遵守相关制度、流动性风险处置预案以及</w:t>
      </w:r>
      <w:r>
        <w:rPr>
          <w:spacing w:val="-6"/>
        </w:rPr>
        <w:t>相关投资额度和比例等的情况进行监督。</w:t>
      </w:r>
    </w:p>
    <w:p>
      <w:pPr>
        <w:pStyle w:val="BodyText"/>
        <w:spacing w:line="417" w:lineRule="auto"/>
        <w:ind w:left="160" w:right="871" w:firstLine="419"/>
        <w:jc w:val="both"/>
      </w:pPr>
      <w:r>
        <w:rPr>
          <w:rFonts w:ascii="Calibri" w:eastAsia="Calibri"/>
        </w:rPr>
        <w:t>1</w:t>
      </w:r>
      <w:r>
        <w:rPr>
          <w:spacing w:val="-3"/>
        </w:rPr>
        <w:t>、本基金投资的流通受限证券须为经中国证监会批准的非公开发行股票、公开发行股</w:t>
      </w:r>
      <w:r>
        <w:rPr>
          <w:spacing w:val="-7"/>
        </w:rPr>
        <w:t>票网下配售部分等在发行时明确一定期限锁定期的可交易证券，不包括由于发布重大消息或</w:t>
      </w:r>
      <w:r>
        <w:rPr>
          <w:spacing w:val="-11"/>
        </w:rPr>
        <w:t>其他原因而临时停牌的证券、已发行未上市证券、回购交易中的质押券等流通受限证券。本</w:t>
      </w:r>
      <w:r>
        <w:rPr>
          <w:spacing w:val="-6"/>
        </w:rPr>
        <w:t>基金不投资有锁定期但锁定期不明确的证券。</w:t>
      </w:r>
    </w:p>
    <w:p>
      <w:pPr>
        <w:pStyle w:val="BodyText"/>
        <w:spacing w:line="417" w:lineRule="auto"/>
        <w:ind w:left="160" w:right="770" w:firstLine="419"/>
      </w:pPr>
      <w:r>
        <w:rPr/>
        <w:t>本基金投资的流通受限证券限于可由中国证券登记结算有限责任公司或中央国债登记 </w:t>
      </w:r>
      <w:r>
        <w:rPr>
          <w:spacing w:val="-3"/>
        </w:rPr>
        <w:t>结算有限责任公司负责登记和存管，并可在证券交易所或全国银行间债券市场交易的证券。</w:t>
      </w:r>
    </w:p>
    <w:p>
      <w:pPr>
        <w:pStyle w:val="BodyText"/>
        <w:spacing w:line="417" w:lineRule="auto"/>
        <w:ind w:left="160" w:right="871" w:firstLine="419"/>
      </w:pPr>
      <w:r>
        <w:rPr>
          <w:spacing w:val="-7"/>
        </w:rPr>
        <w:t>本基金投资的流通受限证券应保证登记存管在本基金名下，基金管理人负责相关工作的</w:t>
      </w:r>
      <w:r>
        <w:rPr>
          <w:spacing w:val="-12"/>
        </w:rPr>
        <w:t>落实和协调，并确保基金托管人能够正常查询。因基金管理人原因产生的流通受限证券登记</w:t>
      </w:r>
    </w:p>
    <w:p>
      <w:pPr>
        <w:spacing w:after="0" w:line="417" w:lineRule="auto"/>
        <w:sectPr>
          <w:pgSz w:w="11910" w:h="16840"/>
          <w:pgMar w:header="877" w:footer="995" w:top="1420" w:bottom="1180" w:left="1640" w:right="920"/>
        </w:sectPr>
      </w:pPr>
    </w:p>
    <w:p>
      <w:pPr>
        <w:pStyle w:val="BodyText"/>
        <w:spacing w:line="417" w:lineRule="auto" w:before="110"/>
        <w:ind w:left="160" w:right="871"/>
      </w:pPr>
      <w:r>
        <w:rPr>
          <w:spacing w:val="-10"/>
        </w:rPr>
        <w:t>存管问题，造成基金托管人无法安全保管本基金资产的责任与损失，及因流通受限证券存管</w:t>
      </w:r>
      <w:r>
        <w:rPr>
          <w:spacing w:val="-5"/>
        </w:rPr>
        <w:t>直接影响本基金安全的责任及损失，由基金管理人承担。</w:t>
      </w:r>
    </w:p>
    <w:p>
      <w:pPr>
        <w:pStyle w:val="BodyText"/>
        <w:spacing w:line="269" w:lineRule="exact"/>
        <w:ind w:left="580"/>
      </w:pPr>
      <w:r>
        <w:rPr/>
        <w:t>本基金投资流通受限证券，不得预付任何形式的保证金。</w:t>
      </w:r>
    </w:p>
    <w:p>
      <w:pPr>
        <w:pStyle w:val="BodyText"/>
        <w:spacing w:before="6"/>
        <w:rPr>
          <w:sz w:val="15"/>
        </w:rPr>
      </w:pPr>
    </w:p>
    <w:p>
      <w:pPr>
        <w:pStyle w:val="BodyText"/>
        <w:spacing w:line="417" w:lineRule="auto"/>
        <w:ind w:left="160" w:right="770" w:firstLine="419"/>
        <w:jc w:val="both"/>
      </w:pPr>
      <w:r>
        <w:rPr>
          <w:rFonts w:ascii="Calibri" w:eastAsia="Calibri"/>
        </w:rPr>
        <w:t>2</w:t>
      </w:r>
      <w:r>
        <w:rPr>
          <w:spacing w:val="-3"/>
        </w:rPr>
        <w:t>、基金管理人投资非公开发行股票，应制订流动性风险处置预案并经其董事会批准。</w:t>
      </w:r>
      <w:r>
        <w:rPr>
          <w:spacing w:val="-6"/>
        </w:rPr>
        <w:t>风险处置预案应包括但不限于因投资流通受限证券需要解决的基金投资比例限制失调、基金</w:t>
      </w:r>
      <w:r>
        <w:rPr>
          <w:spacing w:val="-9"/>
        </w:rPr>
        <w:t>流动性困难以及相关损失的应对解决措施，以及有关异常情况的处置。基金管理人应在首次</w:t>
      </w:r>
      <w:r>
        <w:rPr>
          <w:spacing w:val="-5"/>
        </w:rPr>
        <w:t>投资流通受限证券前向基金托管人提供基金投资非公开发行股票相关流动性风险处置预案。</w:t>
      </w:r>
    </w:p>
    <w:p>
      <w:pPr>
        <w:pStyle w:val="BodyText"/>
        <w:spacing w:line="417" w:lineRule="auto"/>
        <w:ind w:left="160" w:right="871" w:firstLine="419"/>
        <w:jc w:val="both"/>
      </w:pPr>
      <w:r>
        <w:rPr>
          <w:spacing w:val="-7"/>
        </w:rPr>
        <w:t>基金管理人对本基金投资流通受限证券的流动性风险负责，确保对相关风险采取积极有</w:t>
      </w:r>
      <w:r>
        <w:rPr>
          <w:spacing w:val="-12"/>
        </w:rPr>
        <w:t>效的措施，在合理的时间内有效解决基金运作的流动性问题。如因基金巨额赎回或市场发生</w:t>
      </w:r>
      <w:r>
        <w:rPr>
          <w:spacing w:val="-11"/>
        </w:rPr>
        <w:t>剧烈变动等原因而导致基金现金周转困难时，基金管理人按照基金合同及托管协议的有关规定做出合理资金安排并承担相应责任，不得影响基金资产的清算交收，基金托管人不承担由</w:t>
      </w:r>
      <w:r>
        <w:rPr>
          <w:spacing w:val="-12"/>
        </w:rPr>
        <w:t>此产生的损失。对本基金因投资流通受限证券导致的流动性风险，基金托管人不承担任何责</w:t>
      </w:r>
      <w:r>
        <w:rPr>
          <w:spacing w:val="-11"/>
        </w:rPr>
        <w:t>任。如因基金管理人原因导致本基金出现损失致使基金托管人承担连带赔偿责任的，基金管</w:t>
      </w:r>
      <w:r>
        <w:rPr>
          <w:spacing w:val="-6"/>
        </w:rPr>
        <w:t>理人应赔偿基金托管人由此遭受的损失。</w:t>
      </w:r>
    </w:p>
    <w:p>
      <w:pPr>
        <w:pStyle w:val="BodyText"/>
        <w:spacing w:line="417" w:lineRule="auto"/>
        <w:ind w:left="160" w:right="872" w:firstLine="419"/>
        <w:jc w:val="both"/>
      </w:pPr>
      <w:r>
        <w:rPr>
          <w:rFonts w:ascii="Calibri" w:eastAsia="Calibri"/>
        </w:rPr>
        <w:t>3</w:t>
      </w:r>
      <w:r>
        <w:rPr>
          <w:spacing w:val="-3"/>
        </w:rPr>
        <w:t>、本基金投资非公开发行股票，基金管理人应至少于投资前三个工作日向基金托管人</w:t>
      </w:r>
      <w:r>
        <w:rPr>
          <w:spacing w:val="-9"/>
        </w:rPr>
        <w:t>提交有关书面资料，并保证向基金托管人提供的有关资料真实、准确、完整。有关资料如有</w:t>
      </w:r>
      <w:r>
        <w:rPr>
          <w:spacing w:val="-5"/>
        </w:rPr>
        <w:t>调整，基金管理人应及时提供调整后的资料。上述书面资料包括但不限于：</w:t>
      </w:r>
    </w:p>
    <w:p>
      <w:pPr>
        <w:pStyle w:val="ListParagraph"/>
        <w:numPr>
          <w:ilvl w:val="0"/>
          <w:numId w:val="53"/>
        </w:numPr>
        <w:tabs>
          <w:tab w:pos="1110" w:val="left" w:leader="none"/>
        </w:tabs>
        <w:spacing w:line="269" w:lineRule="exact" w:before="0" w:after="0"/>
        <w:ind w:left="1109" w:right="0" w:hanging="530"/>
        <w:jc w:val="left"/>
        <w:rPr>
          <w:sz w:val="21"/>
        </w:rPr>
      </w:pPr>
      <w:r>
        <w:rPr>
          <w:spacing w:val="-3"/>
          <w:sz w:val="21"/>
        </w:rPr>
        <w:t>中国证监会批准发行非公开发行股票的批准文件。</w:t>
      </w:r>
    </w:p>
    <w:p>
      <w:pPr>
        <w:pStyle w:val="BodyText"/>
        <w:spacing w:before="6"/>
        <w:rPr>
          <w:sz w:val="15"/>
        </w:rPr>
      </w:pPr>
    </w:p>
    <w:p>
      <w:pPr>
        <w:pStyle w:val="ListParagraph"/>
        <w:numPr>
          <w:ilvl w:val="0"/>
          <w:numId w:val="53"/>
        </w:numPr>
        <w:tabs>
          <w:tab w:pos="1110" w:val="left" w:leader="none"/>
        </w:tabs>
        <w:spacing w:line="240" w:lineRule="auto" w:before="0" w:after="0"/>
        <w:ind w:left="1109" w:right="0" w:hanging="530"/>
        <w:jc w:val="left"/>
        <w:rPr>
          <w:sz w:val="21"/>
        </w:rPr>
      </w:pPr>
      <w:r>
        <w:rPr>
          <w:spacing w:val="-3"/>
          <w:sz w:val="21"/>
        </w:rPr>
        <w:t>非公开发行股票有关发行数量、发行价格、锁定期等发行资料。</w:t>
      </w:r>
    </w:p>
    <w:p>
      <w:pPr>
        <w:pStyle w:val="BodyText"/>
        <w:spacing w:before="7"/>
        <w:rPr>
          <w:sz w:val="15"/>
        </w:rPr>
      </w:pPr>
    </w:p>
    <w:p>
      <w:pPr>
        <w:pStyle w:val="ListParagraph"/>
        <w:numPr>
          <w:ilvl w:val="0"/>
          <w:numId w:val="53"/>
        </w:numPr>
        <w:tabs>
          <w:tab w:pos="1112" w:val="left" w:leader="none"/>
        </w:tabs>
        <w:spacing w:line="417" w:lineRule="auto" w:before="0" w:after="0"/>
        <w:ind w:left="160" w:right="874" w:firstLine="419"/>
        <w:jc w:val="left"/>
        <w:rPr>
          <w:sz w:val="21"/>
        </w:rPr>
      </w:pPr>
      <w:r>
        <w:rPr>
          <w:spacing w:val="-3"/>
          <w:sz w:val="21"/>
        </w:rPr>
        <w:t>非公开发行股票发行人与中国证券登记结算有限责任公司或中央国债登记结算有限责任公司签订的证券登记及服务协议。</w:t>
      </w:r>
    </w:p>
    <w:p>
      <w:pPr>
        <w:pStyle w:val="ListParagraph"/>
        <w:numPr>
          <w:ilvl w:val="0"/>
          <w:numId w:val="53"/>
        </w:numPr>
        <w:tabs>
          <w:tab w:pos="1110" w:val="left" w:leader="none"/>
        </w:tabs>
        <w:spacing w:line="240" w:lineRule="auto" w:before="0" w:after="0"/>
        <w:ind w:left="1109" w:right="0" w:hanging="530"/>
        <w:jc w:val="left"/>
        <w:rPr>
          <w:sz w:val="21"/>
        </w:rPr>
      </w:pPr>
      <w:r>
        <w:rPr>
          <w:spacing w:val="-3"/>
          <w:sz w:val="21"/>
        </w:rPr>
        <w:t>基金拟认购的数量、价格、总成本、账面价值。</w:t>
      </w:r>
    </w:p>
    <w:p>
      <w:pPr>
        <w:pStyle w:val="BodyText"/>
        <w:spacing w:before="7"/>
        <w:rPr>
          <w:sz w:val="15"/>
        </w:rPr>
      </w:pPr>
    </w:p>
    <w:p>
      <w:pPr>
        <w:pStyle w:val="BodyText"/>
        <w:spacing w:line="417" w:lineRule="auto"/>
        <w:ind w:left="160" w:right="871" w:firstLine="419"/>
        <w:jc w:val="both"/>
      </w:pPr>
      <w:r>
        <w:rPr>
          <w:rFonts w:ascii="Calibri" w:eastAsia="Calibri"/>
        </w:rPr>
        <w:t>4</w:t>
      </w:r>
      <w:r>
        <w:rPr>
          <w:spacing w:val="-3"/>
        </w:rPr>
        <w:t>、基金管理人应在本基金投资非公开发行股票后两个交易日内，在中国证监会指定媒</w:t>
      </w:r>
      <w:r>
        <w:rPr>
          <w:spacing w:val="-9"/>
        </w:rPr>
        <w:t>介披露所投资非公开发行股票的名称、数量、总成本、账面价值，以及总成本和账面价值占</w:t>
      </w:r>
      <w:r>
        <w:rPr>
          <w:spacing w:val="-5"/>
        </w:rPr>
        <w:t>基金资产净值的比例、锁定期等信息。</w:t>
      </w:r>
    </w:p>
    <w:p>
      <w:pPr>
        <w:pStyle w:val="BodyText"/>
        <w:spacing w:line="417" w:lineRule="auto"/>
        <w:ind w:left="160" w:right="871" w:firstLine="419"/>
      </w:pPr>
      <w:r>
        <w:rPr>
          <w:spacing w:val="-7"/>
        </w:rPr>
        <w:t>本基金有关投资流通受限证券比例如违反有关限制规定，在合理期限内未能进行及时调</w:t>
      </w:r>
      <w:r>
        <w:rPr>
          <w:spacing w:val="-5"/>
        </w:rPr>
        <w:t>整，基金管理人应在两个工作日内编制临时报告书，予以公告。</w:t>
      </w:r>
    </w:p>
    <w:p>
      <w:pPr>
        <w:pStyle w:val="BodyText"/>
        <w:spacing w:line="269" w:lineRule="exact"/>
        <w:ind w:left="580"/>
      </w:pPr>
      <w:r>
        <w:rPr>
          <w:rFonts w:ascii="Calibri" w:eastAsia="Calibri"/>
        </w:rPr>
        <w:t>5</w:t>
      </w:r>
      <w:r>
        <w:rPr/>
        <w:t>、基金托管人根据有关规定有权对基金管理人进行以下事项监督：</w:t>
      </w:r>
    </w:p>
    <w:p>
      <w:pPr>
        <w:pStyle w:val="BodyText"/>
        <w:spacing w:before="7"/>
        <w:rPr>
          <w:sz w:val="15"/>
        </w:rPr>
      </w:pPr>
    </w:p>
    <w:p>
      <w:pPr>
        <w:pStyle w:val="ListParagraph"/>
        <w:numPr>
          <w:ilvl w:val="0"/>
          <w:numId w:val="54"/>
        </w:numPr>
        <w:tabs>
          <w:tab w:pos="1110" w:val="left" w:leader="none"/>
        </w:tabs>
        <w:spacing w:line="240" w:lineRule="auto" w:before="0" w:after="0"/>
        <w:ind w:left="1109" w:right="0" w:hanging="530"/>
        <w:jc w:val="left"/>
        <w:rPr>
          <w:sz w:val="21"/>
        </w:rPr>
      </w:pPr>
      <w:r>
        <w:rPr>
          <w:spacing w:val="-3"/>
          <w:sz w:val="21"/>
        </w:rPr>
        <w:t>本基金投资流通受限证券时的法律法规遵守情况。</w:t>
      </w:r>
    </w:p>
    <w:p>
      <w:pPr>
        <w:pStyle w:val="BodyText"/>
        <w:spacing w:before="6"/>
        <w:rPr>
          <w:sz w:val="15"/>
        </w:rPr>
      </w:pPr>
    </w:p>
    <w:p>
      <w:pPr>
        <w:pStyle w:val="ListParagraph"/>
        <w:numPr>
          <w:ilvl w:val="0"/>
          <w:numId w:val="54"/>
        </w:numPr>
        <w:tabs>
          <w:tab w:pos="1112" w:val="left" w:leader="none"/>
        </w:tabs>
        <w:spacing w:line="240" w:lineRule="auto" w:before="1" w:after="0"/>
        <w:ind w:left="1111" w:right="0" w:hanging="532"/>
        <w:jc w:val="left"/>
        <w:rPr>
          <w:sz w:val="21"/>
        </w:rPr>
      </w:pPr>
      <w:r>
        <w:rPr>
          <w:spacing w:val="-3"/>
          <w:sz w:val="21"/>
        </w:rPr>
        <w:t>在基金投资流通受限证券管理工作方面有关制度、流动性风险处置预案的建立与</w:t>
      </w:r>
    </w:p>
    <w:p>
      <w:pPr>
        <w:spacing w:after="0" w:line="240" w:lineRule="auto"/>
        <w:jc w:val="left"/>
        <w:rPr>
          <w:sz w:val="21"/>
        </w:rPr>
        <w:sectPr>
          <w:pgSz w:w="11910" w:h="16840"/>
          <w:pgMar w:header="877" w:footer="995" w:top="1420" w:bottom="1180" w:left="1640" w:right="920"/>
        </w:sectPr>
      </w:pPr>
    </w:p>
    <w:p>
      <w:pPr>
        <w:pStyle w:val="BodyText"/>
        <w:spacing w:before="110"/>
        <w:ind w:left="160"/>
      </w:pPr>
      <w:r>
        <w:rPr/>
        <w:t>完善情况。</w:t>
      </w:r>
    </w:p>
    <w:p>
      <w:pPr>
        <w:pStyle w:val="BodyText"/>
        <w:spacing w:before="6"/>
        <w:rPr>
          <w:sz w:val="15"/>
        </w:rPr>
      </w:pPr>
    </w:p>
    <w:p>
      <w:pPr>
        <w:pStyle w:val="ListParagraph"/>
        <w:numPr>
          <w:ilvl w:val="0"/>
          <w:numId w:val="54"/>
        </w:numPr>
        <w:tabs>
          <w:tab w:pos="1110" w:val="left" w:leader="none"/>
        </w:tabs>
        <w:spacing w:line="240" w:lineRule="auto" w:before="0" w:after="0"/>
        <w:ind w:left="1109" w:right="0" w:hanging="530"/>
        <w:jc w:val="left"/>
        <w:rPr>
          <w:sz w:val="21"/>
        </w:rPr>
      </w:pPr>
      <w:r>
        <w:rPr>
          <w:spacing w:val="-3"/>
          <w:sz w:val="21"/>
        </w:rPr>
        <w:t>有关比例限制的执行情况。</w:t>
      </w:r>
    </w:p>
    <w:p>
      <w:pPr>
        <w:pStyle w:val="BodyText"/>
        <w:spacing w:before="7"/>
        <w:rPr>
          <w:sz w:val="15"/>
        </w:rPr>
      </w:pPr>
    </w:p>
    <w:p>
      <w:pPr>
        <w:pStyle w:val="ListParagraph"/>
        <w:numPr>
          <w:ilvl w:val="0"/>
          <w:numId w:val="54"/>
        </w:numPr>
        <w:tabs>
          <w:tab w:pos="1110" w:val="left" w:leader="none"/>
        </w:tabs>
        <w:spacing w:line="240" w:lineRule="auto" w:before="0" w:after="0"/>
        <w:ind w:left="1109" w:right="0" w:hanging="530"/>
        <w:jc w:val="left"/>
        <w:rPr>
          <w:sz w:val="21"/>
        </w:rPr>
      </w:pPr>
      <w:r>
        <w:rPr>
          <w:spacing w:val="-3"/>
          <w:sz w:val="21"/>
        </w:rPr>
        <w:t>信息披露情况。</w:t>
      </w:r>
    </w:p>
    <w:p>
      <w:pPr>
        <w:pStyle w:val="BodyText"/>
        <w:spacing w:before="7"/>
        <w:rPr>
          <w:sz w:val="15"/>
        </w:rPr>
      </w:pPr>
    </w:p>
    <w:p>
      <w:pPr>
        <w:pStyle w:val="BodyText"/>
        <w:ind w:left="580"/>
      </w:pPr>
      <w:r>
        <w:rPr>
          <w:rFonts w:ascii="Calibri" w:eastAsia="Calibri"/>
        </w:rPr>
        <w:t>6</w:t>
      </w:r>
      <w:r>
        <w:rPr/>
        <w:t>、相关法律法规对基金投资流通受限证券有新规定的，从其规定。</w:t>
      </w:r>
    </w:p>
    <w:p>
      <w:pPr>
        <w:pStyle w:val="BodyText"/>
        <w:spacing w:before="7"/>
        <w:rPr>
          <w:sz w:val="15"/>
        </w:rPr>
      </w:pPr>
    </w:p>
    <w:p>
      <w:pPr>
        <w:pStyle w:val="BodyText"/>
        <w:spacing w:line="417" w:lineRule="auto"/>
        <w:ind w:left="160" w:right="871" w:firstLine="419"/>
        <w:jc w:val="both"/>
      </w:pPr>
      <w:r>
        <w:rPr/>
        <w:t>（</w:t>
      </w:r>
      <w:r>
        <w:rPr>
          <w:spacing w:val="-3"/>
        </w:rPr>
        <w:t>六</w:t>
      </w:r>
      <w:r>
        <w:rPr>
          <w:spacing w:val="-32"/>
        </w:rPr>
        <w:t>）</w:t>
      </w:r>
      <w:r>
        <w:rPr>
          <w:spacing w:val="-7"/>
        </w:rPr>
        <w:t>基金投资中小企业私募债券，基金管理人应根据审慎原则，制定严格的投资决策</w:t>
      </w:r>
      <w:r>
        <w:rPr>
          <w:spacing w:val="-21"/>
        </w:rPr>
        <w:t>流程、风险控制制度和信用风险、流动性风险处置预案，并经董事会批准，以防范信用风险、</w:t>
      </w:r>
      <w:r>
        <w:rPr>
          <w:spacing w:val="-8"/>
        </w:rPr>
        <w:t>流动性风险等各种风险。</w:t>
      </w:r>
    </w:p>
    <w:p>
      <w:pPr>
        <w:pStyle w:val="BodyText"/>
        <w:spacing w:line="417" w:lineRule="auto"/>
        <w:ind w:left="160" w:right="871" w:firstLine="419"/>
        <w:jc w:val="both"/>
      </w:pPr>
      <w:r>
        <w:rPr>
          <w:spacing w:val="-6"/>
        </w:rPr>
        <w:t>基金托管人对基金投资中小企业私募债券是否符合比例限制进行事后监督，如发现异常</w:t>
      </w:r>
      <w:r>
        <w:rPr>
          <w:spacing w:val="-12"/>
        </w:rPr>
        <w:t>情况，应及时以书面形式通知基金管理人。基金管理人应积极配合和协助基金托管人的监督</w:t>
      </w:r>
      <w:r>
        <w:rPr>
          <w:spacing w:val="-11"/>
        </w:rPr>
        <w:t>和核查。基金因投资中小企业私募债券导致的信用风险、流动性风险，基金托管人不承担任</w:t>
      </w:r>
      <w:r>
        <w:rPr>
          <w:spacing w:val="-12"/>
        </w:rPr>
        <w:t>何责任。如因基金管理人原因导致基金出现损失致使基金托管人承担连带赔偿责任的，基金</w:t>
      </w:r>
      <w:r>
        <w:rPr>
          <w:spacing w:val="-6"/>
        </w:rPr>
        <w:t>管理人应赔偿基金托管人由此遭受的损失。</w:t>
      </w:r>
    </w:p>
    <w:p>
      <w:pPr>
        <w:pStyle w:val="BodyText"/>
        <w:spacing w:line="417" w:lineRule="auto"/>
        <w:ind w:left="160" w:right="871" w:firstLine="419"/>
        <w:jc w:val="both"/>
      </w:pPr>
      <w:r>
        <w:rPr/>
        <w:t>（七</w:t>
      </w:r>
      <w:r>
        <w:rPr>
          <w:spacing w:val="-27"/>
        </w:rPr>
        <w:t>）</w:t>
      </w:r>
      <w:r>
        <w:rPr>
          <w:spacing w:val="-7"/>
        </w:rPr>
        <w:t>基金托管人根据有关法律法规的规定及《基金合同》的约定，对基金资产净值计</w:t>
      </w:r>
      <w:r>
        <w:rPr>
          <w:spacing w:val="-12"/>
        </w:rPr>
        <w:t>算、基金份额净值计算、应收资金到账、基金费用开支及收入确定、基金收益分配、相关信</w:t>
      </w:r>
      <w:r>
        <w:rPr>
          <w:spacing w:val="-6"/>
        </w:rPr>
        <w:t>息披露、基金宣传推介材料中登载基金业绩表现数据等进行监督和核查。</w:t>
      </w:r>
    </w:p>
    <w:p>
      <w:pPr>
        <w:pStyle w:val="BodyText"/>
        <w:ind w:left="580"/>
      </w:pPr>
      <w:r>
        <w:rPr/>
        <w:t>（</w:t>
      </w:r>
      <w:r>
        <w:rPr>
          <w:spacing w:val="-3"/>
        </w:rPr>
        <w:t>八</w:t>
      </w:r>
      <w:r>
        <w:rPr>
          <w:spacing w:val="-94"/>
        </w:rPr>
        <w:t>）</w:t>
      </w:r>
      <w:r>
        <w:rPr>
          <w:spacing w:val="-3"/>
        </w:rPr>
        <w:t>基金托管人发现基金管理人的上述事项及投资指令或实际投资运作违反法律法规、</w:t>
      </w:r>
    </w:p>
    <w:p>
      <w:pPr>
        <w:pStyle w:val="BodyText"/>
        <w:spacing w:before="5"/>
        <w:rPr>
          <w:sz w:val="15"/>
        </w:rPr>
      </w:pPr>
    </w:p>
    <w:p>
      <w:pPr>
        <w:pStyle w:val="BodyText"/>
        <w:spacing w:line="417" w:lineRule="auto" w:before="1"/>
        <w:ind w:left="160" w:right="871"/>
        <w:jc w:val="both"/>
      </w:pPr>
      <w:r>
        <w:rPr>
          <w:spacing w:val="-11"/>
        </w:rPr>
        <w:t>《基金合同》和本托管协议的规定，应及时以电话提醒或书面提示等方式通知基金管理人限</w:t>
      </w:r>
      <w:r>
        <w:rPr>
          <w:spacing w:val="-12"/>
        </w:rPr>
        <w:t>期纠正。基金管理人应积极配合和协助基金托管人的监督和核查。基金管理人收到书面通知</w:t>
      </w:r>
      <w:r>
        <w:rPr>
          <w:spacing w:val="-10"/>
        </w:rPr>
        <w:t>后应在下一工作日前及时核对并以书面形式给基金托管人发出回函，就基金托管人的疑义进</w:t>
      </w:r>
      <w:r>
        <w:rPr>
          <w:spacing w:val="-12"/>
        </w:rPr>
        <w:t>行解释或举证，说明违规原因及纠正期限，并保证在规定期限内及时改正。在上述规定期限</w:t>
      </w:r>
      <w:r>
        <w:rPr>
          <w:spacing w:val="-11"/>
        </w:rPr>
        <w:t>内，基金托管人有权随时对通知事项进行复查，督促基金管理人改正。基金管理人对基金托</w:t>
      </w:r>
      <w:r>
        <w:rPr>
          <w:spacing w:val="-6"/>
        </w:rPr>
        <w:t>管人通知的违规事项未能在限期内纠正的，基金托管人应报告中国证监会。</w:t>
      </w:r>
    </w:p>
    <w:p>
      <w:pPr>
        <w:pStyle w:val="BodyText"/>
        <w:spacing w:line="417" w:lineRule="auto"/>
        <w:ind w:left="160" w:right="871" w:firstLine="419"/>
        <w:jc w:val="both"/>
      </w:pPr>
      <w:r>
        <w:rPr/>
        <w:t>（九）</w:t>
      </w:r>
      <w:r>
        <w:rPr>
          <w:spacing w:val="-8"/>
        </w:rPr>
        <w:t>基金管理人有义务配合和协助基金托管人依照法律法规、《基金合同》和本托管</w:t>
      </w:r>
      <w:r>
        <w:rPr>
          <w:spacing w:val="-11"/>
        </w:rPr>
        <w:t>协议对基金业务执行核查。对基金托管人发出的书面提示，基金管理人应在规定时间内答复</w:t>
      </w:r>
      <w:r>
        <w:rPr>
          <w:spacing w:val="-15"/>
        </w:rPr>
        <w:t>并改正，或就基金托管人的疑义进行解释或举证；对基金托管人按照法律法规</w:t>
      </w:r>
      <w:r>
        <w:rPr>
          <w:spacing w:val="-27"/>
        </w:rPr>
        <w:t>、《基金合同》</w:t>
      </w:r>
      <w:r>
        <w:rPr>
          <w:spacing w:val="-13"/>
        </w:rPr>
        <w:t>和本托管协议的要求需向中国证监会报送基金监督报告的事项，基金管理人应积极配合提供</w:t>
      </w:r>
      <w:r>
        <w:rPr>
          <w:spacing w:val="-6"/>
        </w:rPr>
        <w:t>相关数据资料和制度等。</w:t>
      </w:r>
    </w:p>
    <w:p>
      <w:pPr>
        <w:pStyle w:val="BodyText"/>
        <w:spacing w:line="417" w:lineRule="auto"/>
        <w:ind w:left="160" w:right="871" w:firstLine="419"/>
        <w:jc w:val="both"/>
      </w:pPr>
      <w:r>
        <w:rPr/>
        <w:t>（十</w:t>
      </w:r>
      <w:r>
        <w:rPr>
          <w:spacing w:val="-51"/>
        </w:rPr>
        <w:t>）</w:t>
      </w:r>
      <w:r>
        <w:rPr>
          <w:spacing w:val="-5"/>
        </w:rPr>
        <w:t>若基金托管人发现基金管理人依据交易程序已经生效的指令违反法律、行政法规</w:t>
      </w:r>
      <w:r>
        <w:rPr>
          <w:spacing w:val="-11"/>
        </w:rPr>
        <w:t>和其他有关规定，或者违反《基金合同》约定的，应当立即通知基金管理人，由此造成的损</w:t>
      </w:r>
      <w:r>
        <w:rPr>
          <w:spacing w:val="-6"/>
        </w:rPr>
        <w:t>失由基金管理人承担。</w:t>
      </w:r>
    </w:p>
    <w:p>
      <w:pPr>
        <w:spacing w:after="0" w:line="417" w:lineRule="auto"/>
        <w:jc w:val="both"/>
        <w:sectPr>
          <w:pgSz w:w="11910" w:h="16840"/>
          <w:pgMar w:header="877" w:footer="995" w:top="1420" w:bottom="1180" w:left="1640" w:right="920"/>
        </w:sectPr>
      </w:pPr>
    </w:p>
    <w:p>
      <w:pPr>
        <w:pStyle w:val="BodyText"/>
        <w:spacing w:line="417" w:lineRule="auto" w:before="110"/>
        <w:ind w:left="160" w:right="871" w:firstLine="419"/>
        <w:jc w:val="both"/>
      </w:pPr>
      <w:r>
        <w:rPr/>
        <w:t>（</w:t>
      </w:r>
      <w:r>
        <w:rPr>
          <w:spacing w:val="-2"/>
        </w:rPr>
        <w:t>十一</w:t>
      </w:r>
      <w:r>
        <w:rPr>
          <w:spacing w:val="-34"/>
        </w:rPr>
        <w:t>）</w:t>
      </w:r>
      <w:r>
        <w:rPr>
          <w:spacing w:val="-6"/>
        </w:rPr>
        <w:t>基金托管人发现基金管理人有重大违规行为，应及时报告中国证监会，同时通</w:t>
      </w:r>
      <w:r>
        <w:rPr>
          <w:spacing w:val="-10"/>
        </w:rPr>
        <w:t>知基金管理人限期纠正，并将纠正结果报告中国证监会。基金管理人无正当理由，拒绝、阻挠对方根据本托管协议规定行使监督权，或采取拖延、欺诈等手段妨碍基金托管人进行有效</w:t>
      </w:r>
      <w:r>
        <w:rPr>
          <w:spacing w:val="-5"/>
        </w:rPr>
        <w:t>监督，情节严重或经基金托管人提出警告仍不改正的，基金托管人应报告中国证监会。</w:t>
      </w:r>
    </w:p>
    <w:p>
      <w:pPr>
        <w:spacing w:line="268" w:lineRule="exact" w:before="0"/>
        <w:ind w:left="434" w:right="725" w:firstLine="0"/>
        <w:jc w:val="center"/>
        <w:rPr>
          <w:b/>
          <w:sz w:val="21"/>
        </w:rPr>
      </w:pPr>
      <w:r>
        <w:rPr>
          <w:b/>
          <w:sz w:val="21"/>
        </w:rPr>
        <w:t>三、基金管理人对基金托管人的业务核查</w:t>
      </w:r>
    </w:p>
    <w:p>
      <w:pPr>
        <w:pStyle w:val="BodyText"/>
        <w:spacing w:before="6"/>
        <w:rPr>
          <w:b/>
          <w:sz w:val="15"/>
        </w:rPr>
      </w:pPr>
    </w:p>
    <w:p>
      <w:pPr>
        <w:pStyle w:val="BodyText"/>
        <w:spacing w:line="417" w:lineRule="auto"/>
        <w:ind w:left="160" w:right="871" w:firstLine="479"/>
        <w:jc w:val="both"/>
      </w:pPr>
      <w:r>
        <w:rPr/>
        <w:t>（一）</w:t>
      </w:r>
      <w:r>
        <w:rPr>
          <w:spacing w:val="-1"/>
        </w:rPr>
        <w:t>基金管理人对基金托管人履行托管职责情况进行核查，核查事项包括基金托管</w:t>
      </w:r>
      <w:r>
        <w:rPr>
          <w:spacing w:val="-10"/>
        </w:rPr>
        <w:t>人安全保管基金财产、开设基金财产的资金账户和证券账户等投资所需账户、复核基金管理人计算的基金资产净值和基金份额净值、根据基金管理人指令办理清算交收、相关信息披露</w:t>
      </w:r>
      <w:r>
        <w:rPr>
          <w:spacing w:val="-5"/>
        </w:rPr>
        <w:t>和监督基金投资运作等行为。</w:t>
      </w:r>
    </w:p>
    <w:p>
      <w:pPr>
        <w:pStyle w:val="BodyText"/>
        <w:spacing w:line="417" w:lineRule="auto"/>
        <w:ind w:left="160" w:right="662" w:firstLine="479"/>
      </w:pPr>
      <w:r>
        <w:rPr/>
        <w:t>（二）基金管理人发现基金托管人擅自挪用基金财产、未对基金财产实行分账管理、 </w:t>
      </w:r>
      <w:r>
        <w:rPr>
          <w:spacing w:val="-9"/>
        </w:rPr>
        <w:t>未执行或无故延迟执行基金管理人资金划拨指令、泄露基金投资信息等违反《基金法》</w:t>
      </w:r>
      <w:r>
        <w:rPr>
          <w:spacing w:val="-47"/>
        </w:rPr>
        <w:t>、《基 </w:t>
      </w:r>
      <w:r>
        <w:rPr>
          <w:spacing w:val="-19"/>
        </w:rPr>
        <w:t>金合同》、本协议及其他有关规定时，应及时以书面形式通知基金托管人限期纠正。基金托 </w:t>
      </w:r>
      <w:r>
        <w:rPr>
          <w:spacing w:val="-11"/>
        </w:rPr>
        <w:t>管人收到通知后应及时核对并以书面形式给基金管理人发出回函，说明违规原因及纠正期限， </w:t>
      </w:r>
      <w:r>
        <w:rPr>
          <w:spacing w:val="-12"/>
        </w:rPr>
        <w:t>并保证在规定期限内及时改正。在上述规定期限内，基金管理人有权随时对通知事项进行复 </w:t>
      </w:r>
      <w:r>
        <w:rPr>
          <w:spacing w:val="-6"/>
        </w:rPr>
        <w:t>查，督促基金托管人改正。基金托管人应积极配合基金管理人的核查行为，包括但不限于： </w:t>
      </w:r>
      <w:r>
        <w:rPr>
          <w:spacing w:val="-8"/>
        </w:rPr>
        <w:t>提交相关资料以供基金管理人核查托管财产的完整性和真实性，在规定时间内答复基金管理 </w:t>
      </w:r>
      <w:r>
        <w:rPr>
          <w:spacing w:val="-5"/>
        </w:rPr>
        <w:t>人并改正。</w:t>
      </w:r>
    </w:p>
    <w:p>
      <w:pPr>
        <w:pStyle w:val="BodyText"/>
        <w:spacing w:line="417" w:lineRule="auto"/>
        <w:ind w:left="160" w:right="871" w:firstLine="479"/>
        <w:jc w:val="both"/>
      </w:pPr>
      <w:r>
        <w:rPr/>
        <w:t>（三）</w:t>
      </w:r>
      <w:r>
        <w:rPr>
          <w:spacing w:val="-1"/>
        </w:rPr>
        <w:t>基金管理人发现基金托管人有重大违规行为，应及时报告中国证监会，同时通</w:t>
      </w:r>
      <w:r>
        <w:rPr>
          <w:spacing w:val="-9"/>
        </w:rPr>
        <w:t>知基金托管人限期纠正，并将纠正结果报告中国证监会。基金托管人无正当理由，拒绝、阻</w:t>
      </w:r>
      <w:r>
        <w:rPr>
          <w:spacing w:val="-10"/>
        </w:rPr>
        <w:t>挠基金管理人根据本协议规定行使监督权，或采取拖延、欺诈等手段妨碍基金管理人进行有</w:t>
      </w:r>
      <w:r>
        <w:rPr>
          <w:spacing w:val="-5"/>
        </w:rPr>
        <w:t>效监督，情节严重或经基金管理人提出警告仍不改正的，基金管理人应报告中国证监会。</w:t>
      </w:r>
    </w:p>
    <w:p>
      <w:pPr>
        <w:spacing w:before="0"/>
        <w:ind w:left="434" w:right="725" w:firstLine="0"/>
        <w:jc w:val="center"/>
        <w:rPr>
          <w:b/>
          <w:sz w:val="21"/>
        </w:rPr>
      </w:pPr>
      <w:r>
        <w:rPr>
          <w:b/>
          <w:sz w:val="21"/>
        </w:rPr>
        <w:t>四、基金财产的保管</w:t>
      </w:r>
    </w:p>
    <w:p>
      <w:pPr>
        <w:pStyle w:val="BodyText"/>
        <w:spacing w:before="6"/>
        <w:rPr>
          <w:b/>
          <w:sz w:val="15"/>
        </w:rPr>
      </w:pPr>
    </w:p>
    <w:p>
      <w:pPr>
        <w:pStyle w:val="BodyText"/>
        <w:ind w:left="640"/>
      </w:pPr>
      <w:r>
        <w:rPr/>
        <w:t>（一）基金财产保管的原则</w:t>
      </w:r>
    </w:p>
    <w:p>
      <w:pPr>
        <w:pStyle w:val="BodyText"/>
        <w:spacing w:before="7"/>
        <w:rPr>
          <w:sz w:val="15"/>
        </w:rPr>
      </w:pPr>
    </w:p>
    <w:p>
      <w:pPr>
        <w:pStyle w:val="BodyText"/>
        <w:ind w:left="640"/>
      </w:pPr>
      <w:r>
        <w:rPr>
          <w:rFonts w:ascii="Calibri" w:eastAsia="Calibri"/>
        </w:rPr>
        <w:t>1</w:t>
      </w:r>
      <w:r>
        <w:rPr/>
        <w:t>、基金财产应独立于基金管理人、基金托管人的固有财产。</w:t>
      </w:r>
    </w:p>
    <w:p>
      <w:pPr>
        <w:pStyle w:val="BodyText"/>
        <w:spacing w:before="6"/>
        <w:rPr>
          <w:sz w:val="15"/>
        </w:rPr>
      </w:pPr>
    </w:p>
    <w:p>
      <w:pPr>
        <w:pStyle w:val="BodyText"/>
        <w:spacing w:before="1"/>
        <w:ind w:left="640"/>
      </w:pPr>
      <w:r>
        <w:rPr>
          <w:rFonts w:ascii="Calibri" w:eastAsia="Calibri"/>
        </w:rPr>
        <w:t>2</w:t>
      </w:r>
      <w:r>
        <w:rPr/>
        <w:t>、基金托管人应安全保管基金财产。</w:t>
      </w:r>
    </w:p>
    <w:p>
      <w:pPr>
        <w:pStyle w:val="BodyText"/>
        <w:spacing w:before="6"/>
        <w:rPr>
          <w:sz w:val="15"/>
        </w:rPr>
      </w:pPr>
    </w:p>
    <w:p>
      <w:pPr>
        <w:pStyle w:val="BodyText"/>
        <w:ind w:left="640"/>
      </w:pPr>
      <w:r>
        <w:rPr>
          <w:rFonts w:ascii="Calibri" w:eastAsia="Calibri"/>
        </w:rPr>
        <w:t>3</w:t>
      </w:r>
      <w:r>
        <w:rPr/>
        <w:t>、基金托管人按照规定开设基金财产的资金账户和证券账户等投资所需账户。</w:t>
      </w:r>
    </w:p>
    <w:p>
      <w:pPr>
        <w:pStyle w:val="BodyText"/>
        <w:spacing w:before="7"/>
        <w:rPr>
          <w:sz w:val="15"/>
        </w:rPr>
      </w:pPr>
    </w:p>
    <w:p>
      <w:pPr>
        <w:pStyle w:val="BodyText"/>
        <w:ind w:left="640"/>
      </w:pPr>
      <w:r>
        <w:rPr>
          <w:rFonts w:ascii="Calibri" w:eastAsia="Calibri"/>
        </w:rPr>
        <w:t>4</w:t>
      </w:r>
      <w:r>
        <w:rPr/>
        <w:t>、基金托管人对所托管的不同基金财产分别设置账户，确保基金财产的完整与独立。</w:t>
      </w:r>
    </w:p>
    <w:p>
      <w:pPr>
        <w:pStyle w:val="BodyText"/>
        <w:spacing w:before="7"/>
        <w:rPr>
          <w:sz w:val="15"/>
        </w:rPr>
      </w:pPr>
    </w:p>
    <w:p>
      <w:pPr>
        <w:pStyle w:val="BodyText"/>
        <w:spacing w:line="417" w:lineRule="auto"/>
        <w:ind w:left="160" w:right="662" w:firstLine="479"/>
      </w:pPr>
      <w:r>
        <w:rPr>
          <w:rFonts w:ascii="Calibri" w:eastAsia="Calibri"/>
        </w:rPr>
        <w:t>5</w:t>
      </w:r>
      <w:r>
        <w:rPr>
          <w:spacing w:val="-9"/>
        </w:rPr>
        <w:t>、基金托管人按照《基金合同》和本协议的约定保管基金财产，如有特殊情况双方可 </w:t>
      </w:r>
      <w:r>
        <w:rPr>
          <w:spacing w:val="-11"/>
        </w:rPr>
        <w:t>另行协商解决。基金托管人未经基金管理人的指令，不得自行运用、处分、分配本基金的任 </w:t>
      </w:r>
      <w:r>
        <w:rPr>
          <w:spacing w:val="-40"/>
        </w:rPr>
        <w:t>何资产</w:t>
      </w:r>
      <w:r>
        <w:rPr>
          <w:spacing w:val="-3"/>
        </w:rPr>
        <w:t>（不包含基金托管人依据中国证券登记结算有限责任公司结算数据完成场内交易交收、</w:t>
      </w:r>
    </w:p>
    <w:p>
      <w:pPr>
        <w:spacing w:after="0" w:line="417" w:lineRule="auto"/>
        <w:sectPr>
          <w:pgSz w:w="11910" w:h="16840"/>
          <w:pgMar w:header="877" w:footer="995" w:top="1420" w:bottom="1180" w:left="1640" w:right="920"/>
        </w:sectPr>
      </w:pPr>
    </w:p>
    <w:p>
      <w:pPr>
        <w:pStyle w:val="BodyText"/>
        <w:spacing w:before="110"/>
        <w:ind w:left="160"/>
      </w:pPr>
      <w:r>
        <w:rPr>
          <w:spacing w:val="-3"/>
        </w:rPr>
        <w:t>开户银行或交易</w:t>
      </w:r>
      <w:r>
        <w:rPr>
          <w:rFonts w:ascii="Calibri" w:eastAsia="Calibri"/>
        </w:rPr>
        <w:t>/</w:t>
      </w:r>
      <w:r>
        <w:rPr>
          <w:spacing w:val="-3"/>
        </w:rPr>
        <w:t>登记结算机构扣收交易费、结算费和账户维护费等费用</w:t>
      </w:r>
      <w:r>
        <w:rPr>
          <w:spacing w:val="-106"/>
        </w:rPr>
        <w:t>）</w:t>
      </w:r>
      <w:r>
        <w:rPr/>
        <w:t>。</w:t>
      </w:r>
    </w:p>
    <w:p>
      <w:pPr>
        <w:pStyle w:val="BodyText"/>
        <w:spacing w:before="6"/>
        <w:rPr>
          <w:sz w:val="15"/>
        </w:rPr>
      </w:pPr>
    </w:p>
    <w:p>
      <w:pPr>
        <w:pStyle w:val="BodyText"/>
        <w:spacing w:line="417" w:lineRule="auto"/>
        <w:ind w:left="160" w:right="871" w:firstLine="479"/>
        <w:jc w:val="both"/>
      </w:pPr>
      <w:r>
        <w:rPr>
          <w:rFonts w:ascii="Calibri" w:eastAsia="Calibri"/>
        </w:rPr>
        <w:t>6</w:t>
      </w:r>
      <w:r>
        <w:rPr>
          <w:spacing w:val="-9"/>
        </w:rPr>
        <w:t>、对于因为基金投资产生的应收资产，应由基金管理人负责与有关当事人确定到账日</w:t>
      </w:r>
      <w:r>
        <w:rPr>
          <w:spacing w:val="-12"/>
        </w:rPr>
        <w:t>期并通知基金托管人，到账日基金财产没有到达基金账户的，基金托管人应及时通知基金管</w:t>
      </w:r>
      <w:r>
        <w:rPr>
          <w:spacing w:val="-13"/>
        </w:rPr>
        <w:t>理人采取措施进行催收。由此给基金财产造成损失的，基金管理人应负责向有关当事人追偿</w:t>
      </w:r>
      <w:r>
        <w:rPr>
          <w:spacing w:val="-6"/>
        </w:rPr>
        <w:t>基金财产的损失，基金托管人对此不承担任何责任。</w:t>
      </w:r>
    </w:p>
    <w:p>
      <w:pPr>
        <w:pStyle w:val="BodyText"/>
        <w:spacing w:line="268" w:lineRule="exact"/>
        <w:ind w:left="492" w:right="725"/>
        <w:jc w:val="center"/>
      </w:pPr>
      <w:r>
        <w:rPr>
          <w:rFonts w:ascii="Calibri" w:eastAsia="Calibri"/>
        </w:rPr>
        <w:t>7</w:t>
      </w:r>
      <w:r>
        <w:rPr/>
        <w:t>、除依据法律法规和《基金合同》的规定外，基金托管人不得委托第三人托管基金财</w:t>
      </w:r>
    </w:p>
    <w:p>
      <w:pPr>
        <w:pStyle w:val="BodyText"/>
        <w:spacing w:before="7"/>
        <w:rPr>
          <w:sz w:val="15"/>
        </w:rPr>
      </w:pPr>
    </w:p>
    <w:p>
      <w:pPr>
        <w:pStyle w:val="BodyText"/>
        <w:ind w:left="160"/>
      </w:pPr>
      <w:r>
        <w:rPr/>
        <w:t>产。</w:t>
      </w:r>
    </w:p>
    <w:p>
      <w:pPr>
        <w:pStyle w:val="BodyText"/>
        <w:spacing w:before="7"/>
        <w:rPr>
          <w:sz w:val="15"/>
        </w:rPr>
      </w:pPr>
    </w:p>
    <w:p>
      <w:pPr>
        <w:spacing w:before="1"/>
        <w:ind w:left="430" w:right="725" w:firstLine="0"/>
        <w:jc w:val="center"/>
        <w:rPr>
          <w:b/>
          <w:sz w:val="21"/>
        </w:rPr>
      </w:pPr>
      <w:r>
        <w:rPr>
          <w:b/>
          <w:sz w:val="21"/>
        </w:rPr>
        <w:t>五、基金资产净值的计算和复核</w:t>
      </w:r>
    </w:p>
    <w:p>
      <w:pPr>
        <w:pStyle w:val="BodyText"/>
        <w:spacing w:before="6"/>
        <w:rPr>
          <w:b/>
          <w:sz w:val="15"/>
        </w:rPr>
      </w:pPr>
    </w:p>
    <w:p>
      <w:pPr>
        <w:pStyle w:val="BodyText"/>
        <w:ind w:left="580"/>
      </w:pPr>
      <w:r>
        <w:rPr/>
        <w:t>（一）基金资产净值的计算、复核与完成的时间及程序</w:t>
      </w:r>
    </w:p>
    <w:p>
      <w:pPr>
        <w:pStyle w:val="BodyText"/>
        <w:spacing w:before="7"/>
        <w:rPr>
          <w:sz w:val="15"/>
        </w:rPr>
      </w:pPr>
    </w:p>
    <w:p>
      <w:pPr>
        <w:pStyle w:val="BodyText"/>
        <w:spacing w:line="417" w:lineRule="auto"/>
        <w:ind w:left="160" w:right="871" w:firstLine="419"/>
        <w:jc w:val="both"/>
      </w:pPr>
      <w:r>
        <w:rPr>
          <w:rFonts w:ascii="Calibri" w:eastAsia="Calibri"/>
        </w:rPr>
        <w:t>1</w:t>
      </w:r>
      <w:r>
        <w:rPr/>
        <w:t>、基金资产净值是指基金资产总值减去负债后的金额。基金份额净值是按照每个交易日闭市后，基金资产净值除以当日基金份额的余额数量计算，精确到 </w:t>
      </w:r>
      <w:r>
        <w:rPr>
          <w:rFonts w:ascii="Calibri" w:eastAsia="Calibri"/>
        </w:rPr>
        <w:t>0.0001 </w:t>
      </w:r>
      <w:r>
        <w:rPr/>
        <w:t>元，小数点后第五位四舍五入。国家另有规定的，从其规定。</w:t>
      </w:r>
    </w:p>
    <w:p>
      <w:pPr>
        <w:pStyle w:val="BodyText"/>
        <w:spacing w:line="417" w:lineRule="auto"/>
        <w:ind w:left="160" w:right="871" w:firstLine="419"/>
        <w:jc w:val="both"/>
      </w:pPr>
      <w:r>
        <w:rPr>
          <w:spacing w:val="-9"/>
        </w:rPr>
        <w:t>每个交易日计算基金资产净值及基金份额净值，并按规定公告，本基金 </w:t>
      </w:r>
      <w:r>
        <w:rPr>
          <w:rFonts w:ascii="Calibri" w:eastAsia="Calibri"/>
        </w:rPr>
        <w:t>T </w:t>
      </w:r>
      <w:r>
        <w:rPr>
          <w:spacing w:val="-3"/>
        </w:rPr>
        <w:t>日的基金份额</w:t>
      </w:r>
      <w:r>
        <w:rPr>
          <w:spacing w:val="-15"/>
        </w:rPr>
        <w:t>净值在 </w:t>
      </w:r>
      <w:r>
        <w:rPr>
          <w:rFonts w:ascii="Calibri" w:eastAsia="Calibri"/>
        </w:rPr>
        <w:t>T+1 </w:t>
      </w:r>
      <w:r>
        <w:rPr>
          <w:spacing w:val="-3"/>
        </w:rPr>
        <w:t>日内公告。</w:t>
      </w:r>
    </w:p>
    <w:p>
      <w:pPr>
        <w:pStyle w:val="BodyText"/>
        <w:spacing w:line="417" w:lineRule="auto"/>
        <w:ind w:left="160" w:right="871" w:firstLine="419"/>
        <w:jc w:val="both"/>
      </w:pPr>
      <w:r>
        <w:rPr>
          <w:rFonts w:ascii="Calibri" w:eastAsia="Calibri"/>
        </w:rPr>
        <w:t>2</w:t>
      </w:r>
      <w:r>
        <w:rPr>
          <w:spacing w:val="-16"/>
        </w:rPr>
        <w:t>、基金管理人应每交易日对基金资产估值。但基金管理人根据法律法规或《基金合同》</w:t>
      </w:r>
      <w:r>
        <w:rPr>
          <w:spacing w:val="-13"/>
        </w:rPr>
        <w:t>的规定暂停估值时除外。基金管理人每个交易日对基金资产估值后，将基金份额净值结果发</w:t>
      </w:r>
      <w:r>
        <w:rPr>
          <w:spacing w:val="-6"/>
        </w:rPr>
        <w:t>送基金托管人，经基金托管人复核无误后，由基金管理人按规定对外公布。</w:t>
      </w:r>
    </w:p>
    <w:p>
      <w:pPr>
        <w:spacing w:line="269" w:lineRule="exact" w:before="0"/>
        <w:ind w:left="434" w:right="725" w:firstLine="0"/>
        <w:jc w:val="center"/>
        <w:rPr>
          <w:b/>
          <w:sz w:val="21"/>
        </w:rPr>
      </w:pPr>
      <w:r>
        <w:rPr>
          <w:b/>
          <w:sz w:val="21"/>
        </w:rPr>
        <w:t>六、基金份额持有人名册的登记与保管</w:t>
      </w:r>
    </w:p>
    <w:p>
      <w:pPr>
        <w:pStyle w:val="BodyText"/>
        <w:spacing w:before="6"/>
        <w:rPr>
          <w:b/>
          <w:sz w:val="15"/>
        </w:rPr>
      </w:pPr>
    </w:p>
    <w:p>
      <w:pPr>
        <w:pStyle w:val="BodyText"/>
        <w:spacing w:line="417" w:lineRule="auto"/>
        <w:ind w:left="160" w:right="871" w:firstLine="419"/>
        <w:jc w:val="both"/>
      </w:pPr>
      <w:r>
        <w:rPr>
          <w:spacing w:val="-6"/>
        </w:rPr>
        <w:t>基金份额持有人名册至少应包括基金份额持有人的名称和持有的基金份额。基金份额持</w:t>
      </w:r>
      <w:r>
        <w:rPr>
          <w:spacing w:val="-8"/>
        </w:rPr>
        <w:t>有人名册由基金登记机构根据基金管理人的指令编制和保管，基金管理人和基金托管人应分</w:t>
      </w:r>
      <w:r>
        <w:rPr>
          <w:spacing w:val="-7"/>
        </w:rPr>
        <w:t>别保管基金份额持有人名册，保存期不少于 </w:t>
      </w:r>
      <w:r>
        <w:rPr>
          <w:rFonts w:ascii="Calibri" w:eastAsia="Calibri"/>
        </w:rPr>
        <w:t>15 </w:t>
      </w:r>
      <w:r>
        <w:rPr>
          <w:spacing w:val="-3"/>
        </w:rPr>
        <w:t>年。如不能妥善保管，则按相关法规承担责任。</w:t>
      </w:r>
    </w:p>
    <w:p>
      <w:pPr>
        <w:pStyle w:val="BodyText"/>
        <w:spacing w:line="417" w:lineRule="auto"/>
        <w:ind w:left="160" w:right="871" w:firstLine="419"/>
      </w:pPr>
      <w:r>
        <w:rPr>
          <w:spacing w:val="-6"/>
        </w:rPr>
        <w:t>基金托管人不得将所保管的基金份额持有人名册用于基金托管业务以外的其他用途，并</w:t>
      </w:r>
      <w:r>
        <w:rPr>
          <w:spacing w:val="-4"/>
        </w:rPr>
        <w:t>应遵守保密义务。</w:t>
      </w:r>
    </w:p>
    <w:p>
      <w:pPr>
        <w:spacing w:line="269" w:lineRule="exact" w:before="0"/>
        <w:ind w:left="3681" w:right="0" w:firstLine="0"/>
        <w:jc w:val="left"/>
        <w:rPr>
          <w:b/>
          <w:sz w:val="21"/>
        </w:rPr>
      </w:pPr>
      <w:r>
        <w:rPr>
          <w:b/>
          <w:sz w:val="21"/>
        </w:rPr>
        <w:t>七、争议解决方式</w:t>
      </w:r>
    </w:p>
    <w:p>
      <w:pPr>
        <w:pStyle w:val="BodyText"/>
        <w:spacing w:before="7"/>
        <w:rPr>
          <w:b/>
          <w:sz w:val="15"/>
        </w:rPr>
      </w:pPr>
    </w:p>
    <w:p>
      <w:pPr>
        <w:pStyle w:val="BodyText"/>
        <w:spacing w:line="417" w:lineRule="auto"/>
        <w:ind w:left="160" w:right="768" w:firstLine="419"/>
      </w:pPr>
      <w:r>
        <w:rPr>
          <w:spacing w:val="-8"/>
        </w:rPr>
        <w:t>因本协议产生或与之相关的争议，双方当事人应通过协商、调解解决，协商、调解不能</w:t>
      </w:r>
      <w:r>
        <w:rPr>
          <w:spacing w:val="-12"/>
        </w:rPr>
        <w:t>解决的，任何一方均有权将争议提交北京仲裁委员会，仲裁地点为北京市，按照北京仲裁委</w:t>
      </w:r>
      <w:r>
        <w:rPr>
          <w:spacing w:val="-6"/>
        </w:rPr>
        <w:t>员会届时有效的仲裁规则按普通程序进行仲裁。仲裁裁决是终局的，对当事人均有约束力， </w:t>
      </w:r>
      <w:r>
        <w:rPr>
          <w:spacing w:val="-4"/>
        </w:rPr>
        <w:t>仲裁费用由败诉方承担。</w:t>
      </w:r>
    </w:p>
    <w:p>
      <w:pPr>
        <w:pStyle w:val="BodyText"/>
        <w:spacing w:line="269" w:lineRule="exact"/>
        <w:ind w:left="580"/>
      </w:pPr>
      <w:r>
        <w:rPr/>
        <w:t>争议处理期间，双方当事人应恪守基金管理人和基金托管人职责，各自继续忠实、勤勉、</w:t>
      </w:r>
    </w:p>
    <w:p>
      <w:pPr>
        <w:spacing w:after="0" w:line="269" w:lineRule="exact"/>
        <w:sectPr>
          <w:pgSz w:w="11910" w:h="16840"/>
          <w:pgMar w:header="877" w:footer="995" w:top="1420" w:bottom="1180" w:left="1640" w:right="920"/>
        </w:sectPr>
      </w:pPr>
    </w:p>
    <w:p>
      <w:pPr>
        <w:pStyle w:val="BodyText"/>
        <w:spacing w:line="417" w:lineRule="auto" w:before="110"/>
        <w:ind w:left="580" w:right="1195" w:hanging="420"/>
      </w:pPr>
      <w:r>
        <w:rPr/>
        <w:t>尽责地履行《基金合同》和本托管协议规定的义务，维护基金份额持有人的合法权益。本协议受中国法律管辖。</w:t>
      </w:r>
    </w:p>
    <w:p>
      <w:pPr>
        <w:spacing w:line="269" w:lineRule="exact" w:before="0"/>
        <w:ind w:left="3259" w:right="0" w:firstLine="0"/>
        <w:jc w:val="left"/>
        <w:rPr>
          <w:b/>
          <w:sz w:val="21"/>
        </w:rPr>
      </w:pPr>
      <w:r>
        <w:rPr>
          <w:b/>
          <w:sz w:val="21"/>
        </w:rPr>
        <w:t>八、托管协议的修改与终止</w:t>
      </w:r>
    </w:p>
    <w:p>
      <w:pPr>
        <w:pStyle w:val="BodyText"/>
        <w:spacing w:before="6"/>
        <w:rPr>
          <w:b/>
          <w:sz w:val="15"/>
        </w:rPr>
      </w:pPr>
    </w:p>
    <w:p>
      <w:pPr>
        <w:pStyle w:val="BodyText"/>
        <w:ind w:left="580"/>
      </w:pPr>
      <w:r>
        <w:rPr/>
        <w:t>（一）托管协议的变更程序</w:t>
      </w:r>
    </w:p>
    <w:p>
      <w:pPr>
        <w:pStyle w:val="BodyText"/>
        <w:spacing w:before="7"/>
        <w:rPr>
          <w:sz w:val="15"/>
        </w:rPr>
      </w:pPr>
    </w:p>
    <w:p>
      <w:pPr>
        <w:pStyle w:val="BodyText"/>
        <w:ind w:left="580"/>
      </w:pPr>
      <w:r>
        <w:rPr/>
        <w:t>本协议双方当事人经协商一致，可以对协议进行修改。修改后的新协议，其内容不得与</w:t>
      </w:r>
    </w:p>
    <w:p>
      <w:pPr>
        <w:pStyle w:val="BodyText"/>
        <w:spacing w:before="7"/>
        <w:rPr>
          <w:sz w:val="15"/>
        </w:rPr>
      </w:pPr>
    </w:p>
    <w:p>
      <w:pPr>
        <w:pStyle w:val="BodyText"/>
        <w:ind w:left="160"/>
      </w:pPr>
      <w:r>
        <w:rPr/>
        <w:t>《基金合同》的规定有任何冲突。基金托管协议的变更报中国证监会备案后生效。</w:t>
      </w:r>
    </w:p>
    <w:p>
      <w:pPr>
        <w:pStyle w:val="BodyText"/>
        <w:spacing w:before="7"/>
        <w:rPr>
          <w:sz w:val="15"/>
        </w:rPr>
      </w:pPr>
    </w:p>
    <w:p>
      <w:pPr>
        <w:pStyle w:val="BodyText"/>
        <w:ind w:left="580"/>
      </w:pPr>
      <w:r>
        <w:rPr/>
        <w:t>（二）托管协议终止的情形</w:t>
      </w:r>
    </w:p>
    <w:p>
      <w:pPr>
        <w:pStyle w:val="BodyText"/>
        <w:spacing w:before="7"/>
        <w:rPr>
          <w:sz w:val="15"/>
        </w:rPr>
      </w:pPr>
    </w:p>
    <w:p>
      <w:pPr>
        <w:pStyle w:val="BodyText"/>
        <w:ind w:left="580"/>
      </w:pPr>
      <w:r>
        <w:rPr>
          <w:rFonts w:ascii="Calibri" w:eastAsia="Calibri"/>
        </w:rPr>
        <w:t>1</w:t>
      </w:r>
      <w:r>
        <w:rPr/>
        <w:t>、《基金合同》终止。</w:t>
      </w:r>
    </w:p>
    <w:p>
      <w:pPr>
        <w:pStyle w:val="BodyText"/>
        <w:spacing w:before="7"/>
        <w:rPr>
          <w:sz w:val="15"/>
        </w:rPr>
      </w:pPr>
    </w:p>
    <w:p>
      <w:pPr>
        <w:pStyle w:val="BodyText"/>
        <w:ind w:left="580"/>
      </w:pPr>
      <w:r>
        <w:rPr>
          <w:rFonts w:ascii="Calibri" w:eastAsia="Calibri"/>
        </w:rPr>
        <w:t>2</w:t>
      </w:r>
      <w:r>
        <w:rPr/>
        <w:t>、基金托管人解散、依法被撤销、破产或由其他基金托管人接管基金资产。</w:t>
      </w:r>
    </w:p>
    <w:p>
      <w:pPr>
        <w:pStyle w:val="BodyText"/>
        <w:spacing w:before="6"/>
        <w:rPr>
          <w:sz w:val="15"/>
        </w:rPr>
      </w:pPr>
    </w:p>
    <w:p>
      <w:pPr>
        <w:pStyle w:val="BodyText"/>
        <w:spacing w:before="1"/>
        <w:ind w:left="580"/>
      </w:pPr>
      <w:r>
        <w:rPr>
          <w:rFonts w:ascii="Calibri" w:eastAsia="Calibri"/>
        </w:rPr>
        <w:t>3</w:t>
      </w:r>
      <w:r>
        <w:rPr/>
        <w:t>、基金管理人解散、依法被撤销、破产或由其他基金管理人接管基金管理权。</w:t>
      </w:r>
    </w:p>
    <w:p>
      <w:pPr>
        <w:pStyle w:val="BodyText"/>
        <w:spacing w:before="6"/>
        <w:rPr>
          <w:sz w:val="15"/>
        </w:rPr>
      </w:pPr>
    </w:p>
    <w:p>
      <w:pPr>
        <w:pStyle w:val="BodyText"/>
        <w:ind w:left="580"/>
      </w:pPr>
      <w:r>
        <w:rPr>
          <w:rFonts w:ascii="Calibri" w:eastAsia="Calibri"/>
        </w:rPr>
        <w:t>4</w:t>
      </w:r>
      <w:r>
        <w:rPr/>
        <w:t>、发生法律法规或《基金合同》规定的终止事项。</w:t>
      </w:r>
    </w:p>
    <w:sectPr>
      <w:pgSz w:w="11910" w:h="16840"/>
      <w:pgMar w:header="877" w:footer="995" w:top="1420" w:bottom="1180" w:left="164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宋体">
    <w:altName w:val="宋体"/>
    <w:charset w:val="86"/>
    <w:family w:val="auto"/>
    <w:pitch w:val="variable"/>
  </w:font>
  <w:font w:name="等线">
    <w:altName w:val="等线"/>
    <w:charset w:val="86"/>
    <w:family w:val="auto"/>
    <w:pitch w:val="variable"/>
  </w:font>
  <w:font w:name="Cambria Math">
    <w:altName w:val="Cambria Math"/>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59865600"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100</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1.179993pt;width:15.7pt;height:12pt;mso-position-horizontal-relative:page;mso-position-vertical-relative:page;z-index:-259856384" type="#_x0000_t202" filled="false" stroked="false">
          <v:textbox inset="0,0,0,0">
            <w:txbxContent>
              <w:p>
                <w:pPr>
                  <w:spacing w:before="12"/>
                  <w:ind w:left="20" w:right="0" w:firstLine="0"/>
                  <w:jc w:val="left"/>
                  <w:rPr>
                    <w:rFonts w:ascii="Times New Roman"/>
                    <w:sz w:val="18"/>
                  </w:rPr>
                </w:pPr>
                <w:r>
                  <w:rPr>
                    <w:rFonts w:ascii="Times New Roman"/>
                    <w:sz w:val="18"/>
                  </w:rPr>
                  <w:t>160</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59855360"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161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049988pt;margin-top:781.179993pt;width:17.3pt;height:12pt;mso-position-horizontal-relative:page;mso-position-vertical-relative:page;z-index:-25986457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110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5986355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120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1.179993pt;width:15.7pt;height:12pt;mso-position-horizontal-relative:page;mso-position-vertical-relative:page;z-index:-259862528" type="#_x0000_t202" filled="false" stroked="false">
          <v:textbox inset="0,0,0,0">
            <w:txbxContent>
              <w:p>
                <w:pPr>
                  <w:spacing w:before="12"/>
                  <w:ind w:left="20" w:right="0" w:firstLine="0"/>
                  <w:jc w:val="left"/>
                  <w:rPr>
                    <w:rFonts w:ascii="Times New Roman"/>
                    <w:sz w:val="18"/>
                  </w:rPr>
                </w:pPr>
                <w:r>
                  <w:rPr>
                    <w:rFonts w:ascii="Times New Roman"/>
                    <w:sz w:val="18"/>
                  </w:rPr>
                  <w:t>130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59861504"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131</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1.179993pt;width:15.7pt;height:12pt;mso-position-horizontal-relative:page;mso-position-vertical-relative:page;z-index:-259860480" type="#_x0000_t202" filled="false" stroked="false">
          <v:textbox inset="0,0,0,0">
            <w:txbxContent>
              <w:p>
                <w:pPr>
                  <w:spacing w:before="12"/>
                  <w:ind w:left="20" w:right="0" w:firstLine="0"/>
                  <w:jc w:val="left"/>
                  <w:rPr>
                    <w:rFonts w:ascii="Times New Roman"/>
                    <w:sz w:val="18"/>
                  </w:rPr>
                </w:pPr>
                <w:r>
                  <w:rPr>
                    <w:rFonts w:ascii="Times New Roman"/>
                    <w:sz w:val="18"/>
                  </w:rPr>
                  <w:t>140</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5985945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141</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1.179993pt;width:15.7pt;height:12pt;mso-position-horizontal-relative:page;mso-position-vertical-relative:page;z-index:-259858432" type="#_x0000_t202" filled="false" stroked="false">
          <v:textbox inset="0,0,0,0">
            <w:txbxContent>
              <w:p>
                <w:pPr>
                  <w:spacing w:before="12"/>
                  <w:ind w:left="20" w:right="0" w:firstLine="0"/>
                  <w:jc w:val="left"/>
                  <w:rPr>
                    <w:rFonts w:ascii="Times New Roman"/>
                    <w:sz w:val="18"/>
                  </w:rPr>
                </w:pPr>
                <w:r>
                  <w:rPr>
                    <w:rFonts w:ascii="Times New Roman"/>
                    <w:sz w:val="18"/>
                  </w:rPr>
                  <w:t>150</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59857408"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151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9867648" from="88.584pt,55.559982pt" to="506.854pt,55.559982pt" stroked="true" strokeweight=".72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180.339996pt;margin-top:42.865608pt;width:326.05pt;height:11pt;mso-position-horizontal-relative:page;mso-position-vertical-relative:page;z-index:-259866624" type="#_x0000_t202" filled="false" stroked="false">
          <v:textbox inset="0,0,0,0">
            <w:txbxContent>
              <w:p>
                <w:pPr>
                  <w:spacing w:line="220" w:lineRule="exact" w:before="0"/>
                  <w:ind w:left="20" w:right="0" w:firstLine="0"/>
                  <w:jc w:val="left"/>
                  <w:rPr>
                    <w:sz w:val="18"/>
                  </w:rPr>
                </w:pPr>
                <w:r>
                  <w:rPr>
                    <w:sz w:val="18"/>
                  </w:rPr>
                  <w:t>战略新兴成指交易型开放式指数证券投资基金发起式联接基金招募说明书（更新）</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
    <w:multiLevelType w:val="hybridMultilevel"/>
    <w:lvl w:ilvl="0">
      <w:start w:val="1"/>
      <w:numFmt w:val="decimal"/>
      <w:lvlText w:val="（%1）"/>
      <w:lvlJc w:val="left"/>
      <w:pPr>
        <w:ind w:left="110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1924" w:hanging="529"/>
      </w:pPr>
      <w:rPr>
        <w:rFonts w:hint="default"/>
        <w:lang w:val="zh-CN" w:eastAsia="zh-CN" w:bidi="zh-CN"/>
      </w:rPr>
    </w:lvl>
    <w:lvl w:ilvl="2">
      <w:start w:val="0"/>
      <w:numFmt w:val="bullet"/>
      <w:lvlText w:val="•"/>
      <w:lvlJc w:val="left"/>
      <w:pPr>
        <w:ind w:left="2749" w:hanging="529"/>
      </w:pPr>
      <w:rPr>
        <w:rFonts w:hint="default"/>
        <w:lang w:val="zh-CN" w:eastAsia="zh-CN" w:bidi="zh-CN"/>
      </w:rPr>
    </w:lvl>
    <w:lvl w:ilvl="3">
      <w:start w:val="0"/>
      <w:numFmt w:val="bullet"/>
      <w:lvlText w:val="•"/>
      <w:lvlJc w:val="left"/>
      <w:pPr>
        <w:ind w:left="3573" w:hanging="529"/>
      </w:pPr>
      <w:rPr>
        <w:rFonts w:hint="default"/>
        <w:lang w:val="zh-CN" w:eastAsia="zh-CN" w:bidi="zh-CN"/>
      </w:rPr>
    </w:lvl>
    <w:lvl w:ilvl="4">
      <w:start w:val="0"/>
      <w:numFmt w:val="bullet"/>
      <w:lvlText w:val="•"/>
      <w:lvlJc w:val="left"/>
      <w:pPr>
        <w:ind w:left="4398" w:hanging="529"/>
      </w:pPr>
      <w:rPr>
        <w:rFonts w:hint="default"/>
        <w:lang w:val="zh-CN" w:eastAsia="zh-CN" w:bidi="zh-CN"/>
      </w:rPr>
    </w:lvl>
    <w:lvl w:ilvl="5">
      <w:start w:val="0"/>
      <w:numFmt w:val="bullet"/>
      <w:lvlText w:val="•"/>
      <w:lvlJc w:val="left"/>
      <w:pPr>
        <w:ind w:left="5223" w:hanging="529"/>
      </w:pPr>
      <w:rPr>
        <w:rFonts w:hint="default"/>
        <w:lang w:val="zh-CN" w:eastAsia="zh-CN" w:bidi="zh-CN"/>
      </w:rPr>
    </w:lvl>
    <w:lvl w:ilvl="6">
      <w:start w:val="0"/>
      <w:numFmt w:val="bullet"/>
      <w:lvlText w:val="•"/>
      <w:lvlJc w:val="left"/>
      <w:pPr>
        <w:ind w:left="6047" w:hanging="529"/>
      </w:pPr>
      <w:rPr>
        <w:rFonts w:hint="default"/>
        <w:lang w:val="zh-CN" w:eastAsia="zh-CN" w:bidi="zh-CN"/>
      </w:rPr>
    </w:lvl>
    <w:lvl w:ilvl="7">
      <w:start w:val="0"/>
      <w:numFmt w:val="bullet"/>
      <w:lvlText w:val="•"/>
      <w:lvlJc w:val="left"/>
      <w:pPr>
        <w:ind w:left="6872" w:hanging="529"/>
      </w:pPr>
      <w:rPr>
        <w:rFonts w:hint="default"/>
        <w:lang w:val="zh-CN" w:eastAsia="zh-CN" w:bidi="zh-CN"/>
      </w:rPr>
    </w:lvl>
    <w:lvl w:ilvl="8">
      <w:start w:val="0"/>
      <w:numFmt w:val="bullet"/>
      <w:lvlText w:val="•"/>
      <w:lvlJc w:val="left"/>
      <w:pPr>
        <w:ind w:left="7697" w:hanging="529"/>
      </w:pPr>
      <w:rPr>
        <w:rFonts w:hint="default"/>
        <w:lang w:val="zh-CN" w:eastAsia="zh-CN" w:bidi="zh-CN"/>
      </w:rPr>
    </w:lvl>
  </w:abstractNum>
  <w:abstractNum w:abstractNumId="47">
    <w:multiLevelType w:val="hybridMultilevel"/>
    <w:lvl w:ilvl="0">
      <w:start w:val="1"/>
      <w:numFmt w:val="decimal"/>
      <w:lvlText w:val="（%1）"/>
      <w:lvlJc w:val="left"/>
      <w:pPr>
        <w:ind w:left="160" w:hanging="532"/>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078" w:hanging="532"/>
      </w:pPr>
      <w:rPr>
        <w:rFonts w:hint="default"/>
        <w:lang w:val="zh-CN" w:eastAsia="zh-CN" w:bidi="zh-CN"/>
      </w:rPr>
    </w:lvl>
    <w:lvl w:ilvl="2">
      <w:start w:val="0"/>
      <w:numFmt w:val="bullet"/>
      <w:lvlText w:val="•"/>
      <w:lvlJc w:val="left"/>
      <w:pPr>
        <w:ind w:left="1997" w:hanging="532"/>
      </w:pPr>
      <w:rPr>
        <w:rFonts w:hint="default"/>
        <w:lang w:val="zh-CN" w:eastAsia="zh-CN" w:bidi="zh-CN"/>
      </w:rPr>
    </w:lvl>
    <w:lvl w:ilvl="3">
      <w:start w:val="0"/>
      <w:numFmt w:val="bullet"/>
      <w:lvlText w:val="•"/>
      <w:lvlJc w:val="left"/>
      <w:pPr>
        <w:ind w:left="2915" w:hanging="532"/>
      </w:pPr>
      <w:rPr>
        <w:rFonts w:hint="default"/>
        <w:lang w:val="zh-CN" w:eastAsia="zh-CN" w:bidi="zh-CN"/>
      </w:rPr>
    </w:lvl>
    <w:lvl w:ilvl="4">
      <w:start w:val="0"/>
      <w:numFmt w:val="bullet"/>
      <w:lvlText w:val="•"/>
      <w:lvlJc w:val="left"/>
      <w:pPr>
        <w:ind w:left="3834" w:hanging="532"/>
      </w:pPr>
      <w:rPr>
        <w:rFonts w:hint="default"/>
        <w:lang w:val="zh-CN" w:eastAsia="zh-CN" w:bidi="zh-CN"/>
      </w:rPr>
    </w:lvl>
    <w:lvl w:ilvl="5">
      <w:start w:val="0"/>
      <w:numFmt w:val="bullet"/>
      <w:lvlText w:val="•"/>
      <w:lvlJc w:val="left"/>
      <w:pPr>
        <w:ind w:left="4753" w:hanging="532"/>
      </w:pPr>
      <w:rPr>
        <w:rFonts w:hint="default"/>
        <w:lang w:val="zh-CN" w:eastAsia="zh-CN" w:bidi="zh-CN"/>
      </w:rPr>
    </w:lvl>
    <w:lvl w:ilvl="6">
      <w:start w:val="0"/>
      <w:numFmt w:val="bullet"/>
      <w:lvlText w:val="•"/>
      <w:lvlJc w:val="left"/>
      <w:pPr>
        <w:ind w:left="5671" w:hanging="532"/>
      </w:pPr>
      <w:rPr>
        <w:rFonts w:hint="default"/>
        <w:lang w:val="zh-CN" w:eastAsia="zh-CN" w:bidi="zh-CN"/>
      </w:rPr>
    </w:lvl>
    <w:lvl w:ilvl="7">
      <w:start w:val="0"/>
      <w:numFmt w:val="bullet"/>
      <w:lvlText w:val="•"/>
      <w:lvlJc w:val="left"/>
      <w:pPr>
        <w:ind w:left="6590" w:hanging="532"/>
      </w:pPr>
      <w:rPr>
        <w:rFonts w:hint="default"/>
        <w:lang w:val="zh-CN" w:eastAsia="zh-CN" w:bidi="zh-CN"/>
      </w:rPr>
    </w:lvl>
    <w:lvl w:ilvl="8">
      <w:start w:val="0"/>
      <w:numFmt w:val="bullet"/>
      <w:lvlText w:val="•"/>
      <w:lvlJc w:val="left"/>
      <w:pPr>
        <w:ind w:left="7509" w:hanging="532"/>
      </w:pPr>
      <w:rPr>
        <w:rFonts w:hint="default"/>
        <w:lang w:val="zh-CN" w:eastAsia="zh-CN" w:bidi="zh-CN"/>
      </w:rPr>
    </w:lvl>
  </w:abstractNum>
  <w:abstractNum w:abstractNumId="43">
    <w:multiLevelType w:val="hybridMultilevel"/>
    <w:lvl w:ilvl="0">
      <w:start w:val="1"/>
      <w:numFmt w:val="decimal"/>
      <w:lvlText w:val="（%1）"/>
      <w:lvlJc w:val="left"/>
      <w:pPr>
        <w:ind w:left="110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1924" w:hanging="529"/>
      </w:pPr>
      <w:rPr>
        <w:rFonts w:hint="default"/>
        <w:lang w:val="zh-CN" w:eastAsia="zh-CN" w:bidi="zh-CN"/>
      </w:rPr>
    </w:lvl>
    <w:lvl w:ilvl="2">
      <w:start w:val="0"/>
      <w:numFmt w:val="bullet"/>
      <w:lvlText w:val="•"/>
      <w:lvlJc w:val="left"/>
      <w:pPr>
        <w:ind w:left="2749" w:hanging="529"/>
      </w:pPr>
      <w:rPr>
        <w:rFonts w:hint="default"/>
        <w:lang w:val="zh-CN" w:eastAsia="zh-CN" w:bidi="zh-CN"/>
      </w:rPr>
    </w:lvl>
    <w:lvl w:ilvl="3">
      <w:start w:val="0"/>
      <w:numFmt w:val="bullet"/>
      <w:lvlText w:val="•"/>
      <w:lvlJc w:val="left"/>
      <w:pPr>
        <w:ind w:left="3573" w:hanging="529"/>
      </w:pPr>
      <w:rPr>
        <w:rFonts w:hint="default"/>
        <w:lang w:val="zh-CN" w:eastAsia="zh-CN" w:bidi="zh-CN"/>
      </w:rPr>
    </w:lvl>
    <w:lvl w:ilvl="4">
      <w:start w:val="0"/>
      <w:numFmt w:val="bullet"/>
      <w:lvlText w:val="•"/>
      <w:lvlJc w:val="left"/>
      <w:pPr>
        <w:ind w:left="4398" w:hanging="529"/>
      </w:pPr>
      <w:rPr>
        <w:rFonts w:hint="default"/>
        <w:lang w:val="zh-CN" w:eastAsia="zh-CN" w:bidi="zh-CN"/>
      </w:rPr>
    </w:lvl>
    <w:lvl w:ilvl="5">
      <w:start w:val="0"/>
      <w:numFmt w:val="bullet"/>
      <w:lvlText w:val="•"/>
      <w:lvlJc w:val="left"/>
      <w:pPr>
        <w:ind w:left="5223" w:hanging="529"/>
      </w:pPr>
      <w:rPr>
        <w:rFonts w:hint="default"/>
        <w:lang w:val="zh-CN" w:eastAsia="zh-CN" w:bidi="zh-CN"/>
      </w:rPr>
    </w:lvl>
    <w:lvl w:ilvl="6">
      <w:start w:val="0"/>
      <w:numFmt w:val="bullet"/>
      <w:lvlText w:val="•"/>
      <w:lvlJc w:val="left"/>
      <w:pPr>
        <w:ind w:left="6047" w:hanging="529"/>
      </w:pPr>
      <w:rPr>
        <w:rFonts w:hint="default"/>
        <w:lang w:val="zh-CN" w:eastAsia="zh-CN" w:bidi="zh-CN"/>
      </w:rPr>
    </w:lvl>
    <w:lvl w:ilvl="7">
      <w:start w:val="0"/>
      <w:numFmt w:val="bullet"/>
      <w:lvlText w:val="•"/>
      <w:lvlJc w:val="left"/>
      <w:pPr>
        <w:ind w:left="6872" w:hanging="529"/>
      </w:pPr>
      <w:rPr>
        <w:rFonts w:hint="default"/>
        <w:lang w:val="zh-CN" w:eastAsia="zh-CN" w:bidi="zh-CN"/>
      </w:rPr>
    </w:lvl>
    <w:lvl w:ilvl="8">
      <w:start w:val="0"/>
      <w:numFmt w:val="bullet"/>
      <w:lvlText w:val="•"/>
      <w:lvlJc w:val="left"/>
      <w:pPr>
        <w:ind w:left="7697" w:hanging="529"/>
      </w:pPr>
      <w:rPr>
        <w:rFonts w:hint="default"/>
        <w:lang w:val="zh-CN" w:eastAsia="zh-CN" w:bidi="zh-CN"/>
      </w:rPr>
    </w:lvl>
  </w:abstractNum>
  <w:abstractNum w:abstractNumId="53">
    <w:multiLevelType w:val="hybridMultilevel"/>
    <w:lvl w:ilvl="0">
      <w:start w:val="1"/>
      <w:numFmt w:val="decimal"/>
      <w:lvlText w:val="（%1）"/>
      <w:lvlJc w:val="left"/>
      <w:pPr>
        <w:ind w:left="110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1924" w:hanging="529"/>
      </w:pPr>
      <w:rPr>
        <w:rFonts w:hint="default"/>
        <w:lang w:val="zh-CN" w:eastAsia="zh-CN" w:bidi="zh-CN"/>
      </w:rPr>
    </w:lvl>
    <w:lvl w:ilvl="2">
      <w:start w:val="0"/>
      <w:numFmt w:val="bullet"/>
      <w:lvlText w:val="•"/>
      <w:lvlJc w:val="left"/>
      <w:pPr>
        <w:ind w:left="2749" w:hanging="529"/>
      </w:pPr>
      <w:rPr>
        <w:rFonts w:hint="default"/>
        <w:lang w:val="zh-CN" w:eastAsia="zh-CN" w:bidi="zh-CN"/>
      </w:rPr>
    </w:lvl>
    <w:lvl w:ilvl="3">
      <w:start w:val="0"/>
      <w:numFmt w:val="bullet"/>
      <w:lvlText w:val="•"/>
      <w:lvlJc w:val="left"/>
      <w:pPr>
        <w:ind w:left="3573" w:hanging="529"/>
      </w:pPr>
      <w:rPr>
        <w:rFonts w:hint="default"/>
        <w:lang w:val="zh-CN" w:eastAsia="zh-CN" w:bidi="zh-CN"/>
      </w:rPr>
    </w:lvl>
    <w:lvl w:ilvl="4">
      <w:start w:val="0"/>
      <w:numFmt w:val="bullet"/>
      <w:lvlText w:val="•"/>
      <w:lvlJc w:val="left"/>
      <w:pPr>
        <w:ind w:left="4398" w:hanging="529"/>
      </w:pPr>
      <w:rPr>
        <w:rFonts w:hint="default"/>
        <w:lang w:val="zh-CN" w:eastAsia="zh-CN" w:bidi="zh-CN"/>
      </w:rPr>
    </w:lvl>
    <w:lvl w:ilvl="5">
      <w:start w:val="0"/>
      <w:numFmt w:val="bullet"/>
      <w:lvlText w:val="•"/>
      <w:lvlJc w:val="left"/>
      <w:pPr>
        <w:ind w:left="5223" w:hanging="529"/>
      </w:pPr>
      <w:rPr>
        <w:rFonts w:hint="default"/>
        <w:lang w:val="zh-CN" w:eastAsia="zh-CN" w:bidi="zh-CN"/>
      </w:rPr>
    </w:lvl>
    <w:lvl w:ilvl="6">
      <w:start w:val="0"/>
      <w:numFmt w:val="bullet"/>
      <w:lvlText w:val="•"/>
      <w:lvlJc w:val="left"/>
      <w:pPr>
        <w:ind w:left="6047" w:hanging="529"/>
      </w:pPr>
      <w:rPr>
        <w:rFonts w:hint="default"/>
        <w:lang w:val="zh-CN" w:eastAsia="zh-CN" w:bidi="zh-CN"/>
      </w:rPr>
    </w:lvl>
    <w:lvl w:ilvl="7">
      <w:start w:val="0"/>
      <w:numFmt w:val="bullet"/>
      <w:lvlText w:val="•"/>
      <w:lvlJc w:val="left"/>
      <w:pPr>
        <w:ind w:left="6872" w:hanging="529"/>
      </w:pPr>
      <w:rPr>
        <w:rFonts w:hint="default"/>
        <w:lang w:val="zh-CN" w:eastAsia="zh-CN" w:bidi="zh-CN"/>
      </w:rPr>
    </w:lvl>
    <w:lvl w:ilvl="8">
      <w:start w:val="0"/>
      <w:numFmt w:val="bullet"/>
      <w:lvlText w:val="•"/>
      <w:lvlJc w:val="left"/>
      <w:pPr>
        <w:ind w:left="7697" w:hanging="529"/>
      </w:pPr>
      <w:rPr>
        <w:rFonts w:hint="default"/>
        <w:lang w:val="zh-CN" w:eastAsia="zh-CN" w:bidi="zh-CN"/>
      </w:rPr>
    </w:lvl>
  </w:abstractNum>
  <w:abstractNum w:abstractNumId="52">
    <w:multiLevelType w:val="hybridMultilevel"/>
    <w:lvl w:ilvl="0">
      <w:start w:val="1"/>
      <w:numFmt w:val="decimal"/>
      <w:lvlText w:val="（%1）"/>
      <w:lvlJc w:val="left"/>
      <w:pPr>
        <w:ind w:left="110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1924" w:hanging="529"/>
      </w:pPr>
      <w:rPr>
        <w:rFonts w:hint="default"/>
        <w:lang w:val="zh-CN" w:eastAsia="zh-CN" w:bidi="zh-CN"/>
      </w:rPr>
    </w:lvl>
    <w:lvl w:ilvl="2">
      <w:start w:val="0"/>
      <w:numFmt w:val="bullet"/>
      <w:lvlText w:val="•"/>
      <w:lvlJc w:val="left"/>
      <w:pPr>
        <w:ind w:left="2749" w:hanging="529"/>
      </w:pPr>
      <w:rPr>
        <w:rFonts w:hint="default"/>
        <w:lang w:val="zh-CN" w:eastAsia="zh-CN" w:bidi="zh-CN"/>
      </w:rPr>
    </w:lvl>
    <w:lvl w:ilvl="3">
      <w:start w:val="0"/>
      <w:numFmt w:val="bullet"/>
      <w:lvlText w:val="•"/>
      <w:lvlJc w:val="left"/>
      <w:pPr>
        <w:ind w:left="3573" w:hanging="529"/>
      </w:pPr>
      <w:rPr>
        <w:rFonts w:hint="default"/>
        <w:lang w:val="zh-CN" w:eastAsia="zh-CN" w:bidi="zh-CN"/>
      </w:rPr>
    </w:lvl>
    <w:lvl w:ilvl="4">
      <w:start w:val="0"/>
      <w:numFmt w:val="bullet"/>
      <w:lvlText w:val="•"/>
      <w:lvlJc w:val="left"/>
      <w:pPr>
        <w:ind w:left="4398" w:hanging="529"/>
      </w:pPr>
      <w:rPr>
        <w:rFonts w:hint="default"/>
        <w:lang w:val="zh-CN" w:eastAsia="zh-CN" w:bidi="zh-CN"/>
      </w:rPr>
    </w:lvl>
    <w:lvl w:ilvl="5">
      <w:start w:val="0"/>
      <w:numFmt w:val="bullet"/>
      <w:lvlText w:val="•"/>
      <w:lvlJc w:val="left"/>
      <w:pPr>
        <w:ind w:left="5223" w:hanging="529"/>
      </w:pPr>
      <w:rPr>
        <w:rFonts w:hint="default"/>
        <w:lang w:val="zh-CN" w:eastAsia="zh-CN" w:bidi="zh-CN"/>
      </w:rPr>
    </w:lvl>
    <w:lvl w:ilvl="6">
      <w:start w:val="0"/>
      <w:numFmt w:val="bullet"/>
      <w:lvlText w:val="•"/>
      <w:lvlJc w:val="left"/>
      <w:pPr>
        <w:ind w:left="6047" w:hanging="529"/>
      </w:pPr>
      <w:rPr>
        <w:rFonts w:hint="default"/>
        <w:lang w:val="zh-CN" w:eastAsia="zh-CN" w:bidi="zh-CN"/>
      </w:rPr>
    </w:lvl>
    <w:lvl w:ilvl="7">
      <w:start w:val="0"/>
      <w:numFmt w:val="bullet"/>
      <w:lvlText w:val="•"/>
      <w:lvlJc w:val="left"/>
      <w:pPr>
        <w:ind w:left="6872" w:hanging="529"/>
      </w:pPr>
      <w:rPr>
        <w:rFonts w:hint="default"/>
        <w:lang w:val="zh-CN" w:eastAsia="zh-CN" w:bidi="zh-CN"/>
      </w:rPr>
    </w:lvl>
    <w:lvl w:ilvl="8">
      <w:start w:val="0"/>
      <w:numFmt w:val="bullet"/>
      <w:lvlText w:val="•"/>
      <w:lvlJc w:val="left"/>
      <w:pPr>
        <w:ind w:left="7697" w:hanging="529"/>
      </w:pPr>
      <w:rPr>
        <w:rFonts w:hint="default"/>
        <w:lang w:val="zh-CN" w:eastAsia="zh-CN" w:bidi="zh-CN"/>
      </w:rPr>
    </w:lvl>
  </w:abstractNum>
  <w:abstractNum w:abstractNumId="51">
    <w:multiLevelType w:val="hybridMultilevel"/>
    <w:lvl w:ilvl="0">
      <w:start w:val="1"/>
      <w:numFmt w:val="decimal"/>
      <w:lvlText w:val="（%1）"/>
      <w:lvlJc w:val="left"/>
      <w:pPr>
        <w:ind w:left="110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1924" w:hanging="529"/>
      </w:pPr>
      <w:rPr>
        <w:rFonts w:hint="default"/>
        <w:lang w:val="zh-CN" w:eastAsia="zh-CN" w:bidi="zh-CN"/>
      </w:rPr>
    </w:lvl>
    <w:lvl w:ilvl="2">
      <w:start w:val="0"/>
      <w:numFmt w:val="bullet"/>
      <w:lvlText w:val="•"/>
      <w:lvlJc w:val="left"/>
      <w:pPr>
        <w:ind w:left="2749" w:hanging="529"/>
      </w:pPr>
      <w:rPr>
        <w:rFonts w:hint="default"/>
        <w:lang w:val="zh-CN" w:eastAsia="zh-CN" w:bidi="zh-CN"/>
      </w:rPr>
    </w:lvl>
    <w:lvl w:ilvl="3">
      <w:start w:val="0"/>
      <w:numFmt w:val="bullet"/>
      <w:lvlText w:val="•"/>
      <w:lvlJc w:val="left"/>
      <w:pPr>
        <w:ind w:left="3573" w:hanging="529"/>
      </w:pPr>
      <w:rPr>
        <w:rFonts w:hint="default"/>
        <w:lang w:val="zh-CN" w:eastAsia="zh-CN" w:bidi="zh-CN"/>
      </w:rPr>
    </w:lvl>
    <w:lvl w:ilvl="4">
      <w:start w:val="0"/>
      <w:numFmt w:val="bullet"/>
      <w:lvlText w:val="•"/>
      <w:lvlJc w:val="left"/>
      <w:pPr>
        <w:ind w:left="4398" w:hanging="529"/>
      </w:pPr>
      <w:rPr>
        <w:rFonts w:hint="default"/>
        <w:lang w:val="zh-CN" w:eastAsia="zh-CN" w:bidi="zh-CN"/>
      </w:rPr>
    </w:lvl>
    <w:lvl w:ilvl="5">
      <w:start w:val="0"/>
      <w:numFmt w:val="bullet"/>
      <w:lvlText w:val="•"/>
      <w:lvlJc w:val="left"/>
      <w:pPr>
        <w:ind w:left="5223" w:hanging="529"/>
      </w:pPr>
      <w:rPr>
        <w:rFonts w:hint="default"/>
        <w:lang w:val="zh-CN" w:eastAsia="zh-CN" w:bidi="zh-CN"/>
      </w:rPr>
    </w:lvl>
    <w:lvl w:ilvl="6">
      <w:start w:val="0"/>
      <w:numFmt w:val="bullet"/>
      <w:lvlText w:val="•"/>
      <w:lvlJc w:val="left"/>
      <w:pPr>
        <w:ind w:left="6047" w:hanging="529"/>
      </w:pPr>
      <w:rPr>
        <w:rFonts w:hint="default"/>
        <w:lang w:val="zh-CN" w:eastAsia="zh-CN" w:bidi="zh-CN"/>
      </w:rPr>
    </w:lvl>
    <w:lvl w:ilvl="7">
      <w:start w:val="0"/>
      <w:numFmt w:val="bullet"/>
      <w:lvlText w:val="•"/>
      <w:lvlJc w:val="left"/>
      <w:pPr>
        <w:ind w:left="6872" w:hanging="529"/>
      </w:pPr>
      <w:rPr>
        <w:rFonts w:hint="default"/>
        <w:lang w:val="zh-CN" w:eastAsia="zh-CN" w:bidi="zh-CN"/>
      </w:rPr>
    </w:lvl>
    <w:lvl w:ilvl="8">
      <w:start w:val="0"/>
      <w:numFmt w:val="bullet"/>
      <w:lvlText w:val="•"/>
      <w:lvlJc w:val="left"/>
      <w:pPr>
        <w:ind w:left="7697" w:hanging="529"/>
      </w:pPr>
      <w:rPr>
        <w:rFonts w:hint="default"/>
        <w:lang w:val="zh-CN" w:eastAsia="zh-CN" w:bidi="zh-CN"/>
      </w:rPr>
    </w:lvl>
  </w:abstractNum>
  <w:abstractNum w:abstractNumId="50">
    <w:multiLevelType w:val="hybridMultilevel"/>
    <w:lvl w:ilvl="0">
      <w:start w:val="1"/>
      <w:numFmt w:val="decimal"/>
      <w:lvlText w:val="（%1）"/>
      <w:lvlJc w:val="left"/>
      <w:pPr>
        <w:ind w:left="1111" w:hanging="532"/>
        <w:jc w:val="left"/>
      </w:pPr>
      <w:rPr>
        <w:rFonts w:hint="default" w:ascii="宋体" w:hAnsi="宋体" w:eastAsia="宋体" w:cs="宋体"/>
        <w:spacing w:val="-108"/>
        <w:w w:val="100"/>
        <w:sz w:val="19"/>
        <w:szCs w:val="19"/>
        <w:lang w:val="zh-CN" w:eastAsia="zh-CN" w:bidi="zh-CN"/>
      </w:rPr>
    </w:lvl>
    <w:lvl w:ilvl="1">
      <w:start w:val="0"/>
      <w:numFmt w:val="bullet"/>
      <w:lvlText w:val="•"/>
      <w:lvlJc w:val="left"/>
      <w:pPr>
        <w:ind w:left="1942" w:hanging="532"/>
      </w:pPr>
      <w:rPr>
        <w:rFonts w:hint="default"/>
        <w:lang w:val="zh-CN" w:eastAsia="zh-CN" w:bidi="zh-CN"/>
      </w:rPr>
    </w:lvl>
    <w:lvl w:ilvl="2">
      <w:start w:val="0"/>
      <w:numFmt w:val="bullet"/>
      <w:lvlText w:val="•"/>
      <w:lvlJc w:val="left"/>
      <w:pPr>
        <w:ind w:left="2765" w:hanging="532"/>
      </w:pPr>
      <w:rPr>
        <w:rFonts w:hint="default"/>
        <w:lang w:val="zh-CN" w:eastAsia="zh-CN" w:bidi="zh-CN"/>
      </w:rPr>
    </w:lvl>
    <w:lvl w:ilvl="3">
      <w:start w:val="0"/>
      <w:numFmt w:val="bullet"/>
      <w:lvlText w:val="•"/>
      <w:lvlJc w:val="left"/>
      <w:pPr>
        <w:ind w:left="3587" w:hanging="532"/>
      </w:pPr>
      <w:rPr>
        <w:rFonts w:hint="default"/>
        <w:lang w:val="zh-CN" w:eastAsia="zh-CN" w:bidi="zh-CN"/>
      </w:rPr>
    </w:lvl>
    <w:lvl w:ilvl="4">
      <w:start w:val="0"/>
      <w:numFmt w:val="bullet"/>
      <w:lvlText w:val="•"/>
      <w:lvlJc w:val="left"/>
      <w:pPr>
        <w:ind w:left="4410" w:hanging="532"/>
      </w:pPr>
      <w:rPr>
        <w:rFonts w:hint="default"/>
        <w:lang w:val="zh-CN" w:eastAsia="zh-CN" w:bidi="zh-CN"/>
      </w:rPr>
    </w:lvl>
    <w:lvl w:ilvl="5">
      <w:start w:val="0"/>
      <w:numFmt w:val="bullet"/>
      <w:lvlText w:val="•"/>
      <w:lvlJc w:val="left"/>
      <w:pPr>
        <w:ind w:left="5233" w:hanging="532"/>
      </w:pPr>
      <w:rPr>
        <w:rFonts w:hint="default"/>
        <w:lang w:val="zh-CN" w:eastAsia="zh-CN" w:bidi="zh-CN"/>
      </w:rPr>
    </w:lvl>
    <w:lvl w:ilvl="6">
      <w:start w:val="0"/>
      <w:numFmt w:val="bullet"/>
      <w:lvlText w:val="•"/>
      <w:lvlJc w:val="left"/>
      <w:pPr>
        <w:ind w:left="6055" w:hanging="532"/>
      </w:pPr>
      <w:rPr>
        <w:rFonts w:hint="default"/>
        <w:lang w:val="zh-CN" w:eastAsia="zh-CN" w:bidi="zh-CN"/>
      </w:rPr>
    </w:lvl>
    <w:lvl w:ilvl="7">
      <w:start w:val="0"/>
      <w:numFmt w:val="bullet"/>
      <w:lvlText w:val="•"/>
      <w:lvlJc w:val="left"/>
      <w:pPr>
        <w:ind w:left="6878" w:hanging="532"/>
      </w:pPr>
      <w:rPr>
        <w:rFonts w:hint="default"/>
        <w:lang w:val="zh-CN" w:eastAsia="zh-CN" w:bidi="zh-CN"/>
      </w:rPr>
    </w:lvl>
    <w:lvl w:ilvl="8">
      <w:start w:val="0"/>
      <w:numFmt w:val="bullet"/>
      <w:lvlText w:val="•"/>
      <w:lvlJc w:val="left"/>
      <w:pPr>
        <w:ind w:left="7701" w:hanging="532"/>
      </w:pPr>
      <w:rPr>
        <w:rFonts w:hint="default"/>
        <w:lang w:val="zh-CN" w:eastAsia="zh-CN" w:bidi="zh-CN"/>
      </w:rPr>
    </w:lvl>
  </w:abstractNum>
  <w:abstractNum w:abstractNumId="49">
    <w:multiLevelType w:val="hybridMultilevel"/>
    <w:lvl w:ilvl="0">
      <w:start w:val="1"/>
      <w:numFmt w:val="decimal"/>
      <w:lvlText w:val="（%1）"/>
      <w:lvlJc w:val="left"/>
      <w:pPr>
        <w:ind w:left="110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1924" w:hanging="529"/>
      </w:pPr>
      <w:rPr>
        <w:rFonts w:hint="default"/>
        <w:lang w:val="zh-CN" w:eastAsia="zh-CN" w:bidi="zh-CN"/>
      </w:rPr>
    </w:lvl>
    <w:lvl w:ilvl="2">
      <w:start w:val="0"/>
      <w:numFmt w:val="bullet"/>
      <w:lvlText w:val="•"/>
      <w:lvlJc w:val="left"/>
      <w:pPr>
        <w:ind w:left="2749" w:hanging="529"/>
      </w:pPr>
      <w:rPr>
        <w:rFonts w:hint="default"/>
        <w:lang w:val="zh-CN" w:eastAsia="zh-CN" w:bidi="zh-CN"/>
      </w:rPr>
    </w:lvl>
    <w:lvl w:ilvl="3">
      <w:start w:val="0"/>
      <w:numFmt w:val="bullet"/>
      <w:lvlText w:val="•"/>
      <w:lvlJc w:val="left"/>
      <w:pPr>
        <w:ind w:left="3573" w:hanging="529"/>
      </w:pPr>
      <w:rPr>
        <w:rFonts w:hint="default"/>
        <w:lang w:val="zh-CN" w:eastAsia="zh-CN" w:bidi="zh-CN"/>
      </w:rPr>
    </w:lvl>
    <w:lvl w:ilvl="4">
      <w:start w:val="0"/>
      <w:numFmt w:val="bullet"/>
      <w:lvlText w:val="•"/>
      <w:lvlJc w:val="left"/>
      <w:pPr>
        <w:ind w:left="4398" w:hanging="529"/>
      </w:pPr>
      <w:rPr>
        <w:rFonts w:hint="default"/>
        <w:lang w:val="zh-CN" w:eastAsia="zh-CN" w:bidi="zh-CN"/>
      </w:rPr>
    </w:lvl>
    <w:lvl w:ilvl="5">
      <w:start w:val="0"/>
      <w:numFmt w:val="bullet"/>
      <w:lvlText w:val="•"/>
      <w:lvlJc w:val="left"/>
      <w:pPr>
        <w:ind w:left="5223" w:hanging="529"/>
      </w:pPr>
      <w:rPr>
        <w:rFonts w:hint="default"/>
        <w:lang w:val="zh-CN" w:eastAsia="zh-CN" w:bidi="zh-CN"/>
      </w:rPr>
    </w:lvl>
    <w:lvl w:ilvl="6">
      <w:start w:val="0"/>
      <w:numFmt w:val="bullet"/>
      <w:lvlText w:val="•"/>
      <w:lvlJc w:val="left"/>
      <w:pPr>
        <w:ind w:left="6047" w:hanging="529"/>
      </w:pPr>
      <w:rPr>
        <w:rFonts w:hint="default"/>
        <w:lang w:val="zh-CN" w:eastAsia="zh-CN" w:bidi="zh-CN"/>
      </w:rPr>
    </w:lvl>
    <w:lvl w:ilvl="7">
      <w:start w:val="0"/>
      <w:numFmt w:val="bullet"/>
      <w:lvlText w:val="•"/>
      <w:lvlJc w:val="left"/>
      <w:pPr>
        <w:ind w:left="6872" w:hanging="529"/>
      </w:pPr>
      <w:rPr>
        <w:rFonts w:hint="default"/>
        <w:lang w:val="zh-CN" w:eastAsia="zh-CN" w:bidi="zh-CN"/>
      </w:rPr>
    </w:lvl>
    <w:lvl w:ilvl="8">
      <w:start w:val="0"/>
      <w:numFmt w:val="bullet"/>
      <w:lvlText w:val="•"/>
      <w:lvlJc w:val="left"/>
      <w:pPr>
        <w:ind w:left="7697" w:hanging="529"/>
      </w:pPr>
      <w:rPr>
        <w:rFonts w:hint="default"/>
        <w:lang w:val="zh-CN" w:eastAsia="zh-CN" w:bidi="zh-CN"/>
      </w:rPr>
    </w:lvl>
  </w:abstractNum>
  <w:abstractNum w:abstractNumId="46">
    <w:multiLevelType w:val="hybridMultilevel"/>
    <w:lvl w:ilvl="0">
      <w:start w:val="1"/>
      <w:numFmt w:val="decimal"/>
      <w:lvlText w:val="（%1）"/>
      <w:lvlJc w:val="left"/>
      <w:pPr>
        <w:ind w:left="110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1924" w:hanging="529"/>
      </w:pPr>
      <w:rPr>
        <w:rFonts w:hint="default"/>
        <w:lang w:val="zh-CN" w:eastAsia="zh-CN" w:bidi="zh-CN"/>
      </w:rPr>
    </w:lvl>
    <w:lvl w:ilvl="2">
      <w:start w:val="0"/>
      <w:numFmt w:val="bullet"/>
      <w:lvlText w:val="•"/>
      <w:lvlJc w:val="left"/>
      <w:pPr>
        <w:ind w:left="2749" w:hanging="529"/>
      </w:pPr>
      <w:rPr>
        <w:rFonts w:hint="default"/>
        <w:lang w:val="zh-CN" w:eastAsia="zh-CN" w:bidi="zh-CN"/>
      </w:rPr>
    </w:lvl>
    <w:lvl w:ilvl="3">
      <w:start w:val="0"/>
      <w:numFmt w:val="bullet"/>
      <w:lvlText w:val="•"/>
      <w:lvlJc w:val="left"/>
      <w:pPr>
        <w:ind w:left="3573" w:hanging="529"/>
      </w:pPr>
      <w:rPr>
        <w:rFonts w:hint="default"/>
        <w:lang w:val="zh-CN" w:eastAsia="zh-CN" w:bidi="zh-CN"/>
      </w:rPr>
    </w:lvl>
    <w:lvl w:ilvl="4">
      <w:start w:val="0"/>
      <w:numFmt w:val="bullet"/>
      <w:lvlText w:val="•"/>
      <w:lvlJc w:val="left"/>
      <w:pPr>
        <w:ind w:left="4398" w:hanging="529"/>
      </w:pPr>
      <w:rPr>
        <w:rFonts w:hint="default"/>
        <w:lang w:val="zh-CN" w:eastAsia="zh-CN" w:bidi="zh-CN"/>
      </w:rPr>
    </w:lvl>
    <w:lvl w:ilvl="5">
      <w:start w:val="0"/>
      <w:numFmt w:val="bullet"/>
      <w:lvlText w:val="•"/>
      <w:lvlJc w:val="left"/>
      <w:pPr>
        <w:ind w:left="5223" w:hanging="529"/>
      </w:pPr>
      <w:rPr>
        <w:rFonts w:hint="default"/>
        <w:lang w:val="zh-CN" w:eastAsia="zh-CN" w:bidi="zh-CN"/>
      </w:rPr>
    </w:lvl>
    <w:lvl w:ilvl="6">
      <w:start w:val="0"/>
      <w:numFmt w:val="bullet"/>
      <w:lvlText w:val="•"/>
      <w:lvlJc w:val="left"/>
      <w:pPr>
        <w:ind w:left="6047" w:hanging="529"/>
      </w:pPr>
      <w:rPr>
        <w:rFonts w:hint="default"/>
        <w:lang w:val="zh-CN" w:eastAsia="zh-CN" w:bidi="zh-CN"/>
      </w:rPr>
    </w:lvl>
    <w:lvl w:ilvl="7">
      <w:start w:val="0"/>
      <w:numFmt w:val="bullet"/>
      <w:lvlText w:val="•"/>
      <w:lvlJc w:val="left"/>
      <w:pPr>
        <w:ind w:left="6872" w:hanging="529"/>
      </w:pPr>
      <w:rPr>
        <w:rFonts w:hint="default"/>
        <w:lang w:val="zh-CN" w:eastAsia="zh-CN" w:bidi="zh-CN"/>
      </w:rPr>
    </w:lvl>
    <w:lvl w:ilvl="8">
      <w:start w:val="0"/>
      <w:numFmt w:val="bullet"/>
      <w:lvlText w:val="•"/>
      <w:lvlJc w:val="left"/>
      <w:pPr>
        <w:ind w:left="7697" w:hanging="529"/>
      </w:pPr>
      <w:rPr>
        <w:rFonts w:hint="default"/>
        <w:lang w:val="zh-CN" w:eastAsia="zh-CN" w:bidi="zh-CN"/>
      </w:rPr>
    </w:lvl>
  </w:abstractNum>
  <w:abstractNum w:abstractNumId="45">
    <w:multiLevelType w:val="hybridMultilevel"/>
    <w:lvl w:ilvl="0">
      <w:start w:val="1"/>
      <w:numFmt w:val="decimal"/>
      <w:lvlText w:val="（%1）"/>
      <w:lvlJc w:val="left"/>
      <w:pPr>
        <w:ind w:left="160"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1078" w:hanging="529"/>
      </w:pPr>
      <w:rPr>
        <w:rFonts w:hint="default"/>
        <w:lang w:val="zh-CN" w:eastAsia="zh-CN" w:bidi="zh-CN"/>
      </w:rPr>
    </w:lvl>
    <w:lvl w:ilvl="2">
      <w:start w:val="0"/>
      <w:numFmt w:val="bullet"/>
      <w:lvlText w:val="•"/>
      <w:lvlJc w:val="left"/>
      <w:pPr>
        <w:ind w:left="1997" w:hanging="529"/>
      </w:pPr>
      <w:rPr>
        <w:rFonts w:hint="default"/>
        <w:lang w:val="zh-CN" w:eastAsia="zh-CN" w:bidi="zh-CN"/>
      </w:rPr>
    </w:lvl>
    <w:lvl w:ilvl="3">
      <w:start w:val="0"/>
      <w:numFmt w:val="bullet"/>
      <w:lvlText w:val="•"/>
      <w:lvlJc w:val="left"/>
      <w:pPr>
        <w:ind w:left="2915" w:hanging="529"/>
      </w:pPr>
      <w:rPr>
        <w:rFonts w:hint="default"/>
        <w:lang w:val="zh-CN" w:eastAsia="zh-CN" w:bidi="zh-CN"/>
      </w:rPr>
    </w:lvl>
    <w:lvl w:ilvl="4">
      <w:start w:val="0"/>
      <w:numFmt w:val="bullet"/>
      <w:lvlText w:val="•"/>
      <w:lvlJc w:val="left"/>
      <w:pPr>
        <w:ind w:left="3834" w:hanging="529"/>
      </w:pPr>
      <w:rPr>
        <w:rFonts w:hint="default"/>
        <w:lang w:val="zh-CN" w:eastAsia="zh-CN" w:bidi="zh-CN"/>
      </w:rPr>
    </w:lvl>
    <w:lvl w:ilvl="5">
      <w:start w:val="0"/>
      <w:numFmt w:val="bullet"/>
      <w:lvlText w:val="•"/>
      <w:lvlJc w:val="left"/>
      <w:pPr>
        <w:ind w:left="4753" w:hanging="529"/>
      </w:pPr>
      <w:rPr>
        <w:rFonts w:hint="default"/>
        <w:lang w:val="zh-CN" w:eastAsia="zh-CN" w:bidi="zh-CN"/>
      </w:rPr>
    </w:lvl>
    <w:lvl w:ilvl="6">
      <w:start w:val="0"/>
      <w:numFmt w:val="bullet"/>
      <w:lvlText w:val="•"/>
      <w:lvlJc w:val="left"/>
      <w:pPr>
        <w:ind w:left="5671" w:hanging="529"/>
      </w:pPr>
      <w:rPr>
        <w:rFonts w:hint="default"/>
        <w:lang w:val="zh-CN" w:eastAsia="zh-CN" w:bidi="zh-CN"/>
      </w:rPr>
    </w:lvl>
    <w:lvl w:ilvl="7">
      <w:start w:val="0"/>
      <w:numFmt w:val="bullet"/>
      <w:lvlText w:val="•"/>
      <w:lvlJc w:val="left"/>
      <w:pPr>
        <w:ind w:left="6590" w:hanging="529"/>
      </w:pPr>
      <w:rPr>
        <w:rFonts w:hint="default"/>
        <w:lang w:val="zh-CN" w:eastAsia="zh-CN" w:bidi="zh-CN"/>
      </w:rPr>
    </w:lvl>
    <w:lvl w:ilvl="8">
      <w:start w:val="0"/>
      <w:numFmt w:val="bullet"/>
      <w:lvlText w:val="•"/>
      <w:lvlJc w:val="left"/>
      <w:pPr>
        <w:ind w:left="7509" w:hanging="529"/>
      </w:pPr>
      <w:rPr>
        <w:rFonts w:hint="default"/>
        <w:lang w:val="zh-CN" w:eastAsia="zh-CN" w:bidi="zh-CN"/>
      </w:rPr>
    </w:lvl>
  </w:abstractNum>
  <w:abstractNum w:abstractNumId="44">
    <w:multiLevelType w:val="hybridMultilevel"/>
    <w:lvl w:ilvl="0">
      <w:start w:val="1"/>
      <w:numFmt w:val="decimal"/>
      <w:lvlText w:val="（%1）"/>
      <w:lvlJc w:val="left"/>
      <w:pPr>
        <w:ind w:left="160" w:hanging="532"/>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078" w:hanging="532"/>
      </w:pPr>
      <w:rPr>
        <w:rFonts w:hint="default"/>
        <w:lang w:val="zh-CN" w:eastAsia="zh-CN" w:bidi="zh-CN"/>
      </w:rPr>
    </w:lvl>
    <w:lvl w:ilvl="2">
      <w:start w:val="0"/>
      <w:numFmt w:val="bullet"/>
      <w:lvlText w:val="•"/>
      <w:lvlJc w:val="left"/>
      <w:pPr>
        <w:ind w:left="1997" w:hanging="532"/>
      </w:pPr>
      <w:rPr>
        <w:rFonts w:hint="default"/>
        <w:lang w:val="zh-CN" w:eastAsia="zh-CN" w:bidi="zh-CN"/>
      </w:rPr>
    </w:lvl>
    <w:lvl w:ilvl="3">
      <w:start w:val="0"/>
      <w:numFmt w:val="bullet"/>
      <w:lvlText w:val="•"/>
      <w:lvlJc w:val="left"/>
      <w:pPr>
        <w:ind w:left="2915" w:hanging="532"/>
      </w:pPr>
      <w:rPr>
        <w:rFonts w:hint="default"/>
        <w:lang w:val="zh-CN" w:eastAsia="zh-CN" w:bidi="zh-CN"/>
      </w:rPr>
    </w:lvl>
    <w:lvl w:ilvl="4">
      <w:start w:val="0"/>
      <w:numFmt w:val="bullet"/>
      <w:lvlText w:val="•"/>
      <w:lvlJc w:val="left"/>
      <w:pPr>
        <w:ind w:left="3834" w:hanging="532"/>
      </w:pPr>
      <w:rPr>
        <w:rFonts w:hint="default"/>
        <w:lang w:val="zh-CN" w:eastAsia="zh-CN" w:bidi="zh-CN"/>
      </w:rPr>
    </w:lvl>
    <w:lvl w:ilvl="5">
      <w:start w:val="0"/>
      <w:numFmt w:val="bullet"/>
      <w:lvlText w:val="•"/>
      <w:lvlJc w:val="left"/>
      <w:pPr>
        <w:ind w:left="4753" w:hanging="532"/>
      </w:pPr>
      <w:rPr>
        <w:rFonts w:hint="default"/>
        <w:lang w:val="zh-CN" w:eastAsia="zh-CN" w:bidi="zh-CN"/>
      </w:rPr>
    </w:lvl>
    <w:lvl w:ilvl="6">
      <w:start w:val="0"/>
      <w:numFmt w:val="bullet"/>
      <w:lvlText w:val="•"/>
      <w:lvlJc w:val="left"/>
      <w:pPr>
        <w:ind w:left="5671" w:hanging="532"/>
      </w:pPr>
      <w:rPr>
        <w:rFonts w:hint="default"/>
        <w:lang w:val="zh-CN" w:eastAsia="zh-CN" w:bidi="zh-CN"/>
      </w:rPr>
    </w:lvl>
    <w:lvl w:ilvl="7">
      <w:start w:val="0"/>
      <w:numFmt w:val="bullet"/>
      <w:lvlText w:val="•"/>
      <w:lvlJc w:val="left"/>
      <w:pPr>
        <w:ind w:left="6590" w:hanging="532"/>
      </w:pPr>
      <w:rPr>
        <w:rFonts w:hint="default"/>
        <w:lang w:val="zh-CN" w:eastAsia="zh-CN" w:bidi="zh-CN"/>
      </w:rPr>
    </w:lvl>
    <w:lvl w:ilvl="8">
      <w:start w:val="0"/>
      <w:numFmt w:val="bullet"/>
      <w:lvlText w:val="•"/>
      <w:lvlJc w:val="left"/>
      <w:pPr>
        <w:ind w:left="7509" w:hanging="532"/>
      </w:pPr>
      <w:rPr>
        <w:rFonts w:hint="default"/>
        <w:lang w:val="zh-CN" w:eastAsia="zh-CN" w:bidi="zh-CN"/>
      </w:rPr>
    </w:lvl>
  </w:abstractNum>
  <w:abstractNum w:abstractNumId="42">
    <w:multiLevelType w:val="hybridMultilevel"/>
    <w:lvl w:ilvl="0">
      <w:start w:val="1"/>
      <w:numFmt w:val="decimal"/>
      <w:lvlText w:val="（%1）"/>
      <w:lvlJc w:val="left"/>
      <w:pPr>
        <w:ind w:left="110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1924" w:hanging="529"/>
      </w:pPr>
      <w:rPr>
        <w:rFonts w:hint="default"/>
        <w:lang w:val="zh-CN" w:eastAsia="zh-CN" w:bidi="zh-CN"/>
      </w:rPr>
    </w:lvl>
    <w:lvl w:ilvl="2">
      <w:start w:val="0"/>
      <w:numFmt w:val="bullet"/>
      <w:lvlText w:val="•"/>
      <w:lvlJc w:val="left"/>
      <w:pPr>
        <w:ind w:left="2749" w:hanging="529"/>
      </w:pPr>
      <w:rPr>
        <w:rFonts w:hint="default"/>
        <w:lang w:val="zh-CN" w:eastAsia="zh-CN" w:bidi="zh-CN"/>
      </w:rPr>
    </w:lvl>
    <w:lvl w:ilvl="3">
      <w:start w:val="0"/>
      <w:numFmt w:val="bullet"/>
      <w:lvlText w:val="•"/>
      <w:lvlJc w:val="left"/>
      <w:pPr>
        <w:ind w:left="3573" w:hanging="529"/>
      </w:pPr>
      <w:rPr>
        <w:rFonts w:hint="default"/>
        <w:lang w:val="zh-CN" w:eastAsia="zh-CN" w:bidi="zh-CN"/>
      </w:rPr>
    </w:lvl>
    <w:lvl w:ilvl="4">
      <w:start w:val="0"/>
      <w:numFmt w:val="bullet"/>
      <w:lvlText w:val="•"/>
      <w:lvlJc w:val="left"/>
      <w:pPr>
        <w:ind w:left="4398" w:hanging="529"/>
      </w:pPr>
      <w:rPr>
        <w:rFonts w:hint="default"/>
        <w:lang w:val="zh-CN" w:eastAsia="zh-CN" w:bidi="zh-CN"/>
      </w:rPr>
    </w:lvl>
    <w:lvl w:ilvl="5">
      <w:start w:val="0"/>
      <w:numFmt w:val="bullet"/>
      <w:lvlText w:val="•"/>
      <w:lvlJc w:val="left"/>
      <w:pPr>
        <w:ind w:left="5223" w:hanging="529"/>
      </w:pPr>
      <w:rPr>
        <w:rFonts w:hint="default"/>
        <w:lang w:val="zh-CN" w:eastAsia="zh-CN" w:bidi="zh-CN"/>
      </w:rPr>
    </w:lvl>
    <w:lvl w:ilvl="6">
      <w:start w:val="0"/>
      <w:numFmt w:val="bullet"/>
      <w:lvlText w:val="•"/>
      <w:lvlJc w:val="left"/>
      <w:pPr>
        <w:ind w:left="6047" w:hanging="529"/>
      </w:pPr>
      <w:rPr>
        <w:rFonts w:hint="default"/>
        <w:lang w:val="zh-CN" w:eastAsia="zh-CN" w:bidi="zh-CN"/>
      </w:rPr>
    </w:lvl>
    <w:lvl w:ilvl="7">
      <w:start w:val="0"/>
      <w:numFmt w:val="bullet"/>
      <w:lvlText w:val="•"/>
      <w:lvlJc w:val="left"/>
      <w:pPr>
        <w:ind w:left="6872" w:hanging="529"/>
      </w:pPr>
      <w:rPr>
        <w:rFonts w:hint="default"/>
        <w:lang w:val="zh-CN" w:eastAsia="zh-CN" w:bidi="zh-CN"/>
      </w:rPr>
    </w:lvl>
    <w:lvl w:ilvl="8">
      <w:start w:val="0"/>
      <w:numFmt w:val="bullet"/>
      <w:lvlText w:val="•"/>
      <w:lvlJc w:val="left"/>
      <w:pPr>
        <w:ind w:left="7697" w:hanging="529"/>
      </w:pPr>
      <w:rPr>
        <w:rFonts w:hint="default"/>
        <w:lang w:val="zh-CN" w:eastAsia="zh-CN" w:bidi="zh-CN"/>
      </w:rPr>
    </w:lvl>
  </w:abstractNum>
  <w:abstractNum w:abstractNumId="41">
    <w:multiLevelType w:val="hybridMultilevel"/>
    <w:lvl w:ilvl="0">
      <w:start w:val="1"/>
      <w:numFmt w:val="decimal"/>
      <w:lvlText w:val="（%1）"/>
      <w:lvlJc w:val="left"/>
      <w:pPr>
        <w:ind w:left="110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1924" w:hanging="529"/>
      </w:pPr>
      <w:rPr>
        <w:rFonts w:hint="default"/>
        <w:lang w:val="zh-CN" w:eastAsia="zh-CN" w:bidi="zh-CN"/>
      </w:rPr>
    </w:lvl>
    <w:lvl w:ilvl="2">
      <w:start w:val="0"/>
      <w:numFmt w:val="bullet"/>
      <w:lvlText w:val="•"/>
      <w:lvlJc w:val="left"/>
      <w:pPr>
        <w:ind w:left="2749" w:hanging="529"/>
      </w:pPr>
      <w:rPr>
        <w:rFonts w:hint="default"/>
        <w:lang w:val="zh-CN" w:eastAsia="zh-CN" w:bidi="zh-CN"/>
      </w:rPr>
    </w:lvl>
    <w:lvl w:ilvl="3">
      <w:start w:val="0"/>
      <w:numFmt w:val="bullet"/>
      <w:lvlText w:val="•"/>
      <w:lvlJc w:val="left"/>
      <w:pPr>
        <w:ind w:left="3573" w:hanging="529"/>
      </w:pPr>
      <w:rPr>
        <w:rFonts w:hint="default"/>
        <w:lang w:val="zh-CN" w:eastAsia="zh-CN" w:bidi="zh-CN"/>
      </w:rPr>
    </w:lvl>
    <w:lvl w:ilvl="4">
      <w:start w:val="0"/>
      <w:numFmt w:val="bullet"/>
      <w:lvlText w:val="•"/>
      <w:lvlJc w:val="left"/>
      <w:pPr>
        <w:ind w:left="4398" w:hanging="529"/>
      </w:pPr>
      <w:rPr>
        <w:rFonts w:hint="default"/>
        <w:lang w:val="zh-CN" w:eastAsia="zh-CN" w:bidi="zh-CN"/>
      </w:rPr>
    </w:lvl>
    <w:lvl w:ilvl="5">
      <w:start w:val="0"/>
      <w:numFmt w:val="bullet"/>
      <w:lvlText w:val="•"/>
      <w:lvlJc w:val="left"/>
      <w:pPr>
        <w:ind w:left="5223" w:hanging="529"/>
      </w:pPr>
      <w:rPr>
        <w:rFonts w:hint="default"/>
        <w:lang w:val="zh-CN" w:eastAsia="zh-CN" w:bidi="zh-CN"/>
      </w:rPr>
    </w:lvl>
    <w:lvl w:ilvl="6">
      <w:start w:val="0"/>
      <w:numFmt w:val="bullet"/>
      <w:lvlText w:val="•"/>
      <w:lvlJc w:val="left"/>
      <w:pPr>
        <w:ind w:left="6047" w:hanging="529"/>
      </w:pPr>
      <w:rPr>
        <w:rFonts w:hint="default"/>
        <w:lang w:val="zh-CN" w:eastAsia="zh-CN" w:bidi="zh-CN"/>
      </w:rPr>
    </w:lvl>
    <w:lvl w:ilvl="7">
      <w:start w:val="0"/>
      <w:numFmt w:val="bullet"/>
      <w:lvlText w:val="•"/>
      <w:lvlJc w:val="left"/>
      <w:pPr>
        <w:ind w:left="6872" w:hanging="529"/>
      </w:pPr>
      <w:rPr>
        <w:rFonts w:hint="default"/>
        <w:lang w:val="zh-CN" w:eastAsia="zh-CN" w:bidi="zh-CN"/>
      </w:rPr>
    </w:lvl>
    <w:lvl w:ilvl="8">
      <w:start w:val="0"/>
      <w:numFmt w:val="bullet"/>
      <w:lvlText w:val="•"/>
      <w:lvlJc w:val="left"/>
      <w:pPr>
        <w:ind w:left="7697" w:hanging="529"/>
      </w:pPr>
      <w:rPr>
        <w:rFonts w:hint="default"/>
        <w:lang w:val="zh-CN" w:eastAsia="zh-CN" w:bidi="zh-CN"/>
      </w:rPr>
    </w:lvl>
  </w:abstractNum>
  <w:abstractNum w:abstractNumId="40">
    <w:multiLevelType w:val="hybridMultilevel"/>
    <w:lvl w:ilvl="0">
      <w:start w:val="1"/>
      <w:numFmt w:val="decimal"/>
      <w:lvlText w:val="（%1）"/>
      <w:lvlJc w:val="left"/>
      <w:pPr>
        <w:ind w:left="110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1924" w:hanging="529"/>
      </w:pPr>
      <w:rPr>
        <w:rFonts w:hint="default"/>
        <w:lang w:val="zh-CN" w:eastAsia="zh-CN" w:bidi="zh-CN"/>
      </w:rPr>
    </w:lvl>
    <w:lvl w:ilvl="2">
      <w:start w:val="0"/>
      <w:numFmt w:val="bullet"/>
      <w:lvlText w:val="•"/>
      <w:lvlJc w:val="left"/>
      <w:pPr>
        <w:ind w:left="2749" w:hanging="529"/>
      </w:pPr>
      <w:rPr>
        <w:rFonts w:hint="default"/>
        <w:lang w:val="zh-CN" w:eastAsia="zh-CN" w:bidi="zh-CN"/>
      </w:rPr>
    </w:lvl>
    <w:lvl w:ilvl="3">
      <w:start w:val="0"/>
      <w:numFmt w:val="bullet"/>
      <w:lvlText w:val="•"/>
      <w:lvlJc w:val="left"/>
      <w:pPr>
        <w:ind w:left="3573" w:hanging="529"/>
      </w:pPr>
      <w:rPr>
        <w:rFonts w:hint="default"/>
        <w:lang w:val="zh-CN" w:eastAsia="zh-CN" w:bidi="zh-CN"/>
      </w:rPr>
    </w:lvl>
    <w:lvl w:ilvl="4">
      <w:start w:val="0"/>
      <w:numFmt w:val="bullet"/>
      <w:lvlText w:val="•"/>
      <w:lvlJc w:val="left"/>
      <w:pPr>
        <w:ind w:left="4398" w:hanging="529"/>
      </w:pPr>
      <w:rPr>
        <w:rFonts w:hint="default"/>
        <w:lang w:val="zh-CN" w:eastAsia="zh-CN" w:bidi="zh-CN"/>
      </w:rPr>
    </w:lvl>
    <w:lvl w:ilvl="5">
      <w:start w:val="0"/>
      <w:numFmt w:val="bullet"/>
      <w:lvlText w:val="•"/>
      <w:lvlJc w:val="left"/>
      <w:pPr>
        <w:ind w:left="5223" w:hanging="529"/>
      </w:pPr>
      <w:rPr>
        <w:rFonts w:hint="default"/>
        <w:lang w:val="zh-CN" w:eastAsia="zh-CN" w:bidi="zh-CN"/>
      </w:rPr>
    </w:lvl>
    <w:lvl w:ilvl="6">
      <w:start w:val="0"/>
      <w:numFmt w:val="bullet"/>
      <w:lvlText w:val="•"/>
      <w:lvlJc w:val="left"/>
      <w:pPr>
        <w:ind w:left="6047" w:hanging="529"/>
      </w:pPr>
      <w:rPr>
        <w:rFonts w:hint="default"/>
        <w:lang w:val="zh-CN" w:eastAsia="zh-CN" w:bidi="zh-CN"/>
      </w:rPr>
    </w:lvl>
    <w:lvl w:ilvl="7">
      <w:start w:val="0"/>
      <w:numFmt w:val="bullet"/>
      <w:lvlText w:val="•"/>
      <w:lvlJc w:val="left"/>
      <w:pPr>
        <w:ind w:left="6872" w:hanging="529"/>
      </w:pPr>
      <w:rPr>
        <w:rFonts w:hint="default"/>
        <w:lang w:val="zh-CN" w:eastAsia="zh-CN" w:bidi="zh-CN"/>
      </w:rPr>
    </w:lvl>
    <w:lvl w:ilvl="8">
      <w:start w:val="0"/>
      <w:numFmt w:val="bullet"/>
      <w:lvlText w:val="•"/>
      <w:lvlJc w:val="left"/>
      <w:pPr>
        <w:ind w:left="7697" w:hanging="529"/>
      </w:pPr>
      <w:rPr>
        <w:rFonts w:hint="default"/>
        <w:lang w:val="zh-CN" w:eastAsia="zh-CN" w:bidi="zh-CN"/>
      </w:rPr>
    </w:lvl>
  </w:abstractNum>
  <w:abstractNum w:abstractNumId="39">
    <w:multiLevelType w:val="hybridMultilevel"/>
    <w:lvl w:ilvl="0">
      <w:start w:val="1"/>
      <w:numFmt w:val="decimal"/>
      <w:lvlText w:val="（%1）"/>
      <w:lvlJc w:val="left"/>
      <w:pPr>
        <w:ind w:left="110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1924" w:hanging="529"/>
      </w:pPr>
      <w:rPr>
        <w:rFonts w:hint="default"/>
        <w:lang w:val="zh-CN" w:eastAsia="zh-CN" w:bidi="zh-CN"/>
      </w:rPr>
    </w:lvl>
    <w:lvl w:ilvl="2">
      <w:start w:val="0"/>
      <w:numFmt w:val="bullet"/>
      <w:lvlText w:val="•"/>
      <w:lvlJc w:val="left"/>
      <w:pPr>
        <w:ind w:left="2749" w:hanging="529"/>
      </w:pPr>
      <w:rPr>
        <w:rFonts w:hint="default"/>
        <w:lang w:val="zh-CN" w:eastAsia="zh-CN" w:bidi="zh-CN"/>
      </w:rPr>
    </w:lvl>
    <w:lvl w:ilvl="3">
      <w:start w:val="0"/>
      <w:numFmt w:val="bullet"/>
      <w:lvlText w:val="•"/>
      <w:lvlJc w:val="left"/>
      <w:pPr>
        <w:ind w:left="3573" w:hanging="529"/>
      </w:pPr>
      <w:rPr>
        <w:rFonts w:hint="default"/>
        <w:lang w:val="zh-CN" w:eastAsia="zh-CN" w:bidi="zh-CN"/>
      </w:rPr>
    </w:lvl>
    <w:lvl w:ilvl="4">
      <w:start w:val="0"/>
      <w:numFmt w:val="bullet"/>
      <w:lvlText w:val="•"/>
      <w:lvlJc w:val="left"/>
      <w:pPr>
        <w:ind w:left="4398" w:hanging="529"/>
      </w:pPr>
      <w:rPr>
        <w:rFonts w:hint="default"/>
        <w:lang w:val="zh-CN" w:eastAsia="zh-CN" w:bidi="zh-CN"/>
      </w:rPr>
    </w:lvl>
    <w:lvl w:ilvl="5">
      <w:start w:val="0"/>
      <w:numFmt w:val="bullet"/>
      <w:lvlText w:val="•"/>
      <w:lvlJc w:val="left"/>
      <w:pPr>
        <w:ind w:left="5223" w:hanging="529"/>
      </w:pPr>
      <w:rPr>
        <w:rFonts w:hint="default"/>
        <w:lang w:val="zh-CN" w:eastAsia="zh-CN" w:bidi="zh-CN"/>
      </w:rPr>
    </w:lvl>
    <w:lvl w:ilvl="6">
      <w:start w:val="0"/>
      <w:numFmt w:val="bullet"/>
      <w:lvlText w:val="•"/>
      <w:lvlJc w:val="left"/>
      <w:pPr>
        <w:ind w:left="6047" w:hanging="529"/>
      </w:pPr>
      <w:rPr>
        <w:rFonts w:hint="default"/>
        <w:lang w:val="zh-CN" w:eastAsia="zh-CN" w:bidi="zh-CN"/>
      </w:rPr>
    </w:lvl>
    <w:lvl w:ilvl="7">
      <w:start w:val="0"/>
      <w:numFmt w:val="bullet"/>
      <w:lvlText w:val="•"/>
      <w:lvlJc w:val="left"/>
      <w:pPr>
        <w:ind w:left="6872" w:hanging="529"/>
      </w:pPr>
      <w:rPr>
        <w:rFonts w:hint="default"/>
        <w:lang w:val="zh-CN" w:eastAsia="zh-CN" w:bidi="zh-CN"/>
      </w:rPr>
    </w:lvl>
    <w:lvl w:ilvl="8">
      <w:start w:val="0"/>
      <w:numFmt w:val="bullet"/>
      <w:lvlText w:val="•"/>
      <w:lvlJc w:val="left"/>
      <w:pPr>
        <w:ind w:left="7697" w:hanging="529"/>
      </w:pPr>
      <w:rPr>
        <w:rFonts w:hint="default"/>
        <w:lang w:val="zh-CN" w:eastAsia="zh-CN" w:bidi="zh-CN"/>
      </w:rPr>
    </w:lvl>
  </w:abstractNum>
  <w:abstractNum w:abstractNumId="38">
    <w:multiLevelType w:val="hybridMultilevel"/>
    <w:lvl w:ilvl="0">
      <w:start w:val="1"/>
      <w:numFmt w:val="decimal"/>
      <w:lvlText w:val="（%1）"/>
      <w:lvlJc w:val="left"/>
      <w:pPr>
        <w:ind w:left="110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1924" w:hanging="529"/>
      </w:pPr>
      <w:rPr>
        <w:rFonts w:hint="default"/>
        <w:lang w:val="zh-CN" w:eastAsia="zh-CN" w:bidi="zh-CN"/>
      </w:rPr>
    </w:lvl>
    <w:lvl w:ilvl="2">
      <w:start w:val="0"/>
      <w:numFmt w:val="bullet"/>
      <w:lvlText w:val="•"/>
      <w:lvlJc w:val="left"/>
      <w:pPr>
        <w:ind w:left="2749" w:hanging="529"/>
      </w:pPr>
      <w:rPr>
        <w:rFonts w:hint="default"/>
        <w:lang w:val="zh-CN" w:eastAsia="zh-CN" w:bidi="zh-CN"/>
      </w:rPr>
    </w:lvl>
    <w:lvl w:ilvl="3">
      <w:start w:val="0"/>
      <w:numFmt w:val="bullet"/>
      <w:lvlText w:val="•"/>
      <w:lvlJc w:val="left"/>
      <w:pPr>
        <w:ind w:left="3573" w:hanging="529"/>
      </w:pPr>
      <w:rPr>
        <w:rFonts w:hint="default"/>
        <w:lang w:val="zh-CN" w:eastAsia="zh-CN" w:bidi="zh-CN"/>
      </w:rPr>
    </w:lvl>
    <w:lvl w:ilvl="4">
      <w:start w:val="0"/>
      <w:numFmt w:val="bullet"/>
      <w:lvlText w:val="•"/>
      <w:lvlJc w:val="left"/>
      <w:pPr>
        <w:ind w:left="4398" w:hanging="529"/>
      </w:pPr>
      <w:rPr>
        <w:rFonts w:hint="default"/>
        <w:lang w:val="zh-CN" w:eastAsia="zh-CN" w:bidi="zh-CN"/>
      </w:rPr>
    </w:lvl>
    <w:lvl w:ilvl="5">
      <w:start w:val="0"/>
      <w:numFmt w:val="bullet"/>
      <w:lvlText w:val="•"/>
      <w:lvlJc w:val="left"/>
      <w:pPr>
        <w:ind w:left="5223" w:hanging="529"/>
      </w:pPr>
      <w:rPr>
        <w:rFonts w:hint="default"/>
        <w:lang w:val="zh-CN" w:eastAsia="zh-CN" w:bidi="zh-CN"/>
      </w:rPr>
    </w:lvl>
    <w:lvl w:ilvl="6">
      <w:start w:val="0"/>
      <w:numFmt w:val="bullet"/>
      <w:lvlText w:val="•"/>
      <w:lvlJc w:val="left"/>
      <w:pPr>
        <w:ind w:left="6047" w:hanging="529"/>
      </w:pPr>
      <w:rPr>
        <w:rFonts w:hint="default"/>
        <w:lang w:val="zh-CN" w:eastAsia="zh-CN" w:bidi="zh-CN"/>
      </w:rPr>
    </w:lvl>
    <w:lvl w:ilvl="7">
      <w:start w:val="0"/>
      <w:numFmt w:val="bullet"/>
      <w:lvlText w:val="•"/>
      <w:lvlJc w:val="left"/>
      <w:pPr>
        <w:ind w:left="6872" w:hanging="529"/>
      </w:pPr>
      <w:rPr>
        <w:rFonts w:hint="default"/>
        <w:lang w:val="zh-CN" w:eastAsia="zh-CN" w:bidi="zh-CN"/>
      </w:rPr>
    </w:lvl>
    <w:lvl w:ilvl="8">
      <w:start w:val="0"/>
      <w:numFmt w:val="bullet"/>
      <w:lvlText w:val="•"/>
      <w:lvlJc w:val="left"/>
      <w:pPr>
        <w:ind w:left="7697" w:hanging="529"/>
      </w:pPr>
      <w:rPr>
        <w:rFonts w:hint="default"/>
        <w:lang w:val="zh-CN" w:eastAsia="zh-CN" w:bidi="zh-CN"/>
      </w:rPr>
    </w:lvl>
  </w:abstractNum>
  <w:abstractNum w:abstractNumId="37">
    <w:multiLevelType w:val="hybridMultilevel"/>
    <w:lvl w:ilvl="0">
      <w:start w:val="1"/>
      <w:numFmt w:val="decimal"/>
      <w:lvlText w:val="（%1）"/>
      <w:lvlJc w:val="left"/>
      <w:pPr>
        <w:ind w:left="160" w:hanging="532"/>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078" w:hanging="532"/>
      </w:pPr>
      <w:rPr>
        <w:rFonts w:hint="default"/>
        <w:lang w:val="zh-CN" w:eastAsia="zh-CN" w:bidi="zh-CN"/>
      </w:rPr>
    </w:lvl>
    <w:lvl w:ilvl="2">
      <w:start w:val="0"/>
      <w:numFmt w:val="bullet"/>
      <w:lvlText w:val="•"/>
      <w:lvlJc w:val="left"/>
      <w:pPr>
        <w:ind w:left="1997" w:hanging="532"/>
      </w:pPr>
      <w:rPr>
        <w:rFonts w:hint="default"/>
        <w:lang w:val="zh-CN" w:eastAsia="zh-CN" w:bidi="zh-CN"/>
      </w:rPr>
    </w:lvl>
    <w:lvl w:ilvl="3">
      <w:start w:val="0"/>
      <w:numFmt w:val="bullet"/>
      <w:lvlText w:val="•"/>
      <w:lvlJc w:val="left"/>
      <w:pPr>
        <w:ind w:left="2915" w:hanging="532"/>
      </w:pPr>
      <w:rPr>
        <w:rFonts w:hint="default"/>
        <w:lang w:val="zh-CN" w:eastAsia="zh-CN" w:bidi="zh-CN"/>
      </w:rPr>
    </w:lvl>
    <w:lvl w:ilvl="4">
      <w:start w:val="0"/>
      <w:numFmt w:val="bullet"/>
      <w:lvlText w:val="•"/>
      <w:lvlJc w:val="left"/>
      <w:pPr>
        <w:ind w:left="3834" w:hanging="532"/>
      </w:pPr>
      <w:rPr>
        <w:rFonts w:hint="default"/>
        <w:lang w:val="zh-CN" w:eastAsia="zh-CN" w:bidi="zh-CN"/>
      </w:rPr>
    </w:lvl>
    <w:lvl w:ilvl="5">
      <w:start w:val="0"/>
      <w:numFmt w:val="bullet"/>
      <w:lvlText w:val="•"/>
      <w:lvlJc w:val="left"/>
      <w:pPr>
        <w:ind w:left="4753" w:hanging="532"/>
      </w:pPr>
      <w:rPr>
        <w:rFonts w:hint="default"/>
        <w:lang w:val="zh-CN" w:eastAsia="zh-CN" w:bidi="zh-CN"/>
      </w:rPr>
    </w:lvl>
    <w:lvl w:ilvl="6">
      <w:start w:val="0"/>
      <w:numFmt w:val="bullet"/>
      <w:lvlText w:val="•"/>
      <w:lvlJc w:val="left"/>
      <w:pPr>
        <w:ind w:left="5671" w:hanging="532"/>
      </w:pPr>
      <w:rPr>
        <w:rFonts w:hint="default"/>
        <w:lang w:val="zh-CN" w:eastAsia="zh-CN" w:bidi="zh-CN"/>
      </w:rPr>
    </w:lvl>
    <w:lvl w:ilvl="7">
      <w:start w:val="0"/>
      <w:numFmt w:val="bullet"/>
      <w:lvlText w:val="•"/>
      <w:lvlJc w:val="left"/>
      <w:pPr>
        <w:ind w:left="6590" w:hanging="532"/>
      </w:pPr>
      <w:rPr>
        <w:rFonts w:hint="default"/>
        <w:lang w:val="zh-CN" w:eastAsia="zh-CN" w:bidi="zh-CN"/>
      </w:rPr>
    </w:lvl>
    <w:lvl w:ilvl="8">
      <w:start w:val="0"/>
      <w:numFmt w:val="bullet"/>
      <w:lvlText w:val="•"/>
      <w:lvlJc w:val="left"/>
      <w:pPr>
        <w:ind w:left="7509" w:hanging="532"/>
      </w:pPr>
      <w:rPr>
        <w:rFonts w:hint="default"/>
        <w:lang w:val="zh-CN" w:eastAsia="zh-CN" w:bidi="zh-CN"/>
      </w:rPr>
    </w:lvl>
  </w:abstractNum>
  <w:abstractNum w:abstractNumId="36">
    <w:multiLevelType w:val="hybridMultilevel"/>
    <w:lvl w:ilvl="0">
      <w:start w:val="1"/>
      <w:numFmt w:val="decimal"/>
      <w:lvlText w:val="（%1）"/>
      <w:lvlJc w:val="left"/>
      <w:pPr>
        <w:ind w:left="160" w:hanging="532"/>
        <w:jc w:val="right"/>
      </w:pPr>
      <w:rPr>
        <w:rFonts w:hint="default" w:ascii="宋体" w:hAnsi="宋体" w:eastAsia="宋体" w:cs="宋体"/>
        <w:spacing w:val="-3"/>
        <w:w w:val="100"/>
        <w:sz w:val="19"/>
        <w:szCs w:val="19"/>
        <w:lang w:val="zh-CN" w:eastAsia="zh-CN" w:bidi="zh-CN"/>
      </w:rPr>
    </w:lvl>
    <w:lvl w:ilvl="1">
      <w:start w:val="0"/>
      <w:numFmt w:val="bullet"/>
      <w:lvlText w:val="•"/>
      <w:lvlJc w:val="left"/>
      <w:pPr>
        <w:ind w:left="1078" w:hanging="532"/>
      </w:pPr>
      <w:rPr>
        <w:rFonts w:hint="default"/>
        <w:lang w:val="zh-CN" w:eastAsia="zh-CN" w:bidi="zh-CN"/>
      </w:rPr>
    </w:lvl>
    <w:lvl w:ilvl="2">
      <w:start w:val="0"/>
      <w:numFmt w:val="bullet"/>
      <w:lvlText w:val="•"/>
      <w:lvlJc w:val="left"/>
      <w:pPr>
        <w:ind w:left="1997" w:hanging="532"/>
      </w:pPr>
      <w:rPr>
        <w:rFonts w:hint="default"/>
        <w:lang w:val="zh-CN" w:eastAsia="zh-CN" w:bidi="zh-CN"/>
      </w:rPr>
    </w:lvl>
    <w:lvl w:ilvl="3">
      <w:start w:val="0"/>
      <w:numFmt w:val="bullet"/>
      <w:lvlText w:val="•"/>
      <w:lvlJc w:val="left"/>
      <w:pPr>
        <w:ind w:left="2915" w:hanging="532"/>
      </w:pPr>
      <w:rPr>
        <w:rFonts w:hint="default"/>
        <w:lang w:val="zh-CN" w:eastAsia="zh-CN" w:bidi="zh-CN"/>
      </w:rPr>
    </w:lvl>
    <w:lvl w:ilvl="4">
      <w:start w:val="0"/>
      <w:numFmt w:val="bullet"/>
      <w:lvlText w:val="•"/>
      <w:lvlJc w:val="left"/>
      <w:pPr>
        <w:ind w:left="3834" w:hanging="532"/>
      </w:pPr>
      <w:rPr>
        <w:rFonts w:hint="default"/>
        <w:lang w:val="zh-CN" w:eastAsia="zh-CN" w:bidi="zh-CN"/>
      </w:rPr>
    </w:lvl>
    <w:lvl w:ilvl="5">
      <w:start w:val="0"/>
      <w:numFmt w:val="bullet"/>
      <w:lvlText w:val="•"/>
      <w:lvlJc w:val="left"/>
      <w:pPr>
        <w:ind w:left="4753" w:hanging="532"/>
      </w:pPr>
      <w:rPr>
        <w:rFonts w:hint="default"/>
        <w:lang w:val="zh-CN" w:eastAsia="zh-CN" w:bidi="zh-CN"/>
      </w:rPr>
    </w:lvl>
    <w:lvl w:ilvl="6">
      <w:start w:val="0"/>
      <w:numFmt w:val="bullet"/>
      <w:lvlText w:val="•"/>
      <w:lvlJc w:val="left"/>
      <w:pPr>
        <w:ind w:left="5671" w:hanging="532"/>
      </w:pPr>
      <w:rPr>
        <w:rFonts w:hint="default"/>
        <w:lang w:val="zh-CN" w:eastAsia="zh-CN" w:bidi="zh-CN"/>
      </w:rPr>
    </w:lvl>
    <w:lvl w:ilvl="7">
      <w:start w:val="0"/>
      <w:numFmt w:val="bullet"/>
      <w:lvlText w:val="•"/>
      <w:lvlJc w:val="left"/>
      <w:pPr>
        <w:ind w:left="6590" w:hanging="532"/>
      </w:pPr>
      <w:rPr>
        <w:rFonts w:hint="default"/>
        <w:lang w:val="zh-CN" w:eastAsia="zh-CN" w:bidi="zh-CN"/>
      </w:rPr>
    </w:lvl>
    <w:lvl w:ilvl="8">
      <w:start w:val="0"/>
      <w:numFmt w:val="bullet"/>
      <w:lvlText w:val="•"/>
      <w:lvlJc w:val="left"/>
      <w:pPr>
        <w:ind w:left="7509" w:hanging="532"/>
      </w:pPr>
      <w:rPr>
        <w:rFonts w:hint="default"/>
        <w:lang w:val="zh-CN" w:eastAsia="zh-CN" w:bidi="zh-CN"/>
      </w:rPr>
    </w:lvl>
  </w:abstractNum>
  <w:abstractNum w:abstractNumId="35">
    <w:multiLevelType w:val="hybridMultilevel"/>
    <w:lvl w:ilvl="0">
      <w:start w:val="1"/>
      <w:numFmt w:val="decimal"/>
      <w:lvlText w:val="（%1）"/>
      <w:lvlJc w:val="left"/>
      <w:pPr>
        <w:ind w:left="110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1924" w:hanging="529"/>
      </w:pPr>
      <w:rPr>
        <w:rFonts w:hint="default"/>
        <w:lang w:val="zh-CN" w:eastAsia="zh-CN" w:bidi="zh-CN"/>
      </w:rPr>
    </w:lvl>
    <w:lvl w:ilvl="2">
      <w:start w:val="0"/>
      <w:numFmt w:val="bullet"/>
      <w:lvlText w:val="•"/>
      <w:lvlJc w:val="left"/>
      <w:pPr>
        <w:ind w:left="2749" w:hanging="529"/>
      </w:pPr>
      <w:rPr>
        <w:rFonts w:hint="default"/>
        <w:lang w:val="zh-CN" w:eastAsia="zh-CN" w:bidi="zh-CN"/>
      </w:rPr>
    </w:lvl>
    <w:lvl w:ilvl="3">
      <w:start w:val="0"/>
      <w:numFmt w:val="bullet"/>
      <w:lvlText w:val="•"/>
      <w:lvlJc w:val="left"/>
      <w:pPr>
        <w:ind w:left="3573" w:hanging="529"/>
      </w:pPr>
      <w:rPr>
        <w:rFonts w:hint="default"/>
        <w:lang w:val="zh-CN" w:eastAsia="zh-CN" w:bidi="zh-CN"/>
      </w:rPr>
    </w:lvl>
    <w:lvl w:ilvl="4">
      <w:start w:val="0"/>
      <w:numFmt w:val="bullet"/>
      <w:lvlText w:val="•"/>
      <w:lvlJc w:val="left"/>
      <w:pPr>
        <w:ind w:left="4398" w:hanging="529"/>
      </w:pPr>
      <w:rPr>
        <w:rFonts w:hint="default"/>
        <w:lang w:val="zh-CN" w:eastAsia="zh-CN" w:bidi="zh-CN"/>
      </w:rPr>
    </w:lvl>
    <w:lvl w:ilvl="5">
      <w:start w:val="0"/>
      <w:numFmt w:val="bullet"/>
      <w:lvlText w:val="•"/>
      <w:lvlJc w:val="left"/>
      <w:pPr>
        <w:ind w:left="5223" w:hanging="529"/>
      </w:pPr>
      <w:rPr>
        <w:rFonts w:hint="default"/>
        <w:lang w:val="zh-CN" w:eastAsia="zh-CN" w:bidi="zh-CN"/>
      </w:rPr>
    </w:lvl>
    <w:lvl w:ilvl="6">
      <w:start w:val="0"/>
      <w:numFmt w:val="bullet"/>
      <w:lvlText w:val="•"/>
      <w:lvlJc w:val="left"/>
      <w:pPr>
        <w:ind w:left="6047" w:hanging="529"/>
      </w:pPr>
      <w:rPr>
        <w:rFonts w:hint="default"/>
        <w:lang w:val="zh-CN" w:eastAsia="zh-CN" w:bidi="zh-CN"/>
      </w:rPr>
    </w:lvl>
    <w:lvl w:ilvl="7">
      <w:start w:val="0"/>
      <w:numFmt w:val="bullet"/>
      <w:lvlText w:val="•"/>
      <w:lvlJc w:val="left"/>
      <w:pPr>
        <w:ind w:left="6872" w:hanging="529"/>
      </w:pPr>
      <w:rPr>
        <w:rFonts w:hint="default"/>
        <w:lang w:val="zh-CN" w:eastAsia="zh-CN" w:bidi="zh-CN"/>
      </w:rPr>
    </w:lvl>
    <w:lvl w:ilvl="8">
      <w:start w:val="0"/>
      <w:numFmt w:val="bullet"/>
      <w:lvlText w:val="•"/>
      <w:lvlJc w:val="left"/>
      <w:pPr>
        <w:ind w:left="7697" w:hanging="529"/>
      </w:pPr>
      <w:rPr>
        <w:rFonts w:hint="default"/>
        <w:lang w:val="zh-CN" w:eastAsia="zh-CN" w:bidi="zh-CN"/>
      </w:rPr>
    </w:lvl>
  </w:abstractNum>
  <w:abstractNum w:abstractNumId="34">
    <w:multiLevelType w:val="hybridMultilevel"/>
    <w:lvl w:ilvl="0">
      <w:start w:val="1"/>
      <w:numFmt w:val="decimal"/>
      <w:lvlText w:val="（%1）"/>
      <w:lvlJc w:val="left"/>
      <w:pPr>
        <w:ind w:left="1111" w:hanging="532"/>
        <w:jc w:val="left"/>
      </w:pPr>
      <w:rPr>
        <w:rFonts w:hint="default" w:ascii="宋体" w:hAnsi="宋体" w:eastAsia="宋体" w:cs="宋体"/>
        <w:spacing w:val="-108"/>
        <w:w w:val="100"/>
        <w:sz w:val="19"/>
        <w:szCs w:val="19"/>
        <w:lang w:val="zh-CN" w:eastAsia="zh-CN" w:bidi="zh-CN"/>
      </w:rPr>
    </w:lvl>
    <w:lvl w:ilvl="1">
      <w:start w:val="0"/>
      <w:numFmt w:val="bullet"/>
      <w:lvlText w:val="•"/>
      <w:lvlJc w:val="left"/>
      <w:pPr>
        <w:ind w:left="1942" w:hanging="532"/>
      </w:pPr>
      <w:rPr>
        <w:rFonts w:hint="default"/>
        <w:lang w:val="zh-CN" w:eastAsia="zh-CN" w:bidi="zh-CN"/>
      </w:rPr>
    </w:lvl>
    <w:lvl w:ilvl="2">
      <w:start w:val="0"/>
      <w:numFmt w:val="bullet"/>
      <w:lvlText w:val="•"/>
      <w:lvlJc w:val="left"/>
      <w:pPr>
        <w:ind w:left="2765" w:hanging="532"/>
      </w:pPr>
      <w:rPr>
        <w:rFonts w:hint="default"/>
        <w:lang w:val="zh-CN" w:eastAsia="zh-CN" w:bidi="zh-CN"/>
      </w:rPr>
    </w:lvl>
    <w:lvl w:ilvl="3">
      <w:start w:val="0"/>
      <w:numFmt w:val="bullet"/>
      <w:lvlText w:val="•"/>
      <w:lvlJc w:val="left"/>
      <w:pPr>
        <w:ind w:left="3587" w:hanging="532"/>
      </w:pPr>
      <w:rPr>
        <w:rFonts w:hint="default"/>
        <w:lang w:val="zh-CN" w:eastAsia="zh-CN" w:bidi="zh-CN"/>
      </w:rPr>
    </w:lvl>
    <w:lvl w:ilvl="4">
      <w:start w:val="0"/>
      <w:numFmt w:val="bullet"/>
      <w:lvlText w:val="•"/>
      <w:lvlJc w:val="left"/>
      <w:pPr>
        <w:ind w:left="4410" w:hanging="532"/>
      </w:pPr>
      <w:rPr>
        <w:rFonts w:hint="default"/>
        <w:lang w:val="zh-CN" w:eastAsia="zh-CN" w:bidi="zh-CN"/>
      </w:rPr>
    </w:lvl>
    <w:lvl w:ilvl="5">
      <w:start w:val="0"/>
      <w:numFmt w:val="bullet"/>
      <w:lvlText w:val="•"/>
      <w:lvlJc w:val="left"/>
      <w:pPr>
        <w:ind w:left="5233" w:hanging="532"/>
      </w:pPr>
      <w:rPr>
        <w:rFonts w:hint="default"/>
        <w:lang w:val="zh-CN" w:eastAsia="zh-CN" w:bidi="zh-CN"/>
      </w:rPr>
    </w:lvl>
    <w:lvl w:ilvl="6">
      <w:start w:val="0"/>
      <w:numFmt w:val="bullet"/>
      <w:lvlText w:val="•"/>
      <w:lvlJc w:val="left"/>
      <w:pPr>
        <w:ind w:left="6055" w:hanging="532"/>
      </w:pPr>
      <w:rPr>
        <w:rFonts w:hint="default"/>
        <w:lang w:val="zh-CN" w:eastAsia="zh-CN" w:bidi="zh-CN"/>
      </w:rPr>
    </w:lvl>
    <w:lvl w:ilvl="7">
      <w:start w:val="0"/>
      <w:numFmt w:val="bullet"/>
      <w:lvlText w:val="•"/>
      <w:lvlJc w:val="left"/>
      <w:pPr>
        <w:ind w:left="6878" w:hanging="532"/>
      </w:pPr>
      <w:rPr>
        <w:rFonts w:hint="default"/>
        <w:lang w:val="zh-CN" w:eastAsia="zh-CN" w:bidi="zh-CN"/>
      </w:rPr>
    </w:lvl>
    <w:lvl w:ilvl="8">
      <w:start w:val="0"/>
      <w:numFmt w:val="bullet"/>
      <w:lvlText w:val="•"/>
      <w:lvlJc w:val="left"/>
      <w:pPr>
        <w:ind w:left="7701" w:hanging="532"/>
      </w:pPr>
      <w:rPr>
        <w:rFonts w:hint="default"/>
        <w:lang w:val="zh-CN" w:eastAsia="zh-CN" w:bidi="zh-CN"/>
      </w:rPr>
    </w:lvl>
  </w:abstractNum>
  <w:abstractNum w:abstractNumId="33">
    <w:multiLevelType w:val="hybridMultilevel"/>
    <w:lvl w:ilvl="0">
      <w:start w:val="1"/>
      <w:numFmt w:val="decimal"/>
      <w:lvlText w:val="（%1）"/>
      <w:lvlJc w:val="left"/>
      <w:pPr>
        <w:ind w:left="110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1924" w:hanging="529"/>
      </w:pPr>
      <w:rPr>
        <w:rFonts w:hint="default"/>
        <w:lang w:val="zh-CN" w:eastAsia="zh-CN" w:bidi="zh-CN"/>
      </w:rPr>
    </w:lvl>
    <w:lvl w:ilvl="2">
      <w:start w:val="0"/>
      <w:numFmt w:val="bullet"/>
      <w:lvlText w:val="•"/>
      <w:lvlJc w:val="left"/>
      <w:pPr>
        <w:ind w:left="2749" w:hanging="529"/>
      </w:pPr>
      <w:rPr>
        <w:rFonts w:hint="default"/>
        <w:lang w:val="zh-CN" w:eastAsia="zh-CN" w:bidi="zh-CN"/>
      </w:rPr>
    </w:lvl>
    <w:lvl w:ilvl="3">
      <w:start w:val="0"/>
      <w:numFmt w:val="bullet"/>
      <w:lvlText w:val="•"/>
      <w:lvlJc w:val="left"/>
      <w:pPr>
        <w:ind w:left="3573" w:hanging="529"/>
      </w:pPr>
      <w:rPr>
        <w:rFonts w:hint="default"/>
        <w:lang w:val="zh-CN" w:eastAsia="zh-CN" w:bidi="zh-CN"/>
      </w:rPr>
    </w:lvl>
    <w:lvl w:ilvl="4">
      <w:start w:val="0"/>
      <w:numFmt w:val="bullet"/>
      <w:lvlText w:val="•"/>
      <w:lvlJc w:val="left"/>
      <w:pPr>
        <w:ind w:left="4398" w:hanging="529"/>
      </w:pPr>
      <w:rPr>
        <w:rFonts w:hint="default"/>
        <w:lang w:val="zh-CN" w:eastAsia="zh-CN" w:bidi="zh-CN"/>
      </w:rPr>
    </w:lvl>
    <w:lvl w:ilvl="5">
      <w:start w:val="0"/>
      <w:numFmt w:val="bullet"/>
      <w:lvlText w:val="•"/>
      <w:lvlJc w:val="left"/>
      <w:pPr>
        <w:ind w:left="5223" w:hanging="529"/>
      </w:pPr>
      <w:rPr>
        <w:rFonts w:hint="default"/>
        <w:lang w:val="zh-CN" w:eastAsia="zh-CN" w:bidi="zh-CN"/>
      </w:rPr>
    </w:lvl>
    <w:lvl w:ilvl="6">
      <w:start w:val="0"/>
      <w:numFmt w:val="bullet"/>
      <w:lvlText w:val="•"/>
      <w:lvlJc w:val="left"/>
      <w:pPr>
        <w:ind w:left="6047" w:hanging="529"/>
      </w:pPr>
      <w:rPr>
        <w:rFonts w:hint="default"/>
        <w:lang w:val="zh-CN" w:eastAsia="zh-CN" w:bidi="zh-CN"/>
      </w:rPr>
    </w:lvl>
    <w:lvl w:ilvl="7">
      <w:start w:val="0"/>
      <w:numFmt w:val="bullet"/>
      <w:lvlText w:val="•"/>
      <w:lvlJc w:val="left"/>
      <w:pPr>
        <w:ind w:left="6872" w:hanging="529"/>
      </w:pPr>
      <w:rPr>
        <w:rFonts w:hint="default"/>
        <w:lang w:val="zh-CN" w:eastAsia="zh-CN" w:bidi="zh-CN"/>
      </w:rPr>
    </w:lvl>
    <w:lvl w:ilvl="8">
      <w:start w:val="0"/>
      <w:numFmt w:val="bullet"/>
      <w:lvlText w:val="•"/>
      <w:lvlJc w:val="left"/>
      <w:pPr>
        <w:ind w:left="7697" w:hanging="529"/>
      </w:pPr>
      <w:rPr>
        <w:rFonts w:hint="default"/>
        <w:lang w:val="zh-CN" w:eastAsia="zh-CN" w:bidi="zh-CN"/>
      </w:rPr>
    </w:lvl>
  </w:abstractNum>
  <w:abstractNum w:abstractNumId="32">
    <w:multiLevelType w:val="hybridMultilevel"/>
    <w:lvl w:ilvl="0">
      <w:start w:val="1"/>
      <w:numFmt w:val="decimal"/>
      <w:lvlText w:val="（%1）"/>
      <w:lvlJc w:val="left"/>
      <w:pPr>
        <w:ind w:left="110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1924" w:hanging="529"/>
      </w:pPr>
      <w:rPr>
        <w:rFonts w:hint="default"/>
        <w:lang w:val="zh-CN" w:eastAsia="zh-CN" w:bidi="zh-CN"/>
      </w:rPr>
    </w:lvl>
    <w:lvl w:ilvl="2">
      <w:start w:val="0"/>
      <w:numFmt w:val="bullet"/>
      <w:lvlText w:val="•"/>
      <w:lvlJc w:val="left"/>
      <w:pPr>
        <w:ind w:left="2749" w:hanging="529"/>
      </w:pPr>
      <w:rPr>
        <w:rFonts w:hint="default"/>
        <w:lang w:val="zh-CN" w:eastAsia="zh-CN" w:bidi="zh-CN"/>
      </w:rPr>
    </w:lvl>
    <w:lvl w:ilvl="3">
      <w:start w:val="0"/>
      <w:numFmt w:val="bullet"/>
      <w:lvlText w:val="•"/>
      <w:lvlJc w:val="left"/>
      <w:pPr>
        <w:ind w:left="3573" w:hanging="529"/>
      </w:pPr>
      <w:rPr>
        <w:rFonts w:hint="default"/>
        <w:lang w:val="zh-CN" w:eastAsia="zh-CN" w:bidi="zh-CN"/>
      </w:rPr>
    </w:lvl>
    <w:lvl w:ilvl="4">
      <w:start w:val="0"/>
      <w:numFmt w:val="bullet"/>
      <w:lvlText w:val="•"/>
      <w:lvlJc w:val="left"/>
      <w:pPr>
        <w:ind w:left="4398" w:hanging="529"/>
      </w:pPr>
      <w:rPr>
        <w:rFonts w:hint="default"/>
        <w:lang w:val="zh-CN" w:eastAsia="zh-CN" w:bidi="zh-CN"/>
      </w:rPr>
    </w:lvl>
    <w:lvl w:ilvl="5">
      <w:start w:val="0"/>
      <w:numFmt w:val="bullet"/>
      <w:lvlText w:val="•"/>
      <w:lvlJc w:val="left"/>
      <w:pPr>
        <w:ind w:left="5223" w:hanging="529"/>
      </w:pPr>
      <w:rPr>
        <w:rFonts w:hint="default"/>
        <w:lang w:val="zh-CN" w:eastAsia="zh-CN" w:bidi="zh-CN"/>
      </w:rPr>
    </w:lvl>
    <w:lvl w:ilvl="6">
      <w:start w:val="0"/>
      <w:numFmt w:val="bullet"/>
      <w:lvlText w:val="•"/>
      <w:lvlJc w:val="left"/>
      <w:pPr>
        <w:ind w:left="6047" w:hanging="529"/>
      </w:pPr>
      <w:rPr>
        <w:rFonts w:hint="default"/>
        <w:lang w:val="zh-CN" w:eastAsia="zh-CN" w:bidi="zh-CN"/>
      </w:rPr>
    </w:lvl>
    <w:lvl w:ilvl="7">
      <w:start w:val="0"/>
      <w:numFmt w:val="bullet"/>
      <w:lvlText w:val="•"/>
      <w:lvlJc w:val="left"/>
      <w:pPr>
        <w:ind w:left="6872" w:hanging="529"/>
      </w:pPr>
      <w:rPr>
        <w:rFonts w:hint="default"/>
        <w:lang w:val="zh-CN" w:eastAsia="zh-CN" w:bidi="zh-CN"/>
      </w:rPr>
    </w:lvl>
    <w:lvl w:ilvl="8">
      <w:start w:val="0"/>
      <w:numFmt w:val="bullet"/>
      <w:lvlText w:val="•"/>
      <w:lvlJc w:val="left"/>
      <w:pPr>
        <w:ind w:left="7697" w:hanging="529"/>
      </w:pPr>
      <w:rPr>
        <w:rFonts w:hint="default"/>
        <w:lang w:val="zh-CN" w:eastAsia="zh-CN" w:bidi="zh-CN"/>
      </w:rPr>
    </w:lvl>
  </w:abstractNum>
  <w:abstractNum w:abstractNumId="31">
    <w:multiLevelType w:val="hybridMultilevel"/>
    <w:lvl w:ilvl="0">
      <w:start w:val="1"/>
      <w:numFmt w:val="decimal"/>
      <w:lvlText w:val="（%1）"/>
      <w:lvlJc w:val="left"/>
      <w:pPr>
        <w:ind w:left="110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1924" w:hanging="529"/>
      </w:pPr>
      <w:rPr>
        <w:rFonts w:hint="default"/>
        <w:lang w:val="zh-CN" w:eastAsia="zh-CN" w:bidi="zh-CN"/>
      </w:rPr>
    </w:lvl>
    <w:lvl w:ilvl="2">
      <w:start w:val="0"/>
      <w:numFmt w:val="bullet"/>
      <w:lvlText w:val="•"/>
      <w:lvlJc w:val="left"/>
      <w:pPr>
        <w:ind w:left="2749" w:hanging="529"/>
      </w:pPr>
      <w:rPr>
        <w:rFonts w:hint="default"/>
        <w:lang w:val="zh-CN" w:eastAsia="zh-CN" w:bidi="zh-CN"/>
      </w:rPr>
    </w:lvl>
    <w:lvl w:ilvl="3">
      <w:start w:val="0"/>
      <w:numFmt w:val="bullet"/>
      <w:lvlText w:val="•"/>
      <w:lvlJc w:val="left"/>
      <w:pPr>
        <w:ind w:left="3573" w:hanging="529"/>
      </w:pPr>
      <w:rPr>
        <w:rFonts w:hint="default"/>
        <w:lang w:val="zh-CN" w:eastAsia="zh-CN" w:bidi="zh-CN"/>
      </w:rPr>
    </w:lvl>
    <w:lvl w:ilvl="4">
      <w:start w:val="0"/>
      <w:numFmt w:val="bullet"/>
      <w:lvlText w:val="•"/>
      <w:lvlJc w:val="left"/>
      <w:pPr>
        <w:ind w:left="4398" w:hanging="529"/>
      </w:pPr>
      <w:rPr>
        <w:rFonts w:hint="default"/>
        <w:lang w:val="zh-CN" w:eastAsia="zh-CN" w:bidi="zh-CN"/>
      </w:rPr>
    </w:lvl>
    <w:lvl w:ilvl="5">
      <w:start w:val="0"/>
      <w:numFmt w:val="bullet"/>
      <w:lvlText w:val="•"/>
      <w:lvlJc w:val="left"/>
      <w:pPr>
        <w:ind w:left="5223" w:hanging="529"/>
      </w:pPr>
      <w:rPr>
        <w:rFonts w:hint="default"/>
        <w:lang w:val="zh-CN" w:eastAsia="zh-CN" w:bidi="zh-CN"/>
      </w:rPr>
    </w:lvl>
    <w:lvl w:ilvl="6">
      <w:start w:val="0"/>
      <w:numFmt w:val="bullet"/>
      <w:lvlText w:val="•"/>
      <w:lvlJc w:val="left"/>
      <w:pPr>
        <w:ind w:left="6047" w:hanging="529"/>
      </w:pPr>
      <w:rPr>
        <w:rFonts w:hint="default"/>
        <w:lang w:val="zh-CN" w:eastAsia="zh-CN" w:bidi="zh-CN"/>
      </w:rPr>
    </w:lvl>
    <w:lvl w:ilvl="7">
      <w:start w:val="0"/>
      <w:numFmt w:val="bullet"/>
      <w:lvlText w:val="•"/>
      <w:lvlJc w:val="left"/>
      <w:pPr>
        <w:ind w:left="6872" w:hanging="529"/>
      </w:pPr>
      <w:rPr>
        <w:rFonts w:hint="default"/>
        <w:lang w:val="zh-CN" w:eastAsia="zh-CN" w:bidi="zh-CN"/>
      </w:rPr>
    </w:lvl>
    <w:lvl w:ilvl="8">
      <w:start w:val="0"/>
      <w:numFmt w:val="bullet"/>
      <w:lvlText w:val="•"/>
      <w:lvlJc w:val="left"/>
      <w:pPr>
        <w:ind w:left="7697" w:hanging="529"/>
      </w:pPr>
      <w:rPr>
        <w:rFonts w:hint="default"/>
        <w:lang w:val="zh-CN" w:eastAsia="zh-CN" w:bidi="zh-CN"/>
      </w:rPr>
    </w:lvl>
  </w:abstractNum>
  <w:abstractNum w:abstractNumId="30">
    <w:multiLevelType w:val="hybridMultilevel"/>
    <w:lvl w:ilvl="0">
      <w:start w:val="1"/>
      <w:numFmt w:val="decimal"/>
      <w:lvlText w:val="（%1）"/>
      <w:lvlJc w:val="left"/>
      <w:pPr>
        <w:ind w:left="110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1924" w:hanging="529"/>
      </w:pPr>
      <w:rPr>
        <w:rFonts w:hint="default"/>
        <w:lang w:val="zh-CN" w:eastAsia="zh-CN" w:bidi="zh-CN"/>
      </w:rPr>
    </w:lvl>
    <w:lvl w:ilvl="2">
      <w:start w:val="0"/>
      <w:numFmt w:val="bullet"/>
      <w:lvlText w:val="•"/>
      <w:lvlJc w:val="left"/>
      <w:pPr>
        <w:ind w:left="2749" w:hanging="529"/>
      </w:pPr>
      <w:rPr>
        <w:rFonts w:hint="default"/>
        <w:lang w:val="zh-CN" w:eastAsia="zh-CN" w:bidi="zh-CN"/>
      </w:rPr>
    </w:lvl>
    <w:lvl w:ilvl="3">
      <w:start w:val="0"/>
      <w:numFmt w:val="bullet"/>
      <w:lvlText w:val="•"/>
      <w:lvlJc w:val="left"/>
      <w:pPr>
        <w:ind w:left="3573" w:hanging="529"/>
      </w:pPr>
      <w:rPr>
        <w:rFonts w:hint="default"/>
        <w:lang w:val="zh-CN" w:eastAsia="zh-CN" w:bidi="zh-CN"/>
      </w:rPr>
    </w:lvl>
    <w:lvl w:ilvl="4">
      <w:start w:val="0"/>
      <w:numFmt w:val="bullet"/>
      <w:lvlText w:val="•"/>
      <w:lvlJc w:val="left"/>
      <w:pPr>
        <w:ind w:left="4398" w:hanging="529"/>
      </w:pPr>
      <w:rPr>
        <w:rFonts w:hint="default"/>
        <w:lang w:val="zh-CN" w:eastAsia="zh-CN" w:bidi="zh-CN"/>
      </w:rPr>
    </w:lvl>
    <w:lvl w:ilvl="5">
      <w:start w:val="0"/>
      <w:numFmt w:val="bullet"/>
      <w:lvlText w:val="•"/>
      <w:lvlJc w:val="left"/>
      <w:pPr>
        <w:ind w:left="5223" w:hanging="529"/>
      </w:pPr>
      <w:rPr>
        <w:rFonts w:hint="default"/>
        <w:lang w:val="zh-CN" w:eastAsia="zh-CN" w:bidi="zh-CN"/>
      </w:rPr>
    </w:lvl>
    <w:lvl w:ilvl="6">
      <w:start w:val="0"/>
      <w:numFmt w:val="bullet"/>
      <w:lvlText w:val="•"/>
      <w:lvlJc w:val="left"/>
      <w:pPr>
        <w:ind w:left="6047" w:hanging="529"/>
      </w:pPr>
      <w:rPr>
        <w:rFonts w:hint="default"/>
        <w:lang w:val="zh-CN" w:eastAsia="zh-CN" w:bidi="zh-CN"/>
      </w:rPr>
    </w:lvl>
    <w:lvl w:ilvl="7">
      <w:start w:val="0"/>
      <w:numFmt w:val="bullet"/>
      <w:lvlText w:val="•"/>
      <w:lvlJc w:val="left"/>
      <w:pPr>
        <w:ind w:left="6872" w:hanging="529"/>
      </w:pPr>
      <w:rPr>
        <w:rFonts w:hint="default"/>
        <w:lang w:val="zh-CN" w:eastAsia="zh-CN" w:bidi="zh-CN"/>
      </w:rPr>
    </w:lvl>
    <w:lvl w:ilvl="8">
      <w:start w:val="0"/>
      <w:numFmt w:val="bullet"/>
      <w:lvlText w:val="•"/>
      <w:lvlJc w:val="left"/>
      <w:pPr>
        <w:ind w:left="7697" w:hanging="529"/>
      </w:pPr>
      <w:rPr>
        <w:rFonts w:hint="default"/>
        <w:lang w:val="zh-CN" w:eastAsia="zh-CN" w:bidi="zh-CN"/>
      </w:rPr>
    </w:lvl>
  </w:abstractNum>
  <w:abstractNum w:abstractNumId="29">
    <w:multiLevelType w:val="hybridMultilevel"/>
    <w:lvl w:ilvl="0">
      <w:start w:val="1"/>
      <w:numFmt w:val="decimal"/>
      <w:lvlText w:val="（%1）"/>
      <w:lvlJc w:val="left"/>
      <w:pPr>
        <w:ind w:left="110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1924" w:hanging="529"/>
      </w:pPr>
      <w:rPr>
        <w:rFonts w:hint="default"/>
        <w:lang w:val="zh-CN" w:eastAsia="zh-CN" w:bidi="zh-CN"/>
      </w:rPr>
    </w:lvl>
    <w:lvl w:ilvl="2">
      <w:start w:val="0"/>
      <w:numFmt w:val="bullet"/>
      <w:lvlText w:val="•"/>
      <w:lvlJc w:val="left"/>
      <w:pPr>
        <w:ind w:left="2749" w:hanging="529"/>
      </w:pPr>
      <w:rPr>
        <w:rFonts w:hint="default"/>
        <w:lang w:val="zh-CN" w:eastAsia="zh-CN" w:bidi="zh-CN"/>
      </w:rPr>
    </w:lvl>
    <w:lvl w:ilvl="3">
      <w:start w:val="0"/>
      <w:numFmt w:val="bullet"/>
      <w:lvlText w:val="•"/>
      <w:lvlJc w:val="left"/>
      <w:pPr>
        <w:ind w:left="3573" w:hanging="529"/>
      </w:pPr>
      <w:rPr>
        <w:rFonts w:hint="default"/>
        <w:lang w:val="zh-CN" w:eastAsia="zh-CN" w:bidi="zh-CN"/>
      </w:rPr>
    </w:lvl>
    <w:lvl w:ilvl="4">
      <w:start w:val="0"/>
      <w:numFmt w:val="bullet"/>
      <w:lvlText w:val="•"/>
      <w:lvlJc w:val="left"/>
      <w:pPr>
        <w:ind w:left="4398" w:hanging="529"/>
      </w:pPr>
      <w:rPr>
        <w:rFonts w:hint="default"/>
        <w:lang w:val="zh-CN" w:eastAsia="zh-CN" w:bidi="zh-CN"/>
      </w:rPr>
    </w:lvl>
    <w:lvl w:ilvl="5">
      <w:start w:val="0"/>
      <w:numFmt w:val="bullet"/>
      <w:lvlText w:val="•"/>
      <w:lvlJc w:val="left"/>
      <w:pPr>
        <w:ind w:left="5223" w:hanging="529"/>
      </w:pPr>
      <w:rPr>
        <w:rFonts w:hint="default"/>
        <w:lang w:val="zh-CN" w:eastAsia="zh-CN" w:bidi="zh-CN"/>
      </w:rPr>
    </w:lvl>
    <w:lvl w:ilvl="6">
      <w:start w:val="0"/>
      <w:numFmt w:val="bullet"/>
      <w:lvlText w:val="•"/>
      <w:lvlJc w:val="left"/>
      <w:pPr>
        <w:ind w:left="6047" w:hanging="529"/>
      </w:pPr>
      <w:rPr>
        <w:rFonts w:hint="default"/>
        <w:lang w:val="zh-CN" w:eastAsia="zh-CN" w:bidi="zh-CN"/>
      </w:rPr>
    </w:lvl>
    <w:lvl w:ilvl="7">
      <w:start w:val="0"/>
      <w:numFmt w:val="bullet"/>
      <w:lvlText w:val="•"/>
      <w:lvlJc w:val="left"/>
      <w:pPr>
        <w:ind w:left="6872" w:hanging="529"/>
      </w:pPr>
      <w:rPr>
        <w:rFonts w:hint="default"/>
        <w:lang w:val="zh-CN" w:eastAsia="zh-CN" w:bidi="zh-CN"/>
      </w:rPr>
    </w:lvl>
    <w:lvl w:ilvl="8">
      <w:start w:val="0"/>
      <w:numFmt w:val="bullet"/>
      <w:lvlText w:val="•"/>
      <w:lvlJc w:val="left"/>
      <w:pPr>
        <w:ind w:left="7697" w:hanging="529"/>
      </w:pPr>
      <w:rPr>
        <w:rFonts w:hint="default"/>
        <w:lang w:val="zh-CN" w:eastAsia="zh-CN" w:bidi="zh-CN"/>
      </w:rPr>
    </w:lvl>
  </w:abstractNum>
  <w:abstractNum w:abstractNumId="28">
    <w:multiLevelType w:val="hybridMultilevel"/>
    <w:lvl w:ilvl="0">
      <w:start w:val="1"/>
      <w:numFmt w:val="decimal"/>
      <w:lvlText w:val="（%1）"/>
      <w:lvlJc w:val="left"/>
      <w:pPr>
        <w:ind w:left="160" w:hanging="532"/>
        <w:jc w:val="left"/>
      </w:pPr>
      <w:rPr>
        <w:rFonts w:hint="default" w:ascii="宋体" w:hAnsi="宋体" w:eastAsia="宋体" w:cs="宋体"/>
        <w:spacing w:val="-125"/>
        <w:w w:val="100"/>
        <w:sz w:val="19"/>
        <w:szCs w:val="19"/>
        <w:lang w:val="zh-CN" w:eastAsia="zh-CN" w:bidi="zh-CN"/>
      </w:rPr>
    </w:lvl>
    <w:lvl w:ilvl="1">
      <w:start w:val="0"/>
      <w:numFmt w:val="bullet"/>
      <w:lvlText w:val="•"/>
      <w:lvlJc w:val="left"/>
      <w:pPr>
        <w:ind w:left="1078" w:hanging="532"/>
      </w:pPr>
      <w:rPr>
        <w:rFonts w:hint="default"/>
        <w:lang w:val="zh-CN" w:eastAsia="zh-CN" w:bidi="zh-CN"/>
      </w:rPr>
    </w:lvl>
    <w:lvl w:ilvl="2">
      <w:start w:val="0"/>
      <w:numFmt w:val="bullet"/>
      <w:lvlText w:val="•"/>
      <w:lvlJc w:val="left"/>
      <w:pPr>
        <w:ind w:left="1997" w:hanging="532"/>
      </w:pPr>
      <w:rPr>
        <w:rFonts w:hint="default"/>
        <w:lang w:val="zh-CN" w:eastAsia="zh-CN" w:bidi="zh-CN"/>
      </w:rPr>
    </w:lvl>
    <w:lvl w:ilvl="3">
      <w:start w:val="0"/>
      <w:numFmt w:val="bullet"/>
      <w:lvlText w:val="•"/>
      <w:lvlJc w:val="left"/>
      <w:pPr>
        <w:ind w:left="2915" w:hanging="532"/>
      </w:pPr>
      <w:rPr>
        <w:rFonts w:hint="default"/>
        <w:lang w:val="zh-CN" w:eastAsia="zh-CN" w:bidi="zh-CN"/>
      </w:rPr>
    </w:lvl>
    <w:lvl w:ilvl="4">
      <w:start w:val="0"/>
      <w:numFmt w:val="bullet"/>
      <w:lvlText w:val="•"/>
      <w:lvlJc w:val="left"/>
      <w:pPr>
        <w:ind w:left="3834" w:hanging="532"/>
      </w:pPr>
      <w:rPr>
        <w:rFonts w:hint="default"/>
        <w:lang w:val="zh-CN" w:eastAsia="zh-CN" w:bidi="zh-CN"/>
      </w:rPr>
    </w:lvl>
    <w:lvl w:ilvl="5">
      <w:start w:val="0"/>
      <w:numFmt w:val="bullet"/>
      <w:lvlText w:val="•"/>
      <w:lvlJc w:val="left"/>
      <w:pPr>
        <w:ind w:left="4753" w:hanging="532"/>
      </w:pPr>
      <w:rPr>
        <w:rFonts w:hint="default"/>
        <w:lang w:val="zh-CN" w:eastAsia="zh-CN" w:bidi="zh-CN"/>
      </w:rPr>
    </w:lvl>
    <w:lvl w:ilvl="6">
      <w:start w:val="0"/>
      <w:numFmt w:val="bullet"/>
      <w:lvlText w:val="•"/>
      <w:lvlJc w:val="left"/>
      <w:pPr>
        <w:ind w:left="5671" w:hanging="532"/>
      </w:pPr>
      <w:rPr>
        <w:rFonts w:hint="default"/>
        <w:lang w:val="zh-CN" w:eastAsia="zh-CN" w:bidi="zh-CN"/>
      </w:rPr>
    </w:lvl>
    <w:lvl w:ilvl="7">
      <w:start w:val="0"/>
      <w:numFmt w:val="bullet"/>
      <w:lvlText w:val="•"/>
      <w:lvlJc w:val="left"/>
      <w:pPr>
        <w:ind w:left="6590" w:hanging="532"/>
      </w:pPr>
      <w:rPr>
        <w:rFonts w:hint="default"/>
        <w:lang w:val="zh-CN" w:eastAsia="zh-CN" w:bidi="zh-CN"/>
      </w:rPr>
    </w:lvl>
    <w:lvl w:ilvl="8">
      <w:start w:val="0"/>
      <w:numFmt w:val="bullet"/>
      <w:lvlText w:val="•"/>
      <w:lvlJc w:val="left"/>
      <w:pPr>
        <w:ind w:left="7509" w:hanging="532"/>
      </w:pPr>
      <w:rPr>
        <w:rFonts w:hint="default"/>
        <w:lang w:val="zh-CN" w:eastAsia="zh-CN" w:bidi="zh-CN"/>
      </w:rPr>
    </w:lvl>
  </w:abstractNum>
  <w:abstractNum w:abstractNumId="27">
    <w:multiLevelType w:val="hybridMultilevel"/>
    <w:lvl w:ilvl="0">
      <w:start w:val="1"/>
      <w:numFmt w:val="decimal"/>
      <w:lvlText w:val="（%1）"/>
      <w:lvlJc w:val="left"/>
      <w:pPr>
        <w:ind w:left="160" w:hanging="532"/>
        <w:jc w:val="left"/>
      </w:pPr>
      <w:rPr>
        <w:rFonts w:hint="default" w:ascii="宋体" w:hAnsi="宋体" w:eastAsia="宋体" w:cs="宋体"/>
        <w:spacing w:val="-70"/>
        <w:w w:val="100"/>
        <w:sz w:val="19"/>
        <w:szCs w:val="19"/>
        <w:lang w:val="zh-CN" w:eastAsia="zh-CN" w:bidi="zh-CN"/>
      </w:rPr>
    </w:lvl>
    <w:lvl w:ilvl="1">
      <w:start w:val="0"/>
      <w:numFmt w:val="bullet"/>
      <w:lvlText w:val="•"/>
      <w:lvlJc w:val="left"/>
      <w:pPr>
        <w:ind w:left="1078" w:hanging="532"/>
      </w:pPr>
      <w:rPr>
        <w:rFonts w:hint="default"/>
        <w:lang w:val="zh-CN" w:eastAsia="zh-CN" w:bidi="zh-CN"/>
      </w:rPr>
    </w:lvl>
    <w:lvl w:ilvl="2">
      <w:start w:val="0"/>
      <w:numFmt w:val="bullet"/>
      <w:lvlText w:val="•"/>
      <w:lvlJc w:val="left"/>
      <w:pPr>
        <w:ind w:left="1997" w:hanging="532"/>
      </w:pPr>
      <w:rPr>
        <w:rFonts w:hint="default"/>
        <w:lang w:val="zh-CN" w:eastAsia="zh-CN" w:bidi="zh-CN"/>
      </w:rPr>
    </w:lvl>
    <w:lvl w:ilvl="3">
      <w:start w:val="0"/>
      <w:numFmt w:val="bullet"/>
      <w:lvlText w:val="•"/>
      <w:lvlJc w:val="left"/>
      <w:pPr>
        <w:ind w:left="2915" w:hanging="532"/>
      </w:pPr>
      <w:rPr>
        <w:rFonts w:hint="default"/>
        <w:lang w:val="zh-CN" w:eastAsia="zh-CN" w:bidi="zh-CN"/>
      </w:rPr>
    </w:lvl>
    <w:lvl w:ilvl="4">
      <w:start w:val="0"/>
      <w:numFmt w:val="bullet"/>
      <w:lvlText w:val="•"/>
      <w:lvlJc w:val="left"/>
      <w:pPr>
        <w:ind w:left="3834" w:hanging="532"/>
      </w:pPr>
      <w:rPr>
        <w:rFonts w:hint="default"/>
        <w:lang w:val="zh-CN" w:eastAsia="zh-CN" w:bidi="zh-CN"/>
      </w:rPr>
    </w:lvl>
    <w:lvl w:ilvl="5">
      <w:start w:val="0"/>
      <w:numFmt w:val="bullet"/>
      <w:lvlText w:val="•"/>
      <w:lvlJc w:val="left"/>
      <w:pPr>
        <w:ind w:left="4753" w:hanging="532"/>
      </w:pPr>
      <w:rPr>
        <w:rFonts w:hint="default"/>
        <w:lang w:val="zh-CN" w:eastAsia="zh-CN" w:bidi="zh-CN"/>
      </w:rPr>
    </w:lvl>
    <w:lvl w:ilvl="6">
      <w:start w:val="0"/>
      <w:numFmt w:val="bullet"/>
      <w:lvlText w:val="•"/>
      <w:lvlJc w:val="left"/>
      <w:pPr>
        <w:ind w:left="5671" w:hanging="532"/>
      </w:pPr>
      <w:rPr>
        <w:rFonts w:hint="default"/>
        <w:lang w:val="zh-CN" w:eastAsia="zh-CN" w:bidi="zh-CN"/>
      </w:rPr>
    </w:lvl>
    <w:lvl w:ilvl="7">
      <w:start w:val="0"/>
      <w:numFmt w:val="bullet"/>
      <w:lvlText w:val="•"/>
      <w:lvlJc w:val="left"/>
      <w:pPr>
        <w:ind w:left="6590" w:hanging="532"/>
      </w:pPr>
      <w:rPr>
        <w:rFonts w:hint="default"/>
        <w:lang w:val="zh-CN" w:eastAsia="zh-CN" w:bidi="zh-CN"/>
      </w:rPr>
    </w:lvl>
    <w:lvl w:ilvl="8">
      <w:start w:val="0"/>
      <w:numFmt w:val="bullet"/>
      <w:lvlText w:val="•"/>
      <w:lvlJc w:val="left"/>
      <w:pPr>
        <w:ind w:left="7509" w:hanging="532"/>
      </w:pPr>
      <w:rPr>
        <w:rFonts w:hint="default"/>
        <w:lang w:val="zh-CN" w:eastAsia="zh-CN" w:bidi="zh-CN"/>
      </w:rPr>
    </w:lvl>
  </w:abstractNum>
  <w:abstractNum w:abstractNumId="26">
    <w:multiLevelType w:val="hybridMultilevel"/>
    <w:lvl w:ilvl="0">
      <w:start w:val="1"/>
      <w:numFmt w:val="decimal"/>
      <w:lvlText w:val="（%1）"/>
      <w:lvlJc w:val="left"/>
      <w:pPr>
        <w:ind w:left="160" w:hanging="532"/>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078" w:hanging="532"/>
      </w:pPr>
      <w:rPr>
        <w:rFonts w:hint="default"/>
        <w:lang w:val="zh-CN" w:eastAsia="zh-CN" w:bidi="zh-CN"/>
      </w:rPr>
    </w:lvl>
    <w:lvl w:ilvl="2">
      <w:start w:val="0"/>
      <w:numFmt w:val="bullet"/>
      <w:lvlText w:val="•"/>
      <w:lvlJc w:val="left"/>
      <w:pPr>
        <w:ind w:left="1997" w:hanging="532"/>
      </w:pPr>
      <w:rPr>
        <w:rFonts w:hint="default"/>
        <w:lang w:val="zh-CN" w:eastAsia="zh-CN" w:bidi="zh-CN"/>
      </w:rPr>
    </w:lvl>
    <w:lvl w:ilvl="3">
      <w:start w:val="0"/>
      <w:numFmt w:val="bullet"/>
      <w:lvlText w:val="•"/>
      <w:lvlJc w:val="left"/>
      <w:pPr>
        <w:ind w:left="2915" w:hanging="532"/>
      </w:pPr>
      <w:rPr>
        <w:rFonts w:hint="default"/>
        <w:lang w:val="zh-CN" w:eastAsia="zh-CN" w:bidi="zh-CN"/>
      </w:rPr>
    </w:lvl>
    <w:lvl w:ilvl="4">
      <w:start w:val="0"/>
      <w:numFmt w:val="bullet"/>
      <w:lvlText w:val="•"/>
      <w:lvlJc w:val="left"/>
      <w:pPr>
        <w:ind w:left="3834" w:hanging="532"/>
      </w:pPr>
      <w:rPr>
        <w:rFonts w:hint="default"/>
        <w:lang w:val="zh-CN" w:eastAsia="zh-CN" w:bidi="zh-CN"/>
      </w:rPr>
    </w:lvl>
    <w:lvl w:ilvl="5">
      <w:start w:val="0"/>
      <w:numFmt w:val="bullet"/>
      <w:lvlText w:val="•"/>
      <w:lvlJc w:val="left"/>
      <w:pPr>
        <w:ind w:left="4753" w:hanging="532"/>
      </w:pPr>
      <w:rPr>
        <w:rFonts w:hint="default"/>
        <w:lang w:val="zh-CN" w:eastAsia="zh-CN" w:bidi="zh-CN"/>
      </w:rPr>
    </w:lvl>
    <w:lvl w:ilvl="6">
      <w:start w:val="0"/>
      <w:numFmt w:val="bullet"/>
      <w:lvlText w:val="•"/>
      <w:lvlJc w:val="left"/>
      <w:pPr>
        <w:ind w:left="5671" w:hanging="532"/>
      </w:pPr>
      <w:rPr>
        <w:rFonts w:hint="default"/>
        <w:lang w:val="zh-CN" w:eastAsia="zh-CN" w:bidi="zh-CN"/>
      </w:rPr>
    </w:lvl>
    <w:lvl w:ilvl="7">
      <w:start w:val="0"/>
      <w:numFmt w:val="bullet"/>
      <w:lvlText w:val="•"/>
      <w:lvlJc w:val="left"/>
      <w:pPr>
        <w:ind w:left="6590" w:hanging="532"/>
      </w:pPr>
      <w:rPr>
        <w:rFonts w:hint="default"/>
        <w:lang w:val="zh-CN" w:eastAsia="zh-CN" w:bidi="zh-CN"/>
      </w:rPr>
    </w:lvl>
    <w:lvl w:ilvl="8">
      <w:start w:val="0"/>
      <w:numFmt w:val="bullet"/>
      <w:lvlText w:val="•"/>
      <w:lvlJc w:val="left"/>
      <w:pPr>
        <w:ind w:left="7509" w:hanging="532"/>
      </w:pPr>
      <w:rPr>
        <w:rFonts w:hint="default"/>
        <w:lang w:val="zh-CN" w:eastAsia="zh-CN" w:bidi="zh-CN"/>
      </w:rPr>
    </w:lvl>
  </w:abstractNum>
  <w:abstractNum w:abstractNumId="25">
    <w:multiLevelType w:val="hybridMultilevel"/>
    <w:lvl w:ilvl="0">
      <w:start w:val="1"/>
      <w:numFmt w:val="decimal"/>
      <w:lvlText w:val="（%1）"/>
      <w:lvlJc w:val="left"/>
      <w:pPr>
        <w:ind w:left="160" w:hanging="532"/>
        <w:jc w:val="left"/>
      </w:pPr>
      <w:rPr>
        <w:rFonts w:hint="default" w:ascii="宋体" w:hAnsi="宋体" w:eastAsia="宋体" w:cs="宋体"/>
        <w:spacing w:val="-70"/>
        <w:w w:val="100"/>
        <w:sz w:val="19"/>
        <w:szCs w:val="19"/>
        <w:lang w:val="zh-CN" w:eastAsia="zh-CN" w:bidi="zh-CN"/>
      </w:rPr>
    </w:lvl>
    <w:lvl w:ilvl="1">
      <w:start w:val="0"/>
      <w:numFmt w:val="bullet"/>
      <w:lvlText w:val="•"/>
      <w:lvlJc w:val="left"/>
      <w:pPr>
        <w:ind w:left="1078" w:hanging="532"/>
      </w:pPr>
      <w:rPr>
        <w:rFonts w:hint="default"/>
        <w:lang w:val="zh-CN" w:eastAsia="zh-CN" w:bidi="zh-CN"/>
      </w:rPr>
    </w:lvl>
    <w:lvl w:ilvl="2">
      <w:start w:val="0"/>
      <w:numFmt w:val="bullet"/>
      <w:lvlText w:val="•"/>
      <w:lvlJc w:val="left"/>
      <w:pPr>
        <w:ind w:left="1997" w:hanging="532"/>
      </w:pPr>
      <w:rPr>
        <w:rFonts w:hint="default"/>
        <w:lang w:val="zh-CN" w:eastAsia="zh-CN" w:bidi="zh-CN"/>
      </w:rPr>
    </w:lvl>
    <w:lvl w:ilvl="3">
      <w:start w:val="0"/>
      <w:numFmt w:val="bullet"/>
      <w:lvlText w:val="•"/>
      <w:lvlJc w:val="left"/>
      <w:pPr>
        <w:ind w:left="2915" w:hanging="532"/>
      </w:pPr>
      <w:rPr>
        <w:rFonts w:hint="default"/>
        <w:lang w:val="zh-CN" w:eastAsia="zh-CN" w:bidi="zh-CN"/>
      </w:rPr>
    </w:lvl>
    <w:lvl w:ilvl="4">
      <w:start w:val="0"/>
      <w:numFmt w:val="bullet"/>
      <w:lvlText w:val="•"/>
      <w:lvlJc w:val="left"/>
      <w:pPr>
        <w:ind w:left="3834" w:hanging="532"/>
      </w:pPr>
      <w:rPr>
        <w:rFonts w:hint="default"/>
        <w:lang w:val="zh-CN" w:eastAsia="zh-CN" w:bidi="zh-CN"/>
      </w:rPr>
    </w:lvl>
    <w:lvl w:ilvl="5">
      <w:start w:val="0"/>
      <w:numFmt w:val="bullet"/>
      <w:lvlText w:val="•"/>
      <w:lvlJc w:val="left"/>
      <w:pPr>
        <w:ind w:left="4753" w:hanging="532"/>
      </w:pPr>
      <w:rPr>
        <w:rFonts w:hint="default"/>
        <w:lang w:val="zh-CN" w:eastAsia="zh-CN" w:bidi="zh-CN"/>
      </w:rPr>
    </w:lvl>
    <w:lvl w:ilvl="6">
      <w:start w:val="0"/>
      <w:numFmt w:val="bullet"/>
      <w:lvlText w:val="•"/>
      <w:lvlJc w:val="left"/>
      <w:pPr>
        <w:ind w:left="5671" w:hanging="532"/>
      </w:pPr>
      <w:rPr>
        <w:rFonts w:hint="default"/>
        <w:lang w:val="zh-CN" w:eastAsia="zh-CN" w:bidi="zh-CN"/>
      </w:rPr>
    </w:lvl>
    <w:lvl w:ilvl="7">
      <w:start w:val="0"/>
      <w:numFmt w:val="bullet"/>
      <w:lvlText w:val="•"/>
      <w:lvlJc w:val="left"/>
      <w:pPr>
        <w:ind w:left="6590" w:hanging="532"/>
      </w:pPr>
      <w:rPr>
        <w:rFonts w:hint="default"/>
        <w:lang w:val="zh-CN" w:eastAsia="zh-CN" w:bidi="zh-CN"/>
      </w:rPr>
    </w:lvl>
    <w:lvl w:ilvl="8">
      <w:start w:val="0"/>
      <w:numFmt w:val="bullet"/>
      <w:lvlText w:val="•"/>
      <w:lvlJc w:val="left"/>
      <w:pPr>
        <w:ind w:left="7509" w:hanging="532"/>
      </w:pPr>
      <w:rPr>
        <w:rFonts w:hint="default"/>
        <w:lang w:val="zh-CN" w:eastAsia="zh-CN" w:bidi="zh-CN"/>
      </w:rPr>
    </w:lvl>
  </w:abstractNum>
  <w:abstractNum w:abstractNumId="24">
    <w:multiLevelType w:val="hybridMultilevel"/>
    <w:lvl w:ilvl="0">
      <w:start w:val="1"/>
      <w:numFmt w:val="decimal"/>
      <w:lvlText w:val="（%1）"/>
      <w:lvlJc w:val="left"/>
      <w:pPr>
        <w:ind w:left="160" w:hanging="532"/>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078" w:hanging="532"/>
      </w:pPr>
      <w:rPr>
        <w:rFonts w:hint="default"/>
        <w:lang w:val="zh-CN" w:eastAsia="zh-CN" w:bidi="zh-CN"/>
      </w:rPr>
    </w:lvl>
    <w:lvl w:ilvl="2">
      <w:start w:val="0"/>
      <w:numFmt w:val="bullet"/>
      <w:lvlText w:val="•"/>
      <w:lvlJc w:val="left"/>
      <w:pPr>
        <w:ind w:left="1997" w:hanging="532"/>
      </w:pPr>
      <w:rPr>
        <w:rFonts w:hint="default"/>
        <w:lang w:val="zh-CN" w:eastAsia="zh-CN" w:bidi="zh-CN"/>
      </w:rPr>
    </w:lvl>
    <w:lvl w:ilvl="3">
      <w:start w:val="0"/>
      <w:numFmt w:val="bullet"/>
      <w:lvlText w:val="•"/>
      <w:lvlJc w:val="left"/>
      <w:pPr>
        <w:ind w:left="2915" w:hanging="532"/>
      </w:pPr>
      <w:rPr>
        <w:rFonts w:hint="default"/>
        <w:lang w:val="zh-CN" w:eastAsia="zh-CN" w:bidi="zh-CN"/>
      </w:rPr>
    </w:lvl>
    <w:lvl w:ilvl="4">
      <w:start w:val="0"/>
      <w:numFmt w:val="bullet"/>
      <w:lvlText w:val="•"/>
      <w:lvlJc w:val="left"/>
      <w:pPr>
        <w:ind w:left="3834" w:hanging="532"/>
      </w:pPr>
      <w:rPr>
        <w:rFonts w:hint="default"/>
        <w:lang w:val="zh-CN" w:eastAsia="zh-CN" w:bidi="zh-CN"/>
      </w:rPr>
    </w:lvl>
    <w:lvl w:ilvl="5">
      <w:start w:val="0"/>
      <w:numFmt w:val="bullet"/>
      <w:lvlText w:val="•"/>
      <w:lvlJc w:val="left"/>
      <w:pPr>
        <w:ind w:left="4753" w:hanging="532"/>
      </w:pPr>
      <w:rPr>
        <w:rFonts w:hint="default"/>
        <w:lang w:val="zh-CN" w:eastAsia="zh-CN" w:bidi="zh-CN"/>
      </w:rPr>
    </w:lvl>
    <w:lvl w:ilvl="6">
      <w:start w:val="0"/>
      <w:numFmt w:val="bullet"/>
      <w:lvlText w:val="•"/>
      <w:lvlJc w:val="left"/>
      <w:pPr>
        <w:ind w:left="5671" w:hanging="532"/>
      </w:pPr>
      <w:rPr>
        <w:rFonts w:hint="default"/>
        <w:lang w:val="zh-CN" w:eastAsia="zh-CN" w:bidi="zh-CN"/>
      </w:rPr>
    </w:lvl>
    <w:lvl w:ilvl="7">
      <w:start w:val="0"/>
      <w:numFmt w:val="bullet"/>
      <w:lvlText w:val="•"/>
      <w:lvlJc w:val="left"/>
      <w:pPr>
        <w:ind w:left="6590" w:hanging="532"/>
      </w:pPr>
      <w:rPr>
        <w:rFonts w:hint="default"/>
        <w:lang w:val="zh-CN" w:eastAsia="zh-CN" w:bidi="zh-CN"/>
      </w:rPr>
    </w:lvl>
    <w:lvl w:ilvl="8">
      <w:start w:val="0"/>
      <w:numFmt w:val="bullet"/>
      <w:lvlText w:val="•"/>
      <w:lvlJc w:val="left"/>
      <w:pPr>
        <w:ind w:left="7509" w:hanging="532"/>
      </w:pPr>
      <w:rPr>
        <w:rFonts w:hint="default"/>
        <w:lang w:val="zh-CN" w:eastAsia="zh-CN" w:bidi="zh-CN"/>
      </w:rPr>
    </w:lvl>
  </w:abstractNum>
  <w:abstractNum w:abstractNumId="23">
    <w:multiLevelType w:val="hybridMultilevel"/>
    <w:lvl w:ilvl="0">
      <w:start w:val="5"/>
      <w:numFmt w:val="decimal"/>
      <w:lvlText w:val="%1"/>
      <w:lvlJc w:val="left"/>
      <w:pPr>
        <w:ind w:left="479" w:hanging="320"/>
        <w:jc w:val="left"/>
      </w:pPr>
      <w:rPr>
        <w:rFonts w:hint="default"/>
        <w:lang w:val="zh-CN" w:eastAsia="zh-CN" w:bidi="zh-CN"/>
      </w:rPr>
    </w:lvl>
    <w:lvl w:ilvl="1">
      <w:start w:val="1"/>
      <w:numFmt w:val="decimal"/>
      <w:lvlText w:val="%1.%2"/>
      <w:lvlJc w:val="left"/>
      <w:pPr>
        <w:ind w:left="479" w:hanging="320"/>
        <w:jc w:val="left"/>
      </w:pPr>
      <w:rPr>
        <w:rFonts w:hint="default" w:ascii="Calibri" w:hAnsi="Calibri" w:eastAsia="Calibri" w:cs="Calibri"/>
        <w:spacing w:val="-1"/>
        <w:w w:val="100"/>
        <w:sz w:val="21"/>
        <w:szCs w:val="21"/>
        <w:lang w:val="zh-CN" w:eastAsia="zh-CN" w:bidi="zh-CN"/>
      </w:rPr>
    </w:lvl>
    <w:lvl w:ilvl="2">
      <w:start w:val="1"/>
      <w:numFmt w:val="decimal"/>
      <w:lvlText w:val="%1.%2.%3"/>
      <w:lvlJc w:val="left"/>
      <w:pPr>
        <w:ind w:left="640" w:hanging="480"/>
        <w:jc w:val="left"/>
      </w:pPr>
      <w:rPr>
        <w:rFonts w:hint="default" w:ascii="Calibri" w:hAnsi="Calibri" w:eastAsia="Calibri" w:cs="Calibri"/>
        <w:spacing w:val="-3"/>
        <w:w w:val="100"/>
        <w:sz w:val="21"/>
        <w:szCs w:val="21"/>
        <w:lang w:val="zh-CN" w:eastAsia="zh-CN" w:bidi="zh-CN"/>
      </w:rPr>
    </w:lvl>
    <w:lvl w:ilvl="3">
      <w:start w:val="1"/>
      <w:numFmt w:val="decimal"/>
      <w:lvlText w:val="（%4）"/>
      <w:lvlJc w:val="left"/>
      <w:pPr>
        <w:ind w:left="160" w:hanging="529"/>
        <w:jc w:val="left"/>
      </w:pPr>
      <w:rPr>
        <w:rFonts w:hint="default" w:ascii="宋体" w:hAnsi="宋体" w:eastAsia="宋体" w:cs="宋体"/>
        <w:spacing w:val="-25"/>
        <w:w w:val="100"/>
        <w:sz w:val="19"/>
        <w:szCs w:val="19"/>
        <w:lang w:val="zh-CN" w:eastAsia="zh-CN" w:bidi="zh-CN"/>
      </w:rPr>
    </w:lvl>
    <w:lvl w:ilvl="4">
      <w:start w:val="0"/>
      <w:numFmt w:val="bullet"/>
      <w:lvlText w:val="•"/>
      <w:lvlJc w:val="left"/>
      <w:pPr>
        <w:ind w:left="740" w:hanging="529"/>
      </w:pPr>
      <w:rPr>
        <w:rFonts w:hint="default"/>
        <w:lang w:val="zh-CN" w:eastAsia="zh-CN" w:bidi="zh-CN"/>
      </w:rPr>
    </w:lvl>
    <w:lvl w:ilvl="5">
      <w:start w:val="0"/>
      <w:numFmt w:val="bullet"/>
      <w:lvlText w:val="•"/>
      <w:lvlJc w:val="left"/>
      <w:pPr>
        <w:ind w:left="2174" w:hanging="529"/>
      </w:pPr>
      <w:rPr>
        <w:rFonts w:hint="default"/>
        <w:lang w:val="zh-CN" w:eastAsia="zh-CN" w:bidi="zh-CN"/>
      </w:rPr>
    </w:lvl>
    <w:lvl w:ilvl="6">
      <w:start w:val="0"/>
      <w:numFmt w:val="bullet"/>
      <w:lvlText w:val="•"/>
      <w:lvlJc w:val="left"/>
      <w:pPr>
        <w:ind w:left="3608" w:hanging="529"/>
      </w:pPr>
      <w:rPr>
        <w:rFonts w:hint="default"/>
        <w:lang w:val="zh-CN" w:eastAsia="zh-CN" w:bidi="zh-CN"/>
      </w:rPr>
    </w:lvl>
    <w:lvl w:ilvl="7">
      <w:start w:val="0"/>
      <w:numFmt w:val="bullet"/>
      <w:lvlText w:val="•"/>
      <w:lvlJc w:val="left"/>
      <w:pPr>
        <w:ind w:left="5043" w:hanging="529"/>
      </w:pPr>
      <w:rPr>
        <w:rFonts w:hint="default"/>
        <w:lang w:val="zh-CN" w:eastAsia="zh-CN" w:bidi="zh-CN"/>
      </w:rPr>
    </w:lvl>
    <w:lvl w:ilvl="8">
      <w:start w:val="0"/>
      <w:numFmt w:val="bullet"/>
      <w:lvlText w:val="•"/>
      <w:lvlJc w:val="left"/>
      <w:pPr>
        <w:ind w:left="6477" w:hanging="529"/>
      </w:pPr>
      <w:rPr>
        <w:rFonts w:hint="default"/>
        <w:lang w:val="zh-CN" w:eastAsia="zh-CN" w:bidi="zh-CN"/>
      </w:rPr>
    </w:lvl>
  </w:abstractNum>
  <w:abstractNum w:abstractNumId="22">
    <w:multiLevelType w:val="hybridMultilevel"/>
    <w:lvl w:ilvl="0">
      <w:start w:val="1"/>
      <w:numFmt w:val="decimal"/>
      <w:lvlText w:val="（%1）"/>
      <w:lvlJc w:val="left"/>
      <w:pPr>
        <w:ind w:left="110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1924" w:hanging="529"/>
      </w:pPr>
      <w:rPr>
        <w:rFonts w:hint="default"/>
        <w:lang w:val="zh-CN" w:eastAsia="zh-CN" w:bidi="zh-CN"/>
      </w:rPr>
    </w:lvl>
    <w:lvl w:ilvl="2">
      <w:start w:val="0"/>
      <w:numFmt w:val="bullet"/>
      <w:lvlText w:val="•"/>
      <w:lvlJc w:val="left"/>
      <w:pPr>
        <w:ind w:left="2749" w:hanging="529"/>
      </w:pPr>
      <w:rPr>
        <w:rFonts w:hint="default"/>
        <w:lang w:val="zh-CN" w:eastAsia="zh-CN" w:bidi="zh-CN"/>
      </w:rPr>
    </w:lvl>
    <w:lvl w:ilvl="3">
      <w:start w:val="0"/>
      <w:numFmt w:val="bullet"/>
      <w:lvlText w:val="•"/>
      <w:lvlJc w:val="left"/>
      <w:pPr>
        <w:ind w:left="3573" w:hanging="529"/>
      </w:pPr>
      <w:rPr>
        <w:rFonts w:hint="default"/>
        <w:lang w:val="zh-CN" w:eastAsia="zh-CN" w:bidi="zh-CN"/>
      </w:rPr>
    </w:lvl>
    <w:lvl w:ilvl="4">
      <w:start w:val="0"/>
      <w:numFmt w:val="bullet"/>
      <w:lvlText w:val="•"/>
      <w:lvlJc w:val="left"/>
      <w:pPr>
        <w:ind w:left="4398" w:hanging="529"/>
      </w:pPr>
      <w:rPr>
        <w:rFonts w:hint="default"/>
        <w:lang w:val="zh-CN" w:eastAsia="zh-CN" w:bidi="zh-CN"/>
      </w:rPr>
    </w:lvl>
    <w:lvl w:ilvl="5">
      <w:start w:val="0"/>
      <w:numFmt w:val="bullet"/>
      <w:lvlText w:val="•"/>
      <w:lvlJc w:val="left"/>
      <w:pPr>
        <w:ind w:left="5223" w:hanging="529"/>
      </w:pPr>
      <w:rPr>
        <w:rFonts w:hint="default"/>
        <w:lang w:val="zh-CN" w:eastAsia="zh-CN" w:bidi="zh-CN"/>
      </w:rPr>
    </w:lvl>
    <w:lvl w:ilvl="6">
      <w:start w:val="0"/>
      <w:numFmt w:val="bullet"/>
      <w:lvlText w:val="•"/>
      <w:lvlJc w:val="left"/>
      <w:pPr>
        <w:ind w:left="6047" w:hanging="529"/>
      </w:pPr>
      <w:rPr>
        <w:rFonts w:hint="default"/>
        <w:lang w:val="zh-CN" w:eastAsia="zh-CN" w:bidi="zh-CN"/>
      </w:rPr>
    </w:lvl>
    <w:lvl w:ilvl="7">
      <w:start w:val="0"/>
      <w:numFmt w:val="bullet"/>
      <w:lvlText w:val="•"/>
      <w:lvlJc w:val="left"/>
      <w:pPr>
        <w:ind w:left="6872" w:hanging="529"/>
      </w:pPr>
      <w:rPr>
        <w:rFonts w:hint="default"/>
        <w:lang w:val="zh-CN" w:eastAsia="zh-CN" w:bidi="zh-CN"/>
      </w:rPr>
    </w:lvl>
    <w:lvl w:ilvl="8">
      <w:start w:val="0"/>
      <w:numFmt w:val="bullet"/>
      <w:lvlText w:val="•"/>
      <w:lvlJc w:val="left"/>
      <w:pPr>
        <w:ind w:left="7697" w:hanging="529"/>
      </w:pPr>
      <w:rPr>
        <w:rFonts w:hint="default"/>
        <w:lang w:val="zh-CN" w:eastAsia="zh-CN" w:bidi="zh-CN"/>
      </w:rPr>
    </w:lvl>
  </w:abstractNum>
  <w:abstractNum w:abstractNumId="21">
    <w:multiLevelType w:val="hybridMultilevel"/>
    <w:lvl w:ilvl="0">
      <w:start w:val="1"/>
      <w:numFmt w:val="decimal"/>
      <w:lvlText w:val="（%1）"/>
      <w:lvlJc w:val="left"/>
      <w:pPr>
        <w:ind w:left="110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1924" w:hanging="529"/>
      </w:pPr>
      <w:rPr>
        <w:rFonts w:hint="default"/>
        <w:lang w:val="zh-CN" w:eastAsia="zh-CN" w:bidi="zh-CN"/>
      </w:rPr>
    </w:lvl>
    <w:lvl w:ilvl="2">
      <w:start w:val="0"/>
      <w:numFmt w:val="bullet"/>
      <w:lvlText w:val="•"/>
      <w:lvlJc w:val="left"/>
      <w:pPr>
        <w:ind w:left="2749" w:hanging="529"/>
      </w:pPr>
      <w:rPr>
        <w:rFonts w:hint="default"/>
        <w:lang w:val="zh-CN" w:eastAsia="zh-CN" w:bidi="zh-CN"/>
      </w:rPr>
    </w:lvl>
    <w:lvl w:ilvl="3">
      <w:start w:val="0"/>
      <w:numFmt w:val="bullet"/>
      <w:lvlText w:val="•"/>
      <w:lvlJc w:val="left"/>
      <w:pPr>
        <w:ind w:left="3573" w:hanging="529"/>
      </w:pPr>
      <w:rPr>
        <w:rFonts w:hint="default"/>
        <w:lang w:val="zh-CN" w:eastAsia="zh-CN" w:bidi="zh-CN"/>
      </w:rPr>
    </w:lvl>
    <w:lvl w:ilvl="4">
      <w:start w:val="0"/>
      <w:numFmt w:val="bullet"/>
      <w:lvlText w:val="•"/>
      <w:lvlJc w:val="left"/>
      <w:pPr>
        <w:ind w:left="4398" w:hanging="529"/>
      </w:pPr>
      <w:rPr>
        <w:rFonts w:hint="default"/>
        <w:lang w:val="zh-CN" w:eastAsia="zh-CN" w:bidi="zh-CN"/>
      </w:rPr>
    </w:lvl>
    <w:lvl w:ilvl="5">
      <w:start w:val="0"/>
      <w:numFmt w:val="bullet"/>
      <w:lvlText w:val="•"/>
      <w:lvlJc w:val="left"/>
      <w:pPr>
        <w:ind w:left="5223" w:hanging="529"/>
      </w:pPr>
      <w:rPr>
        <w:rFonts w:hint="default"/>
        <w:lang w:val="zh-CN" w:eastAsia="zh-CN" w:bidi="zh-CN"/>
      </w:rPr>
    </w:lvl>
    <w:lvl w:ilvl="6">
      <w:start w:val="0"/>
      <w:numFmt w:val="bullet"/>
      <w:lvlText w:val="•"/>
      <w:lvlJc w:val="left"/>
      <w:pPr>
        <w:ind w:left="6047" w:hanging="529"/>
      </w:pPr>
      <w:rPr>
        <w:rFonts w:hint="default"/>
        <w:lang w:val="zh-CN" w:eastAsia="zh-CN" w:bidi="zh-CN"/>
      </w:rPr>
    </w:lvl>
    <w:lvl w:ilvl="7">
      <w:start w:val="0"/>
      <w:numFmt w:val="bullet"/>
      <w:lvlText w:val="•"/>
      <w:lvlJc w:val="left"/>
      <w:pPr>
        <w:ind w:left="6872" w:hanging="529"/>
      </w:pPr>
      <w:rPr>
        <w:rFonts w:hint="default"/>
        <w:lang w:val="zh-CN" w:eastAsia="zh-CN" w:bidi="zh-CN"/>
      </w:rPr>
    </w:lvl>
    <w:lvl w:ilvl="8">
      <w:start w:val="0"/>
      <w:numFmt w:val="bullet"/>
      <w:lvlText w:val="•"/>
      <w:lvlJc w:val="left"/>
      <w:pPr>
        <w:ind w:left="7697" w:hanging="529"/>
      </w:pPr>
      <w:rPr>
        <w:rFonts w:hint="default"/>
        <w:lang w:val="zh-CN" w:eastAsia="zh-CN" w:bidi="zh-CN"/>
      </w:rPr>
    </w:lvl>
  </w:abstractNum>
  <w:abstractNum w:abstractNumId="20">
    <w:multiLevelType w:val="hybridMultilevel"/>
    <w:lvl w:ilvl="0">
      <w:start w:val="1"/>
      <w:numFmt w:val="decimal"/>
      <w:lvlText w:val="（%1）"/>
      <w:lvlJc w:val="left"/>
      <w:pPr>
        <w:ind w:left="110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1924" w:hanging="529"/>
      </w:pPr>
      <w:rPr>
        <w:rFonts w:hint="default"/>
        <w:lang w:val="zh-CN" w:eastAsia="zh-CN" w:bidi="zh-CN"/>
      </w:rPr>
    </w:lvl>
    <w:lvl w:ilvl="2">
      <w:start w:val="0"/>
      <w:numFmt w:val="bullet"/>
      <w:lvlText w:val="•"/>
      <w:lvlJc w:val="left"/>
      <w:pPr>
        <w:ind w:left="2749" w:hanging="529"/>
      </w:pPr>
      <w:rPr>
        <w:rFonts w:hint="default"/>
        <w:lang w:val="zh-CN" w:eastAsia="zh-CN" w:bidi="zh-CN"/>
      </w:rPr>
    </w:lvl>
    <w:lvl w:ilvl="3">
      <w:start w:val="0"/>
      <w:numFmt w:val="bullet"/>
      <w:lvlText w:val="•"/>
      <w:lvlJc w:val="left"/>
      <w:pPr>
        <w:ind w:left="3573" w:hanging="529"/>
      </w:pPr>
      <w:rPr>
        <w:rFonts w:hint="default"/>
        <w:lang w:val="zh-CN" w:eastAsia="zh-CN" w:bidi="zh-CN"/>
      </w:rPr>
    </w:lvl>
    <w:lvl w:ilvl="4">
      <w:start w:val="0"/>
      <w:numFmt w:val="bullet"/>
      <w:lvlText w:val="•"/>
      <w:lvlJc w:val="left"/>
      <w:pPr>
        <w:ind w:left="4398" w:hanging="529"/>
      </w:pPr>
      <w:rPr>
        <w:rFonts w:hint="default"/>
        <w:lang w:val="zh-CN" w:eastAsia="zh-CN" w:bidi="zh-CN"/>
      </w:rPr>
    </w:lvl>
    <w:lvl w:ilvl="5">
      <w:start w:val="0"/>
      <w:numFmt w:val="bullet"/>
      <w:lvlText w:val="•"/>
      <w:lvlJc w:val="left"/>
      <w:pPr>
        <w:ind w:left="5223" w:hanging="529"/>
      </w:pPr>
      <w:rPr>
        <w:rFonts w:hint="default"/>
        <w:lang w:val="zh-CN" w:eastAsia="zh-CN" w:bidi="zh-CN"/>
      </w:rPr>
    </w:lvl>
    <w:lvl w:ilvl="6">
      <w:start w:val="0"/>
      <w:numFmt w:val="bullet"/>
      <w:lvlText w:val="•"/>
      <w:lvlJc w:val="left"/>
      <w:pPr>
        <w:ind w:left="6047" w:hanging="529"/>
      </w:pPr>
      <w:rPr>
        <w:rFonts w:hint="default"/>
        <w:lang w:val="zh-CN" w:eastAsia="zh-CN" w:bidi="zh-CN"/>
      </w:rPr>
    </w:lvl>
    <w:lvl w:ilvl="7">
      <w:start w:val="0"/>
      <w:numFmt w:val="bullet"/>
      <w:lvlText w:val="•"/>
      <w:lvlJc w:val="left"/>
      <w:pPr>
        <w:ind w:left="6872" w:hanging="529"/>
      </w:pPr>
      <w:rPr>
        <w:rFonts w:hint="default"/>
        <w:lang w:val="zh-CN" w:eastAsia="zh-CN" w:bidi="zh-CN"/>
      </w:rPr>
    </w:lvl>
    <w:lvl w:ilvl="8">
      <w:start w:val="0"/>
      <w:numFmt w:val="bullet"/>
      <w:lvlText w:val="•"/>
      <w:lvlJc w:val="left"/>
      <w:pPr>
        <w:ind w:left="7697" w:hanging="529"/>
      </w:pPr>
      <w:rPr>
        <w:rFonts w:hint="default"/>
        <w:lang w:val="zh-CN" w:eastAsia="zh-CN" w:bidi="zh-CN"/>
      </w:rPr>
    </w:lvl>
  </w:abstractNum>
  <w:abstractNum w:abstractNumId="19">
    <w:multiLevelType w:val="hybridMultilevel"/>
    <w:lvl w:ilvl="0">
      <w:start w:val="1"/>
      <w:numFmt w:val="decimal"/>
      <w:lvlText w:val="（%1）"/>
      <w:lvlJc w:val="left"/>
      <w:pPr>
        <w:ind w:left="160" w:hanging="532"/>
        <w:jc w:val="left"/>
      </w:pPr>
      <w:rPr>
        <w:rFonts w:hint="default" w:ascii="宋体" w:hAnsi="宋体" w:eastAsia="宋体" w:cs="宋体"/>
        <w:spacing w:val="-15"/>
        <w:w w:val="100"/>
        <w:sz w:val="19"/>
        <w:szCs w:val="19"/>
        <w:lang w:val="zh-CN" w:eastAsia="zh-CN" w:bidi="zh-CN"/>
      </w:rPr>
    </w:lvl>
    <w:lvl w:ilvl="1">
      <w:start w:val="0"/>
      <w:numFmt w:val="bullet"/>
      <w:lvlText w:val="•"/>
      <w:lvlJc w:val="left"/>
      <w:pPr>
        <w:ind w:left="1078" w:hanging="532"/>
      </w:pPr>
      <w:rPr>
        <w:rFonts w:hint="default"/>
        <w:lang w:val="zh-CN" w:eastAsia="zh-CN" w:bidi="zh-CN"/>
      </w:rPr>
    </w:lvl>
    <w:lvl w:ilvl="2">
      <w:start w:val="0"/>
      <w:numFmt w:val="bullet"/>
      <w:lvlText w:val="•"/>
      <w:lvlJc w:val="left"/>
      <w:pPr>
        <w:ind w:left="1997" w:hanging="532"/>
      </w:pPr>
      <w:rPr>
        <w:rFonts w:hint="default"/>
        <w:lang w:val="zh-CN" w:eastAsia="zh-CN" w:bidi="zh-CN"/>
      </w:rPr>
    </w:lvl>
    <w:lvl w:ilvl="3">
      <w:start w:val="0"/>
      <w:numFmt w:val="bullet"/>
      <w:lvlText w:val="•"/>
      <w:lvlJc w:val="left"/>
      <w:pPr>
        <w:ind w:left="2915" w:hanging="532"/>
      </w:pPr>
      <w:rPr>
        <w:rFonts w:hint="default"/>
        <w:lang w:val="zh-CN" w:eastAsia="zh-CN" w:bidi="zh-CN"/>
      </w:rPr>
    </w:lvl>
    <w:lvl w:ilvl="4">
      <w:start w:val="0"/>
      <w:numFmt w:val="bullet"/>
      <w:lvlText w:val="•"/>
      <w:lvlJc w:val="left"/>
      <w:pPr>
        <w:ind w:left="3834" w:hanging="532"/>
      </w:pPr>
      <w:rPr>
        <w:rFonts w:hint="default"/>
        <w:lang w:val="zh-CN" w:eastAsia="zh-CN" w:bidi="zh-CN"/>
      </w:rPr>
    </w:lvl>
    <w:lvl w:ilvl="5">
      <w:start w:val="0"/>
      <w:numFmt w:val="bullet"/>
      <w:lvlText w:val="•"/>
      <w:lvlJc w:val="left"/>
      <w:pPr>
        <w:ind w:left="4753" w:hanging="532"/>
      </w:pPr>
      <w:rPr>
        <w:rFonts w:hint="default"/>
        <w:lang w:val="zh-CN" w:eastAsia="zh-CN" w:bidi="zh-CN"/>
      </w:rPr>
    </w:lvl>
    <w:lvl w:ilvl="6">
      <w:start w:val="0"/>
      <w:numFmt w:val="bullet"/>
      <w:lvlText w:val="•"/>
      <w:lvlJc w:val="left"/>
      <w:pPr>
        <w:ind w:left="5671" w:hanging="532"/>
      </w:pPr>
      <w:rPr>
        <w:rFonts w:hint="default"/>
        <w:lang w:val="zh-CN" w:eastAsia="zh-CN" w:bidi="zh-CN"/>
      </w:rPr>
    </w:lvl>
    <w:lvl w:ilvl="7">
      <w:start w:val="0"/>
      <w:numFmt w:val="bullet"/>
      <w:lvlText w:val="•"/>
      <w:lvlJc w:val="left"/>
      <w:pPr>
        <w:ind w:left="6590" w:hanging="532"/>
      </w:pPr>
      <w:rPr>
        <w:rFonts w:hint="default"/>
        <w:lang w:val="zh-CN" w:eastAsia="zh-CN" w:bidi="zh-CN"/>
      </w:rPr>
    </w:lvl>
    <w:lvl w:ilvl="8">
      <w:start w:val="0"/>
      <w:numFmt w:val="bullet"/>
      <w:lvlText w:val="•"/>
      <w:lvlJc w:val="left"/>
      <w:pPr>
        <w:ind w:left="7509" w:hanging="532"/>
      </w:pPr>
      <w:rPr>
        <w:rFonts w:hint="default"/>
        <w:lang w:val="zh-CN" w:eastAsia="zh-CN" w:bidi="zh-CN"/>
      </w:rPr>
    </w:lvl>
  </w:abstractNum>
  <w:abstractNum w:abstractNumId="18">
    <w:multiLevelType w:val="hybridMultilevel"/>
    <w:lvl w:ilvl="0">
      <w:start w:val="1"/>
      <w:numFmt w:val="decimal"/>
      <w:lvlText w:val="（%1）"/>
      <w:lvlJc w:val="left"/>
      <w:pPr>
        <w:ind w:left="160" w:hanging="532"/>
        <w:jc w:val="left"/>
      </w:pPr>
      <w:rPr>
        <w:rFonts w:hint="default" w:ascii="宋体" w:hAnsi="宋体" w:eastAsia="宋体" w:cs="宋体"/>
        <w:spacing w:val="-108"/>
        <w:w w:val="100"/>
        <w:sz w:val="19"/>
        <w:szCs w:val="19"/>
        <w:lang w:val="zh-CN" w:eastAsia="zh-CN" w:bidi="zh-CN"/>
      </w:rPr>
    </w:lvl>
    <w:lvl w:ilvl="1">
      <w:start w:val="0"/>
      <w:numFmt w:val="bullet"/>
      <w:lvlText w:val="•"/>
      <w:lvlJc w:val="left"/>
      <w:pPr>
        <w:ind w:left="1078" w:hanging="532"/>
      </w:pPr>
      <w:rPr>
        <w:rFonts w:hint="default"/>
        <w:lang w:val="zh-CN" w:eastAsia="zh-CN" w:bidi="zh-CN"/>
      </w:rPr>
    </w:lvl>
    <w:lvl w:ilvl="2">
      <w:start w:val="0"/>
      <w:numFmt w:val="bullet"/>
      <w:lvlText w:val="•"/>
      <w:lvlJc w:val="left"/>
      <w:pPr>
        <w:ind w:left="1997" w:hanging="532"/>
      </w:pPr>
      <w:rPr>
        <w:rFonts w:hint="default"/>
        <w:lang w:val="zh-CN" w:eastAsia="zh-CN" w:bidi="zh-CN"/>
      </w:rPr>
    </w:lvl>
    <w:lvl w:ilvl="3">
      <w:start w:val="0"/>
      <w:numFmt w:val="bullet"/>
      <w:lvlText w:val="•"/>
      <w:lvlJc w:val="left"/>
      <w:pPr>
        <w:ind w:left="2915" w:hanging="532"/>
      </w:pPr>
      <w:rPr>
        <w:rFonts w:hint="default"/>
        <w:lang w:val="zh-CN" w:eastAsia="zh-CN" w:bidi="zh-CN"/>
      </w:rPr>
    </w:lvl>
    <w:lvl w:ilvl="4">
      <w:start w:val="0"/>
      <w:numFmt w:val="bullet"/>
      <w:lvlText w:val="•"/>
      <w:lvlJc w:val="left"/>
      <w:pPr>
        <w:ind w:left="3834" w:hanging="532"/>
      </w:pPr>
      <w:rPr>
        <w:rFonts w:hint="default"/>
        <w:lang w:val="zh-CN" w:eastAsia="zh-CN" w:bidi="zh-CN"/>
      </w:rPr>
    </w:lvl>
    <w:lvl w:ilvl="5">
      <w:start w:val="0"/>
      <w:numFmt w:val="bullet"/>
      <w:lvlText w:val="•"/>
      <w:lvlJc w:val="left"/>
      <w:pPr>
        <w:ind w:left="4753" w:hanging="532"/>
      </w:pPr>
      <w:rPr>
        <w:rFonts w:hint="default"/>
        <w:lang w:val="zh-CN" w:eastAsia="zh-CN" w:bidi="zh-CN"/>
      </w:rPr>
    </w:lvl>
    <w:lvl w:ilvl="6">
      <w:start w:val="0"/>
      <w:numFmt w:val="bullet"/>
      <w:lvlText w:val="•"/>
      <w:lvlJc w:val="left"/>
      <w:pPr>
        <w:ind w:left="5671" w:hanging="532"/>
      </w:pPr>
      <w:rPr>
        <w:rFonts w:hint="default"/>
        <w:lang w:val="zh-CN" w:eastAsia="zh-CN" w:bidi="zh-CN"/>
      </w:rPr>
    </w:lvl>
    <w:lvl w:ilvl="7">
      <w:start w:val="0"/>
      <w:numFmt w:val="bullet"/>
      <w:lvlText w:val="•"/>
      <w:lvlJc w:val="left"/>
      <w:pPr>
        <w:ind w:left="6590" w:hanging="532"/>
      </w:pPr>
      <w:rPr>
        <w:rFonts w:hint="default"/>
        <w:lang w:val="zh-CN" w:eastAsia="zh-CN" w:bidi="zh-CN"/>
      </w:rPr>
    </w:lvl>
    <w:lvl w:ilvl="8">
      <w:start w:val="0"/>
      <w:numFmt w:val="bullet"/>
      <w:lvlText w:val="•"/>
      <w:lvlJc w:val="left"/>
      <w:pPr>
        <w:ind w:left="7509" w:hanging="532"/>
      </w:pPr>
      <w:rPr>
        <w:rFonts w:hint="default"/>
        <w:lang w:val="zh-CN" w:eastAsia="zh-CN" w:bidi="zh-CN"/>
      </w:rPr>
    </w:lvl>
  </w:abstractNum>
  <w:abstractNum w:abstractNumId="17">
    <w:multiLevelType w:val="hybridMultilevel"/>
    <w:lvl w:ilvl="0">
      <w:start w:val="1"/>
      <w:numFmt w:val="decimal"/>
      <w:lvlText w:val="（%1）"/>
      <w:lvlJc w:val="left"/>
      <w:pPr>
        <w:ind w:left="160" w:hanging="529"/>
        <w:jc w:val="left"/>
      </w:pPr>
      <w:rPr>
        <w:rFonts w:hint="default" w:ascii="宋体" w:hAnsi="宋体" w:eastAsia="宋体" w:cs="宋体"/>
        <w:spacing w:val="-24"/>
        <w:w w:val="100"/>
        <w:sz w:val="19"/>
        <w:szCs w:val="19"/>
        <w:lang w:val="zh-CN" w:eastAsia="zh-CN" w:bidi="zh-CN"/>
      </w:rPr>
    </w:lvl>
    <w:lvl w:ilvl="1">
      <w:start w:val="0"/>
      <w:numFmt w:val="bullet"/>
      <w:lvlText w:val="•"/>
      <w:lvlJc w:val="left"/>
      <w:pPr>
        <w:ind w:left="1078" w:hanging="529"/>
      </w:pPr>
      <w:rPr>
        <w:rFonts w:hint="default"/>
        <w:lang w:val="zh-CN" w:eastAsia="zh-CN" w:bidi="zh-CN"/>
      </w:rPr>
    </w:lvl>
    <w:lvl w:ilvl="2">
      <w:start w:val="0"/>
      <w:numFmt w:val="bullet"/>
      <w:lvlText w:val="•"/>
      <w:lvlJc w:val="left"/>
      <w:pPr>
        <w:ind w:left="1997" w:hanging="529"/>
      </w:pPr>
      <w:rPr>
        <w:rFonts w:hint="default"/>
        <w:lang w:val="zh-CN" w:eastAsia="zh-CN" w:bidi="zh-CN"/>
      </w:rPr>
    </w:lvl>
    <w:lvl w:ilvl="3">
      <w:start w:val="0"/>
      <w:numFmt w:val="bullet"/>
      <w:lvlText w:val="•"/>
      <w:lvlJc w:val="left"/>
      <w:pPr>
        <w:ind w:left="2915" w:hanging="529"/>
      </w:pPr>
      <w:rPr>
        <w:rFonts w:hint="default"/>
        <w:lang w:val="zh-CN" w:eastAsia="zh-CN" w:bidi="zh-CN"/>
      </w:rPr>
    </w:lvl>
    <w:lvl w:ilvl="4">
      <w:start w:val="0"/>
      <w:numFmt w:val="bullet"/>
      <w:lvlText w:val="•"/>
      <w:lvlJc w:val="left"/>
      <w:pPr>
        <w:ind w:left="3834" w:hanging="529"/>
      </w:pPr>
      <w:rPr>
        <w:rFonts w:hint="default"/>
        <w:lang w:val="zh-CN" w:eastAsia="zh-CN" w:bidi="zh-CN"/>
      </w:rPr>
    </w:lvl>
    <w:lvl w:ilvl="5">
      <w:start w:val="0"/>
      <w:numFmt w:val="bullet"/>
      <w:lvlText w:val="•"/>
      <w:lvlJc w:val="left"/>
      <w:pPr>
        <w:ind w:left="4753" w:hanging="529"/>
      </w:pPr>
      <w:rPr>
        <w:rFonts w:hint="default"/>
        <w:lang w:val="zh-CN" w:eastAsia="zh-CN" w:bidi="zh-CN"/>
      </w:rPr>
    </w:lvl>
    <w:lvl w:ilvl="6">
      <w:start w:val="0"/>
      <w:numFmt w:val="bullet"/>
      <w:lvlText w:val="•"/>
      <w:lvlJc w:val="left"/>
      <w:pPr>
        <w:ind w:left="5671" w:hanging="529"/>
      </w:pPr>
      <w:rPr>
        <w:rFonts w:hint="default"/>
        <w:lang w:val="zh-CN" w:eastAsia="zh-CN" w:bidi="zh-CN"/>
      </w:rPr>
    </w:lvl>
    <w:lvl w:ilvl="7">
      <w:start w:val="0"/>
      <w:numFmt w:val="bullet"/>
      <w:lvlText w:val="•"/>
      <w:lvlJc w:val="left"/>
      <w:pPr>
        <w:ind w:left="6590" w:hanging="529"/>
      </w:pPr>
      <w:rPr>
        <w:rFonts w:hint="default"/>
        <w:lang w:val="zh-CN" w:eastAsia="zh-CN" w:bidi="zh-CN"/>
      </w:rPr>
    </w:lvl>
    <w:lvl w:ilvl="8">
      <w:start w:val="0"/>
      <w:numFmt w:val="bullet"/>
      <w:lvlText w:val="•"/>
      <w:lvlJc w:val="left"/>
      <w:pPr>
        <w:ind w:left="7509" w:hanging="529"/>
      </w:pPr>
      <w:rPr>
        <w:rFonts w:hint="default"/>
        <w:lang w:val="zh-CN" w:eastAsia="zh-CN" w:bidi="zh-CN"/>
      </w:rPr>
    </w:lvl>
  </w:abstractNum>
  <w:abstractNum w:abstractNumId="16">
    <w:multiLevelType w:val="hybridMultilevel"/>
    <w:lvl w:ilvl="0">
      <w:start w:val="1"/>
      <w:numFmt w:val="decimal"/>
      <w:lvlText w:val="（%1）"/>
      <w:lvlJc w:val="left"/>
      <w:pPr>
        <w:ind w:left="160" w:hanging="532"/>
        <w:jc w:val="left"/>
      </w:pPr>
      <w:rPr>
        <w:rFonts w:hint="default" w:ascii="宋体" w:hAnsi="宋体" w:eastAsia="宋体" w:cs="宋体"/>
        <w:spacing w:val="-27"/>
        <w:w w:val="100"/>
        <w:sz w:val="19"/>
        <w:szCs w:val="19"/>
        <w:lang w:val="zh-CN" w:eastAsia="zh-CN" w:bidi="zh-CN"/>
      </w:rPr>
    </w:lvl>
    <w:lvl w:ilvl="1">
      <w:start w:val="0"/>
      <w:numFmt w:val="bullet"/>
      <w:lvlText w:val="•"/>
      <w:lvlJc w:val="left"/>
      <w:pPr>
        <w:ind w:left="1078" w:hanging="532"/>
      </w:pPr>
      <w:rPr>
        <w:rFonts w:hint="default"/>
        <w:lang w:val="zh-CN" w:eastAsia="zh-CN" w:bidi="zh-CN"/>
      </w:rPr>
    </w:lvl>
    <w:lvl w:ilvl="2">
      <w:start w:val="0"/>
      <w:numFmt w:val="bullet"/>
      <w:lvlText w:val="•"/>
      <w:lvlJc w:val="left"/>
      <w:pPr>
        <w:ind w:left="1997" w:hanging="532"/>
      </w:pPr>
      <w:rPr>
        <w:rFonts w:hint="default"/>
        <w:lang w:val="zh-CN" w:eastAsia="zh-CN" w:bidi="zh-CN"/>
      </w:rPr>
    </w:lvl>
    <w:lvl w:ilvl="3">
      <w:start w:val="0"/>
      <w:numFmt w:val="bullet"/>
      <w:lvlText w:val="•"/>
      <w:lvlJc w:val="left"/>
      <w:pPr>
        <w:ind w:left="2915" w:hanging="532"/>
      </w:pPr>
      <w:rPr>
        <w:rFonts w:hint="default"/>
        <w:lang w:val="zh-CN" w:eastAsia="zh-CN" w:bidi="zh-CN"/>
      </w:rPr>
    </w:lvl>
    <w:lvl w:ilvl="4">
      <w:start w:val="0"/>
      <w:numFmt w:val="bullet"/>
      <w:lvlText w:val="•"/>
      <w:lvlJc w:val="left"/>
      <w:pPr>
        <w:ind w:left="3834" w:hanging="532"/>
      </w:pPr>
      <w:rPr>
        <w:rFonts w:hint="default"/>
        <w:lang w:val="zh-CN" w:eastAsia="zh-CN" w:bidi="zh-CN"/>
      </w:rPr>
    </w:lvl>
    <w:lvl w:ilvl="5">
      <w:start w:val="0"/>
      <w:numFmt w:val="bullet"/>
      <w:lvlText w:val="•"/>
      <w:lvlJc w:val="left"/>
      <w:pPr>
        <w:ind w:left="4753" w:hanging="532"/>
      </w:pPr>
      <w:rPr>
        <w:rFonts w:hint="default"/>
        <w:lang w:val="zh-CN" w:eastAsia="zh-CN" w:bidi="zh-CN"/>
      </w:rPr>
    </w:lvl>
    <w:lvl w:ilvl="6">
      <w:start w:val="0"/>
      <w:numFmt w:val="bullet"/>
      <w:lvlText w:val="•"/>
      <w:lvlJc w:val="left"/>
      <w:pPr>
        <w:ind w:left="5671" w:hanging="532"/>
      </w:pPr>
      <w:rPr>
        <w:rFonts w:hint="default"/>
        <w:lang w:val="zh-CN" w:eastAsia="zh-CN" w:bidi="zh-CN"/>
      </w:rPr>
    </w:lvl>
    <w:lvl w:ilvl="7">
      <w:start w:val="0"/>
      <w:numFmt w:val="bullet"/>
      <w:lvlText w:val="•"/>
      <w:lvlJc w:val="left"/>
      <w:pPr>
        <w:ind w:left="6590" w:hanging="532"/>
      </w:pPr>
      <w:rPr>
        <w:rFonts w:hint="default"/>
        <w:lang w:val="zh-CN" w:eastAsia="zh-CN" w:bidi="zh-CN"/>
      </w:rPr>
    </w:lvl>
    <w:lvl w:ilvl="8">
      <w:start w:val="0"/>
      <w:numFmt w:val="bullet"/>
      <w:lvlText w:val="•"/>
      <w:lvlJc w:val="left"/>
      <w:pPr>
        <w:ind w:left="7509" w:hanging="532"/>
      </w:pPr>
      <w:rPr>
        <w:rFonts w:hint="default"/>
        <w:lang w:val="zh-CN" w:eastAsia="zh-CN" w:bidi="zh-CN"/>
      </w:rPr>
    </w:lvl>
  </w:abstractNum>
  <w:abstractNum w:abstractNumId="15">
    <w:multiLevelType w:val="hybridMultilevel"/>
    <w:lvl w:ilvl="0">
      <w:start w:val="1"/>
      <w:numFmt w:val="decimal"/>
      <w:lvlText w:val="（%1）"/>
      <w:lvlJc w:val="left"/>
      <w:pPr>
        <w:ind w:left="160" w:hanging="532"/>
        <w:jc w:val="left"/>
      </w:pPr>
      <w:rPr>
        <w:rFonts w:hint="default" w:ascii="宋体" w:hAnsi="宋体" w:eastAsia="宋体" w:cs="宋体"/>
        <w:spacing w:val="-15"/>
        <w:w w:val="100"/>
        <w:sz w:val="19"/>
        <w:szCs w:val="19"/>
        <w:lang w:val="zh-CN" w:eastAsia="zh-CN" w:bidi="zh-CN"/>
      </w:rPr>
    </w:lvl>
    <w:lvl w:ilvl="1">
      <w:start w:val="0"/>
      <w:numFmt w:val="bullet"/>
      <w:lvlText w:val="•"/>
      <w:lvlJc w:val="left"/>
      <w:pPr>
        <w:ind w:left="1078" w:hanging="532"/>
      </w:pPr>
      <w:rPr>
        <w:rFonts w:hint="default"/>
        <w:lang w:val="zh-CN" w:eastAsia="zh-CN" w:bidi="zh-CN"/>
      </w:rPr>
    </w:lvl>
    <w:lvl w:ilvl="2">
      <w:start w:val="0"/>
      <w:numFmt w:val="bullet"/>
      <w:lvlText w:val="•"/>
      <w:lvlJc w:val="left"/>
      <w:pPr>
        <w:ind w:left="1997" w:hanging="532"/>
      </w:pPr>
      <w:rPr>
        <w:rFonts w:hint="default"/>
        <w:lang w:val="zh-CN" w:eastAsia="zh-CN" w:bidi="zh-CN"/>
      </w:rPr>
    </w:lvl>
    <w:lvl w:ilvl="3">
      <w:start w:val="0"/>
      <w:numFmt w:val="bullet"/>
      <w:lvlText w:val="•"/>
      <w:lvlJc w:val="left"/>
      <w:pPr>
        <w:ind w:left="2915" w:hanging="532"/>
      </w:pPr>
      <w:rPr>
        <w:rFonts w:hint="default"/>
        <w:lang w:val="zh-CN" w:eastAsia="zh-CN" w:bidi="zh-CN"/>
      </w:rPr>
    </w:lvl>
    <w:lvl w:ilvl="4">
      <w:start w:val="0"/>
      <w:numFmt w:val="bullet"/>
      <w:lvlText w:val="•"/>
      <w:lvlJc w:val="left"/>
      <w:pPr>
        <w:ind w:left="3834" w:hanging="532"/>
      </w:pPr>
      <w:rPr>
        <w:rFonts w:hint="default"/>
        <w:lang w:val="zh-CN" w:eastAsia="zh-CN" w:bidi="zh-CN"/>
      </w:rPr>
    </w:lvl>
    <w:lvl w:ilvl="5">
      <w:start w:val="0"/>
      <w:numFmt w:val="bullet"/>
      <w:lvlText w:val="•"/>
      <w:lvlJc w:val="left"/>
      <w:pPr>
        <w:ind w:left="4753" w:hanging="532"/>
      </w:pPr>
      <w:rPr>
        <w:rFonts w:hint="default"/>
        <w:lang w:val="zh-CN" w:eastAsia="zh-CN" w:bidi="zh-CN"/>
      </w:rPr>
    </w:lvl>
    <w:lvl w:ilvl="6">
      <w:start w:val="0"/>
      <w:numFmt w:val="bullet"/>
      <w:lvlText w:val="•"/>
      <w:lvlJc w:val="left"/>
      <w:pPr>
        <w:ind w:left="5671" w:hanging="532"/>
      </w:pPr>
      <w:rPr>
        <w:rFonts w:hint="default"/>
        <w:lang w:val="zh-CN" w:eastAsia="zh-CN" w:bidi="zh-CN"/>
      </w:rPr>
    </w:lvl>
    <w:lvl w:ilvl="7">
      <w:start w:val="0"/>
      <w:numFmt w:val="bullet"/>
      <w:lvlText w:val="•"/>
      <w:lvlJc w:val="left"/>
      <w:pPr>
        <w:ind w:left="6590" w:hanging="532"/>
      </w:pPr>
      <w:rPr>
        <w:rFonts w:hint="default"/>
        <w:lang w:val="zh-CN" w:eastAsia="zh-CN" w:bidi="zh-CN"/>
      </w:rPr>
    </w:lvl>
    <w:lvl w:ilvl="8">
      <w:start w:val="0"/>
      <w:numFmt w:val="bullet"/>
      <w:lvlText w:val="•"/>
      <w:lvlJc w:val="left"/>
      <w:pPr>
        <w:ind w:left="7509" w:hanging="532"/>
      </w:pPr>
      <w:rPr>
        <w:rFonts w:hint="default"/>
        <w:lang w:val="zh-CN" w:eastAsia="zh-CN" w:bidi="zh-CN"/>
      </w:rPr>
    </w:lvl>
  </w:abstractNum>
  <w:abstractNum w:abstractNumId="14">
    <w:multiLevelType w:val="hybridMultilevel"/>
    <w:lvl w:ilvl="0">
      <w:start w:val="1"/>
      <w:numFmt w:val="decimal"/>
      <w:lvlText w:val="（%1）"/>
      <w:lvlJc w:val="left"/>
      <w:pPr>
        <w:ind w:left="160" w:hanging="529"/>
        <w:jc w:val="left"/>
      </w:pPr>
      <w:rPr>
        <w:rFonts w:hint="default" w:ascii="宋体" w:hAnsi="宋体" w:eastAsia="宋体" w:cs="宋体"/>
        <w:spacing w:val="-65"/>
        <w:w w:val="100"/>
        <w:sz w:val="19"/>
        <w:szCs w:val="19"/>
        <w:lang w:val="zh-CN" w:eastAsia="zh-CN" w:bidi="zh-CN"/>
      </w:rPr>
    </w:lvl>
    <w:lvl w:ilvl="1">
      <w:start w:val="0"/>
      <w:numFmt w:val="bullet"/>
      <w:lvlText w:val="•"/>
      <w:lvlJc w:val="left"/>
      <w:pPr>
        <w:ind w:left="1078" w:hanging="529"/>
      </w:pPr>
      <w:rPr>
        <w:rFonts w:hint="default"/>
        <w:lang w:val="zh-CN" w:eastAsia="zh-CN" w:bidi="zh-CN"/>
      </w:rPr>
    </w:lvl>
    <w:lvl w:ilvl="2">
      <w:start w:val="0"/>
      <w:numFmt w:val="bullet"/>
      <w:lvlText w:val="•"/>
      <w:lvlJc w:val="left"/>
      <w:pPr>
        <w:ind w:left="1997" w:hanging="529"/>
      </w:pPr>
      <w:rPr>
        <w:rFonts w:hint="default"/>
        <w:lang w:val="zh-CN" w:eastAsia="zh-CN" w:bidi="zh-CN"/>
      </w:rPr>
    </w:lvl>
    <w:lvl w:ilvl="3">
      <w:start w:val="0"/>
      <w:numFmt w:val="bullet"/>
      <w:lvlText w:val="•"/>
      <w:lvlJc w:val="left"/>
      <w:pPr>
        <w:ind w:left="2915" w:hanging="529"/>
      </w:pPr>
      <w:rPr>
        <w:rFonts w:hint="default"/>
        <w:lang w:val="zh-CN" w:eastAsia="zh-CN" w:bidi="zh-CN"/>
      </w:rPr>
    </w:lvl>
    <w:lvl w:ilvl="4">
      <w:start w:val="0"/>
      <w:numFmt w:val="bullet"/>
      <w:lvlText w:val="•"/>
      <w:lvlJc w:val="left"/>
      <w:pPr>
        <w:ind w:left="3834" w:hanging="529"/>
      </w:pPr>
      <w:rPr>
        <w:rFonts w:hint="default"/>
        <w:lang w:val="zh-CN" w:eastAsia="zh-CN" w:bidi="zh-CN"/>
      </w:rPr>
    </w:lvl>
    <w:lvl w:ilvl="5">
      <w:start w:val="0"/>
      <w:numFmt w:val="bullet"/>
      <w:lvlText w:val="•"/>
      <w:lvlJc w:val="left"/>
      <w:pPr>
        <w:ind w:left="4753" w:hanging="529"/>
      </w:pPr>
      <w:rPr>
        <w:rFonts w:hint="default"/>
        <w:lang w:val="zh-CN" w:eastAsia="zh-CN" w:bidi="zh-CN"/>
      </w:rPr>
    </w:lvl>
    <w:lvl w:ilvl="6">
      <w:start w:val="0"/>
      <w:numFmt w:val="bullet"/>
      <w:lvlText w:val="•"/>
      <w:lvlJc w:val="left"/>
      <w:pPr>
        <w:ind w:left="5671" w:hanging="529"/>
      </w:pPr>
      <w:rPr>
        <w:rFonts w:hint="default"/>
        <w:lang w:val="zh-CN" w:eastAsia="zh-CN" w:bidi="zh-CN"/>
      </w:rPr>
    </w:lvl>
    <w:lvl w:ilvl="7">
      <w:start w:val="0"/>
      <w:numFmt w:val="bullet"/>
      <w:lvlText w:val="•"/>
      <w:lvlJc w:val="left"/>
      <w:pPr>
        <w:ind w:left="6590" w:hanging="529"/>
      </w:pPr>
      <w:rPr>
        <w:rFonts w:hint="default"/>
        <w:lang w:val="zh-CN" w:eastAsia="zh-CN" w:bidi="zh-CN"/>
      </w:rPr>
    </w:lvl>
    <w:lvl w:ilvl="8">
      <w:start w:val="0"/>
      <w:numFmt w:val="bullet"/>
      <w:lvlText w:val="•"/>
      <w:lvlJc w:val="left"/>
      <w:pPr>
        <w:ind w:left="7509" w:hanging="529"/>
      </w:pPr>
      <w:rPr>
        <w:rFonts w:hint="default"/>
        <w:lang w:val="zh-CN" w:eastAsia="zh-CN" w:bidi="zh-CN"/>
      </w:rPr>
    </w:lvl>
  </w:abstractNum>
  <w:abstractNum w:abstractNumId="13">
    <w:multiLevelType w:val="hybridMultilevel"/>
    <w:lvl w:ilvl="0">
      <w:start w:val="1"/>
      <w:numFmt w:val="decimal"/>
      <w:lvlText w:val="（%1）"/>
      <w:lvlJc w:val="left"/>
      <w:pPr>
        <w:ind w:left="110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1924" w:hanging="529"/>
      </w:pPr>
      <w:rPr>
        <w:rFonts w:hint="default"/>
        <w:lang w:val="zh-CN" w:eastAsia="zh-CN" w:bidi="zh-CN"/>
      </w:rPr>
    </w:lvl>
    <w:lvl w:ilvl="2">
      <w:start w:val="0"/>
      <w:numFmt w:val="bullet"/>
      <w:lvlText w:val="•"/>
      <w:lvlJc w:val="left"/>
      <w:pPr>
        <w:ind w:left="2749" w:hanging="529"/>
      </w:pPr>
      <w:rPr>
        <w:rFonts w:hint="default"/>
        <w:lang w:val="zh-CN" w:eastAsia="zh-CN" w:bidi="zh-CN"/>
      </w:rPr>
    </w:lvl>
    <w:lvl w:ilvl="3">
      <w:start w:val="0"/>
      <w:numFmt w:val="bullet"/>
      <w:lvlText w:val="•"/>
      <w:lvlJc w:val="left"/>
      <w:pPr>
        <w:ind w:left="3573" w:hanging="529"/>
      </w:pPr>
      <w:rPr>
        <w:rFonts w:hint="default"/>
        <w:lang w:val="zh-CN" w:eastAsia="zh-CN" w:bidi="zh-CN"/>
      </w:rPr>
    </w:lvl>
    <w:lvl w:ilvl="4">
      <w:start w:val="0"/>
      <w:numFmt w:val="bullet"/>
      <w:lvlText w:val="•"/>
      <w:lvlJc w:val="left"/>
      <w:pPr>
        <w:ind w:left="4398" w:hanging="529"/>
      </w:pPr>
      <w:rPr>
        <w:rFonts w:hint="default"/>
        <w:lang w:val="zh-CN" w:eastAsia="zh-CN" w:bidi="zh-CN"/>
      </w:rPr>
    </w:lvl>
    <w:lvl w:ilvl="5">
      <w:start w:val="0"/>
      <w:numFmt w:val="bullet"/>
      <w:lvlText w:val="•"/>
      <w:lvlJc w:val="left"/>
      <w:pPr>
        <w:ind w:left="5223" w:hanging="529"/>
      </w:pPr>
      <w:rPr>
        <w:rFonts w:hint="default"/>
        <w:lang w:val="zh-CN" w:eastAsia="zh-CN" w:bidi="zh-CN"/>
      </w:rPr>
    </w:lvl>
    <w:lvl w:ilvl="6">
      <w:start w:val="0"/>
      <w:numFmt w:val="bullet"/>
      <w:lvlText w:val="•"/>
      <w:lvlJc w:val="left"/>
      <w:pPr>
        <w:ind w:left="6047" w:hanging="529"/>
      </w:pPr>
      <w:rPr>
        <w:rFonts w:hint="default"/>
        <w:lang w:val="zh-CN" w:eastAsia="zh-CN" w:bidi="zh-CN"/>
      </w:rPr>
    </w:lvl>
    <w:lvl w:ilvl="7">
      <w:start w:val="0"/>
      <w:numFmt w:val="bullet"/>
      <w:lvlText w:val="•"/>
      <w:lvlJc w:val="left"/>
      <w:pPr>
        <w:ind w:left="6872" w:hanging="529"/>
      </w:pPr>
      <w:rPr>
        <w:rFonts w:hint="default"/>
        <w:lang w:val="zh-CN" w:eastAsia="zh-CN" w:bidi="zh-CN"/>
      </w:rPr>
    </w:lvl>
    <w:lvl w:ilvl="8">
      <w:start w:val="0"/>
      <w:numFmt w:val="bullet"/>
      <w:lvlText w:val="•"/>
      <w:lvlJc w:val="left"/>
      <w:pPr>
        <w:ind w:left="7697" w:hanging="529"/>
      </w:pPr>
      <w:rPr>
        <w:rFonts w:hint="default"/>
        <w:lang w:val="zh-CN" w:eastAsia="zh-CN" w:bidi="zh-CN"/>
      </w:rPr>
    </w:lvl>
  </w:abstractNum>
  <w:abstractNum w:abstractNumId="12">
    <w:multiLevelType w:val="hybridMultilevel"/>
    <w:lvl w:ilvl="0">
      <w:start w:val="1"/>
      <w:numFmt w:val="decimal"/>
      <w:lvlText w:val="（%1）"/>
      <w:lvlJc w:val="left"/>
      <w:pPr>
        <w:ind w:left="110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1924" w:hanging="529"/>
      </w:pPr>
      <w:rPr>
        <w:rFonts w:hint="default"/>
        <w:lang w:val="zh-CN" w:eastAsia="zh-CN" w:bidi="zh-CN"/>
      </w:rPr>
    </w:lvl>
    <w:lvl w:ilvl="2">
      <w:start w:val="0"/>
      <w:numFmt w:val="bullet"/>
      <w:lvlText w:val="•"/>
      <w:lvlJc w:val="left"/>
      <w:pPr>
        <w:ind w:left="2749" w:hanging="529"/>
      </w:pPr>
      <w:rPr>
        <w:rFonts w:hint="default"/>
        <w:lang w:val="zh-CN" w:eastAsia="zh-CN" w:bidi="zh-CN"/>
      </w:rPr>
    </w:lvl>
    <w:lvl w:ilvl="3">
      <w:start w:val="0"/>
      <w:numFmt w:val="bullet"/>
      <w:lvlText w:val="•"/>
      <w:lvlJc w:val="left"/>
      <w:pPr>
        <w:ind w:left="3573" w:hanging="529"/>
      </w:pPr>
      <w:rPr>
        <w:rFonts w:hint="default"/>
        <w:lang w:val="zh-CN" w:eastAsia="zh-CN" w:bidi="zh-CN"/>
      </w:rPr>
    </w:lvl>
    <w:lvl w:ilvl="4">
      <w:start w:val="0"/>
      <w:numFmt w:val="bullet"/>
      <w:lvlText w:val="•"/>
      <w:lvlJc w:val="left"/>
      <w:pPr>
        <w:ind w:left="4398" w:hanging="529"/>
      </w:pPr>
      <w:rPr>
        <w:rFonts w:hint="default"/>
        <w:lang w:val="zh-CN" w:eastAsia="zh-CN" w:bidi="zh-CN"/>
      </w:rPr>
    </w:lvl>
    <w:lvl w:ilvl="5">
      <w:start w:val="0"/>
      <w:numFmt w:val="bullet"/>
      <w:lvlText w:val="•"/>
      <w:lvlJc w:val="left"/>
      <w:pPr>
        <w:ind w:left="5223" w:hanging="529"/>
      </w:pPr>
      <w:rPr>
        <w:rFonts w:hint="default"/>
        <w:lang w:val="zh-CN" w:eastAsia="zh-CN" w:bidi="zh-CN"/>
      </w:rPr>
    </w:lvl>
    <w:lvl w:ilvl="6">
      <w:start w:val="0"/>
      <w:numFmt w:val="bullet"/>
      <w:lvlText w:val="•"/>
      <w:lvlJc w:val="left"/>
      <w:pPr>
        <w:ind w:left="6047" w:hanging="529"/>
      </w:pPr>
      <w:rPr>
        <w:rFonts w:hint="default"/>
        <w:lang w:val="zh-CN" w:eastAsia="zh-CN" w:bidi="zh-CN"/>
      </w:rPr>
    </w:lvl>
    <w:lvl w:ilvl="7">
      <w:start w:val="0"/>
      <w:numFmt w:val="bullet"/>
      <w:lvlText w:val="•"/>
      <w:lvlJc w:val="left"/>
      <w:pPr>
        <w:ind w:left="6872" w:hanging="529"/>
      </w:pPr>
      <w:rPr>
        <w:rFonts w:hint="default"/>
        <w:lang w:val="zh-CN" w:eastAsia="zh-CN" w:bidi="zh-CN"/>
      </w:rPr>
    </w:lvl>
    <w:lvl w:ilvl="8">
      <w:start w:val="0"/>
      <w:numFmt w:val="bullet"/>
      <w:lvlText w:val="•"/>
      <w:lvlJc w:val="left"/>
      <w:pPr>
        <w:ind w:left="7697" w:hanging="529"/>
      </w:pPr>
      <w:rPr>
        <w:rFonts w:hint="default"/>
        <w:lang w:val="zh-CN" w:eastAsia="zh-CN" w:bidi="zh-CN"/>
      </w:rPr>
    </w:lvl>
  </w:abstractNum>
  <w:abstractNum w:abstractNumId="11">
    <w:multiLevelType w:val="hybridMultilevel"/>
    <w:lvl w:ilvl="0">
      <w:start w:val="1"/>
      <w:numFmt w:val="decimal"/>
      <w:lvlText w:val="（%1）"/>
      <w:lvlJc w:val="left"/>
      <w:pPr>
        <w:ind w:left="110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1924" w:hanging="529"/>
      </w:pPr>
      <w:rPr>
        <w:rFonts w:hint="default"/>
        <w:lang w:val="zh-CN" w:eastAsia="zh-CN" w:bidi="zh-CN"/>
      </w:rPr>
    </w:lvl>
    <w:lvl w:ilvl="2">
      <w:start w:val="0"/>
      <w:numFmt w:val="bullet"/>
      <w:lvlText w:val="•"/>
      <w:lvlJc w:val="left"/>
      <w:pPr>
        <w:ind w:left="2749" w:hanging="529"/>
      </w:pPr>
      <w:rPr>
        <w:rFonts w:hint="default"/>
        <w:lang w:val="zh-CN" w:eastAsia="zh-CN" w:bidi="zh-CN"/>
      </w:rPr>
    </w:lvl>
    <w:lvl w:ilvl="3">
      <w:start w:val="0"/>
      <w:numFmt w:val="bullet"/>
      <w:lvlText w:val="•"/>
      <w:lvlJc w:val="left"/>
      <w:pPr>
        <w:ind w:left="3573" w:hanging="529"/>
      </w:pPr>
      <w:rPr>
        <w:rFonts w:hint="default"/>
        <w:lang w:val="zh-CN" w:eastAsia="zh-CN" w:bidi="zh-CN"/>
      </w:rPr>
    </w:lvl>
    <w:lvl w:ilvl="4">
      <w:start w:val="0"/>
      <w:numFmt w:val="bullet"/>
      <w:lvlText w:val="•"/>
      <w:lvlJc w:val="left"/>
      <w:pPr>
        <w:ind w:left="4398" w:hanging="529"/>
      </w:pPr>
      <w:rPr>
        <w:rFonts w:hint="default"/>
        <w:lang w:val="zh-CN" w:eastAsia="zh-CN" w:bidi="zh-CN"/>
      </w:rPr>
    </w:lvl>
    <w:lvl w:ilvl="5">
      <w:start w:val="0"/>
      <w:numFmt w:val="bullet"/>
      <w:lvlText w:val="•"/>
      <w:lvlJc w:val="left"/>
      <w:pPr>
        <w:ind w:left="5223" w:hanging="529"/>
      </w:pPr>
      <w:rPr>
        <w:rFonts w:hint="default"/>
        <w:lang w:val="zh-CN" w:eastAsia="zh-CN" w:bidi="zh-CN"/>
      </w:rPr>
    </w:lvl>
    <w:lvl w:ilvl="6">
      <w:start w:val="0"/>
      <w:numFmt w:val="bullet"/>
      <w:lvlText w:val="•"/>
      <w:lvlJc w:val="left"/>
      <w:pPr>
        <w:ind w:left="6047" w:hanging="529"/>
      </w:pPr>
      <w:rPr>
        <w:rFonts w:hint="default"/>
        <w:lang w:val="zh-CN" w:eastAsia="zh-CN" w:bidi="zh-CN"/>
      </w:rPr>
    </w:lvl>
    <w:lvl w:ilvl="7">
      <w:start w:val="0"/>
      <w:numFmt w:val="bullet"/>
      <w:lvlText w:val="•"/>
      <w:lvlJc w:val="left"/>
      <w:pPr>
        <w:ind w:left="6872" w:hanging="529"/>
      </w:pPr>
      <w:rPr>
        <w:rFonts w:hint="default"/>
        <w:lang w:val="zh-CN" w:eastAsia="zh-CN" w:bidi="zh-CN"/>
      </w:rPr>
    </w:lvl>
    <w:lvl w:ilvl="8">
      <w:start w:val="0"/>
      <w:numFmt w:val="bullet"/>
      <w:lvlText w:val="•"/>
      <w:lvlJc w:val="left"/>
      <w:pPr>
        <w:ind w:left="7697" w:hanging="529"/>
      </w:pPr>
      <w:rPr>
        <w:rFonts w:hint="default"/>
        <w:lang w:val="zh-CN" w:eastAsia="zh-CN" w:bidi="zh-CN"/>
      </w:rPr>
    </w:lvl>
  </w:abstractNum>
  <w:abstractNum w:abstractNumId="10">
    <w:multiLevelType w:val="hybridMultilevel"/>
    <w:lvl w:ilvl="0">
      <w:start w:val="1"/>
      <w:numFmt w:val="decimal"/>
      <w:lvlText w:val="（%1）"/>
      <w:lvlJc w:val="left"/>
      <w:pPr>
        <w:ind w:left="160" w:hanging="532"/>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078" w:hanging="532"/>
      </w:pPr>
      <w:rPr>
        <w:rFonts w:hint="default"/>
        <w:lang w:val="zh-CN" w:eastAsia="zh-CN" w:bidi="zh-CN"/>
      </w:rPr>
    </w:lvl>
    <w:lvl w:ilvl="2">
      <w:start w:val="0"/>
      <w:numFmt w:val="bullet"/>
      <w:lvlText w:val="•"/>
      <w:lvlJc w:val="left"/>
      <w:pPr>
        <w:ind w:left="1997" w:hanging="532"/>
      </w:pPr>
      <w:rPr>
        <w:rFonts w:hint="default"/>
        <w:lang w:val="zh-CN" w:eastAsia="zh-CN" w:bidi="zh-CN"/>
      </w:rPr>
    </w:lvl>
    <w:lvl w:ilvl="3">
      <w:start w:val="0"/>
      <w:numFmt w:val="bullet"/>
      <w:lvlText w:val="•"/>
      <w:lvlJc w:val="left"/>
      <w:pPr>
        <w:ind w:left="2915" w:hanging="532"/>
      </w:pPr>
      <w:rPr>
        <w:rFonts w:hint="default"/>
        <w:lang w:val="zh-CN" w:eastAsia="zh-CN" w:bidi="zh-CN"/>
      </w:rPr>
    </w:lvl>
    <w:lvl w:ilvl="4">
      <w:start w:val="0"/>
      <w:numFmt w:val="bullet"/>
      <w:lvlText w:val="•"/>
      <w:lvlJc w:val="left"/>
      <w:pPr>
        <w:ind w:left="3834" w:hanging="532"/>
      </w:pPr>
      <w:rPr>
        <w:rFonts w:hint="default"/>
        <w:lang w:val="zh-CN" w:eastAsia="zh-CN" w:bidi="zh-CN"/>
      </w:rPr>
    </w:lvl>
    <w:lvl w:ilvl="5">
      <w:start w:val="0"/>
      <w:numFmt w:val="bullet"/>
      <w:lvlText w:val="•"/>
      <w:lvlJc w:val="left"/>
      <w:pPr>
        <w:ind w:left="4753" w:hanging="532"/>
      </w:pPr>
      <w:rPr>
        <w:rFonts w:hint="default"/>
        <w:lang w:val="zh-CN" w:eastAsia="zh-CN" w:bidi="zh-CN"/>
      </w:rPr>
    </w:lvl>
    <w:lvl w:ilvl="6">
      <w:start w:val="0"/>
      <w:numFmt w:val="bullet"/>
      <w:lvlText w:val="•"/>
      <w:lvlJc w:val="left"/>
      <w:pPr>
        <w:ind w:left="5671" w:hanging="532"/>
      </w:pPr>
      <w:rPr>
        <w:rFonts w:hint="default"/>
        <w:lang w:val="zh-CN" w:eastAsia="zh-CN" w:bidi="zh-CN"/>
      </w:rPr>
    </w:lvl>
    <w:lvl w:ilvl="7">
      <w:start w:val="0"/>
      <w:numFmt w:val="bullet"/>
      <w:lvlText w:val="•"/>
      <w:lvlJc w:val="left"/>
      <w:pPr>
        <w:ind w:left="6590" w:hanging="532"/>
      </w:pPr>
      <w:rPr>
        <w:rFonts w:hint="default"/>
        <w:lang w:val="zh-CN" w:eastAsia="zh-CN" w:bidi="zh-CN"/>
      </w:rPr>
    </w:lvl>
    <w:lvl w:ilvl="8">
      <w:start w:val="0"/>
      <w:numFmt w:val="bullet"/>
      <w:lvlText w:val="•"/>
      <w:lvlJc w:val="left"/>
      <w:pPr>
        <w:ind w:left="7509" w:hanging="532"/>
      </w:pPr>
      <w:rPr>
        <w:rFonts w:hint="default"/>
        <w:lang w:val="zh-CN" w:eastAsia="zh-CN" w:bidi="zh-CN"/>
      </w:rPr>
    </w:lvl>
  </w:abstractNum>
  <w:abstractNum w:abstractNumId="9">
    <w:multiLevelType w:val="hybridMultilevel"/>
    <w:lvl w:ilvl="0">
      <w:start w:val="1"/>
      <w:numFmt w:val="decimal"/>
      <w:lvlText w:val="（%1）"/>
      <w:lvlJc w:val="left"/>
      <w:pPr>
        <w:ind w:left="580"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1456" w:hanging="529"/>
      </w:pPr>
      <w:rPr>
        <w:rFonts w:hint="default"/>
        <w:lang w:val="zh-CN" w:eastAsia="zh-CN" w:bidi="zh-CN"/>
      </w:rPr>
    </w:lvl>
    <w:lvl w:ilvl="2">
      <w:start w:val="0"/>
      <w:numFmt w:val="bullet"/>
      <w:lvlText w:val="•"/>
      <w:lvlJc w:val="left"/>
      <w:pPr>
        <w:ind w:left="2333" w:hanging="529"/>
      </w:pPr>
      <w:rPr>
        <w:rFonts w:hint="default"/>
        <w:lang w:val="zh-CN" w:eastAsia="zh-CN" w:bidi="zh-CN"/>
      </w:rPr>
    </w:lvl>
    <w:lvl w:ilvl="3">
      <w:start w:val="0"/>
      <w:numFmt w:val="bullet"/>
      <w:lvlText w:val="•"/>
      <w:lvlJc w:val="left"/>
      <w:pPr>
        <w:ind w:left="3209" w:hanging="529"/>
      </w:pPr>
      <w:rPr>
        <w:rFonts w:hint="default"/>
        <w:lang w:val="zh-CN" w:eastAsia="zh-CN" w:bidi="zh-CN"/>
      </w:rPr>
    </w:lvl>
    <w:lvl w:ilvl="4">
      <w:start w:val="0"/>
      <w:numFmt w:val="bullet"/>
      <w:lvlText w:val="•"/>
      <w:lvlJc w:val="left"/>
      <w:pPr>
        <w:ind w:left="4086" w:hanging="529"/>
      </w:pPr>
      <w:rPr>
        <w:rFonts w:hint="default"/>
        <w:lang w:val="zh-CN" w:eastAsia="zh-CN" w:bidi="zh-CN"/>
      </w:rPr>
    </w:lvl>
    <w:lvl w:ilvl="5">
      <w:start w:val="0"/>
      <w:numFmt w:val="bullet"/>
      <w:lvlText w:val="•"/>
      <w:lvlJc w:val="left"/>
      <w:pPr>
        <w:ind w:left="4963" w:hanging="529"/>
      </w:pPr>
      <w:rPr>
        <w:rFonts w:hint="default"/>
        <w:lang w:val="zh-CN" w:eastAsia="zh-CN" w:bidi="zh-CN"/>
      </w:rPr>
    </w:lvl>
    <w:lvl w:ilvl="6">
      <w:start w:val="0"/>
      <w:numFmt w:val="bullet"/>
      <w:lvlText w:val="•"/>
      <w:lvlJc w:val="left"/>
      <w:pPr>
        <w:ind w:left="5839" w:hanging="529"/>
      </w:pPr>
      <w:rPr>
        <w:rFonts w:hint="default"/>
        <w:lang w:val="zh-CN" w:eastAsia="zh-CN" w:bidi="zh-CN"/>
      </w:rPr>
    </w:lvl>
    <w:lvl w:ilvl="7">
      <w:start w:val="0"/>
      <w:numFmt w:val="bullet"/>
      <w:lvlText w:val="•"/>
      <w:lvlJc w:val="left"/>
      <w:pPr>
        <w:ind w:left="6716" w:hanging="529"/>
      </w:pPr>
      <w:rPr>
        <w:rFonts w:hint="default"/>
        <w:lang w:val="zh-CN" w:eastAsia="zh-CN" w:bidi="zh-CN"/>
      </w:rPr>
    </w:lvl>
    <w:lvl w:ilvl="8">
      <w:start w:val="0"/>
      <w:numFmt w:val="bullet"/>
      <w:lvlText w:val="•"/>
      <w:lvlJc w:val="left"/>
      <w:pPr>
        <w:ind w:left="7593" w:hanging="529"/>
      </w:pPr>
      <w:rPr>
        <w:rFonts w:hint="default"/>
        <w:lang w:val="zh-CN" w:eastAsia="zh-CN" w:bidi="zh-CN"/>
      </w:rPr>
    </w:lvl>
  </w:abstractNum>
  <w:abstractNum w:abstractNumId="8">
    <w:multiLevelType w:val="hybridMultilevel"/>
    <w:lvl w:ilvl="0">
      <w:start w:val="1"/>
      <w:numFmt w:val="decimal"/>
      <w:lvlText w:val="（%1）"/>
      <w:lvlJc w:val="left"/>
      <w:pPr>
        <w:ind w:left="110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1924" w:hanging="529"/>
      </w:pPr>
      <w:rPr>
        <w:rFonts w:hint="default"/>
        <w:lang w:val="zh-CN" w:eastAsia="zh-CN" w:bidi="zh-CN"/>
      </w:rPr>
    </w:lvl>
    <w:lvl w:ilvl="2">
      <w:start w:val="0"/>
      <w:numFmt w:val="bullet"/>
      <w:lvlText w:val="•"/>
      <w:lvlJc w:val="left"/>
      <w:pPr>
        <w:ind w:left="2749" w:hanging="529"/>
      </w:pPr>
      <w:rPr>
        <w:rFonts w:hint="default"/>
        <w:lang w:val="zh-CN" w:eastAsia="zh-CN" w:bidi="zh-CN"/>
      </w:rPr>
    </w:lvl>
    <w:lvl w:ilvl="3">
      <w:start w:val="0"/>
      <w:numFmt w:val="bullet"/>
      <w:lvlText w:val="•"/>
      <w:lvlJc w:val="left"/>
      <w:pPr>
        <w:ind w:left="3573" w:hanging="529"/>
      </w:pPr>
      <w:rPr>
        <w:rFonts w:hint="default"/>
        <w:lang w:val="zh-CN" w:eastAsia="zh-CN" w:bidi="zh-CN"/>
      </w:rPr>
    </w:lvl>
    <w:lvl w:ilvl="4">
      <w:start w:val="0"/>
      <w:numFmt w:val="bullet"/>
      <w:lvlText w:val="•"/>
      <w:lvlJc w:val="left"/>
      <w:pPr>
        <w:ind w:left="4398" w:hanging="529"/>
      </w:pPr>
      <w:rPr>
        <w:rFonts w:hint="default"/>
        <w:lang w:val="zh-CN" w:eastAsia="zh-CN" w:bidi="zh-CN"/>
      </w:rPr>
    </w:lvl>
    <w:lvl w:ilvl="5">
      <w:start w:val="0"/>
      <w:numFmt w:val="bullet"/>
      <w:lvlText w:val="•"/>
      <w:lvlJc w:val="left"/>
      <w:pPr>
        <w:ind w:left="5223" w:hanging="529"/>
      </w:pPr>
      <w:rPr>
        <w:rFonts w:hint="default"/>
        <w:lang w:val="zh-CN" w:eastAsia="zh-CN" w:bidi="zh-CN"/>
      </w:rPr>
    </w:lvl>
    <w:lvl w:ilvl="6">
      <w:start w:val="0"/>
      <w:numFmt w:val="bullet"/>
      <w:lvlText w:val="•"/>
      <w:lvlJc w:val="left"/>
      <w:pPr>
        <w:ind w:left="6047" w:hanging="529"/>
      </w:pPr>
      <w:rPr>
        <w:rFonts w:hint="default"/>
        <w:lang w:val="zh-CN" w:eastAsia="zh-CN" w:bidi="zh-CN"/>
      </w:rPr>
    </w:lvl>
    <w:lvl w:ilvl="7">
      <w:start w:val="0"/>
      <w:numFmt w:val="bullet"/>
      <w:lvlText w:val="•"/>
      <w:lvlJc w:val="left"/>
      <w:pPr>
        <w:ind w:left="6872" w:hanging="529"/>
      </w:pPr>
      <w:rPr>
        <w:rFonts w:hint="default"/>
        <w:lang w:val="zh-CN" w:eastAsia="zh-CN" w:bidi="zh-CN"/>
      </w:rPr>
    </w:lvl>
    <w:lvl w:ilvl="8">
      <w:start w:val="0"/>
      <w:numFmt w:val="bullet"/>
      <w:lvlText w:val="•"/>
      <w:lvlJc w:val="left"/>
      <w:pPr>
        <w:ind w:left="7697" w:hanging="529"/>
      </w:pPr>
      <w:rPr>
        <w:rFonts w:hint="default"/>
        <w:lang w:val="zh-CN" w:eastAsia="zh-CN" w:bidi="zh-CN"/>
      </w:rPr>
    </w:lvl>
  </w:abstractNum>
  <w:abstractNum w:abstractNumId="7">
    <w:multiLevelType w:val="hybridMultilevel"/>
    <w:lvl w:ilvl="0">
      <w:start w:val="1"/>
      <w:numFmt w:val="decimal"/>
      <w:lvlText w:val="（%1）"/>
      <w:lvlJc w:val="left"/>
      <w:pPr>
        <w:ind w:left="110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1924" w:hanging="529"/>
      </w:pPr>
      <w:rPr>
        <w:rFonts w:hint="default"/>
        <w:lang w:val="zh-CN" w:eastAsia="zh-CN" w:bidi="zh-CN"/>
      </w:rPr>
    </w:lvl>
    <w:lvl w:ilvl="2">
      <w:start w:val="0"/>
      <w:numFmt w:val="bullet"/>
      <w:lvlText w:val="•"/>
      <w:lvlJc w:val="left"/>
      <w:pPr>
        <w:ind w:left="2749" w:hanging="529"/>
      </w:pPr>
      <w:rPr>
        <w:rFonts w:hint="default"/>
        <w:lang w:val="zh-CN" w:eastAsia="zh-CN" w:bidi="zh-CN"/>
      </w:rPr>
    </w:lvl>
    <w:lvl w:ilvl="3">
      <w:start w:val="0"/>
      <w:numFmt w:val="bullet"/>
      <w:lvlText w:val="•"/>
      <w:lvlJc w:val="left"/>
      <w:pPr>
        <w:ind w:left="3573" w:hanging="529"/>
      </w:pPr>
      <w:rPr>
        <w:rFonts w:hint="default"/>
        <w:lang w:val="zh-CN" w:eastAsia="zh-CN" w:bidi="zh-CN"/>
      </w:rPr>
    </w:lvl>
    <w:lvl w:ilvl="4">
      <w:start w:val="0"/>
      <w:numFmt w:val="bullet"/>
      <w:lvlText w:val="•"/>
      <w:lvlJc w:val="left"/>
      <w:pPr>
        <w:ind w:left="4398" w:hanging="529"/>
      </w:pPr>
      <w:rPr>
        <w:rFonts w:hint="default"/>
        <w:lang w:val="zh-CN" w:eastAsia="zh-CN" w:bidi="zh-CN"/>
      </w:rPr>
    </w:lvl>
    <w:lvl w:ilvl="5">
      <w:start w:val="0"/>
      <w:numFmt w:val="bullet"/>
      <w:lvlText w:val="•"/>
      <w:lvlJc w:val="left"/>
      <w:pPr>
        <w:ind w:left="5223" w:hanging="529"/>
      </w:pPr>
      <w:rPr>
        <w:rFonts w:hint="default"/>
        <w:lang w:val="zh-CN" w:eastAsia="zh-CN" w:bidi="zh-CN"/>
      </w:rPr>
    </w:lvl>
    <w:lvl w:ilvl="6">
      <w:start w:val="0"/>
      <w:numFmt w:val="bullet"/>
      <w:lvlText w:val="•"/>
      <w:lvlJc w:val="left"/>
      <w:pPr>
        <w:ind w:left="6047" w:hanging="529"/>
      </w:pPr>
      <w:rPr>
        <w:rFonts w:hint="default"/>
        <w:lang w:val="zh-CN" w:eastAsia="zh-CN" w:bidi="zh-CN"/>
      </w:rPr>
    </w:lvl>
    <w:lvl w:ilvl="7">
      <w:start w:val="0"/>
      <w:numFmt w:val="bullet"/>
      <w:lvlText w:val="•"/>
      <w:lvlJc w:val="left"/>
      <w:pPr>
        <w:ind w:left="6872" w:hanging="529"/>
      </w:pPr>
      <w:rPr>
        <w:rFonts w:hint="default"/>
        <w:lang w:val="zh-CN" w:eastAsia="zh-CN" w:bidi="zh-CN"/>
      </w:rPr>
    </w:lvl>
    <w:lvl w:ilvl="8">
      <w:start w:val="0"/>
      <w:numFmt w:val="bullet"/>
      <w:lvlText w:val="•"/>
      <w:lvlJc w:val="left"/>
      <w:pPr>
        <w:ind w:left="7697" w:hanging="529"/>
      </w:pPr>
      <w:rPr>
        <w:rFonts w:hint="default"/>
        <w:lang w:val="zh-CN" w:eastAsia="zh-CN" w:bidi="zh-CN"/>
      </w:rPr>
    </w:lvl>
  </w:abstractNum>
  <w:abstractNum w:abstractNumId="6">
    <w:multiLevelType w:val="hybridMultilevel"/>
    <w:lvl w:ilvl="0">
      <w:start w:val="1"/>
      <w:numFmt w:val="decimal"/>
      <w:lvlText w:val="（%1）"/>
      <w:lvlJc w:val="left"/>
      <w:pPr>
        <w:ind w:left="16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078" w:hanging="529"/>
      </w:pPr>
      <w:rPr>
        <w:rFonts w:hint="default"/>
        <w:lang w:val="zh-CN" w:eastAsia="zh-CN" w:bidi="zh-CN"/>
      </w:rPr>
    </w:lvl>
    <w:lvl w:ilvl="2">
      <w:start w:val="0"/>
      <w:numFmt w:val="bullet"/>
      <w:lvlText w:val="•"/>
      <w:lvlJc w:val="left"/>
      <w:pPr>
        <w:ind w:left="1997" w:hanging="529"/>
      </w:pPr>
      <w:rPr>
        <w:rFonts w:hint="default"/>
        <w:lang w:val="zh-CN" w:eastAsia="zh-CN" w:bidi="zh-CN"/>
      </w:rPr>
    </w:lvl>
    <w:lvl w:ilvl="3">
      <w:start w:val="0"/>
      <w:numFmt w:val="bullet"/>
      <w:lvlText w:val="•"/>
      <w:lvlJc w:val="left"/>
      <w:pPr>
        <w:ind w:left="2915" w:hanging="529"/>
      </w:pPr>
      <w:rPr>
        <w:rFonts w:hint="default"/>
        <w:lang w:val="zh-CN" w:eastAsia="zh-CN" w:bidi="zh-CN"/>
      </w:rPr>
    </w:lvl>
    <w:lvl w:ilvl="4">
      <w:start w:val="0"/>
      <w:numFmt w:val="bullet"/>
      <w:lvlText w:val="•"/>
      <w:lvlJc w:val="left"/>
      <w:pPr>
        <w:ind w:left="3834" w:hanging="529"/>
      </w:pPr>
      <w:rPr>
        <w:rFonts w:hint="default"/>
        <w:lang w:val="zh-CN" w:eastAsia="zh-CN" w:bidi="zh-CN"/>
      </w:rPr>
    </w:lvl>
    <w:lvl w:ilvl="5">
      <w:start w:val="0"/>
      <w:numFmt w:val="bullet"/>
      <w:lvlText w:val="•"/>
      <w:lvlJc w:val="left"/>
      <w:pPr>
        <w:ind w:left="4753" w:hanging="529"/>
      </w:pPr>
      <w:rPr>
        <w:rFonts w:hint="default"/>
        <w:lang w:val="zh-CN" w:eastAsia="zh-CN" w:bidi="zh-CN"/>
      </w:rPr>
    </w:lvl>
    <w:lvl w:ilvl="6">
      <w:start w:val="0"/>
      <w:numFmt w:val="bullet"/>
      <w:lvlText w:val="•"/>
      <w:lvlJc w:val="left"/>
      <w:pPr>
        <w:ind w:left="5671" w:hanging="529"/>
      </w:pPr>
      <w:rPr>
        <w:rFonts w:hint="default"/>
        <w:lang w:val="zh-CN" w:eastAsia="zh-CN" w:bidi="zh-CN"/>
      </w:rPr>
    </w:lvl>
    <w:lvl w:ilvl="7">
      <w:start w:val="0"/>
      <w:numFmt w:val="bullet"/>
      <w:lvlText w:val="•"/>
      <w:lvlJc w:val="left"/>
      <w:pPr>
        <w:ind w:left="6590" w:hanging="529"/>
      </w:pPr>
      <w:rPr>
        <w:rFonts w:hint="default"/>
        <w:lang w:val="zh-CN" w:eastAsia="zh-CN" w:bidi="zh-CN"/>
      </w:rPr>
    </w:lvl>
    <w:lvl w:ilvl="8">
      <w:start w:val="0"/>
      <w:numFmt w:val="bullet"/>
      <w:lvlText w:val="•"/>
      <w:lvlJc w:val="left"/>
      <w:pPr>
        <w:ind w:left="7509" w:hanging="529"/>
      </w:pPr>
      <w:rPr>
        <w:rFonts w:hint="default"/>
        <w:lang w:val="zh-CN" w:eastAsia="zh-CN" w:bidi="zh-CN"/>
      </w:rPr>
    </w:lvl>
  </w:abstractNum>
  <w:abstractNum w:abstractNumId="5">
    <w:multiLevelType w:val="hybridMultilevel"/>
    <w:lvl w:ilvl="0">
      <w:start w:val="1"/>
      <w:numFmt w:val="decimal"/>
      <w:lvlText w:val="（%1）"/>
      <w:lvlJc w:val="left"/>
      <w:pPr>
        <w:ind w:left="11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24" w:hanging="529"/>
      </w:pPr>
      <w:rPr>
        <w:rFonts w:hint="default"/>
        <w:lang w:val="zh-CN" w:eastAsia="zh-CN" w:bidi="zh-CN"/>
      </w:rPr>
    </w:lvl>
    <w:lvl w:ilvl="2">
      <w:start w:val="0"/>
      <w:numFmt w:val="bullet"/>
      <w:lvlText w:val="•"/>
      <w:lvlJc w:val="left"/>
      <w:pPr>
        <w:ind w:left="2749" w:hanging="529"/>
      </w:pPr>
      <w:rPr>
        <w:rFonts w:hint="default"/>
        <w:lang w:val="zh-CN" w:eastAsia="zh-CN" w:bidi="zh-CN"/>
      </w:rPr>
    </w:lvl>
    <w:lvl w:ilvl="3">
      <w:start w:val="0"/>
      <w:numFmt w:val="bullet"/>
      <w:lvlText w:val="•"/>
      <w:lvlJc w:val="left"/>
      <w:pPr>
        <w:ind w:left="3573" w:hanging="529"/>
      </w:pPr>
      <w:rPr>
        <w:rFonts w:hint="default"/>
        <w:lang w:val="zh-CN" w:eastAsia="zh-CN" w:bidi="zh-CN"/>
      </w:rPr>
    </w:lvl>
    <w:lvl w:ilvl="4">
      <w:start w:val="0"/>
      <w:numFmt w:val="bullet"/>
      <w:lvlText w:val="•"/>
      <w:lvlJc w:val="left"/>
      <w:pPr>
        <w:ind w:left="4398" w:hanging="529"/>
      </w:pPr>
      <w:rPr>
        <w:rFonts w:hint="default"/>
        <w:lang w:val="zh-CN" w:eastAsia="zh-CN" w:bidi="zh-CN"/>
      </w:rPr>
    </w:lvl>
    <w:lvl w:ilvl="5">
      <w:start w:val="0"/>
      <w:numFmt w:val="bullet"/>
      <w:lvlText w:val="•"/>
      <w:lvlJc w:val="left"/>
      <w:pPr>
        <w:ind w:left="5223" w:hanging="529"/>
      </w:pPr>
      <w:rPr>
        <w:rFonts w:hint="default"/>
        <w:lang w:val="zh-CN" w:eastAsia="zh-CN" w:bidi="zh-CN"/>
      </w:rPr>
    </w:lvl>
    <w:lvl w:ilvl="6">
      <w:start w:val="0"/>
      <w:numFmt w:val="bullet"/>
      <w:lvlText w:val="•"/>
      <w:lvlJc w:val="left"/>
      <w:pPr>
        <w:ind w:left="6047" w:hanging="529"/>
      </w:pPr>
      <w:rPr>
        <w:rFonts w:hint="default"/>
        <w:lang w:val="zh-CN" w:eastAsia="zh-CN" w:bidi="zh-CN"/>
      </w:rPr>
    </w:lvl>
    <w:lvl w:ilvl="7">
      <w:start w:val="0"/>
      <w:numFmt w:val="bullet"/>
      <w:lvlText w:val="•"/>
      <w:lvlJc w:val="left"/>
      <w:pPr>
        <w:ind w:left="6872" w:hanging="529"/>
      </w:pPr>
      <w:rPr>
        <w:rFonts w:hint="default"/>
        <w:lang w:val="zh-CN" w:eastAsia="zh-CN" w:bidi="zh-CN"/>
      </w:rPr>
    </w:lvl>
    <w:lvl w:ilvl="8">
      <w:start w:val="0"/>
      <w:numFmt w:val="bullet"/>
      <w:lvlText w:val="•"/>
      <w:lvlJc w:val="left"/>
      <w:pPr>
        <w:ind w:left="7697" w:hanging="529"/>
      </w:pPr>
      <w:rPr>
        <w:rFonts w:hint="default"/>
        <w:lang w:val="zh-CN" w:eastAsia="zh-CN" w:bidi="zh-CN"/>
      </w:rPr>
    </w:lvl>
  </w:abstractNum>
  <w:abstractNum w:abstractNumId="4">
    <w:multiLevelType w:val="hybridMultilevel"/>
    <w:lvl w:ilvl="0">
      <w:start w:val="1"/>
      <w:numFmt w:val="decimal"/>
      <w:lvlText w:val="（%1）"/>
      <w:lvlJc w:val="left"/>
      <w:pPr>
        <w:ind w:left="1123"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1942" w:hanging="529"/>
      </w:pPr>
      <w:rPr>
        <w:rFonts w:hint="default"/>
        <w:lang w:val="zh-CN" w:eastAsia="zh-CN" w:bidi="zh-CN"/>
      </w:rPr>
    </w:lvl>
    <w:lvl w:ilvl="2">
      <w:start w:val="0"/>
      <w:numFmt w:val="bullet"/>
      <w:lvlText w:val="•"/>
      <w:lvlJc w:val="left"/>
      <w:pPr>
        <w:ind w:left="2765" w:hanging="529"/>
      </w:pPr>
      <w:rPr>
        <w:rFonts w:hint="default"/>
        <w:lang w:val="zh-CN" w:eastAsia="zh-CN" w:bidi="zh-CN"/>
      </w:rPr>
    </w:lvl>
    <w:lvl w:ilvl="3">
      <w:start w:val="0"/>
      <w:numFmt w:val="bullet"/>
      <w:lvlText w:val="•"/>
      <w:lvlJc w:val="left"/>
      <w:pPr>
        <w:ind w:left="3587" w:hanging="529"/>
      </w:pPr>
      <w:rPr>
        <w:rFonts w:hint="default"/>
        <w:lang w:val="zh-CN" w:eastAsia="zh-CN" w:bidi="zh-CN"/>
      </w:rPr>
    </w:lvl>
    <w:lvl w:ilvl="4">
      <w:start w:val="0"/>
      <w:numFmt w:val="bullet"/>
      <w:lvlText w:val="•"/>
      <w:lvlJc w:val="left"/>
      <w:pPr>
        <w:ind w:left="4410" w:hanging="529"/>
      </w:pPr>
      <w:rPr>
        <w:rFonts w:hint="default"/>
        <w:lang w:val="zh-CN" w:eastAsia="zh-CN" w:bidi="zh-CN"/>
      </w:rPr>
    </w:lvl>
    <w:lvl w:ilvl="5">
      <w:start w:val="0"/>
      <w:numFmt w:val="bullet"/>
      <w:lvlText w:val="•"/>
      <w:lvlJc w:val="left"/>
      <w:pPr>
        <w:ind w:left="5233" w:hanging="529"/>
      </w:pPr>
      <w:rPr>
        <w:rFonts w:hint="default"/>
        <w:lang w:val="zh-CN" w:eastAsia="zh-CN" w:bidi="zh-CN"/>
      </w:rPr>
    </w:lvl>
    <w:lvl w:ilvl="6">
      <w:start w:val="0"/>
      <w:numFmt w:val="bullet"/>
      <w:lvlText w:val="•"/>
      <w:lvlJc w:val="left"/>
      <w:pPr>
        <w:ind w:left="6055" w:hanging="529"/>
      </w:pPr>
      <w:rPr>
        <w:rFonts w:hint="default"/>
        <w:lang w:val="zh-CN" w:eastAsia="zh-CN" w:bidi="zh-CN"/>
      </w:rPr>
    </w:lvl>
    <w:lvl w:ilvl="7">
      <w:start w:val="0"/>
      <w:numFmt w:val="bullet"/>
      <w:lvlText w:val="•"/>
      <w:lvlJc w:val="left"/>
      <w:pPr>
        <w:ind w:left="6878" w:hanging="529"/>
      </w:pPr>
      <w:rPr>
        <w:rFonts w:hint="default"/>
        <w:lang w:val="zh-CN" w:eastAsia="zh-CN" w:bidi="zh-CN"/>
      </w:rPr>
    </w:lvl>
    <w:lvl w:ilvl="8">
      <w:start w:val="0"/>
      <w:numFmt w:val="bullet"/>
      <w:lvlText w:val="•"/>
      <w:lvlJc w:val="left"/>
      <w:pPr>
        <w:ind w:left="7701" w:hanging="529"/>
      </w:pPr>
      <w:rPr>
        <w:rFonts w:hint="default"/>
        <w:lang w:val="zh-CN" w:eastAsia="zh-CN" w:bidi="zh-CN"/>
      </w:rPr>
    </w:lvl>
  </w:abstractNum>
  <w:abstractNum w:abstractNumId="3">
    <w:multiLevelType w:val="hybridMultilevel"/>
    <w:lvl w:ilvl="0">
      <w:start w:val="1"/>
      <w:numFmt w:val="decimal"/>
      <w:lvlText w:val="（%1）"/>
      <w:lvlJc w:val="left"/>
      <w:pPr>
        <w:ind w:left="16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078" w:hanging="529"/>
      </w:pPr>
      <w:rPr>
        <w:rFonts w:hint="default"/>
        <w:lang w:val="zh-CN" w:eastAsia="zh-CN" w:bidi="zh-CN"/>
      </w:rPr>
    </w:lvl>
    <w:lvl w:ilvl="2">
      <w:start w:val="0"/>
      <w:numFmt w:val="bullet"/>
      <w:lvlText w:val="•"/>
      <w:lvlJc w:val="left"/>
      <w:pPr>
        <w:ind w:left="1997" w:hanging="529"/>
      </w:pPr>
      <w:rPr>
        <w:rFonts w:hint="default"/>
        <w:lang w:val="zh-CN" w:eastAsia="zh-CN" w:bidi="zh-CN"/>
      </w:rPr>
    </w:lvl>
    <w:lvl w:ilvl="3">
      <w:start w:val="0"/>
      <w:numFmt w:val="bullet"/>
      <w:lvlText w:val="•"/>
      <w:lvlJc w:val="left"/>
      <w:pPr>
        <w:ind w:left="2915" w:hanging="529"/>
      </w:pPr>
      <w:rPr>
        <w:rFonts w:hint="default"/>
        <w:lang w:val="zh-CN" w:eastAsia="zh-CN" w:bidi="zh-CN"/>
      </w:rPr>
    </w:lvl>
    <w:lvl w:ilvl="4">
      <w:start w:val="0"/>
      <w:numFmt w:val="bullet"/>
      <w:lvlText w:val="•"/>
      <w:lvlJc w:val="left"/>
      <w:pPr>
        <w:ind w:left="3834" w:hanging="529"/>
      </w:pPr>
      <w:rPr>
        <w:rFonts w:hint="default"/>
        <w:lang w:val="zh-CN" w:eastAsia="zh-CN" w:bidi="zh-CN"/>
      </w:rPr>
    </w:lvl>
    <w:lvl w:ilvl="5">
      <w:start w:val="0"/>
      <w:numFmt w:val="bullet"/>
      <w:lvlText w:val="•"/>
      <w:lvlJc w:val="left"/>
      <w:pPr>
        <w:ind w:left="4753" w:hanging="529"/>
      </w:pPr>
      <w:rPr>
        <w:rFonts w:hint="default"/>
        <w:lang w:val="zh-CN" w:eastAsia="zh-CN" w:bidi="zh-CN"/>
      </w:rPr>
    </w:lvl>
    <w:lvl w:ilvl="6">
      <w:start w:val="0"/>
      <w:numFmt w:val="bullet"/>
      <w:lvlText w:val="•"/>
      <w:lvlJc w:val="left"/>
      <w:pPr>
        <w:ind w:left="5671" w:hanging="529"/>
      </w:pPr>
      <w:rPr>
        <w:rFonts w:hint="default"/>
        <w:lang w:val="zh-CN" w:eastAsia="zh-CN" w:bidi="zh-CN"/>
      </w:rPr>
    </w:lvl>
    <w:lvl w:ilvl="7">
      <w:start w:val="0"/>
      <w:numFmt w:val="bullet"/>
      <w:lvlText w:val="•"/>
      <w:lvlJc w:val="left"/>
      <w:pPr>
        <w:ind w:left="6590" w:hanging="529"/>
      </w:pPr>
      <w:rPr>
        <w:rFonts w:hint="default"/>
        <w:lang w:val="zh-CN" w:eastAsia="zh-CN" w:bidi="zh-CN"/>
      </w:rPr>
    </w:lvl>
    <w:lvl w:ilvl="8">
      <w:start w:val="0"/>
      <w:numFmt w:val="bullet"/>
      <w:lvlText w:val="•"/>
      <w:lvlJc w:val="left"/>
      <w:pPr>
        <w:ind w:left="7509" w:hanging="529"/>
      </w:pPr>
      <w:rPr>
        <w:rFonts w:hint="default"/>
        <w:lang w:val="zh-CN" w:eastAsia="zh-CN" w:bidi="zh-CN"/>
      </w:rPr>
    </w:lvl>
  </w:abstractNum>
  <w:abstractNum w:abstractNumId="2">
    <w:multiLevelType w:val="hybridMultilevel"/>
    <w:lvl w:ilvl="0">
      <w:start w:val="1"/>
      <w:numFmt w:val="decimal"/>
      <w:lvlText w:val="（%1）"/>
      <w:lvlJc w:val="left"/>
      <w:pPr>
        <w:ind w:left="160" w:hanging="532"/>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078" w:hanging="532"/>
      </w:pPr>
      <w:rPr>
        <w:rFonts w:hint="default"/>
        <w:lang w:val="zh-CN" w:eastAsia="zh-CN" w:bidi="zh-CN"/>
      </w:rPr>
    </w:lvl>
    <w:lvl w:ilvl="2">
      <w:start w:val="0"/>
      <w:numFmt w:val="bullet"/>
      <w:lvlText w:val="•"/>
      <w:lvlJc w:val="left"/>
      <w:pPr>
        <w:ind w:left="1997" w:hanging="532"/>
      </w:pPr>
      <w:rPr>
        <w:rFonts w:hint="default"/>
        <w:lang w:val="zh-CN" w:eastAsia="zh-CN" w:bidi="zh-CN"/>
      </w:rPr>
    </w:lvl>
    <w:lvl w:ilvl="3">
      <w:start w:val="0"/>
      <w:numFmt w:val="bullet"/>
      <w:lvlText w:val="•"/>
      <w:lvlJc w:val="left"/>
      <w:pPr>
        <w:ind w:left="2915" w:hanging="532"/>
      </w:pPr>
      <w:rPr>
        <w:rFonts w:hint="default"/>
        <w:lang w:val="zh-CN" w:eastAsia="zh-CN" w:bidi="zh-CN"/>
      </w:rPr>
    </w:lvl>
    <w:lvl w:ilvl="4">
      <w:start w:val="0"/>
      <w:numFmt w:val="bullet"/>
      <w:lvlText w:val="•"/>
      <w:lvlJc w:val="left"/>
      <w:pPr>
        <w:ind w:left="3834" w:hanging="532"/>
      </w:pPr>
      <w:rPr>
        <w:rFonts w:hint="default"/>
        <w:lang w:val="zh-CN" w:eastAsia="zh-CN" w:bidi="zh-CN"/>
      </w:rPr>
    </w:lvl>
    <w:lvl w:ilvl="5">
      <w:start w:val="0"/>
      <w:numFmt w:val="bullet"/>
      <w:lvlText w:val="•"/>
      <w:lvlJc w:val="left"/>
      <w:pPr>
        <w:ind w:left="4753" w:hanging="532"/>
      </w:pPr>
      <w:rPr>
        <w:rFonts w:hint="default"/>
        <w:lang w:val="zh-CN" w:eastAsia="zh-CN" w:bidi="zh-CN"/>
      </w:rPr>
    </w:lvl>
    <w:lvl w:ilvl="6">
      <w:start w:val="0"/>
      <w:numFmt w:val="bullet"/>
      <w:lvlText w:val="•"/>
      <w:lvlJc w:val="left"/>
      <w:pPr>
        <w:ind w:left="5671" w:hanging="532"/>
      </w:pPr>
      <w:rPr>
        <w:rFonts w:hint="default"/>
        <w:lang w:val="zh-CN" w:eastAsia="zh-CN" w:bidi="zh-CN"/>
      </w:rPr>
    </w:lvl>
    <w:lvl w:ilvl="7">
      <w:start w:val="0"/>
      <w:numFmt w:val="bullet"/>
      <w:lvlText w:val="•"/>
      <w:lvlJc w:val="left"/>
      <w:pPr>
        <w:ind w:left="6590" w:hanging="532"/>
      </w:pPr>
      <w:rPr>
        <w:rFonts w:hint="default"/>
        <w:lang w:val="zh-CN" w:eastAsia="zh-CN" w:bidi="zh-CN"/>
      </w:rPr>
    </w:lvl>
    <w:lvl w:ilvl="8">
      <w:start w:val="0"/>
      <w:numFmt w:val="bullet"/>
      <w:lvlText w:val="•"/>
      <w:lvlJc w:val="left"/>
      <w:pPr>
        <w:ind w:left="7509" w:hanging="532"/>
      </w:pPr>
      <w:rPr>
        <w:rFonts w:hint="default"/>
        <w:lang w:val="zh-CN" w:eastAsia="zh-CN" w:bidi="zh-CN"/>
      </w:rPr>
    </w:lvl>
  </w:abstractNum>
  <w:abstractNum w:abstractNumId="1">
    <w:multiLevelType w:val="hybridMultilevel"/>
    <w:lvl w:ilvl="0">
      <w:start w:val="1"/>
      <w:numFmt w:val="decimal"/>
      <w:lvlText w:val="（%1）"/>
      <w:lvlJc w:val="left"/>
      <w:pPr>
        <w:ind w:left="110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1924" w:hanging="529"/>
      </w:pPr>
      <w:rPr>
        <w:rFonts w:hint="default"/>
        <w:lang w:val="zh-CN" w:eastAsia="zh-CN" w:bidi="zh-CN"/>
      </w:rPr>
    </w:lvl>
    <w:lvl w:ilvl="2">
      <w:start w:val="0"/>
      <w:numFmt w:val="bullet"/>
      <w:lvlText w:val="•"/>
      <w:lvlJc w:val="left"/>
      <w:pPr>
        <w:ind w:left="2749" w:hanging="529"/>
      </w:pPr>
      <w:rPr>
        <w:rFonts w:hint="default"/>
        <w:lang w:val="zh-CN" w:eastAsia="zh-CN" w:bidi="zh-CN"/>
      </w:rPr>
    </w:lvl>
    <w:lvl w:ilvl="3">
      <w:start w:val="0"/>
      <w:numFmt w:val="bullet"/>
      <w:lvlText w:val="•"/>
      <w:lvlJc w:val="left"/>
      <w:pPr>
        <w:ind w:left="3573" w:hanging="529"/>
      </w:pPr>
      <w:rPr>
        <w:rFonts w:hint="default"/>
        <w:lang w:val="zh-CN" w:eastAsia="zh-CN" w:bidi="zh-CN"/>
      </w:rPr>
    </w:lvl>
    <w:lvl w:ilvl="4">
      <w:start w:val="0"/>
      <w:numFmt w:val="bullet"/>
      <w:lvlText w:val="•"/>
      <w:lvlJc w:val="left"/>
      <w:pPr>
        <w:ind w:left="4398" w:hanging="529"/>
      </w:pPr>
      <w:rPr>
        <w:rFonts w:hint="default"/>
        <w:lang w:val="zh-CN" w:eastAsia="zh-CN" w:bidi="zh-CN"/>
      </w:rPr>
    </w:lvl>
    <w:lvl w:ilvl="5">
      <w:start w:val="0"/>
      <w:numFmt w:val="bullet"/>
      <w:lvlText w:val="•"/>
      <w:lvlJc w:val="left"/>
      <w:pPr>
        <w:ind w:left="5223" w:hanging="529"/>
      </w:pPr>
      <w:rPr>
        <w:rFonts w:hint="default"/>
        <w:lang w:val="zh-CN" w:eastAsia="zh-CN" w:bidi="zh-CN"/>
      </w:rPr>
    </w:lvl>
    <w:lvl w:ilvl="6">
      <w:start w:val="0"/>
      <w:numFmt w:val="bullet"/>
      <w:lvlText w:val="•"/>
      <w:lvlJc w:val="left"/>
      <w:pPr>
        <w:ind w:left="6047" w:hanging="529"/>
      </w:pPr>
      <w:rPr>
        <w:rFonts w:hint="default"/>
        <w:lang w:val="zh-CN" w:eastAsia="zh-CN" w:bidi="zh-CN"/>
      </w:rPr>
    </w:lvl>
    <w:lvl w:ilvl="7">
      <w:start w:val="0"/>
      <w:numFmt w:val="bullet"/>
      <w:lvlText w:val="•"/>
      <w:lvlJc w:val="left"/>
      <w:pPr>
        <w:ind w:left="6872" w:hanging="529"/>
      </w:pPr>
      <w:rPr>
        <w:rFonts w:hint="default"/>
        <w:lang w:val="zh-CN" w:eastAsia="zh-CN" w:bidi="zh-CN"/>
      </w:rPr>
    </w:lvl>
    <w:lvl w:ilvl="8">
      <w:start w:val="0"/>
      <w:numFmt w:val="bullet"/>
      <w:lvlText w:val="•"/>
      <w:lvlJc w:val="left"/>
      <w:pPr>
        <w:ind w:left="7697" w:hanging="529"/>
      </w:pPr>
      <w:rPr>
        <w:rFonts w:hint="default"/>
        <w:lang w:val="zh-CN" w:eastAsia="zh-CN" w:bidi="zh-CN"/>
      </w:rPr>
    </w:lvl>
  </w:abstractNum>
  <w:abstractNum w:abstractNumId="0">
    <w:multiLevelType w:val="hybridMultilevel"/>
    <w:lvl w:ilvl="0">
      <w:start w:val="1"/>
      <w:numFmt w:val="decimal"/>
      <w:lvlText w:val="（%1）"/>
      <w:lvlJc w:val="left"/>
      <w:pPr>
        <w:ind w:left="110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1924" w:hanging="529"/>
      </w:pPr>
      <w:rPr>
        <w:rFonts w:hint="default"/>
        <w:lang w:val="zh-CN" w:eastAsia="zh-CN" w:bidi="zh-CN"/>
      </w:rPr>
    </w:lvl>
    <w:lvl w:ilvl="2">
      <w:start w:val="0"/>
      <w:numFmt w:val="bullet"/>
      <w:lvlText w:val="•"/>
      <w:lvlJc w:val="left"/>
      <w:pPr>
        <w:ind w:left="2749" w:hanging="529"/>
      </w:pPr>
      <w:rPr>
        <w:rFonts w:hint="default"/>
        <w:lang w:val="zh-CN" w:eastAsia="zh-CN" w:bidi="zh-CN"/>
      </w:rPr>
    </w:lvl>
    <w:lvl w:ilvl="3">
      <w:start w:val="0"/>
      <w:numFmt w:val="bullet"/>
      <w:lvlText w:val="•"/>
      <w:lvlJc w:val="left"/>
      <w:pPr>
        <w:ind w:left="3573" w:hanging="529"/>
      </w:pPr>
      <w:rPr>
        <w:rFonts w:hint="default"/>
        <w:lang w:val="zh-CN" w:eastAsia="zh-CN" w:bidi="zh-CN"/>
      </w:rPr>
    </w:lvl>
    <w:lvl w:ilvl="4">
      <w:start w:val="0"/>
      <w:numFmt w:val="bullet"/>
      <w:lvlText w:val="•"/>
      <w:lvlJc w:val="left"/>
      <w:pPr>
        <w:ind w:left="4398" w:hanging="529"/>
      </w:pPr>
      <w:rPr>
        <w:rFonts w:hint="default"/>
        <w:lang w:val="zh-CN" w:eastAsia="zh-CN" w:bidi="zh-CN"/>
      </w:rPr>
    </w:lvl>
    <w:lvl w:ilvl="5">
      <w:start w:val="0"/>
      <w:numFmt w:val="bullet"/>
      <w:lvlText w:val="•"/>
      <w:lvlJc w:val="left"/>
      <w:pPr>
        <w:ind w:left="5223" w:hanging="529"/>
      </w:pPr>
      <w:rPr>
        <w:rFonts w:hint="default"/>
        <w:lang w:val="zh-CN" w:eastAsia="zh-CN" w:bidi="zh-CN"/>
      </w:rPr>
    </w:lvl>
    <w:lvl w:ilvl="6">
      <w:start w:val="0"/>
      <w:numFmt w:val="bullet"/>
      <w:lvlText w:val="•"/>
      <w:lvlJc w:val="left"/>
      <w:pPr>
        <w:ind w:left="6047" w:hanging="529"/>
      </w:pPr>
      <w:rPr>
        <w:rFonts w:hint="default"/>
        <w:lang w:val="zh-CN" w:eastAsia="zh-CN" w:bidi="zh-CN"/>
      </w:rPr>
    </w:lvl>
    <w:lvl w:ilvl="7">
      <w:start w:val="0"/>
      <w:numFmt w:val="bullet"/>
      <w:lvlText w:val="•"/>
      <w:lvlJc w:val="left"/>
      <w:pPr>
        <w:ind w:left="6872" w:hanging="529"/>
      </w:pPr>
      <w:rPr>
        <w:rFonts w:hint="default"/>
        <w:lang w:val="zh-CN" w:eastAsia="zh-CN" w:bidi="zh-CN"/>
      </w:rPr>
    </w:lvl>
    <w:lvl w:ilvl="8">
      <w:start w:val="0"/>
      <w:numFmt w:val="bullet"/>
      <w:lvlText w:val="•"/>
      <w:lvlJc w:val="left"/>
      <w:pPr>
        <w:ind w:left="7697" w:hanging="529"/>
      </w:pPr>
      <w:rPr>
        <w:rFonts w:hint="default"/>
        <w:lang w:val="zh-CN" w:eastAsia="zh-CN" w:bidi="zh-CN"/>
      </w:rPr>
    </w:lvl>
  </w:abstractNum>
  <w:num w:numId="49">
    <w:abstractNumId w:val="48"/>
  </w:num>
  <w:num w:numId="48">
    <w:abstractNumId w:val="47"/>
  </w:num>
  <w:num w:numId="44">
    <w:abstractNumId w:val="43"/>
  </w:num>
  <w:num w:numId="54">
    <w:abstractNumId w:val="53"/>
  </w:num>
  <w:num w:numId="53">
    <w:abstractNumId w:val="52"/>
  </w:num>
  <w:num w:numId="52">
    <w:abstractNumId w:val="51"/>
  </w:num>
  <w:num w:numId="51">
    <w:abstractNumId w:val="50"/>
  </w:num>
  <w:num w:numId="50">
    <w:abstractNumId w:val="49"/>
  </w:num>
  <w:num w:numId="47">
    <w:abstractNumId w:val="46"/>
  </w:num>
  <w:num w:numId="46">
    <w:abstractNumId w:val="45"/>
  </w:num>
  <w:num w:numId="45">
    <w:abstractNumId w:val="44"/>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199"/>
      <w:ind w:right="722"/>
      <w:jc w:val="center"/>
    </w:pPr>
    <w:rPr>
      <w:rFonts w:ascii="宋体" w:hAnsi="宋体" w:eastAsia="宋体" w:cs="宋体"/>
      <w:sz w:val="21"/>
      <w:szCs w:val="21"/>
      <w:lang w:val="zh-CN" w:eastAsia="zh-CN" w:bidi="zh-CN"/>
    </w:rPr>
  </w:style>
  <w:style w:styleId="BodyText" w:type="paragraph">
    <w:name w:val="Body Text"/>
    <w:basedOn w:val="Normal"/>
    <w:uiPriority w:val="1"/>
    <w:qFormat/>
    <w:pPr/>
    <w:rPr>
      <w:rFonts w:ascii="宋体" w:hAnsi="宋体" w:eastAsia="宋体" w:cs="宋体"/>
      <w:sz w:val="21"/>
      <w:szCs w:val="21"/>
      <w:lang w:val="zh-CN" w:eastAsia="zh-CN" w:bidi="zh-CN"/>
    </w:rPr>
  </w:style>
  <w:style w:styleId="Heading1" w:type="paragraph">
    <w:name w:val="Heading 1"/>
    <w:basedOn w:val="Normal"/>
    <w:uiPriority w:val="1"/>
    <w:qFormat/>
    <w:pPr>
      <w:spacing w:before="72"/>
      <w:ind w:left="12" w:right="725"/>
      <w:jc w:val="center"/>
      <w:outlineLvl w:val="1"/>
    </w:pPr>
    <w:rPr>
      <w:rFonts w:ascii="宋体" w:hAnsi="宋体" w:eastAsia="宋体" w:cs="宋体"/>
      <w:b/>
      <w:bCs/>
      <w:sz w:val="21"/>
      <w:szCs w:val="21"/>
      <w:lang w:val="zh-CN" w:eastAsia="zh-CN" w:bidi="zh-CN"/>
    </w:rPr>
  </w:style>
  <w:style w:styleId="ListParagraph" w:type="paragraph">
    <w:name w:val="List Paragraph"/>
    <w:basedOn w:val="Normal"/>
    <w:uiPriority w:val="1"/>
    <w:qFormat/>
    <w:pPr>
      <w:ind w:left="160" w:hanging="530"/>
    </w:pPr>
    <w:rPr>
      <w:rFonts w:ascii="宋体" w:hAnsi="宋体" w:eastAsia="宋体" w:cs="宋体"/>
      <w:lang w:val="zh-CN" w:eastAsia="zh-CN" w:bidi="zh-CN"/>
    </w:rPr>
  </w:style>
  <w:style w:styleId="TableParagraph" w:type="paragraph">
    <w:name w:val="Table Paragraph"/>
    <w:basedOn w:val="Normal"/>
    <w:uiPriority w:val="1"/>
    <w:qFormat/>
    <w:pPr>
      <w:spacing w:before="22"/>
    </w:pPr>
    <w:rPr>
      <w:rFonts w:ascii="Calibri" w:hAnsi="Calibri" w:eastAsia="Calibri" w:cs="Calibri"/>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hyperlink" Target="http://www.ChinaAMC.com/" TargetMode="External"/><Relationship Id="rId14" Type="http://schemas.openxmlformats.org/officeDocument/2006/relationships/hyperlink" Target="http://www.boc.cn/" TargetMode="External"/><Relationship Id="rId15" Type="http://schemas.openxmlformats.org/officeDocument/2006/relationships/hyperlink" Target="http://www.ccb.com/" TargetMode="External"/><Relationship Id="rId16" Type="http://schemas.openxmlformats.org/officeDocument/2006/relationships/hyperlink" Target="http://www.bankcomm.com/" TargetMode="External"/><Relationship Id="rId17" Type="http://schemas.openxmlformats.org/officeDocument/2006/relationships/hyperlink" Target="http://www.cmbchina.com/" TargetMode="External"/><Relationship Id="rId18" Type="http://schemas.openxmlformats.org/officeDocument/2006/relationships/hyperlink" Target="http://www.spdb.com.cn/" TargetMode="External"/><Relationship Id="rId19" Type="http://schemas.openxmlformats.org/officeDocument/2006/relationships/hyperlink" Target="http://www.cebbank.com/" TargetMode="External"/><Relationship Id="rId20" Type="http://schemas.openxmlformats.org/officeDocument/2006/relationships/hyperlink" Target="http://www.nbcb.cn/" TargetMode="External"/><Relationship Id="rId21" Type="http://schemas.openxmlformats.org/officeDocument/2006/relationships/hyperlink" Target="http://www.srcb.com/" TargetMode="External"/><Relationship Id="rId22" Type="http://schemas.openxmlformats.org/officeDocument/2006/relationships/hyperlink" Target="http://www.dongguanbank.cn/" TargetMode="External"/><Relationship Id="rId23" Type="http://schemas.openxmlformats.org/officeDocument/2006/relationships/hyperlink" Target="http://www.bankofchangsha.com/" TargetMode="External"/><Relationship Id="rId24" Type="http://schemas.openxmlformats.org/officeDocument/2006/relationships/hyperlink" Target="http://www.xmccb.com/" TargetMode="External"/><Relationship Id="rId25" Type="http://schemas.openxmlformats.org/officeDocument/2006/relationships/hyperlink" Target="http://www.ynhtbank.com/" TargetMode="External"/><Relationship Id="rId26" Type="http://schemas.openxmlformats.org/officeDocument/2006/relationships/hyperlink" Target="http://www.9ifund.com/" TargetMode="External"/><Relationship Id="rId27" Type="http://schemas.openxmlformats.org/officeDocument/2006/relationships/hyperlink" Target="http://8.jrj.com.cn/" TargetMode="External"/><Relationship Id="rId28" Type="http://schemas.openxmlformats.org/officeDocument/2006/relationships/hyperlink" Target="http://www.huilinbd.com/" TargetMode="External"/><Relationship Id="rId29" Type="http://schemas.openxmlformats.org/officeDocument/2006/relationships/hyperlink" Target="http://www.wacaijijin.com/" TargetMode="External"/><Relationship Id="rId30" Type="http://schemas.openxmlformats.org/officeDocument/2006/relationships/hyperlink" Target="http://www.xiquefund.com/" TargetMode="External"/><Relationship Id="rId31" Type="http://schemas.openxmlformats.org/officeDocument/2006/relationships/hyperlink" Target="http://www.tenganxinxi.com/" TargetMode="External"/><Relationship Id="rId32" Type="http://schemas.openxmlformats.org/officeDocument/2006/relationships/hyperlink" Target="http://www.baiyingfund.com/" TargetMode="External"/><Relationship Id="rId33" Type="http://schemas.openxmlformats.org/officeDocument/2006/relationships/hyperlink" Target="http://www.noah-fund.com/" TargetMode="External"/><Relationship Id="rId34" Type="http://schemas.openxmlformats.org/officeDocument/2006/relationships/hyperlink" Target="http://www.zlfund.cn/" TargetMode="External"/><Relationship Id="rId35" Type="http://schemas.openxmlformats.org/officeDocument/2006/relationships/hyperlink" Target="http://www.1234567.com.cn/" TargetMode="External"/><Relationship Id="rId36" Type="http://schemas.openxmlformats.org/officeDocument/2006/relationships/hyperlink" Target="http://www.ehowbuy.com/" TargetMode="External"/><Relationship Id="rId37" Type="http://schemas.openxmlformats.org/officeDocument/2006/relationships/hyperlink" Target="http://www.fund123.cn/" TargetMode="External"/><Relationship Id="rId38" Type="http://schemas.openxmlformats.org/officeDocument/2006/relationships/hyperlink" Target="http://www.erichfund.com/" TargetMode="External"/><Relationship Id="rId39" Type="http://schemas.openxmlformats.org/officeDocument/2006/relationships/hyperlink" Target="http://www.5ifund.com/" TargetMode="External"/><Relationship Id="rId40" Type="http://schemas.openxmlformats.org/officeDocument/2006/relationships/hyperlink" Target="http://www.leadfund.com.cn/" TargetMode="External"/><Relationship Id="rId41" Type="http://schemas.openxmlformats.org/officeDocument/2006/relationships/hyperlink" Target="http://www.qiandaojr.com/" TargetMode="External"/><Relationship Id="rId42" Type="http://schemas.openxmlformats.org/officeDocument/2006/relationships/hyperlink" Target="http://www.puyifund.com/" TargetMode="External"/><Relationship Id="rId43" Type="http://schemas.openxmlformats.org/officeDocument/2006/relationships/hyperlink" Target="http://www.yixinfund.com/" TargetMode="External"/><Relationship Id="rId44" Type="http://schemas.openxmlformats.org/officeDocument/2006/relationships/hyperlink" Target="http://www.snjijin.com/" TargetMode="External"/><Relationship Id="rId45" Type="http://schemas.openxmlformats.org/officeDocument/2006/relationships/hyperlink" Target="http://www.zscffund.com/" TargetMode="External"/><Relationship Id="rId46" Type="http://schemas.openxmlformats.org/officeDocument/2006/relationships/hyperlink" Target="http://www.tonghuafund.com/" TargetMode="External"/><Relationship Id="rId47" Type="http://schemas.openxmlformats.org/officeDocument/2006/relationships/hyperlink" Target="http://www.hcjijin.com/" TargetMode="External"/><Relationship Id="rId48" Type="http://schemas.openxmlformats.org/officeDocument/2006/relationships/hyperlink" Target="http://www.niuji.net/" TargetMode="External"/><Relationship Id="rId49" Type="http://schemas.openxmlformats.org/officeDocument/2006/relationships/hyperlink" Target="http://www.zhixin-inv.com/" TargetMode="External"/><Relationship Id="rId50" Type="http://schemas.openxmlformats.org/officeDocument/2006/relationships/hyperlink" Target="http://www.wg.com.cn/" TargetMode="External"/><Relationship Id="rId51" Type="http://schemas.openxmlformats.org/officeDocument/2006/relationships/hyperlink" Target="http://www.jianfortune.com/" TargetMode="External"/><Relationship Id="rId52" Type="http://schemas.openxmlformats.org/officeDocument/2006/relationships/hyperlink" Target="http://www.520fund.com.cn/" TargetMode="External"/><Relationship Id="rId53" Type="http://schemas.openxmlformats.org/officeDocument/2006/relationships/hyperlink" Target="http://www.66liantai.com/" TargetMode="External"/><Relationship Id="rId54" Type="http://schemas.openxmlformats.org/officeDocument/2006/relationships/hyperlink" Target="http://www.haojiyoujijin.com/" TargetMode="External"/><Relationship Id="rId55" Type="http://schemas.openxmlformats.org/officeDocument/2006/relationships/hyperlink" Target="http://www.hotjijin.com/" TargetMode="External"/><Relationship Id="rId56" Type="http://schemas.openxmlformats.org/officeDocument/2006/relationships/hyperlink" Target="http://www.jiyufund.com.cn/" TargetMode="External"/><Relationship Id="rId57" Type="http://schemas.openxmlformats.org/officeDocument/2006/relationships/hyperlink" Target="http://www.zhongzhengfund.com/" TargetMode="External"/><Relationship Id="rId58" Type="http://schemas.openxmlformats.org/officeDocument/2006/relationships/hyperlink" Target="http://www.lufunds.com/" TargetMode="External"/><Relationship Id="rId59" Type="http://schemas.openxmlformats.org/officeDocument/2006/relationships/hyperlink" Target="http://www.yingmi.cn/" TargetMode="External"/><Relationship Id="rId60" Type="http://schemas.openxmlformats.org/officeDocument/2006/relationships/hyperlink" Target="http://www.hgccpb.com/" TargetMode="External"/><Relationship Id="rId61" Type="http://schemas.openxmlformats.org/officeDocument/2006/relationships/hyperlink" Target="http://www.ifastps.com.cn/" TargetMode="External"/><Relationship Id="rId62" Type="http://schemas.openxmlformats.org/officeDocument/2006/relationships/hyperlink" Target="http://www.jnlc.com/" TargetMode="External"/><Relationship Id="rId63" Type="http://schemas.openxmlformats.org/officeDocument/2006/relationships/hyperlink" Target="http://fund.jd.com/" TargetMode="External"/><Relationship Id="rId64" Type="http://schemas.openxmlformats.org/officeDocument/2006/relationships/hyperlink" Target="http://www.yibaijin.com/" TargetMode="External"/><Relationship Id="rId65" Type="http://schemas.openxmlformats.org/officeDocument/2006/relationships/hyperlink" Target="http://www.cmiwm.com/" TargetMode="External"/><Relationship Id="rId66" Type="http://schemas.openxmlformats.org/officeDocument/2006/relationships/hyperlink" Target="http://www.jfzinv.com/" TargetMode="External"/><Relationship Id="rId67" Type="http://schemas.openxmlformats.org/officeDocument/2006/relationships/hyperlink" Target="http://www.wanjiawealth.com/" TargetMode="External"/><Relationship Id="rId68" Type="http://schemas.openxmlformats.org/officeDocument/2006/relationships/hyperlink" Target="http://www.amcfortune.com/" TargetMode="External"/><Relationship Id="rId69" Type="http://schemas.openxmlformats.org/officeDocument/2006/relationships/hyperlink" Target="http://www.citicsf.com/" TargetMode="External"/><Relationship Id="rId70" Type="http://schemas.openxmlformats.org/officeDocument/2006/relationships/hyperlink" Target="http://www.ftol.com.cn/" TargetMode="External"/><Relationship Id="rId71" Type="http://schemas.openxmlformats.org/officeDocument/2006/relationships/hyperlink" Target="http://www.csc108.com/" TargetMode="External"/><Relationship Id="rId72" Type="http://schemas.openxmlformats.org/officeDocument/2006/relationships/hyperlink" Target="http://www.gf.com.cn/" TargetMode="External"/><Relationship Id="rId73" Type="http://schemas.openxmlformats.org/officeDocument/2006/relationships/hyperlink" Target="http://www.cs.ecitic.com/" TargetMode="External"/><Relationship Id="rId74" Type="http://schemas.openxmlformats.org/officeDocument/2006/relationships/hyperlink" Target="http://www.swhysc.com/" TargetMode="External"/><Relationship Id="rId75" Type="http://schemas.openxmlformats.org/officeDocument/2006/relationships/hyperlink" Target="http://www.xyzq.com.cn/" TargetMode="External"/><Relationship Id="rId76" Type="http://schemas.openxmlformats.org/officeDocument/2006/relationships/hyperlink" Target="http://www.95579.com/" TargetMode="External"/><Relationship Id="rId77" Type="http://schemas.openxmlformats.org/officeDocument/2006/relationships/hyperlink" Target="http://www.essence.com.cn/" TargetMode="External"/><Relationship Id="rId78" Type="http://schemas.openxmlformats.org/officeDocument/2006/relationships/hyperlink" Target="http://www.swsc.com.cn/" TargetMode="External"/><Relationship Id="rId79" Type="http://schemas.openxmlformats.org/officeDocument/2006/relationships/hyperlink" Target="http://www.wlzq.com.cn/" TargetMode="External"/><Relationship Id="rId80" Type="http://schemas.openxmlformats.org/officeDocument/2006/relationships/hyperlink" Target="http://www.ewww.com.cn/" TargetMode="External"/><Relationship Id="rId81" Type="http://schemas.openxmlformats.org/officeDocument/2006/relationships/hyperlink" Target="http://sd.citics.com/" TargetMode="External"/><Relationship Id="rId82" Type="http://schemas.openxmlformats.org/officeDocument/2006/relationships/hyperlink" Target="http://www.dxzq.net.cn/" TargetMode="External"/><Relationship Id="rId83" Type="http://schemas.openxmlformats.org/officeDocument/2006/relationships/hyperlink" Target="http://www.dwzq.com.cn/" TargetMode="External"/><Relationship Id="rId84" Type="http://schemas.openxmlformats.org/officeDocument/2006/relationships/hyperlink" Target="http://www.cindasc.com/" TargetMode="External"/><Relationship Id="rId85" Type="http://schemas.openxmlformats.org/officeDocument/2006/relationships/hyperlink" Target="http://www.foundersc.com/" TargetMode="External"/><Relationship Id="rId86" Type="http://schemas.openxmlformats.org/officeDocument/2006/relationships/hyperlink" Target="http://www.cgws.com/" TargetMode="External"/><Relationship Id="rId87" Type="http://schemas.openxmlformats.org/officeDocument/2006/relationships/hyperlink" Target="http://www.ebscn.com/" TargetMode="External"/><Relationship Id="rId88" Type="http://schemas.openxmlformats.org/officeDocument/2006/relationships/hyperlink" Target="http://www.gzs.com.cn/" TargetMode="External"/><Relationship Id="rId89" Type="http://schemas.openxmlformats.org/officeDocument/2006/relationships/hyperlink" Target="http://www.nesc.cn/" TargetMode="External"/><Relationship Id="rId90" Type="http://schemas.openxmlformats.org/officeDocument/2006/relationships/hyperlink" Target="http://www.njzq.com.cn/" TargetMode="External"/><Relationship Id="rId91" Type="http://schemas.openxmlformats.org/officeDocument/2006/relationships/hyperlink" Target="http://www.962518.com/" TargetMode="External"/><Relationship Id="rId92" Type="http://schemas.openxmlformats.org/officeDocument/2006/relationships/hyperlink" Target="http://www.xsdzq.cn/" TargetMode="External"/><Relationship Id="rId93" Type="http://schemas.openxmlformats.org/officeDocument/2006/relationships/hyperlink" Target="http://www.dtsbc.com.cn/" TargetMode="External"/><Relationship Id="rId94" Type="http://schemas.openxmlformats.org/officeDocument/2006/relationships/hyperlink" Target="http://www.glsc.com.cn/" TargetMode="External"/><Relationship Id="rId95" Type="http://schemas.openxmlformats.org/officeDocument/2006/relationships/hyperlink" Target="http://www.stocke.com.cn/" TargetMode="External"/><Relationship Id="rId96" Type="http://schemas.openxmlformats.org/officeDocument/2006/relationships/hyperlink" Target="http://www.pingan.com/" TargetMode="External"/><Relationship Id="rId97" Type="http://schemas.openxmlformats.org/officeDocument/2006/relationships/hyperlink" Target="http://www.hazq.com/" TargetMode="External"/><Relationship Id="rId98" Type="http://schemas.openxmlformats.org/officeDocument/2006/relationships/hyperlink" Target="http://www.cfzq.com/" TargetMode="External"/><Relationship Id="rId99" Type="http://schemas.openxmlformats.org/officeDocument/2006/relationships/hyperlink" Target="http://www.dgzq.com.cn/" TargetMode="External"/><Relationship Id="rId100" Type="http://schemas.openxmlformats.org/officeDocument/2006/relationships/hyperlink" Target="http://www.guodu.com/" TargetMode="External"/><Relationship Id="rId101" Type="http://schemas.openxmlformats.org/officeDocument/2006/relationships/hyperlink" Target="http://www.longone.com.cn/" TargetMode="External"/><Relationship Id="rId102" Type="http://schemas.openxmlformats.org/officeDocument/2006/relationships/hyperlink" Target="http://www.bocichina.com.cn/" TargetMode="External"/><Relationship Id="rId103" Type="http://schemas.openxmlformats.org/officeDocument/2006/relationships/hyperlink" Target="http://www.cnht.com.cn/" TargetMode="External"/><Relationship Id="rId104" Type="http://schemas.openxmlformats.org/officeDocument/2006/relationships/hyperlink" Target="http://www.gszq.com/" TargetMode="External"/><Relationship Id="rId105" Type="http://schemas.openxmlformats.org/officeDocument/2006/relationships/hyperlink" Target="http://www.hx168.com.cn/" TargetMode="External"/><Relationship Id="rId106" Type="http://schemas.openxmlformats.org/officeDocument/2006/relationships/hyperlink" Target="http://www.hysec.com/" TargetMode="External"/><Relationship Id="rId107" Type="http://schemas.openxmlformats.org/officeDocument/2006/relationships/hyperlink" Target="http://www.zts.com.cn/" TargetMode="External"/><Relationship Id="rId108" Type="http://schemas.openxmlformats.org/officeDocument/2006/relationships/hyperlink" Target="http://www.csco.com.cn/" TargetMode="External"/><Relationship Id="rId109" Type="http://schemas.openxmlformats.org/officeDocument/2006/relationships/hyperlink" Target="http://www.firstcapital.com.cn/" TargetMode="External"/><Relationship Id="rId110" Type="http://schemas.openxmlformats.org/officeDocument/2006/relationships/hyperlink" Target="http://www.jyzq.cn/" TargetMode="External"/><Relationship Id="rId111" Type="http://schemas.openxmlformats.org/officeDocument/2006/relationships/hyperlink" Target="http://www.chinalin.com/" TargetMode="External"/><Relationship Id="rId112" Type="http://schemas.openxmlformats.org/officeDocument/2006/relationships/hyperlink" Target="http://www.westsecu.com/" TargetMode="External"/><Relationship Id="rId113" Type="http://schemas.openxmlformats.org/officeDocument/2006/relationships/hyperlink" Target="http://www.hfzq.com.cn/" TargetMode="External"/><Relationship Id="rId114" Type="http://schemas.openxmlformats.org/officeDocument/2006/relationships/hyperlink" Target="http://www.hlzqgs.com/" TargetMode="External"/><Relationship Id="rId115" Type="http://schemas.openxmlformats.org/officeDocument/2006/relationships/hyperlink" Target="http://www.cicc.com.cn/" TargetMode="External"/><Relationship Id="rId116" Type="http://schemas.openxmlformats.org/officeDocument/2006/relationships/hyperlink" Target="http://www.ctsec.com/" TargetMode="External"/><Relationship Id="rId117" Type="http://schemas.openxmlformats.org/officeDocument/2006/relationships/hyperlink" Target="http://www.china-invs.cn/" TargetMode="External"/><Relationship Id="rId118" Type="http://schemas.openxmlformats.org/officeDocument/2006/relationships/hyperlink" Target="http://www.zszq.com/" TargetMode="External"/><Relationship Id="rId119" Type="http://schemas.openxmlformats.org/officeDocument/2006/relationships/hyperlink" Target="http://www.18.cn/" TargetMode="External"/><Relationship Id="rId120" Type="http://schemas.openxmlformats.org/officeDocument/2006/relationships/hyperlink" Target="http://www.grzq.com/" TargetMode="External"/><Relationship Id="rId121" Type="http://schemas.openxmlformats.org/officeDocument/2006/relationships/hyperlink" Target="http://www.ykzq.com/" TargetMode="External"/><Relationship Id="rId122" Type="http://schemas.openxmlformats.org/officeDocument/2006/relationships/hyperlink" Target="http://www.jhzq.com.cn/" TargetMode="External"/><Relationship Id="rId123" Type="http://schemas.openxmlformats.org/officeDocument/2006/relationships/hyperlink" Target="http://www.gjzq.com.cn/" TargetMode="External"/><Relationship Id="rId124" Type="http://schemas.openxmlformats.org/officeDocument/2006/relationships/hyperlink" Target="http://www.cnhbstock.com/" TargetMode="External"/><Relationship Id="rId125" Type="http://schemas.openxmlformats.org/officeDocument/2006/relationships/hyperlink" Target="http://www.gwgsc.com/" TargetMode="External"/><Relationship Id="rId126" Type="http://schemas.openxmlformats.org/officeDocument/2006/relationships/hyperlink" Target="http://www.ajzq.com/" TargetMode="External"/><Relationship Id="rId127" Type="http://schemas.openxmlformats.org/officeDocument/2006/relationships/hyperlink" Target="http://www.ydsc.com.cn/" TargetMode="External"/><Relationship Id="rId128" Type="http://schemas.openxmlformats.org/officeDocument/2006/relationships/hyperlink" Target="http://www.hrsec.com.cn/" TargetMode="External"/><Relationship Id="rId129" Type="http://schemas.openxmlformats.org/officeDocument/2006/relationships/hyperlink" Target="http://www.tfzq.com/" TargetMode="External"/><Relationship Id="rId130" Type="http://schemas.openxmlformats.org/officeDocument/2006/relationships/hyperlink" Target="http://www.wanhesec.com.cn/" TargetMode="External"/><Relationship Id="rId131" Type="http://schemas.openxmlformats.org/officeDocument/2006/relationships/hyperlink" Target="http://www.hxzq.cn/" TargetMode="External"/><Relationship Id="rId132" Type="http://schemas.openxmlformats.org/officeDocument/2006/relationships/hyperlink" Target="http://www.kysec.cn/" TargetMode="External"/><Relationship Id="rId133" Type="http://schemas.openxmlformats.org/officeDocument/2006/relationships/hyperlink" Target="http://www.cczp.com/" TargetMode="External"/><Relationship Id="rId134" Type="http://schemas.openxmlformats.org/officeDocument/2006/relationships/hyperlink" Target="http://www.lczq.com/" TargetMode="External"/><Relationship Id="rId135" Type="http://schemas.openxmlformats.org/officeDocument/2006/relationships/hyperlink" Target="http://www.huaruisales.com/" TargetMode="External"/><Relationship Id="rId136" Type="http://schemas.openxmlformats.org/officeDocument/2006/relationships/hyperlink" Target="http://fund.sinosig.com/" TargetMode="External"/><Relationship Id="rId137" Type="http://schemas.openxmlformats.org/officeDocument/2006/relationships/image" Target="media/image7.png"/><Relationship Id="rId138" Type="http://schemas.openxmlformats.org/officeDocument/2006/relationships/image" Target="media/image8.png"/><Relationship Id="rId139" Type="http://schemas.openxmlformats.org/officeDocument/2006/relationships/image" Target="media/image9.png"/><Relationship Id="rId140" Type="http://schemas.openxmlformats.org/officeDocument/2006/relationships/image" Target="media/image10.png"/><Relationship Id="rId141" Type="http://schemas.openxmlformats.org/officeDocument/2006/relationships/image" Target="media/image11.png"/><Relationship Id="rId142" Type="http://schemas.openxmlformats.org/officeDocument/2006/relationships/image" Target="media/image12.png"/><Relationship Id="rId143" Type="http://schemas.openxmlformats.org/officeDocument/2006/relationships/image" Target="media/image13.png"/><Relationship Id="rId144" Type="http://schemas.openxmlformats.org/officeDocument/2006/relationships/image" Target="media/image14.png"/><Relationship Id="rId145" Type="http://schemas.openxmlformats.org/officeDocument/2006/relationships/footer" Target="footer2.xml"/><Relationship Id="rId146" Type="http://schemas.openxmlformats.org/officeDocument/2006/relationships/footer" Target="footer3.xml"/><Relationship Id="rId147" Type="http://schemas.openxmlformats.org/officeDocument/2006/relationships/footer" Target="footer4.xml"/><Relationship Id="rId148" Type="http://schemas.openxmlformats.org/officeDocument/2006/relationships/footer" Target="footer5.xml"/><Relationship Id="rId149" Type="http://schemas.openxmlformats.org/officeDocument/2006/relationships/hyperlink" Target="http://www.chinaamc.com/" TargetMode="External"/><Relationship Id="rId150" Type="http://schemas.openxmlformats.org/officeDocument/2006/relationships/hyperlink" Target="mailto:service@ChinaAMC.com" TargetMode="External"/><Relationship Id="rId151" Type="http://schemas.openxmlformats.org/officeDocument/2006/relationships/footer" Target="footer6.xml"/><Relationship Id="rId152" Type="http://schemas.openxmlformats.org/officeDocument/2006/relationships/footer" Target="footer7.xml"/><Relationship Id="rId153" Type="http://schemas.openxmlformats.org/officeDocument/2006/relationships/footer" Target="footer8.xml"/><Relationship Id="rId154" Type="http://schemas.openxmlformats.org/officeDocument/2006/relationships/footer" Target="footer9.xml"/><Relationship Id="rId155" Type="http://schemas.openxmlformats.org/officeDocument/2006/relationships/footer" Target="footer10.xml"/><Relationship Id="rId156" Type="http://schemas.openxmlformats.org/officeDocument/2006/relationships/footer" Target="footer11.xml"/><Relationship Id="rId15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libl</dc:creator>
  <dc:title>华夏永福养老理财混合型证券投资基金                  招募说明书</dc:title>
  <dcterms:created xsi:type="dcterms:W3CDTF">2020-11-22T13:55:18Z</dcterms:created>
  <dcterms:modified xsi:type="dcterms:W3CDTF">2020-11-22T13:55:18Z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Microsoft® Office Word 2007</vt:lpwstr>
  </property>
  <property fmtid="{D5CDD505-2E9C-101B-9397-08002B2CF9AE}" pid="4" name="LastSaved">
    <vt:filetime>2020-11-22T00:00:00Z</vt:filetime>
  </property>
</Properties>
</file>