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42" w:lineRule="auto" w:before="205"/>
        <w:ind w:left="758" w:right="1138" w:firstLine="0"/>
        <w:jc w:val="center"/>
        <w:rPr>
          <w:b/>
          <w:sz w:val="48"/>
        </w:rPr>
      </w:pPr>
      <w:r>
        <w:rPr>
          <w:b/>
          <w:w w:val="95"/>
          <w:sz w:val="48"/>
        </w:rPr>
        <w:t>华夏科技成长股票型证券投资基金</w:t>
      </w:r>
      <w:r>
        <w:rPr>
          <w:b/>
          <w:sz w:val="48"/>
        </w:rPr>
        <w:t>招募说明书（更新）</w:t>
      </w:r>
    </w:p>
    <w:p>
      <w:pPr>
        <w:pStyle w:val="BodyText"/>
        <w:spacing w:before="2"/>
        <w:rPr>
          <w:b/>
          <w:sz w:val="49"/>
        </w:rPr>
      </w:pPr>
    </w:p>
    <w:p>
      <w:pPr>
        <w:spacing w:before="0"/>
        <w:ind w:left="758" w:right="1134" w:firstLine="0"/>
        <w:jc w:val="center"/>
        <w:rPr>
          <w:b/>
          <w:sz w:val="48"/>
        </w:rPr>
      </w:pPr>
      <w:r>
        <w:rPr>
          <w:rFonts w:ascii="Times New Roman" w:eastAsia="Times New Roman"/>
          <w:b/>
          <w:sz w:val="48"/>
        </w:rPr>
        <w:t>2020 </w:t>
      </w:r>
      <w:r>
        <w:rPr>
          <w:b/>
          <w:spacing w:val="-60"/>
          <w:sz w:val="48"/>
        </w:rPr>
        <w:t>年 </w:t>
      </w:r>
      <w:r>
        <w:rPr>
          <w:rFonts w:ascii="Times New Roman" w:eastAsia="Times New Roman"/>
          <w:b/>
          <w:sz w:val="48"/>
        </w:rPr>
        <w:t>10 </w:t>
      </w:r>
      <w:r>
        <w:rPr>
          <w:b/>
          <w:spacing w:val="-60"/>
          <w:sz w:val="48"/>
        </w:rPr>
        <w:t>月 </w:t>
      </w:r>
      <w:r>
        <w:rPr>
          <w:rFonts w:ascii="Times New Roman" w:eastAsia="Times New Roman"/>
          <w:b/>
          <w:sz w:val="48"/>
        </w:rPr>
        <w:t>14 </w:t>
      </w:r>
      <w:r>
        <w:rPr>
          <w:b/>
          <w:sz w:val="48"/>
        </w:rPr>
        <w:t>日公告</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spacing w:line="364" w:lineRule="auto" w:before="398"/>
        <w:ind w:left="1922" w:right="2085" w:firstLine="0"/>
        <w:jc w:val="left"/>
        <w:rPr>
          <w:sz w:val="32"/>
        </w:rPr>
      </w:pPr>
      <w:r>
        <w:rPr>
          <w:sz w:val="32"/>
        </w:rPr>
        <w:t>基金管理人：华夏基金管理有限公司基金托管人：中国银行股份有限公司</w:t>
      </w:r>
    </w:p>
    <w:p>
      <w:pPr>
        <w:spacing w:after="0" w:line="364" w:lineRule="auto"/>
        <w:jc w:val="left"/>
        <w:rPr>
          <w:sz w:val="32"/>
        </w:rPr>
        <w:sectPr>
          <w:type w:val="continuous"/>
          <w:pgSz w:w="11910" w:h="16840"/>
          <w:pgMar w:top="1580" w:bottom="280" w:left="1580" w:right="1200"/>
        </w:sectPr>
      </w:pPr>
    </w:p>
    <w:p>
      <w:pPr>
        <w:spacing w:before="110"/>
        <w:ind w:left="758" w:right="1131" w:firstLine="0"/>
        <w:jc w:val="center"/>
        <w:rPr>
          <w:b/>
          <w:sz w:val="21"/>
        </w:rPr>
      </w:pPr>
      <w:r>
        <w:rPr>
          <w:b/>
          <w:sz w:val="21"/>
        </w:rPr>
        <w:t>重要提示</w:t>
      </w:r>
    </w:p>
    <w:p>
      <w:pPr>
        <w:pStyle w:val="BodyText"/>
        <w:rPr>
          <w:b/>
          <w:sz w:val="20"/>
        </w:rPr>
      </w:pPr>
    </w:p>
    <w:p>
      <w:pPr>
        <w:pStyle w:val="BodyText"/>
        <w:rPr>
          <w:b/>
          <w:sz w:val="20"/>
        </w:rPr>
      </w:pPr>
    </w:p>
    <w:p>
      <w:pPr>
        <w:pStyle w:val="BodyText"/>
        <w:spacing w:before="154"/>
        <w:ind w:left="640"/>
      </w:pPr>
      <w:r>
        <w:rPr/>
        <w:t>华夏科技成长股票型证券投资基金（以下简称</w:t>
      </w:r>
      <w:r>
        <w:rPr>
          <w:rFonts w:ascii="Times New Roman" w:hAnsi="Times New Roman" w:eastAsia="Times New Roman"/>
        </w:rPr>
        <w:t>“</w:t>
      </w:r>
      <w:r>
        <w:rPr/>
        <w:t>本基金</w:t>
      </w:r>
      <w:r>
        <w:rPr>
          <w:rFonts w:ascii="Times New Roman" w:hAnsi="Times New Roman" w:eastAsia="Times New Roman"/>
        </w:rPr>
        <w:t>”</w:t>
      </w:r>
      <w:r>
        <w:rPr/>
        <w:t>）经中国证监会 </w:t>
      </w:r>
      <w:r>
        <w:rPr>
          <w:rFonts w:ascii="Times New Roman" w:hAnsi="Times New Roman" w:eastAsia="Times New Roman"/>
        </w:rPr>
        <w:t>2018 </w:t>
      </w:r>
      <w:r>
        <w:rPr/>
        <w:t>年 </w:t>
      </w:r>
      <w:r>
        <w:rPr>
          <w:rFonts w:ascii="Times New Roman" w:hAnsi="Times New Roman" w:eastAsia="Times New Roman"/>
        </w:rPr>
        <w:t>12 </w:t>
      </w:r>
      <w:r>
        <w:rPr/>
        <w:t>月</w:t>
      </w:r>
    </w:p>
    <w:p>
      <w:pPr>
        <w:pStyle w:val="BodyText"/>
        <w:spacing w:before="7"/>
        <w:rPr>
          <w:sz w:val="15"/>
        </w:rPr>
      </w:pPr>
    </w:p>
    <w:p>
      <w:pPr>
        <w:pStyle w:val="ListParagraph"/>
        <w:numPr>
          <w:ilvl w:val="0"/>
          <w:numId w:val="1"/>
        </w:numPr>
        <w:tabs>
          <w:tab w:pos="485" w:val="left" w:leader="none"/>
        </w:tabs>
        <w:spacing w:line="417" w:lineRule="auto" w:before="0" w:after="0"/>
        <w:ind w:left="640" w:right="591" w:hanging="420"/>
        <w:jc w:val="left"/>
        <w:rPr>
          <w:sz w:val="21"/>
        </w:rPr>
      </w:pPr>
      <w:r>
        <w:rPr>
          <w:spacing w:val="-3"/>
          <w:sz w:val="21"/>
        </w:rPr>
        <w:t>日证监许可</w:t>
      </w:r>
      <w:r>
        <w:rPr>
          <w:rFonts w:ascii="Times New Roman" w:eastAsia="Times New Roman"/>
          <w:sz w:val="21"/>
        </w:rPr>
        <w:t>[2018]2080</w:t>
      </w:r>
      <w:r>
        <w:rPr>
          <w:rFonts w:ascii="Times New Roman" w:eastAsia="Times New Roman"/>
          <w:spacing w:val="2"/>
          <w:sz w:val="21"/>
        </w:rPr>
        <w:t> </w:t>
      </w:r>
      <w:r>
        <w:rPr>
          <w:spacing w:val="-6"/>
          <w:sz w:val="21"/>
        </w:rPr>
        <w:t>号文准予注册。本基金基金合同于 </w:t>
      </w:r>
      <w:r>
        <w:rPr>
          <w:rFonts w:ascii="Times New Roman" w:eastAsia="Times New Roman"/>
          <w:sz w:val="21"/>
        </w:rPr>
        <w:t>2019</w:t>
      </w:r>
      <w:r>
        <w:rPr>
          <w:rFonts w:ascii="Times New Roman" w:eastAsia="Times New Roman"/>
          <w:spacing w:val="1"/>
          <w:sz w:val="21"/>
        </w:rPr>
        <w:t> </w:t>
      </w:r>
      <w:r>
        <w:rPr>
          <w:spacing w:val="-24"/>
          <w:sz w:val="21"/>
        </w:rPr>
        <w:t>年 </w:t>
      </w:r>
      <w:r>
        <w:rPr>
          <w:rFonts w:ascii="Times New Roman" w:eastAsia="Times New Roman"/>
          <w:sz w:val="21"/>
        </w:rPr>
        <w:t>3</w:t>
      </w:r>
      <w:r>
        <w:rPr>
          <w:rFonts w:ascii="Times New Roman" w:eastAsia="Times New Roman"/>
          <w:spacing w:val="1"/>
          <w:sz w:val="21"/>
        </w:rPr>
        <w:t> </w:t>
      </w:r>
      <w:r>
        <w:rPr>
          <w:spacing w:val="-25"/>
          <w:sz w:val="21"/>
        </w:rPr>
        <w:t>月 </w:t>
      </w:r>
      <w:r>
        <w:rPr>
          <w:rFonts w:ascii="Times New Roman" w:eastAsia="Times New Roman"/>
          <w:sz w:val="21"/>
        </w:rPr>
        <w:t>5</w:t>
      </w:r>
      <w:r>
        <w:rPr>
          <w:rFonts w:ascii="Times New Roman" w:eastAsia="Times New Roman"/>
          <w:spacing w:val="1"/>
          <w:sz w:val="21"/>
        </w:rPr>
        <w:t> </w:t>
      </w:r>
      <w:r>
        <w:rPr>
          <w:spacing w:val="-3"/>
          <w:sz w:val="21"/>
        </w:rPr>
        <w:t>日正式生效。 </w:t>
      </w:r>
      <w:r>
        <w:rPr>
          <w:spacing w:val="-8"/>
          <w:sz w:val="21"/>
        </w:rPr>
        <w:t>基金管理人保证本招募说明书的内容真实、准确、完整。本招募说明书经中国证监会注</w:t>
      </w:r>
    </w:p>
    <w:p>
      <w:pPr>
        <w:pStyle w:val="BodyText"/>
        <w:spacing w:line="417" w:lineRule="auto"/>
        <w:ind w:left="220" w:right="591"/>
      </w:pPr>
      <w:r>
        <w:rPr>
          <w:spacing w:val="-11"/>
        </w:rPr>
        <w:t>册，但中国证监会对本基金募集的注册，并不表明其对本基金的价值和收益做出实质性判断</w:t>
      </w:r>
      <w:r>
        <w:rPr>
          <w:spacing w:val="-6"/>
        </w:rPr>
        <w:t>或保证，也不表明投资于本基金没有风险。</w:t>
      </w:r>
    </w:p>
    <w:p>
      <w:pPr>
        <w:pStyle w:val="BodyText"/>
        <w:spacing w:line="417" w:lineRule="auto"/>
        <w:ind w:left="220" w:right="591" w:firstLine="419"/>
        <w:jc w:val="both"/>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体政治、经济、社会等环境因素对证券市场价格产生影响而形成的系统性风险，个别证券特有的非系统性风险，由于基金份额持有人连续大量赎回基金产生的流动性风险，基金管理人</w:t>
      </w:r>
      <w:r>
        <w:rPr>
          <w:spacing w:val="-10"/>
        </w:rPr>
        <w:t>在基金管理实施过程中产生的积极管理风险，本基金的特定风险等。本基金为股票基金，其</w:t>
      </w:r>
      <w:r>
        <w:rPr>
          <w:spacing w:val="-11"/>
        </w:rPr>
        <w:t>预期风险和预期收益高于混合基金、债券基金与货币市场基金，属于中高风险品种。根据</w:t>
      </w:r>
      <w:r>
        <w:rPr>
          <w:rFonts w:ascii="Times New Roman" w:eastAsia="Times New Roman"/>
        </w:rPr>
        <w:t>2017 </w:t>
      </w:r>
      <w:r>
        <w:rPr>
          <w:spacing w:val="-16"/>
        </w:rPr>
        <w:t>年 </w:t>
      </w:r>
      <w:r>
        <w:rPr>
          <w:rFonts w:ascii="Times New Roman" w:eastAsia="Times New Roman"/>
        </w:rPr>
        <w:t>7 </w:t>
      </w:r>
      <w:r>
        <w:rPr>
          <w:spacing w:val="-16"/>
        </w:rPr>
        <w:t>月 </w:t>
      </w:r>
      <w:r>
        <w:rPr>
          <w:rFonts w:ascii="Times New Roman" w:eastAsia="Times New Roman"/>
        </w:rPr>
        <w:t>1 </w:t>
      </w:r>
      <w:r>
        <w:rPr>
          <w:spacing w:val="-3"/>
        </w:rPr>
        <w:t>日施行的《证券期货投资者适当性管理办法》，基金管理人和销售机构已对</w:t>
      </w:r>
      <w:r>
        <w:rPr>
          <w:spacing w:val="-9"/>
        </w:rPr>
        <w:t>本基金重新进行风险评级，风险评级行为不改变基金的实质性风险收益特征，但由于风险分</w:t>
      </w:r>
      <w:r>
        <w:rPr>
          <w:spacing w:val="-12"/>
        </w:rPr>
        <w:t>类标准的变化，本基金的风险等级表述可能有相应变化，具体风险评级结果应以基金管理人</w:t>
      </w:r>
      <w:r>
        <w:rPr>
          <w:spacing w:val="-6"/>
        </w:rPr>
        <w:t>和销售机构提供的评级结果为准。</w:t>
      </w:r>
    </w:p>
    <w:p>
      <w:pPr>
        <w:pStyle w:val="BodyText"/>
        <w:spacing w:line="417" w:lineRule="auto"/>
        <w:ind w:left="220" w:right="382" w:firstLine="419"/>
      </w:pPr>
      <w:r>
        <w:rPr>
          <w:spacing w:val="-10"/>
        </w:rPr>
        <w:t>本基金可投资中小企业私募债券，当基金所投资的中小企业私募债券之债务人出现违约， 或在交易过程中发生交收违约，或由于中小企业私募债券信用质量降低导致价格下降等，可 </w:t>
      </w:r>
      <w:r>
        <w:rPr>
          <w:spacing w:val="-11"/>
        </w:rPr>
        <w:t>能造成基金财产损失。此外，受市场规模及交易活跃程度的影响，中小企业私募债券可能无 法在同一价格水平上进行较大数量的买入或卖出，存在一定的流动性风险，从而对基金收益 造成影响。本基金可投资于股票期权、股指期货、国债期货等金融衍生品，可能面临的风险 </w:t>
      </w:r>
      <w:r>
        <w:rPr>
          <w:spacing w:val="-13"/>
        </w:rPr>
        <w:t>包括市场风险、流动性风险、基差风险、保证金风险、信用风险、操作风险等。本基金可投 资于资产支持证券，可能面临的风险包括流动性风险、证券提前赎回风险、再投资风险和</w:t>
      </w:r>
      <w:r>
        <w:rPr>
          <w:rFonts w:ascii="Times New Roman" w:hAnsi="Times New Roman" w:eastAsia="Times New Roman"/>
          <w:spacing w:val="-13"/>
        </w:rPr>
        <w:t>SPV </w:t>
      </w:r>
      <w:r>
        <w:rPr>
          <w:spacing w:val="-3"/>
        </w:rPr>
        <w:t>违约风险等。具体内容详见本招募说明书“风险揭示”章节。</w:t>
      </w:r>
    </w:p>
    <w:p>
      <w:pPr>
        <w:pStyle w:val="BodyText"/>
        <w:spacing w:line="417" w:lineRule="auto"/>
        <w:ind w:left="220" w:right="591" w:firstLine="419"/>
        <w:jc w:val="both"/>
      </w:pPr>
      <w:r>
        <w:rPr>
          <w:spacing w:val="-9"/>
        </w:rPr>
        <w:t>本基金资产投资于港股，会面临港股通机制下因投资环境、投资标的、市场制度以及交</w:t>
      </w:r>
      <w:r>
        <w:rPr>
          <w:spacing w:val="-5"/>
        </w:rPr>
        <w:t>易规则等差异带来的特有风险，包括港股市场股价波动较大的风险</w:t>
      </w:r>
      <w:r>
        <w:rPr/>
        <w:t>（</w:t>
      </w:r>
      <w:r>
        <w:rPr>
          <w:spacing w:val="-2"/>
        </w:rPr>
        <w:t>港股市场实行 </w:t>
      </w:r>
      <w:r>
        <w:rPr>
          <w:rFonts w:ascii="Times New Roman" w:eastAsia="Times New Roman"/>
        </w:rPr>
        <w:t>T+0 </w:t>
      </w:r>
      <w:r>
        <w:rPr/>
        <w:t>回</w:t>
      </w:r>
      <w:r>
        <w:rPr>
          <w:spacing w:val="-3"/>
        </w:rPr>
        <w:t>转交易，且对个股不设涨跌幅限制，港股股价可能表现出比</w:t>
      </w:r>
      <w:r>
        <w:rPr>
          <w:rFonts w:ascii="Times New Roman" w:eastAsia="Times New Roman"/>
        </w:rPr>
        <w:t>A </w:t>
      </w:r>
      <w:r>
        <w:rPr>
          <w:spacing w:val="-3"/>
        </w:rPr>
        <w:t>股更为剧烈的股价波动</w:t>
      </w:r>
      <w:r>
        <w:rPr>
          <w:spacing w:val="-108"/>
        </w:rPr>
        <w:t>）</w:t>
      </w:r>
      <w:r>
        <w:rPr>
          <w:spacing w:val="-7"/>
        </w:rPr>
        <w:t>、汇</w:t>
      </w:r>
      <w:r>
        <w:rPr>
          <w:spacing w:val="-6"/>
        </w:rPr>
        <w:t>率风险</w:t>
      </w:r>
      <w:r>
        <w:rPr/>
        <w:t>（</w:t>
      </w:r>
      <w:r>
        <w:rPr>
          <w:spacing w:val="-3"/>
        </w:rPr>
        <w:t>汇率波动可能对基金的投资收益造成损失</w:t>
      </w:r>
      <w:r>
        <w:rPr>
          <w:spacing w:val="-108"/>
        </w:rPr>
        <w:t>）</w:t>
      </w:r>
      <w:r>
        <w:rPr>
          <w:spacing w:val="-3"/>
        </w:rPr>
        <w:t>、港股通机制下交易日不连贯可能带来</w:t>
      </w:r>
      <w:r>
        <w:rPr>
          <w:spacing w:val="-11"/>
        </w:rPr>
        <w:t>的风险</w:t>
      </w:r>
      <w:r>
        <w:rPr/>
        <w:t>（</w:t>
      </w:r>
      <w:r>
        <w:rPr>
          <w:spacing w:val="-7"/>
        </w:rPr>
        <w:t>在内地开市香港休市的情形下，港股通不能正常交易，港股不能及时卖出，可能带</w:t>
      </w:r>
    </w:p>
    <w:p>
      <w:pPr>
        <w:spacing w:after="0" w:line="417" w:lineRule="auto"/>
        <w:jc w:val="both"/>
        <w:sectPr>
          <w:headerReference w:type="default" r:id="rId5"/>
          <w:footerReference w:type="default" r:id="rId6"/>
          <w:pgSz w:w="11910" w:h="16840"/>
          <w:pgMar w:header="877" w:footer="995" w:top="1420" w:bottom="1180" w:left="1580" w:right="1200"/>
          <w:pgNumType w:start="1"/>
        </w:sectPr>
      </w:pPr>
    </w:p>
    <w:p>
      <w:pPr>
        <w:pStyle w:val="BodyText"/>
        <w:spacing w:line="417" w:lineRule="auto" w:before="110"/>
        <w:ind w:left="220" w:right="490"/>
      </w:pPr>
      <w:r>
        <w:rPr>
          <w:spacing w:val="-3"/>
        </w:rPr>
        <w:t>来一定的流动性风险</w:t>
      </w:r>
      <w:r>
        <w:rPr>
          <w:spacing w:val="-32"/>
        </w:rPr>
        <w:t>）</w:t>
      </w:r>
      <w:r>
        <w:rPr>
          <w:spacing w:val="-8"/>
        </w:rPr>
        <w:t>等。本基金可根据投资策略需要或不同配置地市场环境的变化，选择</w:t>
      </w:r>
      <w:r>
        <w:rPr>
          <w:spacing w:val="-5"/>
        </w:rPr>
        <w:t>将部分基金资产投资于港股或选择不将基金资产投资于港股，基金资产并非必然投资港股。</w:t>
      </w:r>
    </w:p>
    <w:p>
      <w:pPr>
        <w:pStyle w:val="BodyText"/>
        <w:spacing w:line="417" w:lineRule="auto"/>
        <w:ind w:left="220" w:right="591" w:firstLine="419"/>
      </w:pPr>
      <w:r>
        <w:rPr>
          <w:spacing w:val="-10"/>
        </w:rPr>
        <w:t>本基金可投资存托凭证，基金净值可能受到存托凭证的境外基础证券价格波动影响，存</w:t>
      </w:r>
      <w:r>
        <w:rPr>
          <w:spacing w:val="-5"/>
        </w:rPr>
        <w:t>托凭证的境外基础证券的相关风险可能直接或间接成为本基金的风险。</w:t>
      </w:r>
    </w:p>
    <w:p>
      <w:pPr>
        <w:pStyle w:val="BodyText"/>
        <w:spacing w:line="417" w:lineRule="auto"/>
        <w:ind w:left="220" w:right="48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pPr>
        <w:pStyle w:val="BodyText"/>
        <w:spacing w:line="417" w:lineRule="auto"/>
        <w:ind w:left="220" w:right="591" w:firstLine="419"/>
      </w:pPr>
      <w:r>
        <w:rPr>
          <w:spacing w:val="-9"/>
        </w:rPr>
        <w:t>基金产品资料概要编制、披露与更新要求，自《信息披露办法》实施之日起一年后开始执行。</w:t>
      </w:r>
    </w:p>
    <w:p>
      <w:pPr>
        <w:pStyle w:val="BodyText"/>
        <w:spacing w:line="269" w:lineRule="exact"/>
        <w:ind w:left="640"/>
      </w:pPr>
      <w:r>
        <w:rPr/>
        <w:t>基金的过往业绩并不预示其未来表现。</w:t>
      </w:r>
    </w:p>
    <w:p>
      <w:pPr>
        <w:pStyle w:val="BodyText"/>
        <w:spacing w:before="6"/>
        <w:rPr>
          <w:sz w:val="15"/>
        </w:rPr>
      </w:pPr>
    </w:p>
    <w:p>
      <w:pPr>
        <w:pStyle w:val="BodyText"/>
        <w:spacing w:line="417" w:lineRule="auto"/>
        <w:ind w:left="220" w:right="595" w:firstLine="419"/>
      </w:pPr>
      <w:r>
        <w:rPr>
          <w:spacing w:val="-9"/>
        </w:rPr>
        <w:t>基金管理人依照恪尽职守、诚实信用、谨慎勤勉的原则管理和运用基金财产，但不保证</w:t>
      </w:r>
      <w:r>
        <w:rPr>
          <w:spacing w:val="-5"/>
        </w:rPr>
        <w:t>基金一定盈利，也不保证最低收益。</w:t>
      </w:r>
    </w:p>
    <w:p>
      <w:pPr>
        <w:pStyle w:val="BodyText"/>
        <w:spacing w:line="269" w:lineRule="exact"/>
        <w:ind w:left="640"/>
      </w:pPr>
      <w:r>
        <w:rPr/>
        <w:t>投资者应当认真阅读并完全理解基金合同规定的免责条款和规定的争议处理方式。</w:t>
      </w:r>
    </w:p>
    <w:p>
      <w:pPr>
        <w:pStyle w:val="BodyText"/>
        <w:spacing w:before="6"/>
        <w:rPr>
          <w:sz w:val="15"/>
        </w:rPr>
      </w:pPr>
    </w:p>
    <w:p>
      <w:pPr>
        <w:pStyle w:val="BodyText"/>
        <w:spacing w:line="417" w:lineRule="auto" w:before="1"/>
        <w:ind w:left="220" w:right="591" w:firstLine="419"/>
      </w:pPr>
      <w:r>
        <w:rPr>
          <w:spacing w:val="-3"/>
        </w:rPr>
        <w:t>本招募说明书所载内容截止日为</w:t>
      </w:r>
      <w:r>
        <w:rPr>
          <w:rFonts w:ascii="Times New Roman" w:eastAsia="Times New Roman"/>
        </w:rPr>
        <w:t>2020</w:t>
      </w:r>
      <w:r>
        <w:rPr/>
        <w:t>年</w:t>
      </w:r>
      <w:r>
        <w:rPr>
          <w:rFonts w:ascii="Times New Roman" w:eastAsia="Times New Roman"/>
        </w:rPr>
        <w:t>10</w:t>
      </w:r>
      <w:r>
        <w:rPr/>
        <w:t>月</w:t>
      </w:r>
      <w:r>
        <w:rPr>
          <w:rFonts w:ascii="Times New Roman" w:eastAsia="Times New Roman"/>
        </w:rPr>
        <w:t>14</w:t>
      </w:r>
      <w:r>
        <w:rPr>
          <w:spacing w:val="-12"/>
        </w:rPr>
        <w:t>日，有关财务数据和净值表现数据截止日为</w:t>
      </w:r>
      <w:r>
        <w:rPr>
          <w:rFonts w:ascii="Times New Roman" w:eastAsia="Times New Roman"/>
          <w:spacing w:val="-12"/>
        </w:rPr>
        <w:t>2020</w:t>
      </w:r>
      <w:r>
        <w:rPr>
          <w:spacing w:val="-12"/>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pgSz w:w="11910" w:h="16840"/>
          <w:pgMar w:header="877" w:footer="995" w:top="1420" w:bottom="1180" w:left="1580" w:right="1200"/>
        </w:sectPr>
      </w:pPr>
    </w:p>
    <w:p>
      <w:pPr>
        <w:spacing w:before="110"/>
        <w:ind w:left="758" w:right="717" w:firstLine="0"/>
        <w:jc w:val="center"/>
        <w:rPr>
          <w:b/>
          <w:sz w:val="21"/>
        </w:rPr>
      </w:pPr>
      <w:r>
        <w:rPr>
          <w:b/>
          <w:sz w:val="21"/>
        </w:rPr>
        <w:t>目录</w:t>
      </w:r>
    </w:p>
    <w:sdt>
      <w:sdtPr>
        <w:docPartObj>
          <w:docPartGallery w:val="Table of Contents"/>
          <w:docPartUnique/>
        </w:docPartObj>
      </w:sdtPr>
      <w:sdtEndPr/>
      <w:sdtContent>
        <w:p>
          <w:pPr>
            <w:pStyle w:val="TOC1"/>
            <w:tabs>
              <w:tab w:pos="8518" w:val="right" w:leader="dot"/>
            </w:tabs>
            <w:spacing w:before="667"/>
            <w:rPr>
              <w:rFonts w:ascii="Times New Roman" w:eastAsia="Times New Roman"/>
            </w:rPr>
          </w:pPr>
          <w:hyperlink w:history="true" w:anchor="_bookmark0">
            <w:r>
              <w:rPr/>
              <w:t>一、</w:t>
            </w:r>
            <w:r>
              <w:rPr>
                <w:spacing w:val="-3"/>
              </w:rPr>
              <w:t>绪</w:t>
            </w:r>
            <w:r>
              <w:rPr/>
              <w:t>言</w:t>
              <w:tab/>
            </w:r>
            <w:r>
              <w:rPr>
                <w:rFonts w:ascii="Times New Roman" w:eastAsia="Times New Roman"/>
              </w:rPr>
              <w:t>4</w:t>
            </w:r>
          </w:hyperlink>
        </w:p>
        <w:p>
          <w:pPr>
            <w:pStyle w:val="TOC1"/>
            <w:tabs>
              <w:tab w:pos="851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4</w:t>
            </w:r>
          </w:hyperlink>
        </w:p>
        <w:p>
          <w:pPr>
            <w:pStyle w:val="TOC1"/>
            <w:tabs>
              <w:tab w:pos="8518"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8</w:t>
            </w:r>
          </w:hyperlink>
        </w:p>
        <w:p>
          <w:pPr>
            <w:pStyle w:val="TOC1"/>
            <w:tabs>
              <w:tab w:pos="8518" w:val="right" w:leader="dot"/>
            </w:tabs>
            <w:spacing w:before="198"/>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15</w:t>
            </w:r>
          </w:hyperlink>
        </w:p>
        <w:p>
          <w:pPr>
            <w:pStyle w:val="TOC1"/>
            <w:tabs>
              <w:tab w:pos="8518"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17</w:t>
            </w:r>
          </w:hyperlink>
        </w:p>
        <w:p>
          <w:pPr>
            <w:pStyle w:val="TOC1"/>
            <w:tabs>
              <w:tab w:pos="8518" w:val="right" w:leader="dot"/>
            </w:tabs>
            <w:spacing w:before="200"/>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50</w:t>
            </w:r>
          </w:hyperlink>
        </w:p>
        <w:p>
          <w:pPr>
            <w:pStyle w:val="TOC1"/>
            <w:tabs>
              <w:tab w:pos="8518" w:val="right" w:leader="dot"/>
            </w:tabs>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50</w:t>
            </w:r>
          </w:hyperlink>
        </w:p>
        <w:p>
          <w:pPr>
            <w:pStyle w:val="TOC1"/>
            <w:tabs>
              <w:tab w:pos="8518" w:val="right" w:leader="dot"/>
            </w:tabs>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51</w:t>
            </w:r>
          </w:hyperlink>
        </w:p>
        <w:p>
          <w:pPr>
            <w:pStyle w:val="TOC1"/>
            <w:tabs>
              <w:tab w:pos="8518" w:val="right" w:leader="dot"/>
            </w:tabs>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77</w:t>
            </w:r>
          </w:hyperlink>
        </w:p>
        <w:p>
          <w:pPr>
            <w:pStyle w:val="TOC1"/>
            <w:tabs>
              <w:tab w:pos="8518" w:val="right" w:leader="dot"/>
            </w:tabs>
            <w:rPr>
              <w:rFonts w:ascii="Times New Roman" w:eastAsia="Times New Roman"/>
            </w:rPr>
          </w:pPr>
          <w:hyperlink w:history="true" w:anchor="_bookmark9">
            <w:r>
              <w:rPr/>
              <w:t>十一</w:t>
            </w:r>
            <w:r>
              <w:rPr>
                <w:spacing w:val="-3"/>
              </w:rPr>
              <w:t>、</w:t>
            </w:r>
            <w:r>
              <w:rPr/>
              <w:t>基</w:t>
            </w:r>
            <w:r>
              <w:rPr>
                <w:spacing w:val="-3"/>
              </w:rPr>
              <w:t>金</w:t>
            </w:r>
            <w:r>
              <w:rPr/>
              <w:t>的</w:t>
            </w:r>
            <w:r>
              <w:rPr>
                <w:spacing w:val="-3"/>
              </w:rPr>
              <w:t>业</w:t>
            </w:r>
            <w:r>
              <w:rPr/>
              <w:t>绩</w:t>
              <w:tab/>
            </w:r>
            <w:r>
              <w:rPr>
                <w:rFonts w:ascii="Times New Roman" w:eastAsia="Times New Roman"/>
              </w:rPr>
              <w:t>88</w:t>
            </w:r>
          </w:hyperlink>
        </w:p>
        <w:p>
          <w:pPr>
            <w:pStyle w:val="TOC1"/>
            <w:tabs>
              <w:tab w:pos="8518" w:val="right" w:leader="dot"/>
            </w:tabs>
            <w:rPr>
              <w:rFonts w:ascii="Times New Roman" w:eastAsia="Times New Roman"/>
            </w:rPr>
          </w:pPr>
          <w:hyperlink w:history="true" w:anchor="_bookmark10">
            <w:r>
              <w:rPr/>
              <w:t>十二</w:t>
            </w:r>
            <w:r>
              <w:rPr>
                <w:spacing w:val="-3"/>
              </w:rPr>
              <w:t>、</w:t>
            </w:r>
            <w:r>
              <w:rPr/>
              <w:t>基</w:t>
            </w:r>
            <w:r>
              <w:rPr>
                <w:spacing w:val="-3"/>
              </w:rPr>
              <w:t>金</w:t>
            </w:r>
            <w:r>
              <w:rPr/>
              <w:t>的</w:t>
            </w:r>
            <w:r>
              <w:rPr>
                <w:spacing w:val="-3"/>
              </w:rPr>
              <w:t>财</w:t>
            </w:r>
            <w:r>
              <w:rPr/>
              <w:t>产</w:t>
              <w:tab/>
            </w:r>
            <w:r>
              <w:rPr>
                <w:rFonts w:ascii="Times New Roman" w:eastAsia="Times New Roman"/>
              </w:rPr>
              <w:t>88</w:t>
            </w:r>
          </w:hyperlink>
        </w:p>
        <w:p>
          <w:pPr>
            <w:pStyle w:val="TOC1"/>
            <w:tabs>
              <w:tab w:pos="8518" w:val="right" w:leader="dot"/>
            </w:tabs>
            <w:rPr>
              <w:rFonts w:ascii="Times New Roman" w:eastAsia="Times New Roman"/>
            </w:rPr>
          </w:pPr>
          <w:hyperlink w:history="true" w:anchor="_bookmark11">
            <w:r>
              <w:rPr/>
              <w:t>十三</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89</w:t>
            </w:r>
          </w:hyperlink>
        </w:p>
        <w:p>
          <w:pPr>
            <w:pStyle w:val="TOC1"/>
            <w:tabs>
              <w:tab w:pos="8518" w:val="right" w:leader="dot"/>
            </w:tabs>
            <w:rPr>
              <w:rFonts w:ascii="Times New Roman" w:eastAsia="Times New Roman"/>
            </w:rPr>
          </w:pPr>
          <w:hyperlink w:history="true" w:anchor="_bookmark12">
            <w:r>
              <w:rPr/>
              <w:t>十四</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93</w:t>
            </w:r>
          </w:hyperlink>
        </w:p>
        <w:p>
          <w:pPr>
            <w:pStyle w:val="TOC1"/>
            <w:tabs>
              <w:tab w:pos="8518" w:val="right" w:leader="dot"/>
            </w:tabs>
            <w:rPr>
              <w:rFonts w:ascii="Times New Roman" w:eastAsia="Times New Roman"/>
            </w:rPr>
          </w:pPr>
          <w:hyperlink w:history="true" w:anchor="_bookmark13">
            <w:r>
              <w:rPr/>
              <w:t>十五</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95</w:t>
            </w:r>
          </w:hyperlink>
        </w:p>
        <w:p>
          <w:pPr>
            <w:pStyle w:val="TOC1"/>
            <w:tabs>
              <w:tab w:pos="8518" w:val="right" w:leader="dot"/>
            </w:tabs>
            <w:rPr>
              <w:rFonts w:ascii="Times New Roman" w:eastAsia="Times New Roman"/>
            </w:rPr>
          </w:pPr>
          <w:hyperlink w:history="true" w:anchor="_bookmark14">
            <w:r>
              <w:rPr/>
              <w:t>十六</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96</w:t>
            </w:r>
          </w:hyperlink>
        </w:p>
        <w:p>
          <w:pPr>
            <w:pStyle w:val="TOC1"/>
            <w:tabs>
              <w:tab w:pos="8518" w:val="right" w:leader="dot"/>
            </w:tabs>
            <w:rPr>
              <w:rFonts w:ascii="Times New Roman" w:eastAsia="Times New Roman"/>
            </w:rPr>
          </w:pPr>
          <w:hyperlink w:history="true" w:anchor="_bookmark15">
            <w:r>
              <w:rPr/>
              <w:t>十七</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97</w:t>
            </w:r>
          </w:hyperlink>
        </w:p>
        <w:p>
          <w:pPr>
            <w:pStyle w:val="TOC1"/>
            <w:tabs>
              <w:tab w:pos="8521" w:val="right" w:leader="dot"/>
            </w:tabs>
            <w:rPr>
              <w:rFonts w:ascii="Times New Roman" w:eastAsia="Times New Roman"/>
            </w:rPr>
          </w:pPr>
          <w:hyperlink w:history="true" w:anchor="_bookmark16">
            <w:r>
              <w:rPr/>
              <w:t>十八</w:t>
            </w:r>
            <w:r>
              <w:rPr>
                <w:spacing w:val="-3"/>
              </w:rPr>
              <w:t>、</w:t>
            </w:r>
            <w:r>
              <w:rPr/>
              <w:t>风</w:t>
            </w:r>
            <w:r>
              <w:rPr>
                <w:spacing w:val="-3"/>
              </w:rPr>
              <w:t>险</w:t>
            </w:r>
            <w:r>
              <w:rPr/>
              <w:t>揭示</w:t>
              <w:tab/>
            </w:r>
            <w:r>
              <w:rPr>
                <w:rFonts w:ascii="Times New Roman" w:eastAsia="Times New Roman"/>
              </w:rPr>
              <w:t>102</w:t>
            </w:r>
          </w:hyperlink>
        </w:p>
        <w:p>
          <w:pPr>
            <w:pStyle w:val="TOC1"/>
            <w:tabs>
              <w:tab w:pos="8521" w:val="right" w:leader="dot"/>
            </w:tabs>
            <w:rPr>
              <w:rFonts w:ascii="Times New Roman" w:eastAsia="Times New Roman"/>
            </w:rPr>
          </w:pPr>
          <w:hyperlink w:history="true" w:anchor="_bookmark17">
            <w:r>
              <w:rPr/>
              <w:t>十九</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109</w:t>
            </w:r>
          </w:hyperlink>
        </w:p>
        <w:p>
          <w:pPr>
            <w:pStyle w:val="TOC1"/>
            <w:tabs>
              <w:tab w:pos="8521" w:val="right" w:leader="dot"/>
            </w:tabs>
            <w:rPr>
              <w:rFonts w:ascii="Times New Roman" w:eastAsia="Times New Roman"/>
            </w:rPr>
          </w:pPr>
          <w:hyperlink w:history="true" w:anchor="_bookmark18">
            <w:r>
              <w:rPr/>
              <w:t>二十</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spacing w:val="-3"/>
              </w:rPr>
              <w:t>110</w:t>
            </w:r>
          </w:hyperlink>
        </w:p>
        <w:p>
          <w:pPr>
            <w:pStyle w:val="TOC1"/>
            <w:tabs>
              <w:tab w:pos="8513" w:val="right" w:leader="dot"/>
            </w:tabs>
            <w:rPr>
              <w:rFonts w:ascii="Times New Roman" w:eastAsia="Times New Roman"/>
            </w:rPr>
          </w:pPr>
          <w:hyperlink w:history="true" w:anchor="_bookmark19">
            <w:r>
              <w:rPr/>
              <w:t>二十</w:t>
            </w:r>
            <w:r>
              <w:rPr>
                <w:spacing w:val="-3"/>
              </w:rPr>
              <w:t>一</w:t>
            </w:r>
            <w:r>
              <w:rPr/>
              <w:t>、</w:t>
            </w:r>
            <w:r>
              <w:rPr>
                <w:spacing w:val="-3"/>
              </w:rPr>
              <w:t>基</w:t>
            </w:r>
            <w:r>
              <w:rPr/>
              <w:t>金</w:t>
            </w:r>
            <w:r>
              <w:rPr>
                <w:spacing w:val="-3"/>
              </w:rPr>
              <w:t>托</w:t>
            </w:r>
            <w:r>
              <w:rPr/>
              <w:t>管</w:t>
            </w:r>
            <w:r>
              <w:rPr>
                <w:spacing w:val="-3"/>
              </w:rPr>
              <w:t>协</w:t>
            </w:r>
            <w:r>
              <w:rPr/>
              <w:t>议</w:t>
            </w:r>
            <w:r>
              <w:rPr>
                <w:spacing w:val="-3"/>
              </w:rPr>
              <w:t>的</w:t>
            </w:r>
            <w:r>
              <w:rPr/>
              <w:t>内容</w:t>
            </w:r>
            <w:r>
              <w:rPr>
                <w:spacing w:val="-3"/>
              </w:rPr>
              <w:t>摘</w:t>
            </w:r>
            <w:r>
              <w:rPr/>
              <w:t>要</w:t>
              <w:tab/>
            </w:r>
            <w:r>
              <w:rPr>
                <w:rFonts w:ascii="Times New Roman" w:eastAsia="Times New Roman"/>
                <w:spacing w:val="-8"/>
              </w:rPr>
              <w:t>111</w:t>
            </w:r>
          </w:hyperlink>
        </w:p>
        <w:p>
          <w:pPr>
            <w:pStyle w:val="TOC1"/>
            <w:tabs>
              <w:tab w:pos="8513" w:val="right" w:leader="dot"/>
            </w:tabs>
            <w:rPr>
              <w:rFonts w:ascii="Times New Roman" w:eastAsia="Times New Roman"/>
            </w:rPr>
          </w:pPr>
          <w:hyperlink w:history="true" w:anchor="_bookmark20">
            <w:r>
              <w:rPr/>
              <w:t>二十</w:t>
            </w:r>
            <w:r>
              <w:rPr>
                <w:spacing w:val="-3"/>
              </w:rPr>
              <w:t>二</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spacing w:val="-8"/>
              </w:rPr>
              <w:t>111</w:t>
            </w:r>
          </w:hyperlink>
        </w:p>
        <w:p>
          <w:pPr>
            <w:pStyle w:val="TOC1"/>
            <w:tabs>
              <w:tab w:pos="8521" w:val="right" w:leader="dot"/>
            </w:tabs>
            <w:rPr>
              <w:rFonts w:ascii="Times New Roman" w:eastAsia="Times New Roman"/>
            </w:rPr>
          </w:pPr>
          <w:hyperlink w:history="true" w:anchor="_bookmark21">
            <w:r>
              <w:rPr/>
              <w:t>二十</w:t>
            </w:r>
            <w:r>
              <w:rPr>
                <w:spacing w:val="-3"/>
              </w:rPr>
              <w:t>三</w:t>
            </w:r>
            <w:r>
              <w:rPr/>
              <w:t>、</w:t>
            </w:r>
            <w:r>
              <w:rPr>
                <w:spacing w:val="-3"/>
              </w:rPr>
              <w:t>其</w:t>
            </w:r>
            <w:r>
              <w:rPr/>
              <w:t>他</w:t>
            </w:r>
            <w:r>
              <w:rPr>
                <w:spacing w:val="-3"/>
              </w:rPr>
              <w:t>应</w:t>
            </w:r>
            <w:r>
              <w:rPr/>
              <w:t>披</w:t>
            </w:r>
            <w:r>
              <w:rPr>
                <w:spacing w:val="-3"/>
              </w:rPr>
              <w:t>露</w:t>
            </w:r>
            <w:r>
              <w:rPr/>
              <w:t>事项</w:t>
              <w:tab/>
            </w:r>
            <w:r>
              <w:rPr>
                <w:rFonts w:ascii="Times New Roman" w:eastAsia="Times New Roman"/>
                <w:spacing w:val="-3"/>
              </w:rPr>
              <w:t>112</w:t>
            </w:r>
          </w:hyperlink>
        </w:p>
        <w:p>
          <w:pPr>
            <w:pStyle w:val="TOC1"/>
            <w:tabs>
              <w:tab w:pos="8521" w:val="right" w:leader="dot"/>
            </w:tabs>
            <w:rPr>
              <w:rFonts w:ascii="Times New Roman" w:eastAsia="Times New Roman"/>
            </w:rPr>
          </w:pPr>
          <w:hyperlink w:history="true" w:anchor="_bookmark22">
            <w:r>
              <w:rPr/>
              <w:t>二十</w:t>
            </w:r>
            <w:r>
              <w:rPr>
                <w:spacing w:val="-3"/>
              </w:rPr>
              <w:t>四</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spacing w:val="-3"/>
              </w:rPr>
              <w:t>113</w:t>
            </w:r>
          </w:hyperlink>
        </w:p>
        <w:p>
          <w:pPr>
            <w:pStyle w:val="TOC1"/>
            <w:tabs>
              <w:tab w:pos="8521" w:val="right" w:leader="dot"/>
            </w:tabs>
            <w:rPr>
              <w:rFonts w:ascii="Times New Roman" w:eastAsia="Times New Roman"/>
            </w:rPr>
          </w:pPr>
          <w:hyperlink w:history="true" w:anchor="_bookmark23">
            <w:r>
              <w:rPr/>
              <w:t>二十</w:t>
            </w:r>
            <w:r>
              <w:rPr>
                <w:spacing w:val="-3"/>
              </w:rPr>
              <w:t>五</w:t>
            </w:r>
            <w:r>
              <w:rPr/>
              <w:t>、</w:t>
            </w:r>
            <w:r>
              <w:rPr>
                <w:spacing w:val="-3"/>
              </w:rPr>
              <w:t>备</w:t>
            </w:r>
            <w:r>
              <w:rPr/>
              <w:t>查</w:t>
            </w:r>
            <w:r>
              <w:rPr>
                <w:spacing w:val="-3"/>
              </w:rPr>
              <w:t>文</w:t>
            </w:r>
            <w:r>
              <w:rPr/>
              <w:t>件</w:t>
              <w:tab/>
            </w:r>
            <w:r>
              <w:rPr>
                <w:rFonts w:ascii="Times New Roman" w:eastAsia="Times New Roman"/>
                <w:spacing w:val="-3"/>
              </w:rPr>
              <w:t>113</w:t>
            </w:r>
          </w:hyperlink>
        </w:p>
        <w:p>
          <w:pPr>
            <w:pStyle w:val="TOC1"/>
            <w:tabs>
              <w:tab w:pos="8521" w:val="right" w:leader="dot"/>
            </w:tabs>
            <w:rPr>
              <w:rFonts w:ascii="Times New Roman" w:eastAsia="Times New Roman"/>
            </w:rPr>
          </w:pPr>
          <w:hyperlink w:history="true" w:anchor="_bookmark24">
            <w:r>
              <w:rPr/>
              <w:t>附件</w:t>
            </w:r>
            <w:r>
              <w:rPr>
                <w:spacing w:val="-3"/>
              </w:rPr>
              <w:t>一</w:t>
            </w:r>
            <w:r>
              <w:rPr/>
              <w:t>：</w:t>
            </w:r>
            <w:r>
              <w:rPr>
                <w:spacing w:val="-3"/>
              </w:rPr>
              <w:t>基</w:t>
            </w:r>
            <w:r>
              <w:rPr/>
              <w:t>金</w:t>
            </w:r>
            <w:r>
              <w:rPr>
                <w:spacing w:val="-3"/>
              </w:rPr>
              <w:t>合</w:t>
            </w:r>
            <w:r>
              <w:rPr/>
              <w:t>同</w:t>
            </w:r>
            <w:r>
              <w:rPr>
                <w:spacing w:val="-3"/>
              </w:rPr>
              <w:t>摘</w:t>
            </w:r>
            <w:r>
              <w:rPr/>
              <w:t>要</w:t>
              <w:tab/>
            </w:r>
            <w:r>
              <w:rPr>
                <w:rFonts w:ascii="Times New Roman" w:eastAsia="Times New Roman"/>
                <w:spacing w:val="-3"/>
              </w:rPr>
              <w:t>114</w:t>
            </w:r>
          </w:hyperlink>
        </w:p>
        <w:p>
          <w:pPr>
            <w:pStyle w:val="TOC1"/>
            <w:tabs>
              <w:tab w:pos="8521" w:val="right" w:leader="dot"/>
            </w:tabs>
            <w:rPr>
              <w:rFonts w:ascii="Times New Roman" w:eastAsia="Times New Roman"/>
            </w:rPr>
          </w:pPr>
          <w:hyperlink w:history="true" w:anchor="_bookmark25">
            <w:r>
              <w:rPr/>
              <w:t>附件</w:t>
            </w:r>
            <w:r>
              <w:rPr>
                <w:spacing w:val="-3"/>
              </w:rPr>
              <w:t>二</w:t>
            </w:r>
            <w:r>
              <w:rPr/>
              <w:t>：</w:t>
            </w:r>
            <w:r>
              <w:rPr>
                <w:spacing w:val="-3"/>
              </w:rPr>
              <w:t>基</w:t>
            </w:r>
            <w:r>
              <w:rPr/>
              <w:t>金</w:t>
            </w:r>
            <w:r>
              <w:rPr>
                <w:spacing w:val="-3"/>
              </w:rPr>
              <w:t>托</w:t>
            </w:r>
            <w:r>
              <w:rPr/>
              <w:t>管</w:t>
            </w:r>
            <w:r>
              <w:rPr>
                <w:spacing w:val="-3"/>
              </w:rPr>
              <w:t>协</w:t>
            </w:r>
            <w:r>
              <w:rPr/>
              <w:t>议</w:t>
            </w:r>
            <w:r>
              <w:rPr>
                <w:spacing w:val="-3"/>
              </w:rPr>
              <w:t>摘</w:t>
            </w:r>
            <w:r>
              <w:rPr/>
              <w:t>要</w:t>
              <w:tab/>
            </w:r>
            <w:r>
              <w:rPr>
                <w:rFonts w:ascii="Times New Roman" w:eastAsia="Times New Roman"/>
              </w:rPr>
              <w:t>135</w:t>
            </w:r>
          </w:hyperlink>
        </w:p>
      </w:sdtContent>
    </w:sdt>
    <w:p>
      <w:pPr>
        <w:spacing w:after="0"/>
        <w:rPr>
          <w:rFonts w:ascii="Times New Roman" w:eastAsia="Times New Roman"/>
        </w:rPr>
        <w:sectPr>
          <w:pgSz w:w="11910" w:h="16840"/>
          <w:pgMar w:header="877" w:footer="995" w:top="1420" w:bottom="1180" w:left="1580" w:right="1200"/>
        </w:sectPr>
      </w:pPr>
    </w:p>
    <w:p>
      <w:pPr>
        <w:pStyle w:val="Heading1"/>
        <w:spacing w:before="110"/>
      </w:pPr>
      <w:bookmarkStart w:name="_bookmark0" w:id="1"/>
      <w:bookmarkEnd w:id="1"/>
      <w:r>
        <w:rPr>
          <w:b w:val="0"/>
        </w:rPr>
      </w:r>
      <w:r>
        <w:rPr/>
        <w:t>一、绪言</w:t>
      </w:r>
    </w:p>
    <w:p>
      <w:pPr>
        <w:pStyle w:val="BodyText"/>
        <w:spacing w:line="417" w:lineRule="auto" w:before="439"/>
        <w:ind w:left="220" w:right="485" w:firstLine="419"/>
      </w:pPr>
      <w:r>
        <w:rPr>
          <w:spacing w:val="-1"/>
        </w:rPr>
        <w:t>《华夏科技成长股票型证券投资基金招募说明书</w:t>
      </w:r>
      <w:r>
        <w:rPr>
          <w:spacing w:val="-3"/>
        </w:rPr>
        <w:t>（</w:t>
      </w:r>
      <w:r>
        <w:rPr/>
        <w:t>更新</w:t>
      </w:r>
      <w:r>
        <w:rPr>
          <w:spacing w:val="-106"/>
        </w:rPr>
        <w:t>）</w:t>
      </w:r>
      <w:r>
        <w:rPr>
          <w:spacing w:val="-104"/>
        </w:rPr>
        <w:t>》</w:t>
      </w:r>
      <w:r>
        <w:rPr/>
        <w:t>（</w:t>
      </w:r>
      <w:r>
        <w:rPr>
          <w:spacing w:val="-2"/>
        </w:rPr>
        <w:t>以下简称</w:t>
      </w:r>
      <w:r>
        <w:rPr>
          <w:rFonts w:ascii="Times New Roman" w:hAnsi="Times New Roman" w:eastAsia="Times New Roman"/>
        </w:rPr>
        <w:t>“</w:t>
      </w:r>
      <w:r>
        <w:rPr>
          <w:spacing w:val="-1"/>
        </w:rPr>
        <w:t>本招募说明书</w:t>
      </w:r>
      <w:r>
        <w:rPr>
          <w:rFonts w:ascii="Times New Roman" w:hAnsi="Times New Roman" w:eastAsia="Times New Roman"/>
        </w:rPr>
        <w:t>”</w:t>
      </w:r>
      <w:r>
        <w:rPr/>
        <w:t>） </w:t>
      </w:r>
      <w:r>
        <w:rPr>
          <w:spacing w:val="-9"/>
          <w:w w:val="100"/>
        </w:rPr>
        <w:t>依据《中华人民共和国证券投资基金法》</w:t>
      </w:r>
      <w:r>
        <w:rPr>
          <w:w w:val="100"/>
        </w:rPr>
        <w:t>（</w:t>
      </w:r>
      <w:r>
        <w:rPr>
          <w:spacing w:val="-1"/>
          <w:w w:val="100"/>
        </w:rPr>
        <w:t>以下简称</w:t>
      </w:r>
      <w:r>
        <w:rPr>
          <w:rFonts w:ascii="Times New Roman" w:hAnsi="Times New Roman" w:eastAsia="Times New Roman"/>
          <w:spacing w:val="-1"/>
          <w:w w:val="100"/>
        </w:rPr>
        <w:t>“</w:t>
      </w:r>
      <w:r>
        <w:rPr>
          <w:w w:val="100"/>
        </w:rPr>
        <w:t>《基金法》</w:t>
      </w:r>
      <w:r>
        <w:rPr>
          <w:rFonts w:ascii="Times New Roman" w:hAnsi="Times New Roman" w:eastAsia="Times New Roman"/>
          <w:spacing w:val="-1"/>
          <w:w w:val="100"/>
        </w:rPr>
        <w:t>”</w:t>
      </w:r>
      <w:r>
        <w:rPr>
          <w:spacing w:val="-106"/>
          <w:w w:val="100"/>
        </w:rPr>
        <w:t>）</w:t>
      </w:r>
      <w:r>
        <w:rPr>
          <w:spacing w:val="-13"/>
          <w:w w:val="100"/>
        </w:rPr>
        <w:t>、《证券投资基金销售管</w:t>
      </w:r>
      <w:r>
        <w:rPr>
          <w:spacing w:val="-10"/>
          <w:w w:val="100"/>
        </w:rPr>
        <w:t>理办法</w:t>
      </w:r>
      <w:r>
        <w:rPr>
          <w:spacing w:val="-168"/>
          <w:w w:val="100"/>
        </w:rPr>
        <w:t>》</w:t>
      </w:r>
      <w:r>
        <w:rPr>
          <w:spacing w:val="-3"/>
          <w:w w:val="100"/>
        </w:rPr>
        <w:t>（</w:t>
      </w:r>
      <w:r>
        <w:rPr>
          <w:spacing w:val="-2"/>
          <w:w w:val="100"/>
        </w:rPr>
        <w:t>以下简称</w:t>
      </w:r>
      <w:r>
        <w:rPr>
          <w:rFonts w:ascii="Times New Roman" w:hAnsi="Times New Roman" w:eastAsia="Times New Roman"/>
          <w:spacing w:val="-65"/>
          <w:w w:val="100"/>
        </w:rPr>
        <w:t>“</w:t>
      </w:r>
      <w:r>
        <w:rPr>
          <w:spacing w:val="-14"/>
          <w:w w:val="100"/>
        </w:rPr>
        <w:t>《销售办法》</w:t>
      </w:r>
      <w:r>
        <w:rPr>
          <w:rFonts w:ascii="Times New Roman" w:hAnsi="Times New Roman" w:eastAsia="Times New Roman"/>
          <w:spacing w:val="-1"/>
          <w:w w:val="100"/>
        </w:rPr>
        <w:t>”</w:t>
      </w:r>
      <w:r>
        <w:rPr>
          <w:spacing w:val="-106"/>
          <w:w w:val="100"/>
        </w:rPr>
        <w:t>）</w:t>
      </w:r>
      <w:r>
        <w:rPr>
          <w:spacing w:val="-15"/>
          <w:w w:val="100"/>
        </w:rPr>
        <w:t>、《公开募集证券投资基金运作管理办法</w:t>
      </w:r>
      <w:r>
        <w:rPr>
          <w:spacing w:val="-171"/>
          <w:w w:val="100"/>
        </w:rPr>
        <w:t>》</w:t>
      </w:r>
      <w:r>
        <w:rPr>
          <w:spacing w:val="-3"/>
          <w:w w:val="100"/>
        </w:rPr>
        <w:t>（</w:t>
      </w:r>
      <w:r>
        <w:rPr>
          <w:spacing w:val="-1"/>
          <w:w w:val="100"/>
        </w:rPr>
        <w:t>以下简称</w:t>
      </w:r>
      <w:r>
        <w:rPr>
          <w:rFonts w:ascii="Times New Roman" w:hAnsi="Times New Roman" w:eastAsia="Times New Roman"/>
          <w:spacing w:val="-65"/>
          <w:w w:val="100"/>
        </w:rPr>
        <w:t>“</w:t>
      </w:r>
      <w:r>
        <w:rPr>
          <w:w w:val="100"/>
        </w:rPr>
        <w:t>《运</w:t>
      </w:r>
      <w:r>
        <w:rPr>
          <w:spacing w:val="-4"/>
          <w:w w:val="100"/>
        </w:rPr>
        <w:t>作办法》</w:t>
      </w:r>
      <w:r>
        <w:rPr>
          <w:rFonts w:ascii="Times New Roman" w:hAnsi="Times New Roman" w:eastAsia="Times New Roman"/>
          <w:spacing w:val="-1"/>
          <w:w w:val="100"/>
        </w:rPr>
        <w:t>”</w:t>
      </w:r>
      <w:r>
        <w:rPr>
          <w:spacing w:val="-108"/>
          <w:w w:val="100"/>
        </w:rPr>
        <w:t>）</w:t>
      </w:r>
      <w:r>
        <w:rPr>
          <w:spacing w:val="-19"/>
          <w:w w:val="100"/>
        </w:rPr>
        <w:t>、《公开募集证券投资基金信息披露管理办法》</w:t>
      </w:r>
      <w:r>
        <w:rPr>
          <w:w w:val="100"/>
        </w:rPr>
        <w:t>（</w:t>
      </w:r>
      <w:r>
        <w:rPr>
          <w:spacing w:val="-3"/>
          <w:w w:val="100"/>
        </w:rPr>
        <w:t>以下简称</w:t>
      </w:r>
      <w:r>
        <w:rPr>
          <w:rFonts w:ascii="Times New Roman" w:hAnsi="Times New Roman" w:eastAsia="Times New Roman"/>
          <w:spacing w:val="-13"/>
          <w:w w:val="100"/>
        </w:rPr>
        <w:t>“</w:t>
      </w:r>
      <w:r>
        <w:rPr>
          <w:spacing w:val="-5"/>
          <w:w w:val="100"/>
        </w:rPr>
        <w:t>《信息披露办法》</w:t>
      </w:r>
      <w:r>
        <w:rPr>
          <w:rFonts w:ascii="Times New Roman" w:hAnsi="Times New Roman" w:eastAsia="Times New Roman"/>
          <w:spacing w:val="-1"/>
          <w:w w:val="100"/>
        </w:rPr>
        <w:t>”</w:t>
      </w:r>
      <w:r>
        <w:rPr>
          <w:spacing w:val="-106"/>
          <w:w w:val="100"/>
        </w:rPr>
        <w:t>）</w:t>
      </w:r>
      <w:r>
        <w:rPr>
          <w:w w:val="100"/>
        </w:rPr>
        <w:t>、</w:t>
      </w:r>
    </w:p>
    <w:p>
      <w:pPr>
        <w:pStyle w:val="BodyText"/>
        <w:spacing w:line="268" w:lineRule="exact"/>
        <w:ind w:left="220"/>
      </w:pPr>
      <w:r>
        <w:rPr>
          <w:spacing w:val="-3"/>
        </w:rPr>
        <w:t>《公开募集开放式证券投资基金流动性风险管理规定</w:t>
      </w:r>
      <w:r>
        <w:rPr>
          <w:spacing w:val="-200"/>
        </w:rPr>
        <w:t>》</w:t>
      </w:r>
      <w:r>
        <w:rPr>
          <w:spacing w:val="-3"/>
        </w:rPr>
        <w:t>（以下简称</w:t>
      </w:r>
      <w:r>
        <w:rPr>
          <w:spacing w:val="-209"/>
        </w:rPr>
        <w:t>《</w:t>
      </w:r>
      <w:r>
        <w:rPr>
          <w:rFonts w:ascii="Times New Roman" w:hAnsi="Times New Roman" w:eastAsia="Times New Roman"/>
          <w:spacing w:val="1"/>
        </w:rPr>
        <w:t>“   </w:t>
      </w:r>
      <w:r>
        <w:rPr>
          <w:spacing w:val="-13"/>
        </w:rPr>
        <w:t>流动性风险管理规定》</w:t>
      </w:r>
      <w:r>
        <w:rPr>
          <w:rFonts w:ascii="Times New Roman" w:hAnsi="Times New Roman" w:eastAsia="Times New Roman"/>
        </w:rPr>
        <w:t>”</w:t>
      </w:r>
      <w:r>
        <w:rPr/>
        <w:t>）</w:t>
      </w:r>
    </w:p>
    <w:p>
      <w:pPr>
        <w:pStyle w:val="BodyText"/>
        <w:spacing w:before="6"/>
        <w:rPr>
          <w:sz w:val="15"/>
        </w:rPr>
      </w:pPr>
    </w:p>
    <w:p>
      <w:pPr>
        <w:pStyle w:val="BodyText"/>
        <w:spacing w:line="417" w:lineRule="auto"/>
        <w:ind w:left="220" w:right="593"/>
      </w:pPr>
      <w:r>
        <w:rPr>
          <w:spacing w:val="-12"/>
        </w:rPr>
        <w:t>及其他有关规定以及《华夏科技成长股票型证券投资基金基金合同</w:t>
      </w:r>
      <w:r>
        <w:rPr>
          <w:spacing w:val="-190"/>
        </w:rPr>
        <w:t>》</w:t>
      </w:r>
      <w:r>
        <w:rPr/>
        <w:t>（</w:t>
      </w:r>
      <w:r>
        <w:rPr>
          <w:spacing w:val="-3"/>
        </w:rPr>
        <w:t>以下简称</w:t>
      </w:r>
      <w:r>
        <w:rPr>
          <w:rFonts w:ascii="Times New Roman" w:hAnsi="Times New Roman" w:eastAsia="Times New Roman"/>
        </w:rPr>
        <w:t>“</w:t>
      </w:r>
      <w:r>
        <w:rPr>
          <w:spacing w:val="-1"/>
        </w:rPr>
        <w:t>基金合同</w:t>
      </w:r>
      <w:r>
        <w:rPr>
          <w:rFonts w:ascii="Times New Roman" w:hAnsi="Times New Roman" w:eastAsia="Times New Roman"/>
        </w:rPr>
        <w:t>”</w:t>
      </w:r>
      <w:r>
        <w:rPr/>
        <w:t>） 编写。</w:t>
      </w:r>
    </w:p>
    <w:p>
      <w:pPr>
        <w:pStyle w:val="BodyText"/>
        <w:spacing w:line="417" w:lineRule="auto" w:before="1"/>
        <w:ind w:left="220" w:right="59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220" w:right="488" w:firstLine="619"/>
      </w:pPr>
      <w:r>
        <w:rPr>
          <w:spacing w:val="-8"/>
        </w:rPr>
        <w:t>本招募说明书根据本基金的基金合同编写，并经中国证监会注册。基金合同是约定基</w:t>
      </w:r>
      <w:r>
        <w:rPr>
          <w:spacing w:val="-10"/>
        </w:rPr>
        <w:t>金合同当事人之间基本权利义务的法律文件，其他与本基金相关的涉及基金合同当事人之间</w:t>
      </w:r>
      <w:r>
        <w:rPr>
          <w:spacing w:val="-5"/>
        </w:rPr>
        <w:t>权利义务关系的任何文件或表述，均以基金合同为准。基金合同的当事人包括基金管理人、</w:t>
      </w:r>
      <w:r>
        <w:rPr>
          <w:spacing w:val="-10"/>
        </w:rPr>
        <w:t>基金托管人和基金份额持有人。基金投资者自依基金合同取得本基金基金份额，即成为基金</w:t>
      </w:r>
      <w:r>
        <w:rPr>
          <w:spacing w:val="-12"/>
        </w:rPr>
        <w:t>份额持有人和基金合同的当事人，其持有基金份额的行为本身即表明其对基金合同的承认和接受。基金份额持有人作为基金合同当事人并不以在基金合同上书面签章为必要条件。基金</w:t>
      </w:r>
      <w:r>
        <w:rPr>
          <w:spacing w:val="-13"/>
        </w:rPr>
        <w:t>合同当事人按照《基金法》、基金合同及其他有关规定享有权利、承担义务。基金投资者欲</w:t>
      </w:r>
      <w:r>
        <w:rPr>
          <w:spacing w:val="-6"/>
        </w:rPr>
        <w:t>了解基金份额持有人的权利和义务，应详细查阅基金合同。</w:t>
      </w:r>
    </w:p>
    <w:p>
      <w:pPr>
        <w:pStyle w:val="BodyText"/>
        <w:spacing w:before="6"/>
        <w:rPr>
          <w:sz w:val="26"/>
        </w:rPr>
      </w:pPr>
    </w:p>
    <w:p>
      <w:pPr>
        <w:pStyle w:val="Heading1"/>
      </w:pPr>
      <w:bookmarkStart w:name="_bookmark1" w:id="2"/>
      <w:bookmarkEnd w:id="2"/>
      <w:r>
        <w:rPr>
          <w:b w:val="0"/>
        </w:rPr>
      </w:r>
      <w:r>
        <w:rPr/>
        <w:t>二、释义</w:t>
      </w:r>
    </w:p>
    <w:p>
      <w:pPr>
        <w:pStyle w:val="BodyText"/>
        <w:rPr>
          <w:b/>
          <w:sz w:val="20"/>
        </w:rPr>
      </w:pPr>
    </w:p>
    <w:p>
      <w:pPr>
        <w:pStyle w:val="BodyText"/>
        <w:spacing w:before="3"/>
        <w:rPr>
          <w:b/>
        </w:rPr>
      </w:pPr>
    </w:p>
    <w:p>
      <w:pPr>
        <w:pStyle w:val="BodyText"/>
        <w:ind w:left="640"/>
      </w:pPr>
      <w:r>
        <w:rPr/>
        <w:t>本招募说明书中，除非文意另有所指，下列词语或简称具有如下含义：</w:t>
      </w:r>
    </w:p>
    <w:p>
      <w:pPr>
        <w:pStyle w:val="BodyText"/>
        <w:spacing w:before="6"/>
        <w:rPr>
          <w:sz w:val="15"/>
        </w:rPr>
      </w:pPr>
    </w:p>
    <w:p>
      <w:pPr>
        <w:pStyle w:val="BodyText"/>
        <w:spacing w:before="1"/>
        <w:ind w:left="640"/>
      </w:pPr>
      <w:r>
        <w:rPr>
          <w:rFonts w:ascii="Times New Roman" w:eastAsia="Times New Roman"/>
        </w:rPr>
        <w:t>1</w:t>
      </w:r>
      <w:r>
        <w:rPr/>
        <w:t>、基金或本基金：指华夏科技成长股票型证券投资基金。</w:t>
      </w:r>
    </w:p>
    <w:p>
      <w:pPr>
        <w:pStyle w:val="BodyText"/>
        <w:spacing w:before="6"/>
        <w:rPr>
          <w:sz w:val="15"/>
        </w:rPr>
      </w:pPr>
    </w:p>
    <w:p>
      <w:pPr>
        <w:pStyle w:val="BodyText"/>
        <w:ind w:left="640"/>
      </w:pPr>
      <w:r>
        <w:rPr>
          <w:rFonts w:ascii="Times New Roman" w:eastAsia="Times New Roman"/>
        </w:rPr>
        <w:t>2</w:t>
      </w:r>
      <w:r>
        <w:rPr>
          <w:spacing w:val="-3"/>
        </w:rPr>
        <w:t>、基金管理人：指华夏基金管理有限公司。</w:t>
      </w:r>
    </w:p>
    <w:p>
      <w:pPr>
        <w:pStyle w:val="BodyText"/>
        <w:spacing w:before="7"/>
        <w:rPr>
          <w:sz w:val="15"/>
        </w:rPr>
      </w:pPr>
    </w:p>
    <w:p>
      <w:pPr>
        <w:pStyle w:val="BodyText"/>
        <w:ind w:left="640"/>
      </w:pPr>
      <w:r>
        <w:rPr>
          <w:rFonts w:ascii="Times New Roman" w:eastAsia="Times New Roman"/>
        </w:rPr>
        <w:t>3</w:t>
      </w:r>
      <w:r>
        <w:rPr>
          <w:spacing w:val="-3"/>
        </w:rPr>
        <w:t>、基金托管人：指中国银行股份有限公司。</w:t>
      </w:r>
    </w:p>
    <w:p>
      <w:pPr>
        <w:pStyle w:val="BodyText"/>
        <w:spacing w:before="7"/>
        <w:rPr>
          <w:sz w:val="15"/>
        </w:rPr>
      </w:pPr>
    </w:p>
    <w:p>
      <w:pPr>
        <w:pStyle w:val="BodyText"/>
        <w:spacing w:line="417" w:lineRule="auto"/>
        <w:ind w:left="220" w:right="594" w:firstLine="419"/>
      </w:pPr>
      <w:r>
        <w:rPr>
          <w:rFonts w:ascii="Times New Roman" w:eastAsia="Times New Roman"/>
        </w:rPr>
        <w:t>4</w:t>
      </w:r>
      <w:r>
        <w:rPr>
          <w:spacing w:val="-16"/>
        </w:rPr>
        <w:t>、基金合同、《基金合同》：指《华夏科技成长股票型证券投资基金基金合同》及对基</w:t>
      </w:r>
      <w:r>
        <w:rPr>
          <w:spacing w:val="-7"/>
        </w:rPr>
        <w:t>金合同的任何有效修订和补充。</w:t>
      </w:r>
    </w:p>
    <w:p>
      <w:pPr>
        <w:pStyle w:val="BodyText"/>
        <w:ind w:left="640"/>
      </w:pPr>
      <w:r>
        <w:rPr>
          <w:rFonts w:ascii="Times New Roman" w:eastAsia="Times New Roman"/>
        </w:rPr>
        <w:t>5</w:t>
      </w:r>
      <w:r>
        <w:rPr/>
        <w:t>、托管协议：指基金管理人与基金托管人就本基金签订之《华夏科技成长股票型证券</w:t>
      </w:r>
    </w:p>
    <w:p>
      <w:pPr>
        <w:spacing w:after="0"/>
        <w:sectPr>
          <w:pgSz w:w="11910" w:h="16840"/>
          <w:pgMar w:header="877" w:footer="995" w:top="1420" w:bottom="1180" w:left="1580" w:right="1200"/>
        </w:sectPr>
      </w:pPr>
    </w:p>
    <w:p>
      <w:pPr>
        <w:pStyle w:val="BodyText"/>
        <w:spacing w:before="110"/>
        <w:ind w:left="220"/>
      </w:pPr>
      <w:r>
        <w:rPr/>
        <w:t>投资基金托管协议》及对该托管协议的任何有效修订和补充。</w:t>
      </w:r>
    </w:p>
    <w:p>
      <w:pPr>
        <w:pStyle w:val="BodyText"/>
        <w:spacing w:before="6"/>
        <w:rPr>
          <w:sz w:val="15"/>
        </w:rPr>
      </w:pPr>
    </w:p>
    <w:p>
      <w:pPr>
        <w:pStyle w:val="BodyText"/>
        <w:ind w:left="640"/>
      </w:pPr>
      <w:r>
        <w:rPr>
          <w:rFonts w:ascii="Times New Roman" w:eastAsia="Times New Roman"/>
        </w:rPr>
        <w:t>6</w:t>
      </w:r>
      <w:r>
        <w:rPr/>
        <w:t>、招募说明书：指《华夏科技成长股票型证券投资基金招募说明书》及其更新。</w:t>
      </w:r>
    </w:p>
    <w:p>
      <w:pPr>
        <w:pStyle w:val="BodyText"/>
        <w:spacing w:before="7"/>
        <w:rPr>
          <w:sz w:val="15"/>
        </w:rPr>
      </w:pPr>
    </w:p>
    <w:p>
      <w:pPr>
        <w:pStyle w:val="BodyText"/>
        <w:ind w:left="640"/>
      </w:pPr>
      <w:r>
        <w:rPr>
          <w:rFonts w:ascii="Times New Roman" w:eastAsia="Times New Roman"/>
        </w:rPr>
        <w:t>7</w:t>
      </w:r>
      <w:r>
        <w:rPr/>
        <w:t>、基金份额发售公告：指《华夏科技成长股票型证券投资基金基金份额发售公告》。</w:t>
      </w:r>
    </w:p>
    <w:p>
      <w:pPr>
        <w:pStyle w:val="BodyText"/>
        <w:spacing w:before="7"/>
        <w:rPr>
          <w:sz w:val="15"/>
        </w:rPr>
      </w:pPr>
    </w:p>
    <w:p>
      <w:pPr>
        <w:pStyle w:val="BodyText"/>
        <w:spacing w:line="417" w:lineRule="auto"/>
        <w:ind w:left="220" w:right="594" w:firstLine="419"/>
      </w:pPr>
      <w:r>
        <w:rPr>
          <w:rFonts w:ascii="Times New Roman" w:eastAsia="Times New Roman"/>
        </w:rPr>
        <w:t>8</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spacing w:line="269" w:lineRule="exact"/>
        <w:ind w:left="640"/>
      </w:pPr>
      <w:r>
        <w:rPr>
          <w:rFonts w:ascii="Times New Roman" w:eastAsia="Times New Roman"/>
        </w:rPr>
        <w:t>9</w:t>
      </w:r>
      <w:r>
        <w:rPr/>
        <w:t>、《基金法》：指《中华人民共和国证券投资基金法》及颁布机关对其不时做出的修订。</w:t>
      </w:r>
    </w:p>
    <w:p>
      <w:pPr>
        <w:pStyle w:val="BodyText"/>
        <w:spacing w:before="7"/>
        <w:rPr>
          <w:sz w:val="15"/>
        </w:rPr>
      </w:pPr>
    </w:p>
    <w:p>
      <w:pPr>
        <w:pStyle w:val="BodyText"/>
        <w:ind w:left="640"/>
      </w:pPr>
      <w:r>
        <w:rPr>
          <w:rFonts w:ascii="Times New Roman" w:eastAsia="Times New Roman"/>
        </w:rPr>
        <w:t>10</w:t>
      </w:r>
      <w:r>
        <w:rPr/>
        <w:t>、《销售办法》：指《证券投资基金销售管理办法》及颁布机关对其不时做出的修订。</w:t>
      </w:r>
    </w:p>
    <w:p>
      <w:pPr>
        <w:pStyle w:val="BodyText"/>
        <w:spacing w:before="7"/>
        <w:rPr>
          <w:sz w:val="15"/>
        </w:rPr>
      </w:pPr>
    </w:p>
    <w:p>
      <w:pPr>
        <w:pStyle w:val="BodyText"/>
        <w:spacing w:line="417" w:lineRule="auto"/>
        <w:ind w:left="220" w:right="591" w:firstLine="419"/>
      </w:pPr>
      <w:r>
        <w:rPr>
          <w:rFonts w:ascii="Times New Roman" w:eastAsia="Times New Roman"/>
          <w:spacing w:val="-4"/>
        </w:rPr>
        <w:t>11</w:t>
      </w:r>
      <w:r>
        <w:rPr>
          <w:spacing w:val="-20"/>
        </w:rPr>
        <w:t>、《信息披露办法》：指《公开募集证券投资基金信息披露管理办法》及颁布机关对其</w:t>
      </w:r>
      <w:r>
        <w:rPr>
          <w:spacing w:val="-8"/>
        </w:rPr>
        <w:t>不时做出的修订。</w:t>
      </w:r>
    </w:p>
    <w:p>
      <w:pPr>
        <w:pStyle w:val="BodyText"/>
        <w:spacing w:line="417" w:lineRule="auto"/>
        <w:ind w:left="220" w:right="591" w:firstLine="419"/>
      </w:pPr>
      <w:r>
        <w:rPr>
          <w:rFonts w:ascii="Times New Roman" w:eastAsia="Times New Roman"/>
        </w:rPr>
        <w:t>12</w:t>
      </w:r>
      <w:r>
        <w:rPr>
          <w:spacing w:val="-20"/>
        </w:rPr>
        <w:t>、《运作办法》：指《公开募集证券投资基金运作管理办法》及颁布机关对其不时做出</w:t>
      </w:r>
      <w:r>
        <w:rPr>
          <w:spacing w:val="-12"/>
        </w:rPr>
        <w:t>的修订。</w:t>
      </w:r>
    </w:p>
    <w:p>
      <w:pPr>
        <w:pStyle w:val="BodyText"/>
        <w:spacing w:line="417" w:lineRule="auto"/>
        <w:ind w:left="220" w:right="488" w:firstLine="419"/>
      </w:pPr>
      <w:r>
        <w:rPr>
          <w:rFonts w:ascii="Times New Roman" w:eastAsia="Times New Roman"/>
        </w:rPr>
        <w:t>13</w:t>
      </w:r>
      <w:r>
        <w:rPr>
          <w:spacing w:val="-19"/>
        </w:rPr>
        <w:t>、《流动性风险管理规定》：指中国证监会 </w:t>
      </w:r>
      <w:r>
        <w:rPr>
          <w:rFonts w:ascii="Times New Roman" w:eastAsia="Times New Roman"/>
        </w:rPr>
        <w:t>2017 </w:t>
      </w:r>
      <w:r>
        <w:rPr>
          <w:spacing w:val="-26"/>
        </w:rPr>
        <w:t>年 </w:t>
      </w:r>
      <w:r>
        <w:rPr>
          <w:rFonts w:ascii="Times New Roman" w:eastAsia="Times New Roman"/>
        </w:rPr>
        <w:t>8 </w:t>
      </w:r>
      <w:r>
        <w:rPr>
          <w:spacing w:val="-25"/>
        </w:rPr>
        <w:t>月 </w:t>
      </w:r>
      <w:r>
        <w:rPr>
          <w:rFonts w:ascii="Times New Roman" w:eastAsia="Times New Roman"/>
        </w:rPr>
        <w:t>31 </w:t>
      </w:r>
      <w:r>
        <w:rPr>
          <w:spacing w:val="-10"/>
        </w:rPr>
        <w:t>日颁布、同年 </w:t>
      </w:r>
      <w:r>
        <w:rPr>
          <w:rFonts w:ascii="Times New Roman" w:eastAsia="Times New Roman"/>
        </w:rPr>
        <w:t>10 </w:t>
      </w:r>
      <w:r>
        <w:rPr>
          <w:spacing w:val="-25"/>
        </w:rPr>
        <w:t>月 </w:t>
      </w:r>
      <w:r>
        <w:rPr>
          <w:rFonts w:ascii="Times New Roman" w:eastAsia="Times New Roman"/>
        </w:rPr>
        <w:t>1 </w:t>
      </w:r>
      <w:r>
        <w:rPr/>
        <w:t>日实</w:t>
      </w:r>
      <w:r>
        <w:rPr>
          <w:spacing w:val="-16"/>
        </w:rPr>
        <w:t>施的《公开募集开放式证券投资基金流动性风险管理规定》及颁布机关对其不时做出的修订。</w:t>
      </w:r>
    </w:p>
    <w:p>
      <w:pPr>
        <w:pStyle w:val="BodyText"/>
        <w:spacing w:line="269" w:lineRule="exact"/>
        <w:ind w:left="640"/>
      </w:pPr>
      <w:r>
        <w:rPr>
          <w:rFonts w:ascii="Times New Roman" w:eastAsia="Times New Roman"/>
        </w:rPr>
        <w:t>14</w:t>
      </w:r>
      <w:r>
        <w:rPr/>
        <w:t>、中国证监会：指中国证券监督管理委员会。</w:t>
      </w:r>
    </w:p>
    <w:p>
      <w:pPr>
        <w:pStyle w:val="BodyText"/>
        <w:spacing w:before="6"/>
        <w:rPr>
          <w:sz w:val="15"/>
        </w:rPr>
      </w:pPr>
    </w:p>
    <w:p>
      <w:pPr>
        <w:pStyle w:val="BodyText"/>
        <w:spacing w:before="1"/>
        <w:ind w:left="640"/>
      </w:pPr>
      <w:r>
        <w:rPr>
          <w:rFonts w:ascii="Times New Roman" w:eastAsia="Times New Roman"/>
        </w:rPr>
        <w:t>15</w:t>
      </w:r>
      <w:r>
        <w:rPr/>
        <w:t>、银行业监督管理机构：指中国人民银行和</w:t>
      </w:r>
      <w:r>
        <w:rPr>
          <w:rFonts w:ascii="Times New Roman" w:eastAsia="Times New Roman"/>
        </w:rPr>
        <w:t>/</w:t>
      </w:r>
      <w:r>
        <w:rPr/>
        <w:t>或中国银行保险监督管理委员会。</w:t>
      </w:r>
    </w:p>
    <w:p>
      <w:pPr>
        <w:pStyle w:val="BodyText"/>
        <w:spacing w:before="6"/>
        <w:rPr>
          <w:sz w:val="15"/>
        </w:rPr>
      </w:pPr>
    </w:p>
    <w:p>
      <w:pPr>
        <w:pStyle w:val="BodyText"/>
        <w:spacing w:line="417" w:lineRule="auto"/>
        <w:ind w:left="220" w:right="591" w:firstLine="419"/>
      </w:pPr>
      <w:r>
        <w:rPr>
          <w:rFonts w:ascii="Times New Roman" w:eastAsia="Times New Roman"/>
        </w:rPr>
        <w:t>16</w:t>
      </w:r>
      <w:r>
        <w:rPr>
          <w:spacing w:val="-12"/>
        </w:rPr>
        <w:t>、基金合同当事人：指受基金合同约束，根据基金合同享有权利并承担义务的法律主</w:t>
      </w:r>
      <w:r>
        <w:rPr>
          <w:spacing w:val="-6"/>
        </w:rPr>
        <w:t>体，包括基金管理人、基金托管人和基金份额持有人。</w:t>
      </w:r>
    </w:p>
    <w:p>
      <w:pPr>
        <w:pStyle w:val="BodyText"/>
        <w:spacing w:line="269" w:lineRule="exact"/>
        <w:ind w:left="640"/>
      </w:pPr>
      <w:r>
        <w:rPr>
          <w:rFonts w:ascii="Times New Roman" w:eastAsia="Times New Roman"/>
        </w:rPr>
        <w:t>17</w:t>
      </w:r>
      <w:r>
        <w:rPr/>
        <w:t>、个人投资者：指依据有关法律法规规定可投资于证券投资基金的自然人。</w:t>
      </w:r>
    </w:p>
    <w:p>
      <w:pPr>
        <w:pStyle w:val="BodyText"/>
        <w:spacing w:before="7"/>
        <w:rPr>
          <w:sz w:val="15"/>
        </w:rPr>
      </w:pPr>
    </w:p>
    <w:p>
      <w:pPr>
        <w:pStyle w:val="BodyText"/>
        <w:spacing w:line="417" w:lineRule="auto"/>
        <w:ind w:left="220" w:right="591" w:firstLine="419"/>
      </w:pPr>
      <w:r>
        <w:rPr>
          <w:rFonts w:ascii="Times New Roman" w:eastAsia="Times New Roman"/>
        </w:rPr>
        <w:t>18</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spacing w:line="417" w:lineRule="auto"/>
        <w:ind w:left="220" w:right="490" w:firstLine="419"/>
      </w:pPr>
      <w:r>
        <w:rPr>
          <w:rFonts w:ascii="Times New Roman" w:eastAsia="Times New Roman"/>
        </w:rPr>
        <w:t>19</w:t>
      </w:r>
      <w:r>
        <w:rPr>
          <w:spacing w:val="-12"/>
        </w:rPr>
        <w:t>、合格境外机构投资者：指符合《合格境外机构投资者境内证券投资管理办法》及相</w:t>
      </w:r>
      <w:r>
        <w:rPr>
          <w:spacing w:val="-6"/>
        </w:rPr>
        <w:t>关法律法规规定可以投资于在中国境内依法募集的证券投资基金的中国境外的机构投资者。</w:t>
      </w:r>
    </w:p>
    <w:p>
      <w:pPr>
        <w:pStyle w:val="BodyText"/>
        <w:spacing w:line="417" w:lineRule="auto"/>
        <w:ind w:left="220" w:right="591" w:firstLine="419"/>
        <w:jc w:val="both"/>
      </w:pPr>
      <w:r>
        <w:rPr>
          <w:rFonts w:ascii="Times New Roman" w:eastAsia="Times New Roman"/>
        </w:rPr>
        <w:t>20</w:t>
      </w:r>
      <w:r>
        <w:rPr>
          <w:spacing w:val="-11"/>
        </w:rPr>
        <w:t>、人民币合格境外机构投资者：指按照《人民币合格境外机构投资者境内证券投资试</w:t>
      </w:r>
      <w:r>
        <w:rPr>
          <w:spacing w:val="-36"/>
        </w:rPr>
        <w:t>点办法》</w:t>
      </w:r>
      <w:r>
        <w:rPr/>
        <w:t>（</w:t>
      </w:r>
      <w:r>
        <w:rPr>
          <w:spacing w:val="-3"/>
        </w:rPr>
        <w:t>包括其不时修订</w:t>
      </w:r>
      <w:r>
        <w:rPr/>
        <w:t>）</w:t>
      </w:r>
      <w:r>
        <w:rPr>
          <w:spacing w:val="-3"/>
        </w:rPr>
        <w:t>及相关法律法规规定，运用来自境外的人民币资金进行境内证券投资的境外法人。</w:t>
      </w:r>
    </w:p>
    <w:p>
      <w:pPr>
        <w:pStyle w:val="BodyText"/>
        <w:spacing w:line="417" w:lineRule="auto"/>
        <w:ind w:left="220" w:right="591" w:firstLine="419"/>
      </w:pPr>
      <w:r>
        <w:rPr>
          <w:rFonts w:ascii="Times New Roman" w:eastAsia="Times New Roman"/>
        </w:rPr>
        <w:t>21</w:t>
      </w:r>
      <w:r>
        <w:rPr>
          <w:spacing w:val="-11"/>
        </w:rPr>
        <w:t>、投资人、投资者：指个人投资者、机构投资者、合格境外机构投资者和人民币合格</w:t>
      </w:r>
      <w:r>
        <w:rPr>
          <w:spacing w:val="-6"/>
        </w:rPr>
        <w:t>境外机构投资者以及法律法规或中国证监会允许购买证券投资基金的其他投资人的合称。</w:t>
      </w:r>
    </w:p>
    <w:p>
      <w:pPr>
        <w:pStyle w:val="BodyText"/>
        <w:spacing w:line="269" w:lineRule="exact"/>
        <w:ind w:left="640"/>
      </w:pPr>
      <w:r>
        <w:rPr>
          <w:rFonts w:ascii="Times New Roman" w:eastAsia="Times New Roman"/>
        </w:rPr>
        <w:t>22</w:t>
      </w:r>
      <w:r>
        <w:rPr/>
        <w:t>、基金份额持有人：指依基金合同和招募说明书合法取得基金份额的投资人。</w:t>
      </w:r>
    </w:p>
    <w:p>
      <w:pPr>
        <w:pStyle w:val="BodyText"/>
        <w:spacing w:before="6"/>
        <w:rPr>
          <w:sz w:val="15"/>
        </w:rPr>
      </w:pPr>
    </w:p>
    <w:p>
      <w:pPr>
        <w:pStyle w:val="BodyText"/>
        <w:spacing w:line="417" w:lineRule="auto" w:before="1"/>
        <w:ind w:left="220" w:right="591" w:firstLine="419"/>
      </w:pPr>
      <w:r>
        <w:rPr>
          <w:rFonts w:ascii="Times New Roman" w:eastAsia="Times New Roman"/>
        </w:rPr>
        <w:t>23</w:t>
      </w:r>
      <w:r>
        <w:rPr>
          <w:spacing w:val="-11"/>
        </w:rPr>
        <w:t>、基金销售业务：指基金管理人或销售机构宣传推介基金，发售基金份额，办理基金</w:t>
      </w:r>
      <w:r>
        <w:rPr>
          <w:spacing w:val="-6"/>
        </w:rPr>
        <w:t>份额的申购、赎回、转换、转托管及定期定额投资等业务。</w:t>
      </w:r>
    </w:p>
    <w:p>
      <w:pPr>
        <w:spacing w:after="0" w:line="417" w:lineRule="auto"/>
        <w:sectPr>
          <w:pgSz w:w="11910" w:h="16840"/>
          <w:pgMar w:header="877" w:footer="995" w:top="1420" w:bottom="1180" w:left="1580" w:right="1200"/>
        </w:sectPr>
      </w:pPr>
    </w:p>
    <w:p>
      <w:pPr>
        <w:pStyle w:val="BodyText"/>
        <w:spacing w:line="417" w:lineRule="auto" w:before="110"/>
        <w:ind w:left="220" w:right="591" w:firstLine="419"/>
        <w:jc w:val="both"/>
      </w:pPr>
      <w:r>
        <w:rPr>
          <w:rFonts w:ascii="Times New Roman" w:eastAsia="Times New Roman"/>
        </w:rPr>
        <w:t>24</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pPr>
        <w:pStyle w:val="BodyText"/>
        <w:spacing w:line="417" w:lineRule="auto"/>
        <w:ind w:left="220" w:right="591" w:firstLine="419"/>
        <w:jc w:val="both"/>
      </w:pPr>
      <w:r>
        <w:rPr>
          <w:rFonts w:ascii="Times New Roman" w:eastAsia="Times New Roman"/>
        </w:rPr>
        <w:t>25</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220" w:right="591" w:firstLine="419"/>
      </w:pPr>
      <w:r>
        <w:rPr>
          <w:rFonts w:ascii="Times New Roman" w:eastAsia="Times New Roman"/>
        </w:rPr>
        <w:t>26</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220" w:right="591" w:firstLine="419"/>
      </w:pPr>
      <w:r>
        <w:rPr>
          <w:rFonts w:ascii="Times New Roman" w:eastAsia="Times New Roman"/>
        </w:rPr>
        <w:t>27</w:t>
      </w:r>
      <w:r>
        <w:rPr>
          <w:spacing w:val="-11"/>
        </w:rPr>
        <w:t>、基金账户：指登记机构为投资人开立的、记录其持有的、由该登记机构办理登记的</w:t>
      </w:r>
      <w:r>
        <w:rPr>
          <w:spacing w:val="-6"/>
        </w:rPr>
        <w:t>基金份额余额及其变动情况的账户。</w:t>
      </w:r>
    </w:p>
    <w:p>
      <w:pPr>
        <w:pStyle w:val="BodyText"/>
        <w:spacing w:line="417" w:lineRule="auto"/>
        <w:ind w:left="220" w:right="591" w:firstLine="419"/>
      </w:pPr>
      <w:r>
        <w:rPr>
          <w:rFonts w:ascii="Times New Roman" w:eastAsia="Times New Roman"/>
        </w:rPr>
        <w:t>28</w:t>
      </w:r>
      <w:r>
        <w:rPr>
          <w:spacing w:val="-12"/>
        </w:rPr>
        <w:t>、基金交易账户：指销售机构为投资人开立的、记录投资人通过该销售机构买卖基金</w:t>
      </w:r>
      <w:r>
        <w:rPr>
          <w:spacing w:val="-6"/>
        </w:rPr>
        <w:t>的基金份额变动及结余情况的账户。</w:t>
      </w:r>
    </w:p>
    <w:p>
      <w:pPr>
        <w:pStyle w:val="BodyText"/>
        <w:spacing w:line="417" w:lineRule="auto"/>
        <w:ind w:left="220" w:right="595" w:firstLine="419"/>
      </w:pPr>
      <w:r>
        <w:rPr>
          <w:rFonts w:ascii="Times New Roman" w:eastAsia="Times New Roman"/>
        </w:rPr>
        <w:t>29</w:t>
      </w:r>
      <w:r>
        <w:rPr>
          <w:spacing w:val="-11"/>
        </w:rPr>
        <w:t>、基金合同生效日：指基金募集达到法律法规规定及基金合同规定的条件，基金管理</w:t>
      </w:r>
      <w:r>
        <w:rPr>
          <w:spacing w:val="-6"/>
        </w:rPr>
        <w:t>人向中国证监会办理基金备案手续完毕，并获得中国证监会书面确认的日期。</w:t>
      </w:r>
    </w:p>
    <w:p>
      <w:pPr>
        <w:pStyle w:val="BodyText"/>
        <w:spacing w:line="417" w:lineRule="auto"/>
        <w:ind w:left="220" w:right="591" w:firstLine="419"/>
      </w:pPr>
      <w:r>
        <w:rPr>
          <w:rFonts w:ascii="Times New Roman" w:eastAsia="Times New Roman"/>
        </w:rPr>
        <w:t>30</w:t>
      </w:r>
      <w:r>
        <w:rPr>
          <w:spacing w:val="-20"/>
        </w:rPr>
        <w:t>、基金合同终止日：指基金合同规定的基金合同终止事由出现后，基金财产清算完毕， </w:t>
      </w:r>
      <w:r>
        <w:rPr>
          <w:spacing w:val="-8"/>
        </w:rPr>
        <w:t>清算结果报中国证监会备案并予以公告的日期。</w:t>
      </w:r>
    </w:p>
    <w:p>
      <w:pPr>
        <w:pStyle w:val="BodyText"/>
        <w:spacing w:line="269" w:lineRule="exact"/>
        <w:ind w:left="640"/>
        <w:rPr>
          <w:rFonts w:ascii="Times New Roman" w:eastAsia="Times New Roman"/>
        </w:rPr>
      </w:pPr>
      <w:r>
        <w:rPr>
          <w:rFonts w:ascii="Times New Roman" w:eastAsia="Times New Roman"/>
        </w:rPr>
        <w:t>31</w:t>
      </w:r>
      <w:r>
        <w:rPr/>
        <w:t>、基金募集期：指自基金份额发售之日起至发售结束之日止的期间，最长不得超过 </w:t>
      </w:r>
      <w:r>
        <w:rPr>
          <w:rFonts w:ascii="Times New Roman" w:eastAsia="Times New Roman"/>
        </w:rPr>
        <w:t>3</w:t>
      </w:r>
    </w:p>
    <w:p>
      <w:pPr>
        <w:pStyle w:val="BodyText"/>
        <w:spacing w:before="197"/>
        <w:ind w:left="220"/>
      </w:pPr>
      <w:r>
        <w:rPr/>
        <w:t>个月。</w:t>
      </w:r>
    </w:p>
    <w:p>
      <w:pPr>
        <w:pStyle w:val="BodyText"/>
        <w:spacing w:before="7"/>
        <w:rPr>
          <w:sz w:val="15"/>
        </w:rPr>
      </w:pPr>
    </w:p>
    <w:p>
      <w:pPr>
        <w:pStyle w:val="BodyText"/>
        <w:ind w:left="640"/>
      </w:pPr>
      <w:r>
        <w:rPr>
          <w:rFonts w:ascii="Times New Roman" w:eastAsia="Times New Roman"/>
        </w:rPr>
        <w:t>32</w:t>
      </w:r>
      <w:r>
        <w:rPr/>
        <w:t>、存续期：指基金合同生效至终止之间的不定期期限。</w:t>
      </w:r>
    </w:p>
    <w:p>
      <w:pPr>
        <w:pStyle w:val="BodyText"/>
        <w:spacing w:before="7"/>
        <w:rPr>
          <w:sz w:val="15"/>
        </w:rPr>
      </w:pPr>
    </w:p>
    <w:p>
      <w:pPr>
        <w:pStyle w:val="BodyText"/>
        <w:ind w:left="640"/>
      </w:pPr>
      <w:r>
        <w:rPr>
          <w:rFonts w:ascii="Times New Roman" w:eastAsia="Times New Roman"/>
        </w:rPr>
        <w:t>33</w:t>
      </w:r>
      <w:r>
        <w:rPr/>
        <w:t>、工作日：指上海证券交易所、深圳证券交易所的正常交易日。</w:t>
      </w:r>
    </w:p>
    <w:p>
      <w:pPr>
        <w:pStyle w:val="BodyText"/>
        <w:spacing w:before="6"/>
        <w:rPr>
          <w:sz w:val="15"/>
        </w:rPr>
      </w:pPr>
    </w:p>
    <w:p>
      <w:pPr>
        <w:pStyle w:val="BodyText"/>
        <w:spacing w:before="1"/>
        <w:ind w:left="640"/>
      </w:pPr>
      <w:r>
        <w:rPr>
          <w:rFonts w:ascii="Times New Roman" w:eastAsia="Times New Roman"/>
        </w:rPr>
        <w:t>34</w:t>
      </w:r>
      <w:r>
        <w:rPr/>
        <w:t>、</w:t>
      </w:r>
      <w:r>
        <w:rPr>
          <w:rFonts w:ascii="Times New Roman" w:eastAsia="Times New Roman"/>
        </w:rPr>
        <w:t>T </w:t>
      </w:r>
      <w:r>
        <w:rPr/>
        <w:t>日：指销售机构在规定时间受理投资人申购、赎回或其他业务申请的开放日。</w:t>
      </w:r>
    </w:p>
    <w:p>
      <w:pPr>
        <w:pStyle w:val="BodyText"/>
        <w:spacing w:before="7"/>
        <w:rPr>
          <w:sz w:val="15"/>
        </w:rPr>
      </w:pPr>
    </w:p>
    <w:p>
      <w:pPr>
        <w:pStyle w:val="BodyText"/>
        <w:ind w:left="640"/>
      </w:pPr>
      <w:r>
        <w:rPr>
          <w:rFonts w:ascii="Times New Roman" w:eastAsia="Times New Roman"/>
        </w:rPr>
        <w:t>35</w:t>
      </w:r>
      <w:r>
        <w:rPr>
          <w:spacing w:val="-3"/>
        </w:rPr>
        <w:t>、</w:t>
      </w:r>
      <w:r>
        <w:rPr>
          <w:rFonts w:ascii="Times New Roman" w:eastAsia="Times New Roman"/>
        </w:rPr>
        <w:t>T+n </w:t>
      </w:r>
      <w:r>
        <w:rPr>
          <w:spacing w:val="-13"/>
        </w:rPr>
        <w:t>日：指自 </w:t>
      </w:r>
      <w:r>
        <w:rPr>
          <w:rFonts w:ascii="Times New Roman" w:eastAsia="Times New Roman"/>
        </w:rPr>
        <w:t>T </w:t>
      </w:r>
      <w:r>
        <w:rPr>
          <w:spacing w:val="-15"/>
        </w:rPr>
        <w:t>日起第 </w:t>
      </w:r>
      <w:r>
        <w:rPr>
          <w:rFonts w:ascii="Times New Roman" w:eastAsia="Times New Roman"/>
        </w:rPr>
        <w:t>n </w:t>
      </w:r>
      <w:r>
        <w:rPr>
          <w:spacing w:val="-3"/>
        </w:rPr>
        <w:t>个工作日（</w:t>
      </w:r>
      <w:r>
        <w:rPr>
          <w:spacing w:val="15"/>
        </w:rPr>
        <w:t>不包含</w:t>
      </w:r>
      <w:r>
        <w:rPr>
          <w:rFonts w:ascii="Times New Roman" w:eastAsia="Times New Roman"/>
        </w:rPr>
        <w:t>T </w:t>
      </w:r>
      <w:r>
        <w:rPr/>
        <w:t>日</w:t>
      </w:r>
      <w:r>
        <w:rPr>
          <w:spacing w:val="-106"/>
        </w:rPr>
        <w:t>）</w:t>
      </w:r>
      <w:r>
        <w:rPr/>
        <w:t>。</w:t>
      </w:r>
    </w:p>
    <w:p>
      <w:pPr>
        <w:pStyle w:val="BodyText"/>
        <w:spacing w:before="6"/>
        <w:rPr>
          <w:sz w:val="15"/>
        </w:rPr>
      </w:pPr>
    </w:p>
    <w:p>
      <w:pPr>
        <w:pStyle w:val="BodyText"/>
        <w:spacing w:before="1"/>
        <w:ind w:left="640"/>
      </w:pPr>
      <w:r>
        <w:rPr>
          <w:rFonts w:ascii="Times New Roman" w:eastAsia="Times New Roman"/>
        </w:rPr>
        <w:t>36</w:t>
      </w:r>
      <w:r>
        <w:rPr/>
        <w:t>、开放日：指为投资人办理基金份额申购、赎回或其他业务的工作日。</w:t>
      </w:r>
    </w:p>
    <w:p>
      <w:pPr>
        <w:pStyle w:val="BodyText"/>
        <w:spacing w:before="6"/>
        <w:rPr>
          <w:sz w:val="15"/>
        </w:rPr>
      </w:pPr>
    </w:p>
    <w:p>
      <w:pPr>
        <w:pStyle w:val="BodyText"/>
        <w:ind w:left="640"/>
      </w:pPr>
      <w:r>
        <w:rPr>
          <w:rFonts w:ascii="Times New Roman" w:eastAsia="Times New Roman"/>
        </w:rPr>
        <w:t>37</w:t>
      </w:r>
      <w:r>
        <w:rPr/>
        <w:t>、开放时间：指开放日基金接受申购、赎回或其他交易的时间段。</w:t>
      </w:r>
    </w:p>
    <w:p>
      <w:pPr>
        <w:pStyle w:val="BodyText"/>
        <w:spacing w:before="7"/>
        <w:rPr>
          <w:sz w:val="15"/>
        </w:rPr>
      </w:pPr>
    </w:p>
    <w:p>
      <w:pPr>
        <w:pStyle w:val="BodyText"/>
        <w:spacing w:line="417" w:lineRule="auto"/>
        <w:ind w:left="220" w:right="591" w:firstLine="419"/>
        <w:jc w:val="both"/>
      </w:pPr>
      <w:r>
        <w:rPr>
          <w:rFonts w:ascii="Times New Roman" w:eastAsia="Times New Roman"/>
        </w:rPr>
        <w:t>38</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r>
        <w:rPr>
          <w:spacing w:val="-7"/>
        </w:rPr>
        <w:t>同遵守。</w:t>
      </w:r>
    </w:p>
    <w:p>
      <w:pPr>
        <w:pStyle w:val="BodyText"/>
        <w:spacing w:line="269" w:lineRule="exact"/>
        <w:ind w:left="640"/>
      </w:pPr>
      <w:r>
        <w:rPr>
          <w:rFonts w:ascii="Times New Roman" w:eastAsia="Times New Roman"/>
        </w:rPr>
        <w:t>39</w:t>
      </w:r>
      <w:r>
        <w:rPr/>
        <w:t>、认购：指在基金募集期内，投资人申请购买基金份额的行为。</w:t>
      </w:r>
    </w:p>
    <w:p>
      <w:pPr>
        <w:pStyle w:val="BodyText"/>
        <w:spacing w:before="7"/>
        <w:rPr>
          <w:sz w:val="15"/>
        </w:rPr>
      </w:pPr>
    </w:p>
    <w:p>
      <w:pPr>
        <w:pStyle w:val="BodyText"/>
        <w:spacing w:line="417" w:lineRule="auto"/>
        <w:ind w:left="220" w:right="591" w:firstLine="419"/>
      </w:pPr>
      <w:r>
        <w:rPr>
          <w:rFonts w:ascii="Times New Roman" w:eastAsia="Times New Roman"/>
        </w:rPr>
        <w:t>40</w:t>
      </w:r>
      <w:r>
        <w:rPr>
          <w:spacing w:val="-12"/>
        </w:rPr>
        <w:t>、申购：指基金合同生效后，投资人根据基金合同和招募说明书的规定申请购买基金</w:t>
      </w:r>
      <w:r>
        <w:rPr>
          <w:spacing w:val="-6"/>
        </w:rPr>
        <w:t>份额的行为。</w:t>
      </w:r>
    </w:p>
    <w:p>
      <w:pPr>
        <w:spacing w:after="0" w:line="417" w:lineRule="auto"/>
        <w:sectPr>
          <w:pgSz w:w="11910" w:h="16840"/>
          <w:pgMar w:header="877" w:footer="995" w:top="1420" w:bottom="1180" w:left="1580" w:right="1200"/>
        </w:sectPr>
      </w:pPr>
    </w:p>
    <w:p>
      <w:pPr>
        <w:pStyle w:val="BodyText"/>
        <w:spacing w:line="417" w:lineRule="auto" w:before="110"/>
        <w:ind w:left="220" w:right="591" w:firstLine="419"/>
      </w:pPr>
      <w:r>
        <w:rPr>
          <w:rFonts w:ascii="Times New Roman" w:eastAsia="Times New Roman"/>
        </w:rPr>
        <w:t>41</w:t>
      </w:r>
      <w:r>
        <w:rPr>
          <w:spacing w:val="-12"/>
        </w:rPr>
        <w:t>、赎回：指基金合同生效后，基金份额持有人按基金合同规定的条件要求将基金份额</w:t>
      </w:r>
      <w:r>
        <w:rPr>
          <w:spacing w:val="-6"/>
        </w:rPr>
        <w:t>兑换为现金的行为。</w:t>
      </w:r>
    </w:p>
    <w:p>
      <w:pPr>
        <w:pStyle w:val="BodyText"/>
        <w:spacing w:line="417" w:lineRule="auto"/>
        <w:ind w:left="220" w:right="485" w:firstLine="419"/>
      </w:pPr>
      <w:r>
        <w:rPr>
          <w:rFonts w:ascii="Times New Roman" w:eastAsia="Times New Roman"/>
        </w:rPr>
        <w:t>42</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pStyle w:val="BodyText"/>
        <w:spacing w:line="417" w:lineRule="auto"/>
        <w:ind w:left="220" w:right="591" w:firstLine="419"/>
      </w:pPr>
      <w:r>
        <w:rPr>
          <w:rFonts w:ascii="Times New Roman" w:eastAsia="Times New Roman"/>
        </w:rPr>
        <w:t>43</w:t>
      </w:r>
      <w:r>
        <w:rPr>
          <w:spacing w:val="-12"/>
        </w:rPr>
        <w:t>、转托管：指基金份额持有人在本基金的不同销售机构之间实施的变更所持基金份额</w:t>
      </w:r>
      <w:r>
        <w:rPr>
          <w:spacing w:val="-6"/>
        </w:rPr>
        <w:t>销售机构的操作。</w:t>
      </w:r>
    </w:p>
    <w:p>
      <w:pPr>
        <w:pStyle w:val="BodyText"/>
        <w:spacing w:line="417" w:lineRule="auto"/>
        <w:ind w:left="220" w:right="591" w:firstLine="419"/>
        <w:jc w:val="both"/>
      </w:pPr>
      <w:r>
        <w:rPr>
          <w:rFonts w:ascii="Times New Roman" w:eastAsia="Times New Roman"/>
        </w:rPr>
        <w:t>44</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417" w:lineRule="auto"/>
        <w:ind w:left="220" w:right="488" w:firstLine="419"/>
      </w:pPr>
      <w:r>
        <w:rPr>
          <w:rFonts w:ascii="Times New Roman" w:eastAsia="Times New Roman"/>
        </w:rPr>
        <w:t>45</w:t>
      </w:r>
      <w:r>
        <w:rPr>
          <w:spacing w:val="-11"/>
        </w:rPr>
        <w:t>、巨额赎回：指本基金单个开放日，基金净赎回申请</w:t>
      </w:r>
      <w:r>
        <w:rPr>
          <w:spacing w:val="-3"/>
        </w:rPr>
        <w:t>（赎回申请份额总数加上基金转换中转出申请份额总数后扣除申购申请份额总数及基金转换中转入申请份额总数后的余额</w:t>
      </w:r>
      <w:r>
        <w:rPr/>
        <w:t>） </w:t>
      </w:r>
      <w:r>
        <w:rPr>
          <w:spacing w:val="-7"/>
        </w:rPr>
        <w:t>超过上一开放日基金总份额的 </w:t>
      </w:r>
      <w:r>
        <w:rPr>
          <w:rFonts w:ascii="Times New Roman" w:eastAsia="Times New Roman"/>
        </w:rPr>
        <w:t>10%</w:t>
      </w:r>
      <w:r>
        <w:rPr/>
        <w:t>。</w:t>
      </w:r>
    </w:p>
    <w:p>
      <w:pPr>
        <w:pStyle w:val="BodyText"/>
        <w:spacing w:line="417" w:lineRule="auto"/>
        <w:ind w:left="220" w:right="591" w:firstLine="419"/>
        <w:jc w:val="both"/>
      </w:pPr>
      <w:r>
        <w:rPr>
          <w:rFonts w:ascii="Times New Roman" w:eastAsia="Times New Roman"/>
        </w:rPr>
        <w:t>46</w:t>
      </w:r>
      <w:r>
        <w:rPr>
          <w:spacing w:val="-12"/>
        </w:rPr>
        <w:t>、流动性受限资产：指由于法律法规、监管、合同或操作障碍等原因无法以合理价格</w:t>
      </w:r>
      <w:r>
        <w:rPr>
          <w:spacing w:val="-8"/>
        </w:rPr>
        <w:t>予以变现的资产，包括但不限于到期日在 </w:t>
      </w:r>
      <w:r>
        <w:rPr>
          <w:rFonts w:ascii="Times New Roman" w:eastAsia="Times New Roman"/>
        </w:rPr>
        <w:t>10 </w:t>
      </w:r>
      <w:r>
        <w:rPr>
          <w:spacing w:val="-3"/>
        </w:rPr>
        <w:t>个交易日以上的逆回购与银行定期存款</w:t>
      </w:r>
      <w:r>
        <w:rPr/>
        <w:t>（</w:t>
      </w:r>
      <w:r>
        <w:rPr>
          <w:spacing w:val="-2"/>
        </w:rPr>
        <w:t>含协</w:t>
      </w:r>
      <w:r>
        <w:rPr>
          <w:spacing w:val="-3"/>
        </w:rPr>
        <w:t>议约定有条件提前支取的银行存款</w:t>
      </w:r>
      <w:r>
        <w:rPr>
          <w:spacing w:val="-106"/>
        </w:rPr>
        <w:t>）</w:t>
      </w:r>
      <w:r>
        <w:rPr>
          <w:spacing w:val="-3"/>
        </w:rPr>
        <w:t>、停牌股票、流通受限的新股及非公开发行股票、资产支持证券、因发行人债务违约无法进行转让或交易的债券等。</w:t>
      </w:r>
    </w:p>
    <w:p>
      <w:pPr>
        <w:pStyle w:val="BodyText"/>
        <w:spacing w:line="417" w:lineRule="auto"/>
        <w:ind w:left="220" w:right="591" w:firstLine="419"/>
        <w:jc w:val="both"/>
      </w:pPr>
      <w:r>
        <w:rPr>
          <w:rFonts w:ascii="Times New Roman" w:eastAsia="Times New Roman"/>
        </w:rPr>
        <w:t>47</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基金份额持有人利益的不利影响，确保投资者的合法权益不受损害并得到公平对待。</w:t>
      </w:r>
    </w:p>
    <w:p>
      <w:pPr>
        <w:pStyle w:val="BodyText"/>
        <w:spacing w:line="269" w:lineRule="exact"/>
        <w:ind w:left="640"/>
      </w:pPr>
      <w:r>
        <w:rPr>
          <w:rFonts w:ascii="Times New Roman" w:eastAsia="Times New Roman"/>
        </w:rPr>
        <w:t>48</w:t>
      </w:r>
      <w:r>
        <w:rPr/>
        <w:t>、元：指人民币元。</w:t>
      </w:r>
    </w:p>
    <w:p>
      <w:pPr>
        <w:pStyle w:val="BodyText"/>
        <w:spacing w:line="417" w:lineRule="auto" w:before="197"/>
        <w:ind w:left="220" w:right="591" w:firstLine="419"/>
      </w:pPr>
      <w:r>
        <w:rPr>
          <w:rFonts w:ascii="Times New Roman" w:eastAsia="Times New Roman"/>
        </w:rPr>
        <w:t>49</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220" w:right="591" w:firstLine="419"/>
      </w:pPr>
      <w:r>
        <w:rPr>
          <w:rFonts w:ascii="Times New Roman" w:eastAsia="Times New Roman"/>
        </w:rPr>
        <w:t>50</w:t>
      </w:r>
      <w:r>
        <w:rPr>
          <w:spacing w:val="-11"/>
        </w:rPr>
        <w:t>、基金资产总值：指基金拥有的各类有价证券、银行存款本息、基金应收申购款及其</w:t>
      </w:r>
      <w:r>
        <w:rPr>
          <w:spacing w:val="-6"/>
        </w:rPr>
        <w:t>他资产的价值总和。</w:t>
      </w:r>
    </w:p>
    <w:p>
      <w:pPr>
        <w:pStyle w:val="BodyText"/>
        <w:spacing w:line="269" w:lineRule="exact"/>
        <w:ind w:left="640"/>
      </w:pPr>
      <w:r>
        <w:rPr>
          <w:rFonts w:ascii="Times New Roman" w:eastAsia="Times New Roman"/>
        </w:rPr>
        <w:t>51</w:t>
      </w:r>
      <w:r>
        <w:rPr/>
        <w:t>、基金资产净值：指基金资产总值减去基金负债后的价值。</w:t>
      </w:r>
    </w:p>
    <w:p>
      <w:pPr>
        <w:pStyle w:val="BodyText"/>
        <w:spacing w:before="7"/>
        <w:rPr>
          <w:sz w:val="15"/>
        </w:rPr>
      </w:pPr>
    </w:p>
    <w:p>
      <w:pPr>
        <w:pStyle w:val="BodyText"/>
        <w:ind w:left="640"/>
      </w:pPr>
      <w:r>
        <w:rPr>
          <w:rFonts w:ascii="Times New Roman" w:eastAsia="Times New Roman"/>
        </w:rPr>
        <w:t>52</w:t>
      </w:r>
      <w:r>
        <w:rPr/>
        <w:t>、基金份额净值：指计算日基金资产净值除以计算日基金份额总数。</w:t>
      </w:r>
    </w:p>
    <w:p>
      <w:pPr>
        <w:pStyle w:val="BodyText"/>
        <w:spacing w:before="6"/>
        <w:rPr>
          <w:sz w:val="15"/>
        </w:rPr>
      </w:pPr>
    </w:p>
    <w:p>
      <w:pPr>
        <w:pStyle w:val="BodyText"/>
        <w:spacing w:line="417" w:lineRule="auto" w:before="1"/>
        <w:ind w:left="220" w:right="591" w:firstLine="419"/>
      </w:pPr>
      <w:r>
        <w:rPr>
          <w:rFonts w:ascii="Times New Roman" w:eastAsia="Times New Roman"/>
        </w:rPr>
        <w:t>53</w:t>
      </w:r>
      <w:r>
        <w:rPr>
          <w:spacing w:val="-11"/>
        </w:rPr>
        <w:t>、基金资产估值：指计算评估基金资产和负债的价值，以确定基金资产净值和基金份</w:t>
      </w:r>
      <w:r>
        <w:rPr>
          <w:spacing w:val="-6"/>
        </w:rPr>
        <w:t>额净值的过程。</w:t>
      </w:r>
    </w:p>
    <w:p>
      <w:pPr>
        <w:pStyle w:val="BodyText"/>
        <w:ind w:left="640"/>
      </w:pPr>
      <w:r>
        <w:rPr>
          <w:rFonts w:ascii="Times New Roman" w:eastAsia="Times New Roman"/>
        </w:rPr>
        <w:t>54</w:t>
      </w:r>
      <w:r>
        <w:rPr/>
        <w:t>、指定媒介：指中国证监会指定的用以进行信息披露的媒介。</w:t>
      </w:r>
    </w:p>
    <w:p>
      <w:pPr>
        <w:spacing w:after="0"/>
        <w:sectPr>
          <w:pgSz w:w="11910" w:h="16840"/>
          <w:pgMar w:header="877" w:footer="995" w:top="1420" w:bottom="1180" w:left="1580" w:right="1200"/>
        </w:sectPr>
      </w:pPr>
    </w:p>
    <w:p>
      <w:pPr>
        <w:pStyle w:val="BodyText"/>
        <w:spacing w:before="110"/>
        <w:ind w:left="640"/>
      </w:pPr>
      <w:r>
        <w:rPr>
          <w:rFonts w:ascii="Times New Roman" w:eastAsia="Times New Roman"/>
        </w:rPr>
        <w:t>55</w:t>
      </w:r>
      <w:r>
        <w:rPr/>
        <w:t>、不可抗力：指基金合同当事人不能预见、不能避免且不能克服的客观事件。</w:t>
      </w:r>
    </w:p>
    <w:p>
      <w:pPr>
        <w:pStyle w:val="BodyText"/>
        <w:spacing w:before="6"/>
        <w:rPr>
          <w:sz w:val="15"/>
        </w:rPr>
      </w:pPr>
    </w:p>
    <w:p>
      <w:pPr>
        <w:pStyle w:val="BodyText"/>
        <w:spacing w:line="417" w:lineRule="auto"/>
        <w:ind w:left="220" w:right="591" w:firstLine="419"/>
      </w:pPr>
      <w:r>
        <w:rPr>
          <w:rFonts w:ascii="Times New Roman" w:eastAsia="Times New Roman"/>
        </w:rPr>
        <w:t>56</w:t>
      </w:r>
      <w:r>
        <w:rPr>
          <w:spacing w:val="-12"/>
        </w:rPr>
        <w:t>、基金产品资料概要：指《华夏科技成长股票型证券投资基金基金产品资料概要》及</w:t>
      </w:r>
      <w:r>
        <w:rPr>
          <w:spacing w:val="-7"/>
        </w:rPr>
        <w:t>其更新。</w:t>
      </w:r>
    </w:p>
    <w:p>
      <w:pPr>
        <w:pStyle w:val="BodyText"/>
        <w:rPr>
          <w:sz w:val="20"/>
        </w:rPr>
      </w:pPr>
    </w:p>
    <w:p>
      <w:pPr>
        <w:pStyle w:val="BodyText"/>
        <w:rPr>
          <w:sz w:val="20"/>
        </w:rPr>
      </w:pPr>
    </w:p>
    <w:p>
      <w:pPr>
        <w:pStyle w:val="BodyText"/>
        <w:spacing w:before="2"/>
        <w:rPr>
          <w:sz w:val="23"/>
        </w:rPr>
      </w:pPr>
    </w:p>
    <w:p>
      <w:pPr>
        <w:pStyle w:val="Heading1"/>
      </w:pPr>
      <w:bookmarkStart w:name="_bookmark2" w:id="3"/>
      <w:bookmarkEnd w:id="3"/>
      <w:r>
        <w:rPr>
          <w:b w:val="0"/>
        </w:rPr>
      </w:r>
      <w:r>
        <w:rPr/>
        <w:t>三、基金管理人</w:t>
      </w:r>
    </w:p>
    <w:p>
      <w:pPr>
        <w:pStyle w:val="BodyText"/>
        <w:rPr>
          <w:b/>
          <w:sz w:val="20"/>
        </w:rPr>
      </w:pPr>
    </w:p>
    <w:p>
      <w:pPr>
        <w:pStyle w:val="BodyText"/>
        <w:spacing w:before="2"/>
        <w:rPr>
          <w:b/>
        </w:rPr>
      </w:pPr>
    </w:p>
    <w:p>
      <w:pPr>
        <w:pStyle w:val="BodyText"/>
        <w:ind w:left="640"/>
      </w:pPr>
      <w:r>
        <w:rPr/>
        <w:t>（一）基金管理人概况</w:t>
      </w:r>
    </w:p>
    <w:p>
      <w:pPr>
        <w:pStyle w:val="BodyText"/>
        <w:spacing w:before="7"/>
        <w:rPr>
          <w:sz w:val="15"/>
        </w:rPr>
      </w:pPr>
    </w:p>
    <w:p>
      <w:pPr>
        <w:pStyle w:val="BodyText"/>
        <w:ind w:left="640"/>
      </w:pPr>
      <w:r>
        <w:rPr/>
        <w:t>名称：华夏基金管理有限公司</w:t>
      </w:r>
    </w:p>
    <w:p>
      <w:pPr>
        <w:pStyle w:val="BodyText"/>
        <w:spacing w:before="7"/>
        <w:rPr>
          <w:sz w:val="15"/>
        </w:rPr>
      </w:pPr>
    </w:p>
    <w:p>
      <w:pPr>
        <w:pStyle w:val="BodyText"/>
        <w:ind w:left="64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640" w:right="302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left="640" w:right="6590"/>
      </w:pPr>
      <w:r>
        <w:rPr/>
        <w:t>法定代表人：杨明辉联系人：邱曦</w:t>
      </w:r>
    </w:p>
    <w:p>
      <w:pPr>
        <w:pStyle w:val="BodyText"/>
        <w:spacing w:line="417" w:lineRule="auto"/>
        <w:ind w:left="640" w:right="582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ind w:left="640"/>
      </w:pPr>
      <w:r>
        <w:rPr/>
        <w:pict>
          <v:group style="position:absolute;margin-left:137.899994pt;margin-top:18.420008pt;width:319.55pt;height:26.55pt;mso-position-horizontal-relative:page;mso-position-vertical-relative:paragraph;z-index:251660288" coordorigin="2758,368" coordsize="6391,531">
            <v:line style="position:absolute" from="2758,383" to="6537,383" stroked="true" strokeweight="1.44pt" strokecolor="#000000">
              <v:stroke dashstyle="solid"/>
            </v:line>
            <v:shape style="position:absolute;left:6536;top:397;width:10;height:3" type="#_x0000_t75" stroked="false">
              <v:imagedata r:id="rId7" o:title=""/>
            </v:shape>
            <v:rect style="position:absolute;left:6536;top:368;width:29;height:29" filled="true" fillcolor="#000000" stroked="false">
              <v:fill type="solid"/>
            </v:rect>
            <v:line style="position:absolute" from="6565,383" to="9148,383" stroked="true" strokeweight="1.44pt" strokecolor="#000000">
              <v:stroke dashstyle="solid"/>
            </v:line>
            <v:shape style="position:absolute;left:2758;top:399;width:3789;height:478" type="#_x0000_t75" stroked="false">
              <v:imagedata r:id="rId8" o:title=""/>
            </v:shape>
            <v:shape style="position:absolute;left:6536;top:867;width:2612;height:32" type="#_x0000_t75" stroked="false">
              <v:imagedata r:id="rId9" o:title=""/>
            </v:shape>
            <v:shape style="position:absolute;left:4227;top:527;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6999;top:527;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w10:wrap type="none"/>
          </v:group>
        </w:pict>
      </w:r>
      <w:r>
        <w:rPr/>
        <w:pict>
          <v:group style="position:absolute;margin-left:137.899994pt;margin-top:60.419998pt;width:319.55pt;height:.5pt;mso-position-horizontal-relative:page;mso-position-vertical-relative:paragraph;z-index:-259850240" coordorigin="2758,1208" coordsize="6391,10">
            <v:shape style="position:absolute;left:2758;top:1208;width:3779;height:10" type="#_x0000_t75" stroked="false">
              <v:imagedata r:id="rId10" o:title=""/>
            </v:shape>
            <v:shape style="position:absolute;left:6536;top:1208;width:2612;height:10" type="#_x0000_t75" stroked="false">
              <v:imagedata r:id="rId11" o:title=""/>
            </v:shape>
            <w10:wrap type="none"/>
          </v:group>
        </w:pict>
      </w:r>
      <w:r>
        <w:rPr/>
        <w:t>华夏基金管理有限公司注册资本为 </w:t>
      </w:r>
      <w:r>
        <w:rPr>
          <w:rFonts w:ascii="Times New Roman" w:eastAsia="Times New Roman"/>
        </w:rPr>
        <w:t>23800 </w:t>
      </w:r>
      <w:r>
        <w:rPr/>
        <w:t>万元，公司股权结构如下：</w:t>
      </w:r>
    </w:p>
    <w:p>
      <w:pPr>
        <w:pStyle w:val="BodyText"/>
        <w:rPr>
          <w:sz w:val="20"/>
        </w:rPr>
      </w:pPr>
    </w:p>
    <w:p>
      <w:pPr>
        <w:pStyle w:val="BodyText"/>
        <w:spacing w:before="1"/>
        <w:rPr>
          <w:sz w:val="29"/>
        </w:rPr>
      </w:pPr>
    </w:p>
    <w:tbl>
      <w:tblPr>
        <w:tblW w:w="0" w:type="auto"/>
        <w:jc w:val="left"/>
        <w:tblInd w:w="1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5"/>
        <w:gridCol w:w="1627"/>
      </w:tblGrid>
      <w:tr>
        <w:trPr>
          <w:trHeight w:val="317" w:hRule="atLeast"/>
        </w:trPr>
        <w:tc>
          <w:tcPr>
            <w:tcW w:w="3725" w:type="dxa"/>
            <w:tcBorders>
              <w:right w:val="single" w:sz="4" w:space="0" w:color="000000"/>
            </w:tcBorders>
          </w:tcPr>
          <w:p>
            <w:pPr>
              <w:pStyle w:val="TableParagraph"/>
              <w:spacing w:before="20"/>
              <w:ind w:left="50"/>
              <w:jc w:val="left"/>
              <w:rPr>
                <w:rFonts w:ascii="宋体" w:eastAsia="宋体" w:hint="eastAsia"/>
                <w:sz w:val="21"/>
              </w:rPr>
            </w:pPr>
            <w:r>
              <w:rPr>
                <w:rFonts w:ascii="宋体" w:eastAsia="宋体" w:hint="eastAsia"/>
                <w:sz w:val="21"/>
              </w:rPr>
              <w:t>中信证券股份有限公司</w:t>
            </w:r>
          </w:p>
        </w:tc>
        <w:tc>
          <w:tcPr>
            <w:tcW w:w="1627" w:type="dxa"/>
            <w:tcBorders>
              <w:left w:val="single" w:sz="4" w:space="0" w:color="000000"/>
            </w:tcBorders>
          </w:tcPr>
          <w:p>
            <w:pPr>
              <w:pStyle w:val="TableParagraph"/>
              <w:spacing w:before="32"/>
              <w:ind w:right="47"/>
              <w:rPr>
                <w:sz w:val="21"/>
              </w:rPr>
            </w:pPr>
            <w:r>
              <w:rPr>
                <w:sz w:val="21"/>
              </w:rPr>
              <w:t>62.2%</w:t>
            </w:r>
          </w:p>
        </w:tc>
      </w:tr>
      <w:tr>
        <w:trPr>
          <w:trHeight w:val="321" w:hRule="atLeast"/>
        </w:trPr>
        <w:tc>
          <w:tcPr>
            <w:tcW w:w="3725" w:type="dxa"/>
            <w:tcBorders>
              <w:right w:val="single" w:sz="4" w:space="0" w:color="000000"/>
            </w:tcBorders>
          </w:tcPr>
          <w:p>
            <w:pPr>
              <w:pStyle w:val="TableParagraph"/>
              <w:spacing w:before="36"/>
              <w:ind w:left="50"/>
              <w:jc w:val="left"/>
              <w:rPr>
                <w:sz w:val="21"/>
              </w:rPr>
            </w:pPr>
            <w:r>
              <w:rPr>
                <w:sz w:val="21"/>
              </w:rPr>
              <w:t>POWER CORPORATION OF CANADA</w:t>
            </w:r>
          </w:p>
        </w:tc>
        <w:tc>
          <w:tcPr>
            <w:tcW w:w="1627" w:type="dxa"/>
            <w:tcBorders>
              <w:left w:val="single" w:sz="4" w:space="0" w:color="000000"/>
            </w:tcBorders>
          </w:tcPr>
          <w:p>
            <w:pPr>
              <w:pStyle w:val="TableParagraph"/>
              <w:spacing w:before="36"/>
              <w:ind w:right="47"/>
              <w:rPr>
                <w:sz w:val="21"/>
              </w:rPr>
            </w:pPr>
            <w:r>
              <w:rPr>
                <w:sz w:val="21"/>
              </w:rPr>
              <w:t>13.9%</w:t>
            </w:r>
          </w:p>
        </w:tc>
      </w:tr>
      <w:tr>
        <w:trPr>
          <w:trHeight w:val="322" w:hRule="atLeast"/>
        </w:trPr>
        <w:tc>
          <w:tcPr>
            <w:tcW w:w="3725" w:type="dxa"/>
            <w:tcBorders>
              <w:right w:val="single" w:sz="4" w:space="0" w:color="000000"/>
            </w:tcBorders>
          </w:tcPr>
          <w:p>
            <w:pPr>
              <w:pStyle w:val="TableParagraph"/>
              <w:spacing w:before="52"/>
              <w:ind w:left="50"/>
              <w:jc w:val="left"/>
              <w:rPr>
                <w:sz w:val="18"/>
              </w:rPr>
            </w:pPr>
            <w:r>
              <w:rPr>
                <w:sz w:val="18"/>
              </w:rPr>
              <w:t>MACKENZIE FINANCIAL CORPORATION</w:t>
            </w:r>
          </w:p>
        </w:tc>
        <w:tc>
          <w:tcPr>
            <w:tcW w:w="1627" w:type="dxa"/>
            <w:tcBorders>
              <w:left w:val="single" w:sz="4" w:space="0" w:color="000000"/>
            </w:tcBorders>
          </w:tcPr>
          <w:p>
            <w:pPr>
              <w:pStyle w:val="TableParagraph"/>
              <w:spacing w:before="36"/>
              <w:ind w:right="47"/>
              <w:rPr>
                <w:sz w:val="21"/>
              </w:rPr>
            </w:pPr>
            <w:r>
              <w:rPr>
                <w:sz w:val="21"/>
              </w:rPr>
              <w:t>13.9%</w:t>
            </w:r>
          </w:p>
        </w:tc>
      </w:tr>
      <w:tr>
        <w:trPr>
          <w:trHeight w:val="288" w:hRule="atLeast"/>
        </w:trPr>
        <w:tc>
          <w:tcPr>
            <w:tcW w:w="3725" w:type="dxa"/>
            <w:tcBorders>
              <w:right w:val="single" w:sz="4" w:space="0" w:color="000000"/>
            </w:tcBorders>
          </w:tcPr>
          <w:p>
            <w:pPr>
              <w:pStyle w:val="TableParagraph"/>
              <w:spacing w:line="243" w:lineRule="exact" w:before="25"/>
              <w:ind w:left="50"/>
              <w:jc w:val="left"/>
              <w:rPr>
                <w:rFonts w:ascii="宋体" w:eastAsia="宋体" w:hint="eastAsia"/>
                <w:sz w:val="21"/>
              </w:rPr>
            </w:pPr>
            <w:r>
              <w:rPr>
                <w:rFonts w:ascii="宋体" w:eastAsia="宋体" w:hint="eastAsia"/>
                <w:sz w:val="21"/>
              </w:rPr>
              <w:t>天津海鹏科技咨询有限公司</w:t>
            </w:r>
          </w:p>
        </w:tc>
        <w:tc>
          <w:tcPr>
            <w:tcW w:w="1627" w:type="dxa"/>
            <w:tcBorders>
              <w:left w:val="single" w:sz="4" w:space="0" w:color="000000"/>
            </w:tcBorders>
          </w:tcPr>
          <w:p>
            <w:pPr>
              <w:pStyle w:val="TableParagraph"/>
              <w:spacing w:line="231" w:lineRule="exact" w:before="37"/>
              <w:ind w:right="126"/>
              <w:rPr>
                <w:sz w:val="21"/>
              </w:rPr>
            </w:pPr>
            <w:r>
              <w:rPr>
                <w:sz w:val="21"/>
              </w:rPr>
              <w:t>10%</w:t>
            </w:r>
          </w:p>
        </w:tc>
      </w:tr>
    </w:tbl>
    <w:p>
      <w:pPr>
        <w:pStyle w:val="BodyText"/>
        <w:rPr>
          <w:sz w:val="20"/>
        </w:rPr>
      </w:pPr>
    </w:p>
    <w:p>
      <w:pPr>
        <w:pStyle w:val="BodyText"/>
        <w:spacing w:before="10"/>
        <w:rPr>
          <w:sz w:val="23"/>
        </w:rPr>
      </w:pPr>
    </w:p>
    <w:p>
      <w:pPr>
        <w:pStyle w:val="BodyText"/>
        <w:spacing w:before="72"/>
        <w:ind w:left="640"/>
      </w:pPr>
      <w:r>
        <w:rPr/>
        <w:pict>
          <v:group style="position:absolute;margin-left:137.899994pt;margin-top:-59.009987pt;width:319.55pt;height:.5pt;mso-position-horizontal-relative:page;mso-position-vertical-relative:paragraph;z-index:-259849216" coordorigin="2758,-1180" coordsize="6391,10">
            <v:shape style="position:absolute;left:2758;top:-1181;width:3779;height:10" type="#_x0000_t75" stroked="false">
              <v:imagedata r:id="rId10" o:title=""/>
            </v:shape>
            <v:shape style="position:absolute;left:6536;top:-1181;width:2612;height:10" type="#_x0000_t75" stroked="false">
              <v:imagedata r:id="rId11" o:title=""/>
            </v:shape>
            <w10:wrap type="none"/>
          </v:group>
        </w:pict>
      </w:r>
      <w:r>
        <w:rPr/>
        <w:pict>
          <v:group style="position:absolute;margin-left:137.899994pt;margin-top:-42.930046pt;width:319.55pt;height:.5pt;mso-position-horizontal-relative:page;mso-position-vertical-relative:paragraph;z-index:-259848192" coordorigin="2758,-859" coordsize="6391,10">
            <v:shape style="position:absolute;left:2758;top:-859;width:3779;height:10" type="#_x0000_t75" stroked="false">
              <v:imagedata r:id="rId10" o:title=""/>
            </v:shape>
            <v:shape style="position:absolute;left:6536;top:-859;width:2612;height:10" type="#_x0000_t75" stroked="false">
              <v:imagedata r:id="rId12" o:title=""/>
            </v:shape>
            <w10:wrap type="none"/>
          </v:group>
        </w:pict>
      </w:r>
      <w:r>
        <w:rPr/>
        <w:pict>
          <v:group style="position:absolute;margin-left:137.179993pt;margin-top:-28.050007pt;width:320.25pt;height:26.7pt;mso-position-horizontal-relative:page;mso-position-vertical-relative:paragraph;z-index:251666432" coordorigin="2744,-561" coordsize="6405,534">
            <v:rect style="position:absolute;left:6536;top:-561;width:10;height:27" filled="true" fillcolor="#000000" stroked="false">
              <v:fill type="solid"/>
            </v:rect>
            <v:shape style="position:absolute;left:2758;top:-535;width:3779;height:10" type="#_x0000_t75" stroked="false">
              <v:imagedata r:id="rId10" o:title=""/>
            </v:shape>
            <v:rect style="position:absolute;left:6536;top:-535;width:10;height:10" filled="true" fillcolor="#000000" stroked="false">
              <v:fill type="solid"/>
            </v:rect>
            <v:shape style="position:absolute;left:6536;top:-535;width:2612;height:478" type="#_x0000_t75" stroked="false">
              <v:imagedata r:id="rId13" o:title=""/>
            </v:shape>
            <v:line style="position:absolute" from="2744,-42" to="6537,-42" stroked="true" strokeweight="1.464pt" strokecolor="#000000">
              <v:stroke dashstyle="solid"/>
            </v:line>
            <v:rect style="position:absolute;left:6536;top:-57;width:29;height:30" filled="true" fillcolor="#000000" stroked="false">
              <v:fill type="solid"/>
            </v:rect>
            <v:line style="position:absolute" from="6565,-42" to="9148,-42" stroked="true" strokeweight="1.464pt" strokecolor="#000000">
              <v:stroke dashstyle="solid"/>
            </v:line>
            <v:shape style="position:absolute;left:4438;top:-397;width:443;height:212" type="#_x0000_t202" filled="false" stroked="false">
              <v:textbox inset="0,0,0,0">
                <w:txbxContent>
                  <w:p>
                    <w:pPr>
                      <w:spacing w:line="211" w:lineRule="exact" w:before="0"/>
                      <w:ind w:left="0" w:right="0" w:firstLine="0"/>
                      <w:jc w:val="left"/>
                      <w:rPr>
                        <w:b/>
                        <w:sz w:val="21"/>
                      </w:rPr>
                    </w:pPr>
                    <w:r>
                      <w:rPr>
                        <w:b/>
                        <w:sz w:val="21"/>
                      </w:rPr>
                      <w:t>合计</w:t>
                    </w:r>
                  </w:p>
                </w:txbxContent>
              </v:textbox>
              <w10:wrap type="none"/>
            </v:shape>
            <v:shape style="position:absolute;left:7580;top:-402;width:548;height:234" type="#_x0000_t202" filled="false" stroked="false">
              <v:textbox inset="0,0,0,0">
                <w:txbxContent>
                  <w:p>
                    <w:pPr>
                      <w:spacing w:line="234" w:lineRule="exact" w:before="0"/>
                      <w:ind w:left="0" w:right="0" w:firstLine="0"/>
                      <w:jc w:val="left"/>
                      <w:rPr>
                        <w:rFonts w:ascii="Times New Roman"/>
                        <w:b/>
                        <w:sz w:val="21"/>
                      </w:rPr>
                    </w:pPr>
                    <w:r>
                      <w:rPr>
                        <w:rFonts w:ascii="Times New Roman"/>
                        <w:b/>
                        <w:sz w:val="21"/>
                      </w:rPr>
                      <w:t>100%</w:t>
                    </w:r>
                  </w:p>
                </w:txbxContent>
              </v:textbox>
              <w10:wrap type="none"/>
            </v:shape>
            <w10:wrap type="none"/>
          </v:group>
        </w:pict>
      </w:r>
      <w:r>
        <w:rPr/>
        <w:t>（二）主要人员情况</w:t>
      </w:r>
    </w:p>
    <w:p>
      <w:pPr>
        <w:pStyle w:val="BodyText"/>
        <w:spacing w:before="6"/>
        <w:rPr>
          <w:sz w:val="15"/>
        </w:rPr>
      </w:pPr>
    </w:p>
    <w:p>
      <w:pPr>
        <w:pStyle w:val="BodyText"/>
        <w:spacing w:before="1"/>
        <w:ind w:left="640"/>
      </w:pPr>
      <w:r>
        <w:rPr>
          <w:rFonts w:ascii="Times New Roman" w:eastAsia="Times New Roman"/>
        </w:rPr>
        <w:t>1</w:t>
      </w:r>
      <w:r>
        <w:rPr/>
        <w:t>、基金管理人董事、监事、经理及其他高级管理人员基本情况</w:t>
      </w:r>
    </w:p>
    <w:p>
      <w:pPr>
        <w:pStyle w:val="BodyText"/>
        <w:spacing w:before="6"/>
        <w:rPr>
          <w:sz w:val="15"/>
        </w:rPr>
      </w:pPr>
    </w:p>
    <w:p>
      <w:pPr>
        <w:pStyle w:val="BodyText"/>
        <w:spacing w:line="417" w:lineRule="auto"/>
        <w:ind w:left="220" w:right="59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220" w:right="595" w:firstLine="419"/>
        <w:jc w:val="both"/>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spacing w:after="0" w:line="417" w:lineRule="auto"/>
        <w:jc w:val="both"/>
        <w:sectPr>
          <w:pgSz w:w="11910" w:h="16840"/>
          <w:pgMar w:header="877" w:footer="995" w:top="1420" w:bottom="1180" w:left="1580" w:right="1200"/>
        </w:sectPr>
      </w:pPr>
    </w:p>
    <w:p>
      <w:pPr>
        <w:pStyle w:val="BodyText"/>
        <w:spacing w:line="417" w:lineRule="auto" w:before="110"/>
        <w:ind w:left="220" w:right="59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220" w:right="59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220" w:right="48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220" w:right="59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220" w:right="59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220" w:right="59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220" w:right="48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9" w:lineRule="exact"/>
        <w:ind w:left="640"/>
      </w:pPr>
      <w:r>
        <w:rPr/>
        <w:t>杨一夫先生：监事长，硕士。现任鲍尔太平有限公司总裁，负责总部加拿大鲍尔公司</w:t>
      </w:r>
    </w:p>
    <w:p>
      <w:pPr>
        <w:spacing w:after="0" w:line="269" w:lineRule="exact"/>
        <w:sectPr>
          <w:pgSz w:w="11910" w:h="16840"/>
          <w:pgMar w:header="877" w:footer="995" w:top="1420" w:bottom="1180" w:left="1580" w:right="1200"/>
        </w:sectPr>
      </w:pPr>
    </w:p>
    <w:p>
      <w:pPr>
        <w:pStyle w:val="BodyText"/>
        <w:spacing w:line="417" w:lineRule="auto" w:before="110"/>
        <w:ind w:left="220" w:right="59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ind w:left="220" w:right="591" w:firstLine="419"/>
      </w:pPr>
      <w:r>
        <w:rPr>
          <w:spacing w:val="-12"/>
        </w:rPr>
        <w:t>杨维华先生：监事，硕士。现任中信证券股份有限公司风险管理部行政负责人、公司副</w:t>
      </w:r>
      <w:r>
        <w:rPr>
          <w:spacing w:val="-6"/>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line="417" w:lineRule="auto"/>
        <w:ind w:left="220" w:right="59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17" w:lineRule="auto"/>
        <w:ind w:left="220" w:right="59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220" w:right="48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220" w:right="591" w:firstLine="419"/>
      </w:pPr>
      <w:r>
        <w:rPr>
          <w:spacing w:val="-12"/>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17" w:lineRule="auto"/>
        <w:ind w:left="220" w:right="59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220" w:right="48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220" w:right="48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220" w:right="48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ind w:left="640"/>
      </w:pPr>
      <w:r>
        <w:rPr>
          <w:rFonts w:ascii="Times New Roman" w:eastAsia="Times New Roman"/>
        </w:rPr>
        <w:t>2</w:t>
      </w:r>
      <w:r>
        <w:rPr/>
        <w:t>、本基金基金经理</w:t>
      </w:r>
    </w:p>
    <w:p>
      <w:pPr>
        <w:pStyle w:val="BodyText"/>
        <w:spacing w:before="196"/>
        <w:ind w:left="640"/>
      </w:pPr>
      <w:r>
        <w:rPr/>
        <w:t>张帆先生，北京大学理学硕士。曾任华创证券研究部</w:t>
      </w:r>
      <w:r>
        <w:rPr>
          <w:rFonts w:ascii="Times New Roman" w:eastAsia="Times New Roman"/>
        </w:rPr>
        <w:t>TMT</w:t>
      </w:r>
      <w:r>
        <w:rPr/>
        <w:t>行业分析师，中信证券研究</w:t>
      </w:r>
    </w:p>
    <w:p>
      <w:pPr>
        <w:spacing w:after="0"/>
        <w:sectPr>
          <w:pgSz w:w="11910" w:h="16840"/>
          <w:pgMar w:header="877" w:footer="995" w:top="1420" w:bottom="1180" w:left="1580" w:right="1200"/>
        </w:sectPr>
      </w:pPr>
    </w:p>
    <w:p>
      <w:pPr>
        <w:pStyle w:val="BodyText"/>
        <w:spacing w:line="417" w:lineRule="auto" w:before="110"/>
        <w:ind w:left="220" w:right="591"/>
      </w:pPr>
      <w:r>
        <w:rPr>
          <w:spacing w:val="-9"/>
        </w:rPr>
        <w:t>部高级副总裁、电子行业首席分析师等。</w:t>
      </w:r>
      <w:r>
        <w:rPr>
          <w:rFonts w:ascii="Times New Roman" w:eastAsia="Times New Roman"/>
        </w:rPr>
        <w:t>2015</w:t>
      </w:r>
      <w:r>
        <w:rPr/>
        <w:t>年</w:t>
      </w:r>
      <w:r>
        <w:rPr>
          <w:rFonts w:ascii="Times New Roman" w:eastAsia="Times New Roman"/>
          <w:spacing w:val="-6"/>
        </w:rPr>
        <w:t>11</w:t>
      </w:r>
      <w:r>
        <w:rPr>
          <w:spacing w:val="-6"/>
        </w:rPr>
        <w:t>月加入华夏基金管理有限公司，曾任股票</w:t>
      </w:r>
      <w:r>
        <w:rPr>
          <w:spacing w:val="-11"/>
        </w:rPr>
        <w:t>投资部基金经理助理等，现任股票投资部总监，华夏经济转型股票型证券投资基金基金经理</w:t>
      </w:r>
    </w:p>
    <w:p>
      <w:pPr>
        <w:pStyle w:val="BodyText"/>
        <w:spacing w:line="417" w:lineRule="auto"/>
        <w:ind w:left="220" w:right="591"/>
      </w:pPr>
      <w:r>
        <w:rPr/>
        <w:t>（</w:t>
      </w:r>
      <w:r>
        <w:rPr>
          <w:rFonts w:ascii="Times New Roman" w:eastAsia="Times New Roman"/>
        </w:rPr>
        <w:t>2017</w:t>
      </w:r>
      <w:r>
        <w:rPr/>
        <w:t>年</w:t>
      </w:r>
      <w:r>
        <w:rPr>
          <w:rFonts w:ascii="Times New Roman" w:eastAsia="Times New Roman"/>
        </w:rPr>
        <w:t>1</w:t>
      </w:r>
      <w:r>
        <w:rPr/>
        <w:t>月</w:t>
      </w:r>
      <w:r>
        <w:rPr>
          <w:rFonts w:ascii="Times New Roman" w:eastAsia="Times New Roman"/>
          <w:spacing w:val="-3"/>
        </w:rPr>
        <w:t>6</w:t>
      </w:r>
      <w:r>
        <w:rPr>
          <w:spacing w:val="-1"/>
        </w:rPr>
        <w:t>日起任职</w:t>
      </w:r>
      <w:r>
        <w:rPr>
          <w:spacing w:val="-106"/>
        </w:rPr>
        <w:t>）</w:t>
      </w:r>
      <w:r>
        <w:rPr>
          <w:spacing w:val="-3"/>
        </w:rPr>
        <w:t>、华夏科技成长股票型证券投资基金基金经理</w:t>
      </w:r>
      <w:r>
        <w:rPr/>
        <w:t>（</w:t>
      </w:r>
      <w:r>
        <w:rPr>
          <w:rFonts w:ascii="Times New Roman" w:eastAsia="Times New Roman"/>
        </w:rPr>
        <w:t>2019</w:t>
      </w:r>
      <w:r>
        <w:rPr/>
        <w:t>年</w:t>
      </w:r>
      <w:r>
        <w:rPr>
          <w:rFonts w:ascii="Times New Roman" w:eastAsia="Times New Roman"/>
        </w:rPr>
        <w:t>3</w:t>
      </w:r>
      <w:r>
        <w:rPr/>
        <w:t>月</w:t>
      </w:r>
      <w:r>
        <w:rPr>
          <w:rFonts w:ascii="Times New Roman" w:eastAsia="Times New Roman"/>
        </w:rPr>
        <w:t>5</w:t>
      </w:r>
      <w:r>
        <w:rPr>
          <w:spacing w:val="-2"/>
        </w:rPr>
        <w:t>日起任职</w:t>
      </w:r>
      <w:r>
        <w:rPr>
          <w:spacing w:val="-106"/>
        </w:rPr>
        <w:t>）</w:t>
      </w:r>
      <w:r>
        <w:rPr>
          <w:spacing w:val="-3"/>
        </w:rPr>
        <w:t>、华夏科技创新混合型证券投资基金基金经理</w:t>
      </w:r>
      <w:r>
        <w:rPr/>
        <w:t>（</w:t>
      </w:r>
      <w:r>
        <w:rPr>
          <w:rFonts w:ascii="Times New Roman" w:eastAsia="Times New Roman"/>
        </w:rPr>
        <w:t>2019</w:t>
      </w:r>
      <w:r>
        <w:rPr/>
        <w:t>年</w:t>
      </w:r>
      <w:r>
        <w:rPr>
          <w:rFonts w:ascii="Times New Roman" w:eastAsia="Times New Roman"/>
          <w:spacing w:val="-3"/>
        </w:rPr>
        <w:t>5</w:t>
      </w:r>
      <w:r>
        <w:rPr/>
        <w:t>月</w:t>
      </w:r>
      <w:r>
        <w:rPr>
          <w:rFonts w:ascii="Times New Roman" w:eastAsia="Times New Roman"/>
          <w:spacing w:val="-3"/>
        </w:rPr>
        <w:t>6</w:t>
      </w:r>
      <w:r>
        <w:rPr>
          <w:spacing w:val="-2"/>
        </w:rPr>
        <w:t>日起任职</w:t>
      </w:r>
      <w:r>
        <w:rPr>
          <w:spacing w:val="-108"/>
        </w:rPr>
        <w:t>）</w:t>
      </w:r>
      <w:r>
        <w:rPr/>
        <w:t>。</w:t>
      </w:r>
    </w:p>
    <w:p>
      <w:pPr>
        <w:pStyle w:val="BodyText"/>
        <w:spacing w:line="269" w:lineRule="exact"/>
        <w:ind w:left="640"/>
      </w:pPr>
      <w:r>
        <w:rPr>
          <w:rFonts w:ascii="Times New Roman" w:eastAsia="Times New Roman"/>
        </w:rPr>
        <w:t>3</w:t>
      </w:r>
      <w:r>
        <w:rPr/>
        <w:t>、本公司股票投资决策委员会</w:t>
      </w:r>
    </w:p>
    <w:p>
      <w:pPr>
        <w:pStyle w:val="BodyText"/>
        <w:spacing w:before="6"/>
        <w:rPr>
          <w:sz w:val="15"/>
        </w:rPr>
      </w:pPr>
    </w:p>
    <w:p>
      <w:pPr>
        <w:pStyle w:val="BodyText"/>
        <w:spacing w:line="417" w:lineRule="auto"/>
        <w:ind w:left="640" w:right="1546"/>
      </w:pPr>
      <w:r>
        <w:rPr>
          <w:spacing w:val="-3"/>
        </w:rPr>
        <w:t>主任：阳琨先生，华夏基金管理有限公司副总经理、投资总监，基金经理。成员：李一梅女士，华夏基金管理有限公司董事、总经理。</w:t>
      </w:r>
    </w:p>
    <w:p>
      <w:pPr>
        <w:pStyle w:val="BodyText"/>
        <w:spacing w:line="417" w:lineRule="auto"/>
        <w:ind w:left="640" w:right="1758"/>
      </w:pPr>
      <w:r>
        <w:rPr>
          <w:spacing w:val="-3"/>
        </w:rPr>
        <w:t>孙彬先生，华夏基金管理有限公司总经理助理，董事总经理，投资经理。郑煜女士，华夏基金管理有限公司董事总经理，基金经理。</w:t>
      </w:r>
    </w:p>
    <w:p>
      <w:pPr>
        <w:pStyle w:val="BodyText"/>
        <w:spacing w:line="269" w:lineRule="exact"/>
        <w:ind w:left="640"/>
      </w:pPr>
      <w:r>
        <w:rPr/>
        <w:t>蔡向阳先生，华夏基金管理有限公司董事总经理，基金经理。</w:t>
      </w:r>
    </w:p>
    <w:p>
      <w:pPr>
        <w:pStyle w:val="BodyText"/>
        <w:spacing w:before="7"/>
        <w:rPr>
          <w:sz w:val="15"/>
        </w:rPr>
      </w:pPr>
    </w:p>
    <w:p>
      <w:pPr>
        <w:pStyle w:val="BodyText"/>
        <w:spacing w:line="417" w:lineRule="auto"/>
        <w:ind w:left="640" w:right="1546"/>
      </w:pPr>
      <w:r>
        <w:rPr>
          <w:spacing w:val="-3"/>
        </w:rPr>
        <w:t>郑晓辉先生，华夏基金管理有限公司股票投资部执行总经理，基金经理。 王怡欢女士，华夏基金管理有限公司股票投资部执行总经理，基金经理。 董阳阳先生，华夏基金管理有限公司股票投资部执行总经理，基金经理。 朱熠先生，华夏基金管理有限公司机构权益投资部执行总经理，投资经理。</w:t>
      </w:r>
      <w:r>
        <w:rPr>
          <w:rFonts w:ascii="Times New Roman" w:eastAsia="Times New Roman"/>
          <w:spacing w:val="-3"/>
        </w:rPr>
        <w:t>4</w:t>
      </w:r>
      <w:r>
        <w:rPr>
          <w:spacing w:val="-3"/>
        </w:rPr>
        <w:t>、上述人员之间不存在近亲属关系。</w:t>
      </w:r>
    </w:p>
    <w:p>
      <w:pPr>
        <w:pStyle w:val="BodyText"/>
        <w:spacing w:line="269" w:lineRule="exact"/>
        <w:ind w:left="640"/>
      </w:pPr>
      <w:r>
        <w:rPr/>
        <w:t>（三）基金管理人的职责</w:t>
      </w:r>
    </w:p>
    <w:p>
      <w:pPr>
        <w:pStyle w:val="BodyText"/>
        <w:spacing w:before="7"/>
        <w:rPr>
          <w:sz w:val="15"/>
        </w:rPr>
      </w:pPr>
    </w:p>
    <w:p>
      <w:pPr>
        <w:pStyle w:val="BodyText"/>
        <w:spacing w:line="417" w:lineRule="auto"/>
        <w:ind w:left="220" w:right="594" w:firstLine="419"/>
      </w:pPr>
      <w:r>
        <w:rPr>
          <w:rFonts w:ascii="Times New Roman" w:eastAsia="Times New Roman"/>
        </w:rPr>
        <w:t>1</w:t>
      </w:r>
      <w:r>
        <w:rPr/>
        <w:t>、依法募集资金，办理或者委托经国务院证券监督管理机构认定的其他机构代为办理基金份额的发售、申购、赎回和登记事宜。</w:t>
      </w:r>
    </w:p>
    <w:p>
      <w:pPr>
        <w:pStyle w:val="BodyText"/>
        <w:spacing w:line="269" w:lineRule="exact"/>
        <w:ind w:left="640"/>
      </w:pPr>
      <w:r>
        <w:rPr>
          <w:rFonts w:ascii="Times New Roman" w:eastAsia="Times New Roman"/>
        </w:rPr>
        <w:t>2</w:t>
      </w:r>
      <w:r>
        <w:rPr/>
        <w:t>、办理基金备案手续。</w:t>
      </w:r>
    </w:p>
    <w:p>
      <w:pPr>
        <w:pStyle w:val="BodyText"/>
        <w:spacing w:before="6"/>
        <w:rPr>
          <w:sz w:val="15"/>
        </w:rPr>
      </w:pPr>
    </w:p>
    <w:p>
      <w:pPr>
        <w:pStyle w:val="BodyText"/>
        <w:spacing w:before="1"/>
        <w:ind w:left="640"/>
      </w:pPr>
      <w:r>
        <w:rPr>
          <w:rFonts w:ascii="Times New Roman" w:eastAsia="Times New Roman"/>
        </w:rPr>
        <w:t>3</w:t>
      </w:r>
      <w:r>
        <w:rPr/>
        <w:t>、对所管理的不同基金财产分别管理、分别记账，进行证券投资。</w:t>
      </w:r>
    </w:p>
    <w:p>
      <w:pPr>
        <w:pStyle w:val="BodyText"/>
        <w:spacing w:before="6"/>
        <w:rPr>
          <w:sz w:val="15"/>
        </w:rPr>
      </w:pPr>
    </w:p>
    <w:p>
      <w:pPr>
        <w:pStyle w:val="BodyText"/>
        <w:ind w:left="640"/>
      </w:pPr>
      <w:r>
        <w:rPr>
          <w:rFonts w:ascii="Times New Roman" w:eastAsia="Times New Roman"/>
        </w:rPr>
        <w:t>4</w:t>
      </w:r>
      <w:r>
        <w:rPr/>
        <w:t>、按照基金合同的约定确定基金收益分配方案，及时向基金份额持有人分配收益。</w:t>
      </w:r>
    </w:p>
    <w:p>
      <w:pPr>
        <w:pStyle w:val="BodyText"/>
        <w:spacing w:before="8"/>
        <w:rPr>
          <w:sz w:val="15"/>
        </w:rPr>
      </w:pPr>
    </w:p>
    <w:p>
      <w:pPr>
        <w:pStyle w:val="BodyText"/>
        <w:ind w:left="640"/>
      </w:pPr>
      <w:r>
        <w:rPr>
          <w:rFonts w:ascii="Times New Roman" w:eastAsia="Times New Roman"/>
        </w:rPr>
        <w:t>5</w:t>
      </w:r>
      <w:r>
        <w:rPr/>
        <w:t>、进行基金会计核算并编制基金财务会计报告。</w:t>
      </w:r>
    </w:p>
    <w:p>
      <w:pPr>
        <w:pStyle w:val="BodyText"/>
        <w:spacing w:before="6"/>
        <w:rPr>
          <w:sz w:val="15"/>
        </w:rPr>
      </w:pPr>
    </w:p>
    <w:p>
      <w:pPr>
        <w:pStyle w:val="BodyText"/>
        <w:ind w:left="640"/>
      </w:pPr>
      <w:r>
        <w:rPr>
          <w:rFonts w:ascii="Times New Roman" w:eastAsia="Times New Roman"/>
        </w:rPr>
        <w:t>6</w:t>
      </w:r>
      <w:r>
        <w:rPr/>
        <w:t>、编制中期和年度基金报告。</w:t>
      </w:r>
    </w:p>
    <w:p>
      <w:pPr>
        <w:pStyle w:val="BodyText"/>
        <w:spacing w:before="7"/>
        <w:rPr>
          <w:sz w:val="15"/>
        </w:rPr>
      </w:pPr>
    </w:p>
    <w:p>
      <w:pPr>
        <w:pStyle w:val="BodyText"/>
        <w:ind w:left="640"/>
      </w:pPr>
      <w:r>
        <w:rPr>
          <w:rFonts w:ascii="Times New Roman" w:eastAsia="Times New Roman"/>
        </w:rPr>
        <w:t>7</w:t>
      </w:r>
      <w:r>
        <w:rPr/>
        <w:t>、计算并公告基金净值信息，确定基金份额申购、赎回价格。</w:t>
      </w:r>
    </w:p>
    <w:p>
      <w:pPr>
        <w:pStyle w:val="BodyText"/>
        <w:spacing w:before="7"/>
        <w:rPr>
          <w:sz w:val="15"/>
        </w:rPr>
      </w:pPr>
    </w:p>
    <w:p>
      <w:pPr>
        <w:pStyle w:val="BodyText"/>
        <w:ind w:left="640"/>
      </w:pPr>
      <w:r>
        <w:rPr>
          <w:rFonts w:ascii="Times New Roman" w:eastAsia="Times New Roman"/>
        </w:rPr>
        <w:t>8</w:t>
      </w:r>
      <w:r>
        <w:rPr/>
        <w:t>、办理与基金财产管理业务活动有关的信息披露事项。</w:t>
      </w:r>
    </w:p>
    <w:p>
      <w:pPr>
        <w:pStyle w:val="BodyText"/>
        <w:spacing w:before="7"/>
        <w:rPr>
          <w:sz w:val="15"/>
        </w:rPr>
      </w:pPr>
    </w:p>
    <w:p>
      <w:pPr>
        <w:pStyle w:val="BodyText"/>
        <w:ind w:left="640"/>
      </w:pPr>
      <w:r>
        <w:rPr>
          <w:rFonts w:ascii="Times New Roman" w:eastAsia="Times New Roman"/>
        </w:rPr>
        <w:t>9</w:t>
      </w:r>
      <w:r>
        <w:rPr/>
        <w:t>、召集基金份额持有人大会。</w:t>
      </w:r>
    </w:p>
    <w:p>
      <w:pPr>
        <w:pStyle w:val="BodyText"/>
        <w:spacing w:before="6"/>
        <w:rPr>
          <w:sz w:val="15"/>
        </w:rPr>
      </w:pPr>
    </w:p>
    <w:p>
      <w:pPr>
        <w:pStyle w:val="BodyText"/>
        <w:ind w:left="640"/>
      </w:pPr>
      <w:r>
        <w:rPr>
          <w:rFonts w:ascii="Times New Roman" w:eastAsia="Times New Roman"/>
        </w:rPr>
        <w:t>10</w:t>
      </w:r>
      <w:r>
        <w:rPr/>
        <w:t>、保存基金财产管理业务活动的记录、账册、报表和其他相关资料。</w:t>
      </w:r>
    </w:p>
    <w:p>
      <w:pPr>
        <w:pStyle w:val="BodyText"/>
        <w:spacing w:before="7"/>
        <w:rPr>
          <w:sz w:val="15"/>
        </w:rPr>
      </w:pPr>
    </w:p>
    <w:p>
      <w:pPr>
        <w:pStyle w:val="BodyText"/>
        <w:ind w:left="640"/>
      </w:pPr>
      <w:r>
        <w:rPr>
          <w:rFonts w:ascii="Times New Roman" w:eastAsia="Times New Roman"/>
        </w:rPr>
        <w:t>11</w:t>
      </w:r>
      <w:r>
        <w:rPr/>
        <w:t>、以基金管理人名义，代表基金份额持有人利益行使诉讼权利或者实施其他法律行为。</w:t>
      </w:r>
    </w:p>
    <w:p>
      <w:pPr>
        <w:pStyle w:val="BodyText"/>
        <w:spacing w:before="7"/>
        <w:rPr>
          <w:sz w:val="15"/>
        </w:rPr>
      </w:pPr>
    </w:p>
    <w:p>
      <w:pPr>
        <w:pStyle w:val="BodyText"/>
        <w:ind w:left="640"/>
      </w:pPr>
      <w:r>
        <w:rPr>
          <w:rFonts w:ascii="Times New Roman" w:eastAsia="Times New Roman"/>
        </w:rPr>
        <w:t>12</w:t>
      </w:r>
      <w:r>
        <w:rPr/>
        <w:t>、国务院证券监督管理机构规定的其他职责。</w:t>
      </w:r>
    </w:p>
    <w:p>
      <w:pPr>
        <w:pStyle w:val="BodyText"/>
        <w:spacing w:before="7"/>
        <w:rPr>
          <w:sz w:val="15"/>
        </w:rPr>
      </w:pPr>
    </w:p>
    <w:p>
      <w:pPr>
        <w:pStyle w:val="BodyText"/>
        <w:ind w:left="640"/>
      </w:pPr>
      <w:r>
        <w:rPr/>
        <w:t>（四）基金管理人承诺</w:t>
      </w:r>
    </w:p>
    <w:p>
      <w:pPr>
        <w:spacing w:after="0"/>
        <w:sectPr>
          <w:pgSz w:w="11910" w:h="16840"/>
          <w:pgMar w:header="877" w:footer="995" w:top="1420" w:bottom="1180" w:left="1580" w:right="1200"/>
        </w:sectPr>
      </w:pPr>
    </w:p>
    <w:p>
      <w:pPr>
        <w:pStyle w:val="BodyText"/>
        <w:spacing w:line="417" w:lineRule="auto" w:before="110"/>
        <w:ind w:left="220" w:right="594"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417" w:lineRule="auto"/>
        <w:ind w:left="220" w:right="594"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pStyle w:val="BodyText"/>
        <w:spacing w:line="417" w:lineRule="auto"/>
        <w:ind w:left="220" w:right="594"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1"/>
          <w:numId w:val="1"/>
        </w:numPr>
        <w:tabs>
          <w:tab w:pos="1170" w:val="left" w:leader="none"/>
        </w:tabs>
        <w:spacing w:line="269" w:lineRule="exact" w:before="0" w:after="0"/>
        <w:ind w:left="1169" w:right="0" w:hanging="530"/>
        <w:jc w:val="left"/>
        <w:rPr>
          <w:sz w:val="21"/>
        </w:rPr>
      </w:pPr>
      <w:r>
        <w:rPr>
          <w:spacing w:val="-3"/>
          <w:sz w:val="21"/>
        </w:rPr>
        <w:t>承销证券。</w:t>
      </w:r>
    </w:p>
    <w:p>
      <w:pPr>
        <w:pStyle w:val="BodyText"/>
        <w:spacing w:before="6"/>
        <w:rPr>
          <w:sz w:val="15"/>
        </w:rPr>
      </w:pPr>
    </w:p>
    <w:p>
      <w:pPr>
        <w:pStyle w:val="ListParagraph"/>
        <w:numPr>
          <w:ilvl w:val="1"/>
          <w:numId w:val="1"/>
        </w:numPr>
        <w:tabs>
          <w:tab w:pos="1170" w:val="left" w:leader="none"/>
        </w:tabs>
        <w:spacing w:line="240" w:lineRule="auto" w:before="0" w:after="0"/>
        <w:ind w:left="116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1"/>
          <w:numId w:val="1"/>
        </w:numPr>
        <w:tabs>
          <w:tab w:pos="1170" w:val="left" w:leader="none"/>
        </w:tabs>
        <w:spacing w:line="240" w:lineRule="auto" w:before="0" w:after="0"/>
        <w:ind w:left="1169" w:right="0" w:hanging="530"/>
        <w:jc w:val="left"/>
        <w:rPr>
          <w:sz w:val="21"/>
        </w:rPr>
      </w:pPr>
      <w:r>
        <w:rPr>
          <w:spacing w:val="-3"/>
          <w:sz w:val="21"/>
        </w:rPr>
        <w:t>从事承担无限责任的投资。</w:t>
      </w:r>
    </w:p>
    <w:p>
      <w:pPr>
        <w:pStyle w:val="BodyText"/>
        <w:spacing w:before="7"/>
        <w:rPr>
          <w:sz w:val="15"/>
        </w:rPr>
      </w:pPr>
    </w:p>
    <w:p>
      <w:pPr>
        <w:pStyle w:val="ListParagraph"/>
        <w:numPr>
          <w:ilvl w:val="1"/>
          <w:numId w:val="1"/>
        </w:numPr>
        <w:tabs>
          <w:tab w:pos="1170" w:val="left" w:leader="none"/>
        </w:tabs>
        <w:spacing w:line="240" w:lineRule="auto" w:before="0" w:after="0"/>
        <w:ind w:left="1169" w:right="0" w:hanging="530"/>
        <w:jc w:val="left"/>
        <w:rPr>
          <w:sz w:val="21"/>
        </w:rPr>
      </w:pPr>
      <w:r>
        <w:rPr>
          <w:spacing w:val="-3"/>
          <w:sz w:val="21"/>
        </w:rPr>
        <w:t>向其基金管理人、基金托管人出资。</w:t>
      </w:r>
    </w:p>
    <w:p>
      <w:pPr>
        <w:pStyle w:val="BodyText"/>
        <w:spacing w:before="6"/>
        <w:rPr>
          <w:sz w:val="15"/>
        </w:rPr>
      </w:pPr>
    </w:p>
    <w:p>
      <w:pPr>
        <w:pStyle w:val="ListParagraph"/>
        <w:numPr>
          <w:ilvl w:val="1"/>
          <w:numId w:val="1"/>
        </w:numPr>
        <w:tabs>
          <w:tab w:pos="1170" w:val="left" w:leader="none"/>
        </w:tabs>
        <w:spacing w:line="240" w:lineRule="auto" w:before="1" w:after="0"/>
        <w:ind w:left="116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1"/>
          <w:numId w:val="1"/>
        </w:numPr>
        <w:tabs>
          <w:tab w:pos="1170" w:val="left" w:leader="none"/>
        </w:tabs>
        <w:spacing w:line="240" w:lineRule="auto" w:before="0" w:after="0"/>
        <w:ind w:left="1169" w:right="0" w:hanging="530"/>
        <w:jc w:val="left"/>
        <w:rPr>
          <w:sz w:val="21"/>
        </w:rPr>
      </w:pPr>
      <w:r>
        <w:rPr>
          <w:spacing w:val="-3"/>
          <w:sz w:val="21"/>
        </w:rPr>
        <w:t>法律、行政法规和国务院证券监督管理机构规定禁止的其他活动。</w:t>
      </w:r>
    </w:p>
    <w:p>
      <w:pPr>
        <w:pStyle w:val="BodyText"/>
        <w:spacing w:before="7"/>
        <w:rPr>
          <w:sz w:val="15"/>
        </w:rPr>
      </w:pPr>
    </w:p>
    <w:p>
      <w:pPr>
        <w:pStyle w:val="BodyText"/>
        <w:spacing w:line="417" w:lineRule="auto"/>
        <w:ind w:left="220" w:right="591" w:firstLine="419"/>
        <w:jc w:val="both"/>
      </w:pPr>
      <w:r>
        <w:rPr>
          <w:spacing w:val="-8"/>
        </w:rPr>
        <w:t>法律法规或监管部门修改或取消上述禁止行为，如适用于本基金，则本基金投资不再受</w:t>
      </w:r>
      <w:r>
        <w:rPr>
          <w:spacing w:val="-12"/>
        </w:rPr>
        <w:t>相关禁止行为限制。基金管理人经与基金托管人协商一致后，本基金投资按照新颁布的法律</w:t>
      </w:r>
      <w:r>
        <w:rPr>
          <w:spacing w:val="-6"/>
        </w:rPr>
        <w:t>法规或监管规定执行，无须另行召开基金份额持有人大会。</w:t>
      </w:r>
    </w:p>
    <w:p>
      <w:pPr>
        <w:pStyle w:val="BodyText"/>
        <w:spacing w:line="417" w:lineRule="auto"/>
        <w:ind w:left="220" w:right="59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170" w:val="left" w:leader="none"/>
        </w:tabs>
        <w:spacing w:line="269" w:lineRule="exact" w:before="0" w:after="0"/>
        <w:ind w:left="1169" w:right="0" w:hanging="530"/>
        <w:jc w:val="left"/>
        <w:rPr>
          <w:sz w:val="21"/>
        </w:rPr>
      </w:pPr>
      <w:r>
        <w:rPr>
          <w:spacing w:val="-3"/>
          <w:sz w:val="21"/>
        </w:rPr>
        <w:t>将其固有财产或者他人财产混同于基金财产从事证券投资。</w:t>
      </w:r>
    </w:p>
    <w:p>
      <w:pPr>
        <w:pStyle w:val="BodyText"/>
        <w:spacing w:before="7"/>
        <w:rPr>
          <w:sz w:val="15"/>
        </w:rPr>
      </w:pPr>
    </w:p>
    <w:p>
      <w:pPr>
        <w:pStyle w:val="ListParagraph"/>
        <w:numPr>
          <w:ilvl w:val="0"/>
          <w:numId w:val="2"/>
        </w:numPr>
        <w:tabs>
          <w:tab w:pos="1170" w:val="left" w:leader="none"/>
        </w:tabs>
        <w:spacing w:line="240" w:lineRule="auto" w:before="0" w:after="0"/>
        <w:ind w:left="1169" w:right="0" w:hanging="530"/>
        <w:jc w:val="left"/>
        <w:rPr>
          <w:sz w:val="21"/>
        </w:rPr>
      </w:pPr>
      <w:r>
        <w:rPr>
          <w:spacing w:val="-3"/>
          <w:sz w:val="21"/>
        </w:rPr>
        <w:t>不公平地对待其管理的不同基金财产。</w:t>
      </w:r>
    </w:p>
    <w:p>
      <w:pPr>
        <w:pStyle w:val="BodyText"/>
        <w:spacing w:before="6"/>
        <w:rPr>
          <w:sz w:val="15"/>
        </w:rPr>
      </w:pPr>
    </w:p>
    <w:p>
      <w:pPr>
        <w:pStyle w:val="ListParagraph"/>
        <w:numPr>
          <w:ilvl w:val="0"/>
          <w:numId w:val="2"/>
        </w:numPr>
        <w:tabs>
          <w:tab w:pos="1170" w:val="left" w:leader="none"/>
        </w:tabs>
        <w:spacing w:line="240" w:lineRule="auto" w:before="1" w:after="0"/>
        <w:ind w:left="1169" w:right="0" w:hanging="530"/>
        <w:jc w:val="left"/>
        <w:rPr>
          <w:sz w:val="21"/>
        </w:rPr>
      </w:pPr>
      <w:r>
        <w:rPr>
          <w:spacing w:val="-3"/>
          <w:sz w:val="21"/>
        </w:rPr>
        <w:t>利用基金财产为基金份额持有人以外的第三人牟取利益。</w:t>
      </w:r>
    </w:p>
    <w:p>
      <w:pPr>
        <w:pStyle w:val="BodyText"/>
        <w:spacing w:before="6"/>
        <w:rPr>
          <w:sz w:val="15"/>
        </w:rPr>
      </w:pPr>
    </w:p>
    <w:p>
      <w:pPr>
        <w:pStyle w:val="ListParagraph"/>
        <w:numPr>
          <w:ilvl w:val="0"/>
          <w:numId w:val="2"/>
        </w:numPr>
        <w:tabs>
          <w:tab w:pos="1170" w:val="left" w:leader="none"/>
        </w:tabs>
        <w:spacing w:line="240" w:lineRule="auto" w:before="0" w:after="0"/>
        <w:ind w:left="1169" w:right="0" w:hanging="530"/>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2"/>
        </w:numPr>
        <w:tabs>
          <w:tab w:pos="1170" w:val="left" w:leader="none"/>
        </w:tabs>
        <w:spacing w:line="240" w:lineRule="auto" w:before="1" w:after="0"/>
        <w:ind w:left="1169" w:right="0" w:hanging="530"/>
        <w:jc w:val="left"/>
        <w:rPr>
          <w:sz w:val="21"/>
        </w:rPr>
      </w:pPr>
      <w:r>
        <w:rPr>
          <w:spacing w:val="-14"/>
          <w:sz w:val="21"/>
        </w:rPr>
        <w:t>依照法律、行政法规有关规定，由国务院证券监督管理机构规定禁止的其他行为。</w:t>
      </w:r>
    </w:p>
    <w:p>
      <w:pPr>
        <w:pStyle w:val="BodyText"/>
        <w:spacing w:before="6"/>
        <w:rPr>
          <w:sz w:val="15"/>
        </w:rPr>
      </w:pPr>
    </w:p>
    <w:p>
      <w:pPr>
        <w:pStyle w:val="BodyText"/>
        <w:ind w:left="640"/>
      </w:pPr>
      <w:r>
        <w:rPr>
          <w:rFonts w:ascii="Times New Roman" w:eastAsia="Times New Roman"/>
        </w:rPr>
        <w:t>5</w:t>
      </w:r>
      <w:r>
        <w:rPr/>
        <w:t>、基金经理承诺</w:t>
      </w:r>
    </w:p>
    <w:p>
      <w:pPr>
        <w:pStyle w:val="BodyText"/>
        <w:spacing w:before="7"/>
        <w:rPr>
          <w:sz w:val="15"/>
        </w:rPr>
      </w:pPr>
    </w:p>
    <w:p>
      <w:pPr>
        <w:pStyle w:val="ListParagraph"/>
        <w:numPr>
          <w:ilvl w:val="0"/>
          <w:numId w:val="3"/>
        </w:numPr>
        <w:tabs>
          <w:tab w:pos="1170" w:val="left" w:leader="none"/>
        </w:tabs>
        <w:spacing w:line="417" w:lineRule="auto" w:before="0" w:after="0"/>
        <w:ind w:left="220" w:right="594"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170" w:val="left" w:leader="none"/>
        </w:tabs>
        <w:spacing w:line="417" w:lineRule="auto" w:before="0" w:after="0"/>
        <w:ind w:left="220" w:right="59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170" w:val="left" w:leader="none"/>
        </w:tabs>
        <w:spacing w:line="417" w:lineRule="auto" w:before="0" w:after="0"/>
        <w:ind w:left="220" w:right="594" w:firstLine="419"/>
        <w:jc w:val="left"/>
        <w:rPr>
          <w:sz w:val="21"/>
        </w:rPr>
      </w:pPr>
      <w:r>
        <w:rPr>
          <w:spacing w:val="-3"/>
          <w:sz w:val="21"/>
        </w:rPr>
        <w:t>不泄漏在任职期间知悉的有关证券、基金的商业秘密，尚未依法公开的基金投资内容、基金投资计划等信息。</w:t>
      </w:r>
    </w:p>
    <w:p>
      <w:pPr>
        <w:pStyle w:val="BodyText"/>
        <w:ind w:left="654"/>
      </w:pPr>
      <w:r>
        <w:rPr/>
        <w:t>（五）基金管理人的内部控制制度</w:t>
      </w:r>
    </w:p>
    <w:p>
      <w:pPr>
        <w:spacing w:after="0"/>
        <w:sectPr>
          <w:pgSz w:w="11910" w:h="16840"/>
          <w:pgMar w:header="877" w:footer="995" w:top="1420" w:bottom="1180" w:left="1580" w:right="1200"/>
        </w:sectPr>
      </w:pPr>
    </w:p>
    <w:p>
      <w:pPr>
        <w:pStyle w:val="BodyText"/>
        <w:spacing w:line="417" w:lineRule="auto" w:before="110"/>
        <w:ind w:left="220" w:right="48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7"/>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line="268" w:lineRule="exact"/>
        <w:ind w:left="640"/>
      </w:pPr>
      <w:r>
        <w:rPr>
          <w:rFonts w:ascii="Times New Roman" w:eastAsia="Times New Roman"/>
        </w:rPr>
        <w:t>1</w:t>
      </w:r>
      <w:r>
        <w:rPr/>
        <w:t>、控制环境</w:t>
      </w:r>
    </w:p>
    <w:p>
      <w:pPr>
        <w:pStyle w:val="BodyText"/>
        <w:spacing w:before="6"/>
        <w:rPr>
          <w:sz w:val="15"/>
        </w:rPr>
      </w:pPr>
    </w:p>
    <w:p>
      <w:pPr>
        <w:pStyle w:val="BodyText"/>
        <w:spacing w:line="417" w:lineRule="auto"/>
        <w:ind w:left="220" w:right="604" w:firstLine="434"/>
      </w:pPr>
      <w:r>
        <w:rPr/>
        <w:t>良好的控制环境包括科学的公司治理、有效的监督管理、合理的组织结构和有力的控制文化。</w:t>
      </w:r>
    </w:p>
    <w:p>
      <w:pPr>
        <w:pStyle w:val="ListParagraph"/>
        <w:numPr>
          <w:ilvl w:val="0"/>
          <w:numId w:val="4"/>
        </w:numPr>
        <w:tabs>
          <w:tab w:pos="1184" w:val="left" w:leader="none"/>
        </w:tabs>
        <w:spacing w:line="417" w:lineRule="auto" w:before="1" w:after="0"/>
        <w:ind w:left="220" w:right="593" w:firstLine="434"/>
        <w:jc w:val="left"/>
        <w:rPr>
          <w:sz w:val="21"/>
        </w:rPr>
      </w:pPr>
      <w:r>
        <w:rPr>
          <w:spacing w:val="-6"/>
          <w:sz w:val="21"/>
        </w:rPr>
        <w:t>公司引入了独立董事制度，目前有独立董事 </w:t>
      </w:r>
      <w:r>
        <w:rPr>
          <w:rFonts w:ascii="Times New Roman" w:eastAsia="Times New Roman"/>
          <w:sz w:val="21"/>
        </w:rPr>
        <w:t>3</w:t>
      </w:r>
      <w:r>
        <w:rPr>
          <w:rFonts w:ascii="Times New Roman" w:eastAsia="Times New Roman"/>
          <w:spacing w:val="15"/>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182" w:val="left" w:leader="none"/>
        </w:tabs>
        <w:spacing w:line="417" w:lineRule="auto" w:before="0" w:after="0"/>
        <w:ind w:left="220" w:right="593" w:firstLine="434"/>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184" w:val="left" w:leader="none"/>
        </w:tabs>
        <w:spacing w:line="417" w:lineRule="auto" w:before="0" w:after="0"/>
        <w:ind w:left="220" w:right="59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ind w:left="654"/>
      </w:pPr>
      <w:r>
        <w:rPr>
          <w:rFonts w:ascii="Times New Roman" w:eastAsia="Times New Roman"/>
        </w:rPr>
        <w:t>2</w:t>
      </w:r>
      <w:r>
        <w:rPr/>
        <w:t>、风险评估</w:t>
      </w:r>
    </w:p>
    <w:p>
      <w:pPr>
        <w:pStyle w:val="BodyText"/>
        <w:spacing w:before="6"/>
        <w:rPr>
          <w:sz w:val="15"/>
        </w:rPr>
      </w:pPr>
    </w:p>
    <w:p>
      <w:pPr>
        <w:pStyle w:val="BodyText"/>
        <w:spacing w:line="417" w:lineRule="auto"/>
        <w:ind w:left="220" w:right="488" w:firstLine="424"/>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8" w:lineRule="exact"/>
        <w:ind w:left="654"/>
      </w:pPr>
      <w:r>
        <w:rPr>
          <w:rFonts w:ascii="Times New Roman" w:eastAsia="Times New Roman"/>
        </w:rPr>
        <w:t>3</w:t>
      </w:r>
      <w:r>
        <w:rPr/>
        <w:t>、控制活动</w:t>
      </w:r>
    </w:p>
    <w:p>
      <w:pPr>
        <w:pStyle w:val="BodyText"/>
        <w:spacing w:before="7"/>
        <w:rPr>
          <w:sz w:val="15"/>
        </w:rPr>
      </w:pPr>
    </w:p>
    <w:p>
      <w:pPr>
        <w:pStyle w:val="BodyText"/>
        <w:spacing w:line="417" w:lineRule="auto"/>
        <w:ind w:left="220" w:right="59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184" w:val="left" w:leader="none"/>
        </w:tabs>
        <w:spacing w:line="268" w:lineRule="exact" w:before="0" w:after="0"/>
        <w:ind w:left="1183" w:right="0" w:hanging="530"/>
        <w:jc w:val="left"/>
        <w:rPr>
          <w:sz w:val="21"/>
        </w:rPr>
      </w:pPr>
      <w:r>
        <w:rPr>
          <w:spacing w:val="-3"/>
          <w:sz w:val="21"/>
        </w:rPr>
        <w:t>投资控制制度</w:t>
      </w:r>
    </w:p>
    <w:p>
      <w:pPr>
        <w:pStyle w:val="BodyText"/>
        <w:spacing w:before="7"/>
        <w:rPr>
          <w:sz w:val="15"/>
        </w:rPr>
      </w:pPr>
    </w:p>
    <w:p>
      <w:pPr>
        <w:pStyle w:val="BodyText"/>
        <w:spacing w:line="417" w:lineRule="auto"/>
        <w:ind w:left="220" w:right="384"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pStyle w:val="BodyText"/>
        <w:ind w:left="654"/>
      </w:pPr>
      <w:r>
        <w:rPr/>
        <w:t>①投资决策与执行相分离。投资管理决策职能和交易执行职能严格隔离，实行集中交</w:t>
      </w:r>
    </w:p>
    <w:p>
      <w:pPr>
        <w:spacing w:after="0"/>
        <w:sectPr>
          <w:pgSz w:w="11910" w:h="16840"/>
          <w:pgMar w:header="877" w:footer="995" w:top="1420" w:bottom="1180" w:left="1580" w:right="1200"/>
        </w:sectPr>
      </w:pPr>
    </w:p>
    <w:p>
      <w:pPr>
        <w:pStyle w:val="BodyText"/>
        <w:spacing w:before="110"/>
        <w:ind w:left="220"/>
      </w:pPr>
      <w:r>
        <w:rPr/>
        <w:t>易制度，建立和完善公平的交易分配制度，确保各投资组合享有公平的交易执行机会。</w:t>
      </w:r>
    </w:p>
    <w:p>
      <w:pPr>
        <w:pStyle w:val="BodyText"/>
        <w:spacing w:before="6"/>
        <w:rPr>
          <w:sz w:val="15"/>
        </w:rPr>
      </w:pPr>
    </w:p>
    <w:p>
      <w:pPr>
        <w:pStyle w:val="BodyText"/>
        <w:spacing w:line="417" w:lineRule="auto"/>
        <w:ind w:left="220" w:right="591" w:firstLine="434"/>
        <w:jc w:val="both"/>
      </w:pPr>
      <w:r>
        <w:rPr/>
        <w:t>②投资授权控制。建立明确的投资决策授权制度，防止越权决策。投资决策委员会负</w:t>
      </w: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417" w:lineRule="auto"/>
        <w:ind w:left="220" w:right="604" w:firstLine="434"/>
      </w:pPr>
      <w:r>
        <w:rPr/>
        <w:t>③警示性控制。按照法规或公司规定设置各类资产投资比例的预警线，交易系统在投资比例达到接近限制比例前的某一数值时自动预警。</w:t>
      </w:r>
    </w:p>
    <w:p>
      <w:pPr>
        <w:pStyle w:val="BodyText"/>
        <w:spacing w:line="417" w:lineRule="auto"/>
        <w:ind w:left="220" w:right="59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220" w:right="604"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184" w:val="left" w:leader="none"/>
        </w:tabs>
        <w:spacing w:line="269" w:lineRule="exact" w:before="0" w:after="0"/>
        <w:ind w:left="1183" w:right="0" w:hanging="530"/>
        <w:jc w:val="left"/>
        <w:rPr>
          <w:sz w:val="21"/>
        </w:rPr>
      </w:pPr>
      <w:r>
        <w:rPr>
          <w:spacing w:val="-3"/>
          <w:sz w:val="21"/>
        </w:rPr>
        <w:t>会计控制制度</w:t>
      </w:r>
    </w:p>
    <w:p>
      <w:pPr>
        <w:pStyle w:val="BodyText"/>
        <w:spacing w:before="6"/>
        <w:rPr>
          <w:sz w:val="15"/>
        </w:rPr>
      </w:pPr>
    </w:p>
    <w:p>
      <w:pPr>
        <w:pStyle w:val="BodyText"/>
        <w:ind w:left="640"/>
      </w:pPr>
      <w:r>
        <w:rPr/>
        <w:t>①建立了基金会计的工作制度及相应的操作和控制规程，确保会计业务有章可循。</w:t>
      </w:r>
    </w:p>
    <w:p>
      <w:pPr>
        <w:pStyle w:val="BodyText"/>
        <w:spacing w:before="7"/>
        <w:rPr>
          <w:sz w:val="15"/>
        </w:rPr>
      </w:pPr>
    </w:p>
    <w:p>
      <w:pPr>
        <w:pStyle w:val="BodyText"/>
        <w:spacing w:line="417" w:lineRule="auto"/>
        <w:ind w:left="220" w:right="591" w:firstLine="419"/>
      </w:pPr>
      <w:r>
        <w:rPr>
          <w:spacing w:val="-12"/>
        </w:rPr>
        <w:t>②按照相互制约原则，建立了基金会计业务的复核制度以及与托管人相关业务的相互核</w:t>
      </w:r>
      <w:r>
        <w:rPr>
          <w:spacing w:val="-6"/>
        </w:rPr>
        <w:t>查监督制度。</w:t>
      </w:r>
    </w:p>
    <w:p>
      <w:pPr>
        <w:pStyle w:val="BodyText"/>
        <w:spacing w:line="269" w:lineRule="exact"/>
        <w:ind w:left="640"/>
      </w:pPr>
      <w:r>
        <w:rPr/>
        <w:t>③为了防范基金会计在资金头寸管理上出现透支风险，制定了资金头寸管理制度。</w:t>
      </w:r>
    </w:p>
    <w:p>
      <w:pPr>
        <w:pStyle w:val="BodyText"/>
        <w:spacing w:before="7"/>
        <w:rPr>
          <w:sz w:val="15"/>
        </w:rPr>
      </w:pPr>
    </w:p>
    <w:p>
      <w:pPr>
        <w:pStyle w:val="BodyText"/>
        <w:ind w:left="654"/>
      </w:pPr>
      <w:r>
        <w:rPr/>
        <w:t>④制定了完善的档案保管和财务交接制度。</w:t>
      </w:r>
    </w:p>
    <w:p>
      <w:pPr>
        <w:pStyle w:val="BodyText"/>
        <w:spacing w:before="7"/>
        <w:rPr>
          <w:sz w:val="15"/>
        </w:rPr>
      </w:pPr>
    </w:p>
    <w:p>
      <w:pPr>
        <w:pStyle w:val="ListParagraph"/>
        <w:numPr>
          <w:ilvl w:val="0"/>
          <w:numId w:val="5"/>
        </w:numPr>
        <w:tabs>
          <w:tab w:pos="1184" w:val="left" w:leader="none"/>
        </w:tabs>
        <w:spacing w:line="240" w:lineRule="auto" w:before="0" w:after="0"/>
        <w:ind w:left="1183" w:right="0" w:hanging="530"/>
        <w:jc w:val="left"/>
        <w:rPr>
          <w:sz w:val="21"/>
        </w:rPr>
      </w:pPr>
      <w:r>
        <w:rPr>
          <w:spacing w:val="-3"/>
          <w:sz w:val="21"/>
        </w:rPr>
        <w:t>技术系统控制制度</w:t>
      </w:r>
    </w:p>
    <w:p>
      <w:pPr>
        <w:pStyle w:val="BodyText"/>
        <w:spacing w:before="6"/>
        <w:rPr>
          <w:sz w:val="15"/>
        </w:rPr>
      </w:pPr>
    </w:p>
    <w:p>
      <w:pPr>
        <w:pStyle w:val="BodyText"/>
        <w:spacing w:line="417" w:lineRule="auto" w:before="1"/>
        <w:ind w:left="220" w:right="59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184" w:val="left" w:leader="none"/>
        </w:tabs>
        <w:spacing w:line="240" w:lineRule="auto" w:before="0" w:after="0"/>
        <w:ind w:left="1183" w:right="0" w:hanging="530"/>
        <w:jc w:val="left"/>
        <w:rPr>
          <w:sz w:val="21"/>
        </w:rPr>
      </w:pPr>
      <w:r>
        <w:rPr>
          <w:spacing w:val="-3"/>
          <w:sz w:val="21"/>
        </w:rPr>
        <w:t>人力资源管理制度</w:t>
      </w:r>
    </w:p>
    <w:p>
      <w:pPr>
        <w:pStyle w:val="BodyText"/>
        <w:spacing w:before="6"/>
        <w:rPr>
          <w:sz w:val="15"/>
        </w:rPr>
      </w:pPr>
    </w:p>
    <w:p>
      <w:pPr>
        <w:pStyle w:val="BodyText"/>
        <w:spacing w:line="417" w:lineRule="auto" w:before="1"/>
        <w:ind w:left="220" w:right="604" w:firstLine="434"/>
      </w:pPr>
      <w:r>
        <w:rPr/>
        <w:t>公司建立了科学的招聘解聘制度、培训制度、考核制度、薪酬制度等人事管理制度， 确保人力资源的有效管理。</w:t>
      </w:r>
    </w:p>
    <w:p>
      <w:pPr>
        <w:pStyle w:val="ListParagraph"/>
        <w:numPr>
          <w:ilvl w:val="0"/>
          <w:numId w:val="5"/>
        </w:numPr>
        <w:tabs>
          <w:tab w:pos="1184" w:val="left" w:leader="none"/>
        </w:tabs>
        <w:spacing w:line="269" w:lineRule="exact" w:before="0" w:after="0"/>
        <w:ind w:left="1183" w:right="0" w:hanging="530"/>
        <w:jc w:val="left"/>
        <w:rPr>
          <w:sz w:val="21"/>
        </w:rPr>
      </w:pPr>
      <w:r>
        <w:rPr>
          <w:spacing w:val="-2"/>
          <w:sz w:val="21"/>
        </w:rPr>
        <w:t>监察制度</w:t>
      </w:r>
    </w:p>
    <w:p>
      <w:pPr>
        <w:pStyle w:val="BodyText"/>
        <w:spacing w:before="6"/>
        <w:rPr>
          <w:sz w:val="15"/>
        </w:rPr>
      </w:pPr>
    </w:p>
    <w:p>
      <w:pPr>
        <w:pStyle w:val="BodyText"/>
        <w:spacing w:line="417" w:lineRule="auto"/>
        <w:ind w:left="220" w:right="604" w:firstLine="434"/>
      </w:pPr>
      <w:r>
        <w:rPr/>
        <w:t>公司设立了监察部门，负责公司的法律事务和监察工作。监察制度包括违规行为的调查程序和处理制度，以及对员工行为的监察。</w:t>
      </w:r>
    </w:p>
    <w:p>
      <w:pPr>
        <w:pStyle w:val="ListParagraph"/>
        <w:numPr>
          <w:ilvl w:val="0"/>
          <w:numId w:val="5"/>
        </w:numPr>
        <w:tabs>
          <w:tab w:pos="1184" w:val="left" w:leader="none"/>
        </w:tabs>
        <w:spacing w:line="240" w:lineRule="auto" w:before="0" w:after="0"/>
        <w:ind w:left="1183" w:right="0" w:hanging="530"/>
        <w:jc w:val="left"/>
        <w:rPr>
          <w:sz w:val="21"/>
        </w:rPr>
      </w:pPr>
      <w:r>
        <w:rPr>
          <w:spacing w:val="-3"/>
          <w:sz w:val="21"/>
        </w:rPr>
        <w:t>反洗钱制度</w:t>
      </w:r>
    </w:p>
    <w:p>
      <w:pPr>
        <w:pStyle w:val="BodyText"/>
        <w:spacing w:before="7"/>
        <w:rPr>
          <w:sz w:val="15"/>
        </w:rPr>
      </w:pPr>
    </w:p>
    <w:p>
      <w:pPr>
        <w:pStyle w:val="BodyText"/>
        <w:ind w:left="654"/>
      </w:pPr>
      <w:r>
        <w:rPr/>
        <w:t>公司设立了反洗钱工作小组作为反洗钱工作的专门机构，指定专门人员负责反洗钱和</w:t>
      </w:r>
    </w:p>
    <w:p>
      <w:pPr>
        <w:spacing w:after="0"/>
        <w:sectPr>
          <w:pgSz w:w="11910" w:h="16840"/>
          <w:pgMar w:header="877" w:footer="995" w:top="1420" w:bottom="1180" w:left="1580" w:right="1200"/>
        </w:sectPr>
      </w:pPr>
    </w:p>
    <w:p>
      <w:pPr>
        <w:pStyle w:val="BodyText"/>
        <w:spacing w:line="417" w:lineRule="auto" w:before="110"/>
        <w:ind w:left="220" w:right="591"/>
        <w:jc w:val="both"/>
      </w:pP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line="269" w:lineRule="exact"/>
        <w:ind w:left="654"/>
      </w:pPr>
      <w:r>
        <w:rPr>
          <w:rFonts w:ascii="Times New Roman" w:eastAsia="Times New Roman"/>
        </w:rPr>
        <w:t>4</w:t>
      </w:r>
      <w:r>
        <w:rPr/>
        <w:t>、信息沟通</w:t>
      </w:r>
    </w:p>
    <w:p>
      <w:pPr>
        <w:pStyle w:val="BodyText"/>
        <w:spacing w:before="6"/>
        <w:rPr>
          <w:sz w:val="15"/>
        </w:rPr>
      </w:pPr>
    </w:p>
    <w:p>
      <w:pPr>
        <w:pStyle w:val="BodyText"/>
        <w:spacing w:line="417" w:lineRule="auto"/>
        <w:ind w:left="220" w:right="610"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ind w:left="654"/>
      </w:pPr>
      <w:r>
        <w:rPr>
          <w:rFonts w:ascii="Times New Roman" w:eastAsia="Times New Roman"/>
        </w:rPr>
        <w:t>5</w:t>
      </w:r>
      <w:r>
        <w:rPr/>
        <w:t>、内部监控</w:t>
      </w:r>
    </w:p>
    <w:p>
      <w:pPr>
        <w:pStyle w:val="BodyText"/>
        <w:spacing w:before="7"/>
        <w:rPr>
          <w:sz w:val="15"/>
        </w:rPr>
      </w:pPr>
    </w:p>
    <w:p>
      <w:pPr>
        <w:pStyle w:val="BodyText"/>
        <w:spacing w:line="417" w:lineRule="auto"/>
        <w:ind w:left="220" w:right="59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9" w:lineRule="exact"/>
        <w:ind w:left="640"/>
      </w:pPr>
      <w:r>
        <w:rPr>
          <w:rFonts w:ascii="Times New Roman" w:eastAsia="Times New Roman"/>
        </w:rPr>
        <w:t>6</w:t>
      </w:r>
      <w:r>
        <w:rPr/>
        <w:t>、基金管理人关于内部控制的声明</w:t>
      </w:r>
    </w:p>
    <w:p>
      <w:pPr>
        <w:pStyle w:val="BodyText"/>
        <w:spacing w:before="7"/>
        <w:rPr>
          <w:sz w:val="15"/>
        </w:rPr>
      </w:pPr>
    </w:p>
    <w:p>
      <w:pPr>
        <w:pStyle w:val="ListParagraph"/>
        <w:numPr>
          <w:ilvl w:val="0"/>
          <w:numId w:val="6"/>
        </w:numPr>
        <w:tabs>
          <w:tab w:pos="1170" w:val="left" w:leader="none"/>
        </w:tabs>
        <w:spacing w:line="240" w:lineRule="auto" w:before="0" w:after="0"/>
        <w:ind w:left="1169" w:right="0" w:hanging="530"/>
        <w:jc w:val="left"/>
        <w:rPr>
          <w:sz w:val="21"/>
        </w:rPr>
      </w:pPr>
      <w:r>
        <w:rPr>
          <w:spacing w:val="-3"/>
          <w:sz w:val="21"/>
        </w:rPr>
        <w:t>本公司确知建立、实施和维持内部控制制度是本公司董事会及管理层的责任。</w:t>
      </w:r>
    </w:p>
    <w:p>
      <w:pPr>
        <w:pStyle w:val="BodyText"/>
        <w:spacing w:before="7"/>
        <w:rPr>
          <w:sz w:val="15"/>
        </w:rPr>
      </w:pPr>
    </w:p>
    <w:p>
      <w:pPr>
        <w:pStyle w:val="ListParagraph"/>
        <w:numPr>
          <w:ilvl w:val="0"/>
          <w:numId w:val="6"/>
        </w:numPr>
        <w:tabs>
          <w:tab w:pos="1170" w:val="left" w:leader="none"/>
        </w:tabs>
        <w:spacing w:line="240" w:lineRule="auto" w:before="0" w:after="0"/>
        <w:ind w:left="1169" w:right="0" w:hanging="530"/>
        <w:jc w:val="left"/>
        <w:rPr>
          <w:sz w:val="21"/>
        </w:rPr>
      </w:pPr>
      <w:r>
        <w:rPr>
          <w:spacing w:val="-3"/>
          <w:sz w:val="21"/>
        </w:rPr>
        <w:t>上述关于内部控制的披露真实、准确。</w:t>
      </w:r>
    </w:p>
    <w:p>
      <w:pPr>
        <w:pStyle w:val="BodyText"/>
        <w:spacing w:before="7"/>
        <w:rPr>
          <w:sz w:val="15"/>
        </w:rPr>
      </w:pPr>
    </w:p>
    <w:p>
      <w:pPr>
        <w:pStyle w:val="ListParagraph"/>
        <w:numPr>
          <w:ilvl w:val="0"/>
          <w:numId w:val="6"/>
        </w:numPr>
        <w:tabs>
          <w:tab w:pos="1170" w:val="left" w:leader="none"/>
        </w:tabs>
        <w:spacing w:line="240" w:lineRule="auto" w:before="0" w:after="0"/>
        <w:ind w:left="1169" w:right="0" w:hanging="530"/>
        <w:jc w:val="left"/>
        <w:rPr>
          <w:sz w:val="21"/>
        </w:rPr>
      </w:pPr>
      <w:r>
        <w:rPr>
          <w:spacing w:val="-3"/>
          <w:sz w:val="21"/>
        </w:rPr>
        <w:t>本公司承诺将根据市场环境的变化及公司的发展不断完善内部控制制度。</w:t>
      </w:r>
    </w:p>
    <w:p>
      <w:pPr>
        <w:pStyle w:val="BodyText"/>
        <w:rPr>
          <w:sz w:val="22"/>
        </w:rPr>
      </w:pPr>
    </w:p>
    <w:p>
      <w:pPr>
        <w:pStyle w:val="BodyText"/>
        <w:spacing w:before="1"/>
        <w:rPr>
          <w:sz w:val="20"/>
        </w:rPr>
      </w:pPr>
    </w:p>
    <w:p>
      <w:pPr>
        <w:pStyle w:val="Heading1"/>
      </w:pPr>
      <w:bookmarkStart w:name="_bookmark3" w:id="4"/>
      <w:bookmarkEnd w:id="4"/>
      <w:r>
        <w:rPr>
          <w:b w:val="0"/>
        </w:rPr>
      </w:r>
      <w:r>
        <w:rPr/>
        <w:t>四、基金托管人</w:t>
      </w:r>
    </w:p>
    <w:p>
      <w:pPr>
        <w:pStyle w:val="BodyText"/>
        <w:rPr>
          <w:b/>
          <w:sz w:val="20"/>
        </w:rPr>
      </w:pPr>
    </w:p>
    <w:p>
      <w:pPr>
        <w:pStyle w:val="BodyText"/>
        <w:spacing w:before="3"/>
        <w:rPr>
          <w:b/>
        </w:rPr>
      </w:pPr>
    </w:p>
    <w:p>
      <w:pPr>
        <w:pStyle w:val="BodyText"/>
        <w:ind w:left="640"/>
      </w:pPr>
      <w:r>
        <w:rPr/>
        <w:t>（一）基本情况</w:t>
      </w:r>
    </w:p>
    <w:p>
      <w:pPr>
        <w:pStyle w:val="BodyText"/>
        <w:spacing w:before="6"/>
        <w:rPr>
          <w:sz w:val="15"/>
        </w:rPr>
      </w:pPr>
    </w:p>
    <w:p>
      <w:pPr>
        <w:pStyle w:val="BodyText"/>
        <w:spacing w:line="417" w:lineRule="auto" w:before="1"/>
        <w:ind w:left="640" w:right="3882"/>
      </w:pPr>
      <w:r>
        <w:rPr/>
        <w:t>名称：中国银行股份有限公司（简称</w:t>
      </w:r>
      <w:r>
        <w:rPr>
          <w:rFonts w:ascii="Times New Roman" w:hAnsi="Times New Roman" w:eastAsia="Times New Roman"/>
        </w:rPr>
        <w:t>“</w:t>
      </w:r>
      <w:r>
        <w:rPr/>
        <w:t>中国银行</w:t>
      </w:r>
      <w:r>
        <w:rPr>
          <w:rFonts w:ascii="Times New Roman" w:hAnsi="Times New Roman" w:eastAsia="Times New Roman"/>
        </w:rPr>
        <w:t>”</w:t>
      </w:r>
      <w:r>
        <w:rPr/>
        <w:t>） 住所及办公地址：北京市西城区复兴门内大街</w:t>
      </w:r>
      <w:r>
        <w:rPr>
          <w:rFonts w:ascii="Times New Roman" w:hAnsi="Times New Roman" w:eastAsia="Times New Roman"/>
        </w:rPr>
        <w:t>1</w:t>
      </w:r>
      <w:r>
        <w:rPr/>
        <w:t>号首次注册登记日期：</w:t>
      </w:r>
      <w:r>
        <w:rPr>
          <w:rFonts w:ascii="Times New Roman" w:hAnsi="Times New Roman" w:eastAsia="Times New Roman"/>
        </w:rPr>
        <w:t>1983</w:t>
      </w:r>
      <w:r>
        <w:rPr/>
        <w:t>年</w:t>
      </w:r>
      <w:r>
        <w:rPr>
          <w:rFonts w:ascii="Times New Roman" w:hAnsi="Times New Roman" w:eastAsia="Times New Roman"/>
        </w:rPr>
        <w:t>10</w:t>
      </w:r>
      <w:r>
        <w:rPr/>
        <w:t>月</w:t>
      </w:r>
      <w:r>
        <w:rPr>
          <w:rFonts w:ascii="Times New Roman" w:hAnsi="Times New Roman" w:eastAsia="Times New Roman"/>
        </w:rPr>
        <w:t>31</w:t>
      </w:r>
      <w:r>
        <w:rPr/>
        <w:t>日</w:t>
      </w:r>
    </w:p>
    <w:p>
      <w:pPr>
        <w:pStyle w:val="BodyText"/>
        <w:spacing w:line="417" w:lineRule="auto"/>
        <w:ind w:left="640" w:right="1546"/>
      </w:pPr>
      <w:r>
        <w:rPr/>
        <w:t>注册资本：人民币贰仟玖佰肆拾叁亿捌仟柒佰柒拾玖万壹仟贰佰肆拾壹元整法定代表人：刘连舸</w:t>
      </w:r>
    </w:p>
    <w:p>
      <w:pPr>
        <w:pStyle w:val="BodyText"/>
        <w:spacing w:line="417" w:lineRule="auto"/>
        <w:ind w:left="640" w:right="2915"/>
      </w:pPr>
      <w:r>
        <w:rPr/>
        <w:t>基金托管业务批准文号：中国证监会证监基字【</w:t>
      </w:r>
      <w:r>
        <w:rPr>
          <w:rFonts w:ascii="Times New Roman" w:eastAsia="Times New Roman"/>
        </w:rPr>
        <w:t>1998</w:t>
      </w:r>
      <w:r>
        <w:rPr/>
        <w:t>】</w:t>
      </w:r>
      <w:r>
        <w:rPr>
          <w:rFonts w:ascii="Times New Roman" w:eastAsia="Times New Roman"/>
        </w:rPr>
        <w:t>24 </w:t>
      </w:r>
      <w:r>
        <w:rPr/>
        <w:t>号托管部门信息披露联系人：许俊</w:t>
      </w:r>
    </w:p>
    <w:p>
      <w:pPr>
        <w:pStyle w:val="BodyText"/>
        <w:spacing w:line="269" w:lineRule="exact"/>
        <w:ind w:left="640"/>
        <w:rPr>
          <w:rFonts w:ascii="Times New Roman" w:eastAsia="Times New Roman"/>
        </w:rPr>
      </w:pPr>
      <w:r>
        <w:rPr>
          <w:spacing w:val="-36"/>
          <w:w w:val="100"/>
        </w:rPr>
        <w:t>传真：</w:t>
      </w:r>
      <w:r>
        <w:rPr>
          <w:spacing w:val="-1"/>
          <w:w w:val="100"/>
        </w:rPr>
        <w:t>（</w:t>
      </w:r>
      <w:r>
        <w:rPr>
          <w:rFonts w:ascii="Times New Roman" w:eastAsia="Times New Roman"/>
          <w:w w:val="100"/>
        </w:rPr>
        <w:t>01</w:t>
      </w:r>
      <w:r>
        <w:rPr>
          <w:rFonts w:ascii="Times New Roman" w:eastAsia="Times New Roman"/>
          <w:spacing w:val="-3"/>
          <w:w w:val="100"/>
        </w:rPr>
        <w:t>0</w:t>
      </w:r>
      <w:r>
        <w:rPr>
          <w:w w:val="100"/>
        </w:rPr>
        <w:t>）</w:t>
      </w:r>
      <w:r>
        <w:rPr>
          <w:rFonts w:ascii="Times New Roman" w:eastAsia="Times New Roman"/>
          <w:w w:val="100"/>
        </w:rPr>
        <w:t>6</w:t>
      </w:r>
      <w:r>
        <w:rPr>
          <w:rFonts w:ascii="Times New Roman" w:eastAsia="Times New Roman"/>
          <w:spacing w:val="-3"/>
          <w:w w:val="100"/>
        </w:rPr>
        <w:t>6</w:t>
      </w:r>
      <w:r>
        <w:rPr>
          <w:rFonts w:ascii="Times New Roman" w:eastAsia="Times New Roman"/>
          <w:w w:val="100"/>
        </w:rPr>
        <w:t>594</w:t>
      </w:r>
      <w:r>
        <w:rPr>
          <w:rFonts w:ascii="Times New Roman" w:eastAsia="Times New Roman"/>
          <w:spacing w:val="-3"/>
          <w:w w:val="100"/>
        </w:rPr>
        <w:t>9</w:t>
      </w:r>
      <w:r>
        <w:rPr>
          <w:rFonts w:ascii="Times New Roman" w:eastAsia="Times New Roman"/>
          <w:w w:val="100"/>
        </w:rPr>
        <w:t>42</w:t>
      </w:r>
    </w:p>
    <w:p>
      <w:pPr>
        <w:pStyle w:val="BodyText"/>
        <w:spacing w:before="3"/>
        <w:rPr>
          <w:rFonts w:ascii="Times New Roman"/>
          <w:sz w:val="17"/>
        </w:rPr>
      </w:pPr>
    </w:p>
    <w:p>
      <w:pPr>
        <w:pStyle w:val="BodyText"/>
        <w:ind w:left="640"/>
        <w:rPr>
          <w:rFonts w:ascii="Times New Roman" w:eastAsia="Times New Roman"/>
        </w:rPr>
      </w:pPr>
      <w:r>
        <w:rPr/>
        <w:t>中国银行客服电话：</w:t>
      </w:r>
      <w:r>
        <w:rPr>
          <w:rFonts w:ascii="Times New Roman" w:eastAsia="Times New Roman"/>
        </w:rPr>
        <w:t>95566</w:t>
      </w:r>
    </w:p>
    <w:p>
      <w:pPr>
        <w:pStyle w:val="BodyText"/>
        <w:spacing w:before="3"/>
        <w:rPr>
          <w:rFonts w:ascii="Times New Roman"/>
          <w:sz w:val="17"/>
        </w:rPr>
      </w:pPr>
    </w:p>
    <w:p>
      <w:pPr>
        <w:pStyle w:val="BodyText"/>
        <w:spacing w:before="1"/>
        <w:ind w:left="640"/>
      </w:pPr>
      <w:r>
        <w:rPr/>
        <w:t>（二）基金托管部门及主要人员情况</w:t>
      </w:r>
    </w:p>
    <w:p>
      <w:pPr>
        <w:spacing w:after="0"/>
        <w:sectPr>
          <w:pgSz w:w="11910" w:h="16840"/>
          <w:pgMar w:header="877" w:footer="995" w:top="1420" w:bottom="1180" w:left="1580" w:right="1200"/>
        </w:sectPr>
      </w:pPr>
    </w:p>
    <w:p>
      <w:pPr>
        <w:pStyle w:val="BodyText"/>
        <w:spacing w:line="417" w:lineRule="auto" w:before="110"/>
        <w:ind w:left="220" w:right="591" w:firstLine="419"/>
        <w:jc w:val="both"/>
      </w:pPr>
      <w:r>
        <w:rPr>
          <w:spacing w:val="-3"/>
        </w:rPr>
        <w:t>中国银行托管业务部设立于</w:t>
      </w:r>
      <w:r>
        <w:rPr>
          <w:rFonts w:ascii="Times New Roman" w:eastAsia="Times New Roman"/>
        </w:rPr>
        <w:t>1998</w:t>
      </w:r>
      <w:r>
        <w:rPr>
          <w:spacing w:val="-3"/>
        </w:rPr>
        <w:t>年，现有员工</w:t>
      </w:r>
      <w:r>
        <w:rPr>
          <w:rFonts w:ascii="Times New Roman" w:eastAsia="Times New Roman"/>
          <w:spacing w:val="-4"/>
        </w:rPr>
        <w:t>110</w:t>
      </w:r>
      <w:r>
        <w:rPr>
          <w:spacing w:val="-3"/>
        </w:rPr>
        <w:t>余人，大部分员工具有丰富的银行、</w:t>
      </w:r>
      <w:r>
        <w:rPr>
          <w:spacing w:val="-10"/>
        </w:rPr>
        <w:t>证券、基金、信托从业经验，且具有海外工作、学习或培训经历，</w:t>
      </w:r>
      <w:r>
        <w:rPr>
          <w:rFonts w:ascii="Times New Roman" w:eastAsia="Times New Roman"/>
          <w:spacing w:val="-7"/>
        </w:rPr>
        <w:t>60</w:t>
      </w:r>
      <w:r>
        <w:rPr>
          <w:spacing w:val="-3"/>
        </w:rPr>
        <w:t>％以上的员工具有硕士</w:t>
      </w:r>
      <w:r>
        <w:rPr>
          <w:spacing w:val="-9"/>
        </w:rPr>
        <w:t>以上学位或高级职称。为给客户提供专业化的托管服务，中国银行已在境内、外分行开展托</w:t>
      </w:r>
      <w:r>
        <w:rPr>
          <w:spacing w:val="-6"/>
        </w:rPr>
        <w:t>管业务。</w:t>
      </w:r>
    </w:p>
    <w:p>
      <w:pPr>
        <w:pStyle w:val="BodyText"/>
        <w:spacing w:line="417" w:lineRule="auto"/>
        <w:ind w:left="220" w:right="591" w:firstLine="419"/>
        <w:jc w:val="both"/>
      </w:pPr>
      <w:r>
        <w:rPr>
          <w:spacing w:val="-7"/>
        </w:rPr>
        <w:t>作为国内首批开展证券投资基金托管业务的商业银行，中国银行拥有证券投资基金、基金（一对多、一对一</w:t>
      </w:r>
      <w:r>
        <w:rPr>
          <w:spacing w:val="-106"/>
        </w:rPr>
        <w:t>）</w:t>
      </w:r>
      <w:r>
        <w:rPr/>
        <w:t>、社保基金、保险资金、</w:t>
      </w:r>
      <w:r>
        <w:rPr>
          <w:rFonts w:ascii="Times New Roman" w:eastAsia="Times New Roman"/>
        </w:rPr>
        <w:t>QFII</w:t>
      </w:r>
      <w:r>
        <w:rPr/>
        <w:t>、</w:t>
      </w:r>
      <w:r>
        <w:rPr>
          <w:rFonts w:ascii="Times New Roman" w:eastAsia="Times New Roman"/>
        </w:rPr>
        <w:t>RQFII</w:t>
      </w:r>
      <w:r>
        <w:rPr/>
        <w:t>、</w:t>
      </w:r>
      <w:r>
        <w:rPr>
          <w:rFonts w:ascii="Times New Roman" w:eastAsia="Times New Roman"/>
        </w:rPr>
        <w:t>QDII</w:t>
      </w:r>
      <w:r>
        <w:rPr/>
        <w:t>、境外三类机构、券商</w:t>
      </w:r>
      <w:r>
        <w:rPr>
          <w:spacing w:val="-10"/>
        </w:rPr>
        <w:t>资产管理计划、信托计划、企业年金、银行理财产品、股权基金、私募基金、资金托管等门</w:t>
      </w:r>
      <w:r>
        <w:rPr>
          <w:spacing w:val="-12"/>
        </w:rPr>
        <w:t>类齐全、产品丰富的托管业务体系。在国内，中国银行首家开展绩效评估、风险分析等增值</w:t>
      </w:r>
      <w:r>
        <w:rPr>
          <w:spacing w:val="-6"/>
        </w:rPr>
        <w:t>服务，为各类客户提供个性化的托管增值服务，是国内领先的大型中资托管银行。</w:t>
      </w:r>
    </w:p>
    <w:p>
      <w:pPr>
        <w:pStyle w:val="BodyText"/>
        <w:spacing w:line="269" w:lineRule="exact"/>
        <w:ind w:left="640"/>
      </w:pPr>
      <w:r>
        <w:rPr/>
        <w:t>（三）证券投资基金托管情况</w:t>
      </w:r>
    </w:p>
    <w:p>
      <w:pPr>
        <w:pStyle w:val="BodyText"/>
        <w:spacing w:before="6"/>
        <w:rPr>
          <w:sz w:val="15"/>
        </w:rPr>
      </w:pPr>
    </w:p>
    <w:p>
      <w:pPr>
        <w:pStyle w:val="BodyText"/>
        <w:spacing w:line="417" w:lineRule="auto"/>
        <w:ind w:left="220" w:right="594" w:firstLine="419"/>
        <w:jc w:val="both"/>
      </w:pPr>
      <w:r>
        <w:rPr/>
        <w:t>截至</w:t>
      </w:r>
      <w:r>
        <w:rPr>
          <w:rFonts w:ascii="Times New Roman" w:eastAsia="Times New Roman"/>
        </w:rPr>
        <w:t>2020</w:t>
      </w:r>
      <w:r>
        <w:rPr>
          <w:spacing w:val="-3"/>
        </w:rPr>
        <w:t>年</w:t>
      </w:r>
      <w:r>
        <w:rPr>
          <w:rFonts w:ascii="Times New Roman" w:eastAsia="Times New Roman"/>
        </w:rPr>
        <w:t>6</w:t>
      </w:r>
      <w:r>
        <w:rPr/>
        <w:t>月</w:t>
      </w:r>
      <w:r>
        <w:rPr>
          <w:rFonts w:ascii="Times New Roman" w:eastAsia="Times New Roman"/>
        </w:rPr>
        <w:t>30</w:t>
      </w:r>
      <w:r>
        <w:rPr>
          <w:spacing w:val="-3"/>
        </w:rPr>
        <w:t>日，中国银行已托管</w:t>
      </w:r>
      <w:r>
        <w:rPr>
          <w:rFonts w:ascii="Times New Roman" w:eastAsia="Times New Roman"/>
        </w:rPr>
        <w:t>830</w:t>
      </w:r>
      <w:r>
        <w:rPr>
          <w:spacing w:val="-4"/>
        </w:rPr>
        <w:t>只证券投资基金，其中境内基金</w:t>
      </w:r>
      <w:r>
        <w:rPr>
          <w:rFonts w:ascii="Times New Roman" w:eastAsia="Times New Roman"/>
        </w:rPr>
        <w:t>783</w:t>
      </w:r>
      <w:r>
        <w:rPr>
          <w:spacing w:val="-3"/>
        </w:rPr>
        <w:t>只，</w:t>
      </w:r>
      <w:r>
        <w:rPr>
          <w:rFonts w:ascii="Times New Roman" w:eastAsia="Times New Roman"/>
          <w:spacing w:val="-3"/>
        </w:rPr>
        <w:t>QDII </w:t>
      </w:r>
      <w:r>
        <w:rPr/>
        <w:t>基金</w:t>
      </w:r>
      <w:r>
        <w:rPr>
          <w:rFonts w:ascii="Times New Roman" w:eastAsia="Times New Roman"/>
        </w:rPr>
        <w:t>47</w:t>
      </w:r>
      <w:r>
        <w:rPr>
          <w:spacing w:val="-9"/>
        </w:rPr>
        <w:t>只，覆盖了股票型、债券型、混合型、货币型、指数型、</w:t>
      </w:r>
      <w:r>
        <w:rPr>
          <w:rFonts w:ascii="Times New Roman" w:eastAsia="Times New Roman"/>
          <w:spacing w:val="-3"/>
        </w:rPr>
        <w:t>FOF</w:t>
      </w:r>
      <w:r>
        <w:rPr>
          <w:spacing w:val="-4"/>
        </w:rPr>
        <w:t>等多种类型的基金，满</w:t>
      </w:r>
      <w:r>
        <w:rPr>
          <w:spacing w:val="-3"/>
        </w:rPr>
        <w:t>足了不同客户多元化的投资理财需求，基金托管规模位居同业前列。</w:t>
      </w:r>
    </w:p>
    <w:p>
      <w:pPr>
        <w:pStyle w:val="BodyText"/>
        <w:spacing w:line="269" w:lineRule="exact"/>
        <w:ind w:left="640"/>
      </w:pPr>
      <w:r>
        <w:rPr/>
        <w:t>（四）托管业务的内部控制制度</w:t>
      </w:r>
    </w:p>
    <w:p>
      <w:pPr>
        <w:pStyle w:val="BodyText"/>
        <w:spacing w:before="7"/>
        <w:rPr>
          <w:sz w:val="15"/>
        </w:rPr>
      </w:pPr>
    </w:p>
    <w:p>
      <w:pPr>
        <w:pStyle w:val="BodyText"/>
        <w:spacing w:line="417" w:lineRule="auto"/>
        <w:ind w:left="220" w:right="591" w:firstLine="419"/>
        <w:jc w:val="both"/>
      </w:pPr>
      <w:r>
        <w:rPr>
          <w:spacing w:val="-6"/>
        </w:rPr>
        <w:t>中国银行托管业务部风险管理与控制工作是中国银行全面风险控制工作的组成部分，秉承中国银行风险控制理念，坚持</w:t>
      </w:r>
      <w:r>
        <w:rPr>
          <w:rFonts w:ascii="Times New Roman" w:hAnsi="Times New Roman" w:eastAsia="Times New Roman"/>
          <w:spacing w:val="-3"/>
        </w:rPr>
        <w:t>“</w:t>
      </w:r>
      <w:r>
        <w:rPr>
          <w:spacing w:val="-7"/>
        </w:rPr>
        <w:t>规范运作、稳健经营</w:t>
      </w:r>
      <w:r>
        <w:rPr>
          <w:rFonts w:ascii="Times New Roman" w:hAnsi="Times New Roman" w:eastAsia="Times New Roman"/>
        </w:rPr>
        <w:t>”</w:t>
      </w:r>
      <w:r>
        <w:rPr>
          <w:spacing w:val="-7"/>
        </w:rPr>
        <w:t>的原则。中国银行托管业务部风险控</w:t>
      </w:r>
      <w:r>
        <w:rPr>
          <w:spacing w:val="-11"/>
        </w:rPr>
        <w:t>制工作贯穿业务各环节，通过风险识别与评估、风险控制措施设定及制度建设、内外部检查</w:t>
      </w:r>
      <w:r>
        <w:rPr>
          <w:spacing w:val="-6"/>
        </w:rPr>
        <w:t>及审计等措施强化托管业务全员、全面、全程的风险管控。</w:t>
      </w:r>
    </w:p>
    <w:p>
      <w:pPr>
        <w:pStyle w:val="BodyText"/>
        <w:spacing w:line="417" w:lineRule="auto"/>
        <w:ind w:left="220" w:right="488" w:firstLine="419"/>
      </w:pPr>
      <w:r>
        <w:rPr>
          <w:rFonts w:ascii="Times New Roman" w:hAnsi="Times New Roman" w:eastAsia="Times New Roman"/>
        </w:rPr>
        <w:t>2007</w:t>
      </w:r>
      <w:r>
        <w:rPr>
          <w:spacing w:val="-3"/>
        </w:rPr>
        <w:t>年起，中国银行连续聘请外部会计会计师事务所开展托管业务内部控制审阅工作。</w:t>
      </w:r>
      <w:r>
        <w:rPr>
          <w:spacing w:val="-1"/>
        </w:rPr>
        <w:t>先后获得基于 </w:t>
      </w:r>
      <w:r>
        <w:rPr>
          <w:rFonts w:ascii="Times New Roman" w:hAnsi="Times New Roman" w:eastAsia="Times New Roman"/>
        </w:rPr>
        <w:t>“SAS70”</w:t>
      </w:r>
      <w:r>
        <w:rPr/>
        <w:t>、</w:t>
      </w:r>
      <w:r>
        <w:rPr>
          <w:rFonts w:ascii="Times New Roman" w:hAnsi="Times New Roman" w:eastAsia="Times New Roman"/>
        </w:rPr>
        <w:t>“AAF01/06”</w:t>
      </w:r>
      <w:r>
        <w:rPr>
          <w:rFonts w:ascii="Times New Roman" w:hAnsi="Times New Roman" w:eastAsia="Times New Roman"/>
          <w:spacing w:val="5"/>
        </w:rPr>
        <w:t> “</w:t>
      </w:r>
      <w:r>
        <w:rPr>
          <w:rFonts w:ascii="Times New Roman" w:hAnsi="Times New Roman" w:eastAsia="Times New Roman"/>
        </w:rPr>
        <w:t>ISAE3402”</w:t>
      </w:r>
      <w:r>
        <w:rPr/>
        <w:t>和</w:t>
      </w:r>
      <w:r>
        <w:rPr>
          <w:rFonts w:ascii="Times New Roman" w:hAnsi="Times New Roman" w:eastAsia="Times New Roman"/>
        </w:rPr>
        <w:t>“SSAE16”</w:t>
      </w:r>
      <w:r>
        <w:rPr/>
        <w:t>等国际主流内控审阅准则的</w:t>
      </w:r>
      <w:r>
        <w:rPr>
          <w:spacing w:val="-1"/>
        </w:rPr>
        <w:t>无保留意见的审阅报告。</w:t>
      </w:r>
      <w:r>
        <w:rPr>
          <w:rFonts w:ascii="Times New Roman" w:hAnsi="Times New Roman" w:eastAsia="Times New Roman"/>
        </w:rPr>
        <w:t>2017</w:t>
      </w:r>
      <w:r>
        <w:rPr>
          <w:spacing w:val="-2"/>
        </w:rPr>
        <w:t>年，中国银行继续获得了基于</w:t>
      </w:r>
      <w:r>
        <w:rPr>
          <w:rFonts w:ascii="Times New Roman" w:hAnsi="Times New Roman" w:eastAsia="Times New Roman"/>
        </w:rPr>
        <w:t>“ISAE3402”</w:t>
      </w:r>
      <w:r>
        <w:rPr/>
        <w:t>和</w:t>
      </w:r>
      <w:r>
        <w:rPr>
          <w:rFonts w:ascii="Times New Roman" w:hAnsi="Times New Roman" w:eastAsia="Times New Roman"/>
        </w:rPr>
        <w:t>“SSAE16”</w:t>
      </w:r>
      <w:r>
        <w:rPr>
          <w:spacing w:val="-3"/>
        </w:rPr>
        <w:t>双准则</w:t>
      </w:r>
      <w:r>
        <w:rPr>
          <w:spacing w:val="-9"/>
        </w:rPr>
        <w:t>的内部控制审计报告。中国银行托管业务内控制度完善，内控措施严密，能够有效保证托管</w:t>
      </w:r>
      <w:r>
        <w:rPr>
          <w:spacing w:val="-5"/>
        </w:rPr>
        <w:t>资产的安全。</w:t>
      </w:r>
    </w:p>
    <w:p>
      <w:pPr>
        <w:pStyle w:val="BodyText"/>
        <w:spacing w:line="269" w:lineRule="exact"/>
        <w:ind w:left="640"/>
      </w:pPr>
      <w:r>
        <w:rPr/>
        <w:t>（五）托管人对管理人运作基金进行监督的方法和程序</w:t>
      </w:r>
    </w:p>
    <w:p>
      <w:pPr>
        <w:pStyle w:val="BodyText"/>
        <w:spacing w:before="6"/>
        <w:rPr>
          <w:sz w:val="15"/>
        </w:rPr>
      </w:pPr>
    </w:p>
    <w:p>
      <w:pPr>
        <w:pStyle w:val="BodyText"/>
        <w:spacing w:line="417" w:lineRule="auto"/>
        <w:ind w:left="220" w:right="591" w:firstLine="419"/>
        <w:jc w:val="both"/>
      </w:pPr>
      <w:r>
        <w:rPr>
          <w:spacing w:val="-13"/>
        </w:rPr>
        <w:t>根据《中华人民共和国证券投资基金法》</w:t>
      </w:r>
      <w:r>
        <w:rPr>
          <w:spacing w:val="-15"/>
        </w:rPr>
        <w:t>、《公开募集证券投资基金运作管理办法》的相</w:t>
      </w:r>
      <w:r>
        <w:rPr>
          <w:spacing w:val="-12"/>
        </w:rPr>
        <w:t>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Pr>
          <w:rFonts w:ascii="Times New Roman" w:eastAsia="Times New Roman"/>
          <w:spacing w:val="-12"/>
        </w:rPr>
        <w:t>,</w:t>
      </w:r>
      <w:r>
        <w:rPr>
          <w:spacing w:val="-12"/>
        </w:rPr>
        <w:t>应当及时通知基金管理人，并及时向国务</w:t>
      </w:r>
      <w:r>
        <w:rPr>
          <w:spacing w:val="-3"/>
        </w:rPr>
        <w:t>院证券监督管理机构报告。</w:t>
      </w:r>
    </w:p>
    <w:p>
      <w:pPr>
        <w:spacing w:after="0" w:line="417" w:lineRule="auto"/>
        <w:jc w:val="both"/>
        <w:sectPr>
          <w:pgSz w:w="11910" w:h="16840"/>
          <w:pgMar w:header="877" w:footer="995" w:top="1420" w:bottom="1180" w:left="1580" w:right="1200"/>
        </w:sectPr>
      </w:pPr>
    </w:p>
    <w:p>
      <w:pPr>
        <w:pStyle w:val="Heading1"/>
        <w:spacing w:before="110"/>
      </w:pPr>
      <w:bookmarkStart w:name="_bookmark4" w:id="5"/>
      <w:bookmarkEnd w:id="5"/>
      <w:r>
        <w:rPr>
          <w:b w:val="0"/>
        </w:rPr>
      </w:r>
      <w:r>
        <w:rPr/>
        <w:t>五、相关服务机构</w:t>
      </w:r>
    </w:p>
    <w:p>
      <w:pPr>
        <w:pStyle w:val="BodyText"/>
        <w:rPr>
          <w:b/>
          <w:sz w:val="20"/>
        </w:rPr>
      </w:pPr>
    </w:p>
    <w:p>
      <w:pPr>
        <w:pStyle w:val="BodyText"/>
        <w:spacing w:before="7"/>
        <w:rPr>
          <w:b/>
          <w:sz w:val="15"/>
        </w:rPr>
      </w:pPr>
    </w:p>
    <w:p>
      <w:pPr>
        <w:pStyle w:val="BodyText"/>
        <w:spacing w:before="72"/>
        <w:ind w:left="640"/>
      </w:pPr>
      <w:r>
        <w:rPr/>
        <w:t>（一）销售机构</w:t>
      </w:r>
    </w:p>
    <w:p>
      <w:pPr>
        <w:pStyle w:val="BodyText"/>
        <w:spacing w:before="7"/>
        <w:rPr>
          <w:sz w:val="15"/>
        </w:rPr>
      </w:pPr>
    </w:p>
    <w:p>
      <w:pPr>
        <w:pStyle w:val="BodyText"/>
        <w:spacing w:line="417" w:lineRule="auto"/>
        <w:ind w:left="640" w:right="4912"/>
      </w:pPr>
      <w:r>
        <w:rPr>
          <w:rFonts w:ascii="Times New Roman" w:eastAsia="Times New Roman"/>
        </w:rPr>
        <w:t>1</w:t>
      </w:r>
      <w:r>
        <w:rPr>
          <w:spacing w:val="-3"/>
        </w:rPr>
        <w:t>、直销机构：华夏基金管理有限公司</w:t>
      </w:r>
      <w:r>
        <w:rPr>
          <w:spacing w:val="-6"/>
        </w:rPr>
        <w:t>住所：北京市顺义区安庆大街甲 </w:t>
      </w:r>
      <w:r>
        <w:rPr>
          <w:rFonts w:ascii="Times New Roman" w:eastAsia="Times New Roman"/>
        </w:rPr>
        <w:t>3 </w:t>
      </w:r>
      <w:r>
        <w:rPr>
          <w:spacing w:val="-9"/>
        </w:rPr>
        <w:t>号院</w:t>
      </w:r>
    </w:p>
    <w:p>
      <w:pPr>
        <w:pStyle w:val="BodyText"/>
        <w:spacing w:line="417" w:lineRule="auto"/>
        <w:ind w:left="640" w:right="308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640" w:right="582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ind w:left="640"/>
      </w:pPr>
      <w:r>
        <w:rPr/>
        <w:t>联系人：张德根</w:t>
      </w:r>
    </w:p>
    <w:p>
      <w:pPr>
        <w:pStyle w:val="BodyText"/>
        <w:spacing w:before="6"/>
        <w:rPr>
          <w:sz w:val="15"/>
        </w:rPr>
      </w:pPr>
    </w:p>
    <w:p>
      <w:pPr>
        <w:pStyle w:val="BodyText"/>
        <w:spacing w:line="417" w:lineRule="auto"/>
        <w:ind w:left="640" w:right="5931"/>
      </w:pPr>
      <w:r>
        <w:rPr/>
        <w:t>网址：</w:t>
      </w:r>
      <w:hyperlink r:id="rId14">
        <w:r>
          <w:rPr>
            <w:rFonts w:ascii="Times New Roman" w:eastAsia="Times New Roman"/>
          </w:rPr>
          <w:t>www.ChinaAMC.com</w:t>
        </w:r>
      </w:hyperlink>
      <w:r>
        <w:rPr>
          <w:rFonts w:ascii="Times New Roman" w:eastAsia="Times New Roman"/>
        </w:rPr>
        <w:t> 2</w:t>
      </w:r>
      <w:r>
        <w:rPr/>
        <w:t>、代销机构</w:t>
      </w:r>
    </w:p>
    <w:p>
      <w:pPr>
        <w:pStyle w:val="ListParagraph"/>
        <w:numPr>
          <w:ilvl w:val="0"/>
          <w:numId w:val="7"/>
        </w:numPr>
        <w:tabs>
          <w:tab w:pos="1170" w:val="left" w:leader="none"/>
        </w:tabs>
        <w:spacing w:line="269" w:lineRule="exact" w:before="0" w:after="0"/>
        <w:ind w:left="1169" w:right="0" w:hanging="530"/>
        <w:jc w:val="left"/>
        <w:rPr>
          <w:sz w:val="21"/>
        </w:rPr>
      </w:pPr>
      <w:r>
        <w:rPr>
          <w:spacing w:val="-3"/>
          <w:sz w:val="21"/>
        </w:rPr>
        <w:t>中国银行股份有限公司</w:t>
      </w:r>
    </w:p>
    <w:p>
      <w:pPr>
        <w:pStyle w:val="BodyText"/>
        <w:spacing w:before="7"/>
        <w:rPr>
          <w:sz w:val="15"/>
        </w:rPr>
      </w:pPr>
    </w:p>
    <w:p>
      <w:pPr>
        <w:pStyle w:val="BodyText"/>
        <w:ind w:left="640"/>
      </w:pPr>
      <w:r>
        <w:rPr/>
        <w:t>住所：北京市西城区复兴门内大街</w:t>
      </w:r>
      <w:r>
        <w:rPr>
          <w:rFonts w:ascii="Times New Roman" w:eastAsia="Times New Roman"/>
        </w:rPr>
        <w:t>1</w:t>
      </w:r>
      <w:r>
        <w:rPr/>
        <w:t>号</w:t>
      </w:r>
    </w:p>
    <w:p>
      <w:pPr>
        <w:pStyle w:val="BodyText"/>
        <w:spacing w:before="6"/>
        <w:rPr>
          <w:sz w:val="15"/>
        </w:rPr>
      </w:pPr>
    </w:p>
    <w:p>
      <w:pPr>
        <w:pStyle w:val="BodyText"/>
        <w:spacing w:line="417" w:lineRule="auto" w:before="1"/>
        <w:ind w:left="640" w:right="4595"/>
      </w:pPr>
      <w:r>
        <w:rPr/>
        <w:t>办公地址：北京市西城区复兴门内大街</w:t>
      </w:r>
      <w:r>
        <w:rPr>
          <w:rFonts w:ascii="Times New Roman" w:eastAsia="Times New Roman"/>
        </w:rPr>
        <w:t>1</w:t>
      </w:r>
      <w:r>
        <w:rPr/>
        <w:t>号法定代表人：刘连舸</w:t>
      </w:r>
    </w:p>
    <w:p>
      <w:pPr>
        <w:pStyle w:val="BodyText"/>
        <w:spacing w:line="417" w:lineRule="auto"/>
        <w:ind w:left="640" w:right="6626"/>
        <w:rPr>
          <w:rFonts w:ascii="Times New Roman" w:eastAsia="Times New Roman"/>
        </w:rPr>
      </w:pPr>
      <w:r>
        <w:rPr/>
        <w:t>电话：</w:t>
      </w:r>
      <w:r>
        <w:rPr>
          <w:rFonts w:ascii="Times New Roman" w:eastAsia="Times New Roman"/>
        </w:rPr>
        <w:t>010-66596688 </w:t>
      </w:r>
      <w:r>
        <w:rPr/>
        <w:t>传真：</w:t>
      </w:r>
      <w:r>
        <w:rPr>
          <w:rFonts w:ascii="Times New Roman" w:eastAsia="Times New Roman"/>
        </w:rPr>
        <w:t>010-66593777</w:t>
      </w:r>
    </w:p>
    <w:p>
      <w:pPr>
        <w:pStyle w:val="BodyText"/>
        <w:spacing w:line="417" w:lineRule="auto"/>
        <w:ind w:left="640" w:right="6381"/>
        <w:rPr>
          <w:rFonts w:ascii="Times New Roman" w:eastAsia="Times New Roman"/>
        </w:rPr>
      </w:pPr>
      <w:r>
        <w:rPr/>
        <w:t>联系人：客户服务中心网址：</w:t>
      </w:r>
      <w:hyperlink r:id="rId15">
        <w:r>
          <w:rPr>
            <w:rFonts w:ascii="Times New Roman" w:eastAsia="Times New Roman"/>
          </w:rPr>
          <w:t>www.boc.cn</w:t>
        </w:r>
      </w:hyperlink>
    </w:p>
    <w:p>
      <w:pPr>
        <w:pStyle w:val="BodyText"/>
        <w:spacing w:line="269" w:lineRule="exact"/>
        <w:ind w:left="640"/>
        <w:rPr>
          <w:rFonts w:ascii="Times New Roman" w:eastAsia="Times New Roman"/>
        </w:rPr>
      </w:pPr>
      <w:r>
        <w:rPr/>
        <w:t>客户服务电话：</w:t>
      </w:r>
      <w:r>
        <w:rPr>
          <w:rFonts w:ascii="Times New Roman" w:eastAsia="Times New Roman"/>
        </w:rPr>
        <w:t>95566</w:t>
      </w:r>
    </w:p>
    <w:p>
      <w:pPr>
        <w:pStyle w:val="BodyText"/>
        <w:spacing w:before="3"/>
        <w:rPr>
          <w:rFonts w:ascii="Times New Roman"/>
          <w:sz w:val="17"/>
        </w:rPr>
      </w:pPr>
    </w:p>
    <w:p>
      <w:pPr>
        <w:pStyle w:val="ListParagraph"/>
        <w:numPr>
          <w:ilvl w:val="0"/>
          <w:numId w:val="7"/>
        </w:numPr>
        <w:tabs>
          <w:tab w:pos="1170" w:val="left" w:leader="none"/>
        </w:tabs>
        <w:spacing w:line="240" w:lineRule="auto" w:before="0" w:after="0"/>
        <w:ind w:left="1169" w:right="0" w:hanging="530"/>
        <w:jc w:val="left"/>
        <w:rPr>
          <w:sz w:val="21"/>
        </w:rPr>
      </w:pPr>
      <w:r>
        <w:rPr>
          <w:spacing w:val="-3"/>
          <w:sz w:val="21"/>
        </w:rPr>
        <w:t>交通银行股份有限公司</w:t>
      </w:r>
    </w:p>
    <w:p>
      <w:pPr>
        <w:pStyle w:val="BodyText"/>
        <w:spacing w:before="7"/>
        <w:rPr>
          <w:sz w:val="15"/>
        </w:rPr>
      </w:pPr>
    </w:p>
    <w:p>
      <w:pPr>
        <w:pStyle w:val="BodyText"/>
        <w:ind w:left="640"/>
      </w:pPr>
      <w:r>
        <w:rPr/>
        <w:t>住所：上海市浦东新区银城中路</w:t>
      </w:r>
      <w:r>
        <w:rPr>
          <w:rFonts w:ascii="Times New Roman" w:eastAsia="Times New Roman"/>
        </w:rPr>
        <w:t>188</w:t>
      </w:r>
      <w:r>
        <w:rPr/>
        <w:t>号</w:t>
      </w:r>
    </w:p>
    <w:p>
      <w:pPr>
        <w:pStyle w:val="BodyText"/>
        <w:spacing w:before="7"/>
        <w:rPr>
          <w:sz w:val="15"/>
        </w:rPr>
      </w:pPr>
    </w:p>
    <w:p>
      <w:pPr>
        <w:pStyle w:val="BodyText"/>
        <w:spacing w:line="417" w:lineRule="auto"/>
        <w:ind w:left="640" w:right="4595"/>
      </w:pPr>
      <w:r>
        <w:rPr/>
        <w:t>办公地址：上海市浦东新区银城中路</w:t>
      </w:r>
      <w:r>
        <w:rPr>
          <w:rFonts w:ascii="Times New Roman" w:eastAsia="Times New Roman"/>
        </w:rPr>
        <w:t>188</w:t>
      </w:r>
      <w:r>
        <w:rPr/>
        <w:t>号法定代表人：任德奇</w:t>
      </w:r>
    </w:p>
    <w:p>
      <w:pPr>
        <w:pStyle w:val="BodyText"/>
        <w:spacing w:line="417" w:lineRule="auto"/>
        <w:ind w:left="640" w:right="6626"/>
        <w:rPr>
          <w:rFonts w:ascii="Times New Roman" w:eastAsia="Times New Roman"/>
        </w:rPr>
      </w:pPr>
      <w:r>
        <w:rPr/>
        <w:t>电话：</w:t>
      </w:r>
      <w:r>
        <w:rPr>
          <w:rFonts w:ascii="Times New Roman" w:eastAsia="Times New Roman"/>
        </w:rPr>
        <w:t>021-58781234 </w:t>
      </w:r>
      <w:r>
        <w:rPr/>
        <w:t>传真：</w:t>
      </w:r>
      <w:r>
        <w:rPr>
          <w:rFonts w:ascii="Times New Roman" w:eastAsia="Times New Roman"/>
        </w:rPr>
        <w:t>021-58408483</w:t>
      </w:r>
    </w:p>
    <w:p>
      <w:pPr>
        <w:pStyle w:val="BodyText"/>
        <w:spacing w:line="269" w:lineRule="exact"/>
        <w:ind w:left="640"/>
      </w:pPr>
      <w:r>
        <w:rPr/>
        <w:t>联系人：陈旭</w:t>
      </w:r>
    </w:p>
    <w:p>
      <w:pPr>
        <w:pStyle w:val="BodyText"/>
        <w:spacing w:before="6"/>
        <w:rPr>
          <w:sz w:val="15"/>
        </w:rPr>
      </w:pPr>
    </w:p>
    <w:p>
      <w:pPr>
        <w:pStyle w:val="BodyText"/>
        <w:spacing w:line="417" w:lineRule="auto" w:before="1"/>
        <w:ind w:left="640" w:right="5968"/>
        <w:rPr>
          <w:rFonts w:ascii="Times New Roman" w:eastAsia="Times New Roman"/>
        </w:rPr>
      </w:pPr>
      <w:r>
        <w:rPr/>
        <w:t>网址：</w:t>
      </w:r>
      <w:hyperlink r:id="rId16">
        <w:r>
          <w:rPr>
            <w:rFonts w:ascii="Times New Roman" w:eastAsia="Times New Roman"/>
          </w:rPr>
          <w:t>www.bankcomm.com </w:t>
        </w:r>
      </w:hyperlink>
      <w:r>
        <w:rPr/>
        <w:t>客户服务电话：</w:t>
      </w:r>
      <w:r>
        <w:rPr>
          <w:rFonts w:ascii="Times New Roman" w:eastAsia="Times New Roman"/>
        </w:rPr>
        <w:t>95559</w:t>
      </w:r>
    </w:p>
    <w:p>
      <w:pPr>
        <w:spacing w:after="0" w:line="417" w:lineRule="auto"/>
        <w:rPr>
          <w:rFonts w:ascii="Times New Roman" w:eastAsia="Times New Roman"/>
        </w:rPr>
        <w:sectPr>
          <w:pgSz w:w="11910" w:h="16840"/>
          <w:pgMar w:header="877" w:footer="995" w:top="1420" w:bottom="1180" w:left="1580" w:right="1200"/>
        </w:sectPr>
      </w:pPr>
    </w:p>
    <w:p>
      <w:pPr>
        <w:pStyle w:val="ListParagraph"/>
        <w:numPr>
          <w:ilvl w:val="0"/>
          <w:numId w:val="7"/>
        </w:numPr>
        <w:tabs>
          <w:tab w:pos="1170" w:val="left" w:leader="none"/>
        </w:tabs>
        <w:spacing w:line="240" w:lineRule="auto" w:before="110" w:after="0"/>
        <w:ind w:left="1169" w:right="0" w:hanging="530"/>
        <w:jc w:val="left"/>
        <w:rPr>
          <w:sz w:val="21"/>
        </w:rPr>
      </w:pPr>
      <w:r>
        <w:rPr>
          <w:spacing w:val="-3"/>
          <w:sz w:val="21"/>
        </w:rPr>
        <w:t>中信银行股份有限公司</w:t>
      </w:r>
    </w:p>
    <w:p>
      <w:pPr>
        <w:pStyle w:val="BodyText"/>
        <w:spacing w:before="6"/>
        <w:rPr>
          <w:sz w:val="15"/>
        </w:rPr>
      </w:pPr>
    </w:p>
    <w:p>
      <w:pPr>
        <w:pStyle w:val="BodyText"/>
        <w:ind w:left="640"/>
      </w:pPr>
      <w:r>
        <w:rPr/>
        <w:t>住所：北京市东城区朝阳门北大街</w:t>
      </w:r>
      <w:r>
        <w:rPr>
          <w:rFonts w:ascii="Times New Roman" w:eastAsia="Times New Roman"/>
        </w:rPr>
        <w:t>8</w:t>
      </w:r>
      <w:r>
        <w:rPr/>
        <w:t>号富华大厦</w:t>
      </w:r>
      <w:r>
        <w:rPr>
          <w:rFonts w:ascii="Times New Roman" w:eastAsia="Times New Roman"/>
        </w:rPr>
        <w:t>C</w:t>
      </w:r>
      <w:r>
        <w:rPr/>
        <w:t>座</w:t>
      </w:r>
    </w:p>
    <w:p>
      <w:pPr>
        <w:pStyle w:val="BodyText"/>
        <w:spacing w:before="7"/>
        <w:rPr>
          <w:sz w:val="15"/>
        </w:rPr>
      </w:pPr>
    </w:p>
    <w:p>
      <w:pPr>
        <w:pStyle w:val="BodyText"/>
        <w:spacing w:line="417" w:lineRule="auto"/>
        <w:ind w:left="640" w:right="3404"/>
      </w:pPr>
      <w:r>
        <w:rPr/>
        <w:t>办公地址：北京市东城区朝阳门北大街</w:t>
      </w:r>
      <w:r>
        <w:rPr>
          <w:rFonts w:ascii="Times New Roman" w:eastAsia="Times New Roman"/>
        </w:rPr>
        <w:t>8</w:t>
      </w:r>
      <w:r>
        <w:rPr/>
        <w:t>号富华大厦</w:t>
      </w:r>
      <w:r>
        <w:rPr>
          <w:rFonts w:ascii="Times New Roman" w:eastAsia="Times New Roman"/>
        </w:rPr>
        <w:t>C</w:t>
      </w:r>
      <w:r>
        <w:rPr/>
        <w:t>座法定代表人：李庆萍</w:t>
      </w:r>
    </w:p>
    <w:p>
      <w:pPr>
        <w:pStyle w:val="BodyText"/>
        <w:spacing w:line="417" w:lineRule="auto"/>
        <w:ind w:left="640" w:right="6626"/>
        <w:rPr>
          <w:rFonts w:ascii="Times New Roman" w:eastAsia="Times New Roman"/>
        </w:rPr>
      </w:pPr>
      <w:r>
        <w:rPr/>
        <w:t>电话：</w:t>
      </w:r>
      <w:r>
        <w:rPr>
          <w:rFonts w:ascii="Times New Roman" w:eastAsia="Times New Roman"/>
        </w:rPr>
        <w:t>010-65556689 </w:t>
      </w:r>
      <w:r>
        <w:rPr/>
        <w:t>传真：</w:t>
      </w:r>
      <w:r>
        <w:rPr>
          <w:rFonts w:ascii="Times New Roman" w:eastAsia="Times New Roman"/>
        </w:rPr>
        <w:t>010-65550827</w:t>
      </w:r>
    </w:p>
    <w:p>
      <w:pPr>
        <w:pStyle w:val="BodyText"/>
        <w:spacing w:line="269" w:lineRule="exact"/>
        <w:ind w:left="640"/>
      </w:pPr>
      <w:r>
        <w:rPr/>
        <w:t>联系人：方爽</w:t>
      </w:r>
    </w:p>
    <w:p>
      <w:pPr>
        <w:pStyle w:val="BodyText"/>
        <w:spacing w:before="7"/>
        <w:rPr>
          <w:sz w:val="15"/>
        </w:rPr>
      </w:pPr>
    </w:p>
    <w:p>
      <w:pPr>
        <w:pStyle w:val="BodyText"/>
        <w:spacing w:line="417" w:lineRule="auto"/>
        <w:ind w:left="640" w:right="6487"/>
        <w:rPr>
          <w:rFonts w:ascii="Times New Roman" w:eastAsia="Times New Roman"/>
        </w:rPr>
      </w:pPr>
      <w:r>
        <w:rPr/>
        <w:t>网址：</w:t>
      </w:r>
      <w:r>
        <w:rPr>
          <w:rFonts w:ascii="Times New Roman" w:eastAsia="Times New Roman"/>
        </w:rPr>
        <w:t>bank.ecitic.com </w:t>
      </w:r>
      <w:r>
        <w:rPr/>
        <w:t>客户服务电话：</w:t>
      </w:r>
      <w:r>
        <w:rPr>
          <w:rFonts w:ascii="Times New Roman" w:eastAsia="Times New Roman"/>
        </w:rPr>
        <w:t>95558</w:t>
      </w:r>
    </w:p>
    <w:p>
      <w:pPr>
        <w:pStyle w:val="ListParagraph"/>
        <w:numPr>
          <w:ilvl w:val="0"/>
          <w:numId w:val="7"/>
        </w:numPr>
        <w:tabs>
          <w:tab w:pos="1170" w:val="left" w:leader="none"/>
        </w:tabs>
        <w:spacing w:line="269" w:lineRule="exact" w:before="0" w:after="0"/>
        <w:ind w:left="1169" w:right="0" w:hanging="530"/>
        <w:jc w:val="left"/>
        <w:rPr>
          <w:sz w:val="21"/>
        </w:rPr>
      </w:pPr>
      <w:r>
        <w:rPr>
          <w:spacing w:val="-3"/>
          <w:sz w:val="21"/>
        </w:rPr>
        <w:t>平安银行股份有限公司</w:t>
      </w:r>
    </w:p>
    <w:p>
      <w:pPr>
        <w:pStyle w:val="BodyText"/>
        <w:spacing w:before="7"/>
        <w:rPr>
          <w:sz w:val="15"/>
        </w:rPr>
      </w:pPr>
    </w:p>
    <w:p>
      <w:pPr>
        <w:pStyle w:val="BodyText"/>
        <w:ind w:left="640"/>
      </w:pPr>
      <w:r>
        <w:rPr/>
        <w:t>住所：广东省深圳市深南东路</w:t>
      </w:r>
      <w:r>
        <w:rPr>
          <w:rFonts w:ascii="Times New Roman" w:eastAsia="Times New Roman"/>
        </w:rPr>
        <w:t>5047</w:t>
      </w:r>
      <w:r>
        <w:rPr/>
        <w:t>号</w:t>
      </w:r>
    </w:p>
    <w:p>
      <w:pPr>
        <w:pStyle w:val="BodyText"/>
        <w:spacing w:before="7"/>
        <w:rPr>
          <w:sz w:val="15"/>
        </w:rPr>
      </w:pPr>
    </w:p>
    <w:p>
      <w:pPr>
        <w:pStyle w:val="BodyText"/>
        <w:spacing w:line="417" w:lineRule="auto"/>
        <w:ind w:left="640" w:right="4698"/>
      </w:pPr>
      <w:r>
        <w:rPr/>
        <w:t>办公地址：广东省深圳市深南东路</w:t>
      </w:r>
      <w:r>
        <w:rPr>
          <w:rFonts w:ascii="Times New Roman" w:eastAsia="Times New Roman"/>
        </w:rPr>
        <w:t>5047</w:t>
      </w:r>
      <w:r>
        <w:rPr/>
        <w:t>号法定代表人：孙建一</w:t>
      </w:r>
    </w:p>
    <w:p>
      <w:pPr>
        <w:pStyle w:val="BodyText"/>
        <w:spacing w:line="417" w:lineRule="auto"/>
        <w:ind w:left="640" w:right="6520"/>
        <w:rPr>
          <w:rFonts w:ascii="Times New Roman" w:eastAsia="Times New Roman"/>
        </w:rPr>
      </w:pPr>
      <w:r>
        <w:rPr/>
        <w:t>电话：</w:t>
      </w:r>
      <w:r>
        <w:rPr>
          <w:rFonts w:ascii="Times New Roman" w:eastAsia="Times New Roman"/>
        </w:rPr>
        <w:t>0755-82088888 </w:t>
      </w:r>
      <w:r>
        <w:rPr/>
        <w:t>传真：</w:t>
      </w:r>
      <w:r>
        <w:rPr>
          <w:rFonts w:ascii="Times New Roman" w:eastAsia="Times New Roman"/>
        </w:rPr>
        <w:t>0755-25841098</w:t>
      </w:r>
    </w:p>
    <w:p>
      <w:pPr>
        <w:pStyle w:val="BodyText"/>
        <w:ind w:left="640"/>
      </w:pPr>
      <w:r>
        <w:rPr/>
        <w:t>联系人：张莉</w:t>
      </w:r>
    </w:p>
    <w:p>
      <w:pPr>
        <w:pStyle w:val="BodyText"/>
        <w:spacing w:before="6"/>
        <w:rPr>
          <w:sz w:val="15"/>
        </w:rPr>
      </w:pPr>
    </w:p>
    <w:p>
      <w:pPr>
        <w:pStyle w:val="BodyText"/>
        <w:spacing w:line="417" w:lineRule="auto"/>
        <w:ind w:left="640" w:right="6280"/>
        <w:rPr>
          <w:rFonts w:ascii="Times New Roman" w:eastAsia="Times New Roman"/>
        </w:rPr>
      </w:pPr>
      <w:r>
        <w:rPr/>
        <w:t>网址：</w:t>
      </w:r>
      <w:r>
        <w:rPr>
          <w:rFonts w:ascii="Times New Roman" w:eastAsia="Times New Roman"/>
        </w:rPr>
        <w:t>bank.pingan.com </w:t>
      </w:r>
      <w:r>
        <w:rPr/>
        <w:t>客户服务电话：</w:t>
      </w:r>
      <w:r>
        <w:rPr>
          <w:rFonts w:ascii="Times New Roman" w:eastAsia="Times New Roman"/>
        </w:rPr>
        <w:t>95511-3</w:t>
      </w:r>
    </w:p>
    <w:p>
      <w:pPr>
        <w:pStyle w:val="ListParagraph"/>
        <w:numPr>
          <w:ilvl w:val="0"/>
          <w:numId w:val="7"/>
        </w:numPr>
        <w:tabs>
          <w:tab w:pos="1170" w:val="left" w:leader="none"/>
        </w:tabs>
        <w:spacing w:line="417" w:lineRule="auto" w:before="0" w:after="0"/>
        <w:ind w:left="640" w:right="5015" w:firstLine="0"/>
        <w:jc w:val="left"/>
        <w:rPr>
          <w:sz w:val="21"/>
        </w:rPr>
      </w:pPr>
      <w:r>
        <w:rPr>
          <w:spacing w:val="-4"/>
          <w:sz w:val="21"/>
        </w:rPr>
        <w:t>上海农村商业银行股份有限公司</w:t>
      </w:r>
      <w:r>
        <w:rPr>
          <w:spacing w:val="-3"/>
          <w:sz w:val="21"/>
        </w:rPr>
        <w:t>住所：上海市浦东新区浦东大道</w:t>
      </w:r>
      <w:r>
        <w:rPr>
          <w:rFonts w:ascii="Times New Roman" w:eastAsia="Times New Roman"/>
          <w:sz w:val="21"/>
        </w:rPr>
        <w:t>981</w:t>
      </w:r>
      <w:r>
        <w:rPr>
          <w:spacing w:val="-13"/>
          <w:sz w:val="21"/>
        </w:rPr>
        <w:t>号</w:t>
      </w:r>
    </w:p>
    <w:p>
      <w:pPr>
        <w:pStyle w:val="BodyText"/>
        <w:spacing w:line="417" w:lineRule="auto"/>
        <w:ind w:left="640" w:right="3546"/>
      </w:pPr>
      <w:r>
        <w:rPr/>
        <w:t>办公地址：上海市银城中路</w:t>
      </w:r>
      <w:r>
        <w:rPr>
          <w:rFonts w:ascii="Times New Roman" w:eastAsia="Times New Roman"/>
        </w:rPr>
        <w:t>8</w:t>
      </w:r>
      <w:r>
        <w:rPr/>
        <w:t>号中融碧玉蓝天大厦</w:t>
      </w:r>
      <w:r>
        <w:rPr>
          <w:rFonts w:ascii="Times New Roman" w:eastAsia="Times New Roman"/>
        </w:rPr>
        <w:t>15</w:t>
      </w:r>
      <w:r>
        <w:rPr/>
        <w:t>层法定代表人：胡平西</w:t>
      </w:r>
    </w:p>
    <w:p>
      <w:pPr>
        <w:pStyle w:val="BodyText"/>
        <w:spacing w:line="417" w:lineRule="auto"/>
        <w:ind w:left="640" w:right="6626"/>
        <w:rPr>
          <w:rFonts w:ascii="Times New Roman" w:eastAsia="Times New Roman"/>
        </w:rPr>
      </w:pPr>
      <w:r>
        <w:rPr/>
        <w:t>电话：</w:t>
      </w:r>
      <w:r>
        <w:rPr>
          <w:rFonts w:ascii="Times New Roman" w:eastAsia="Times New Roman"/>
        </w:rPr>
        <w:t>021-38523692 </w:t>
      </w:r>
      <w:r>
        <w:rPr/>
        <w:t>传真：</w:t>
      </w:r>
      <w:r>
        <w:rPr>
          <w:rFonts w:ascii="Times New Roman" w:eastAsia="Times New Roman"/>
        </w:rPr>
        <w:t>021-50105124</w:t>
      </w:r>
    </w:p>
    <w:p>
      <w:pPr>
        <w:pStyle w:val="BodyText"/>
        <w:spacing w:line="269" w:lineRule="exact"/>
        <w:ind w:left="640"/>
      </w:pPr>
      <w:r>
        <w:rPr/>
        <w:t>联系人：施传荣</w:t>
      </w:r>
    </w:p>
    <w:p>
      <w:pPr>
        <w:pStyle w:val="BodyText"/>
        <w:spacing w:before="6"/>
        <w:rPr>
          <w:sz w:val="15"/>
        </w:rPr>
      </w:pPr>
    </w:p>
    <w:p>
      <w:pPr>
        <w:pStyle w:val="BodyText"/>
        <w:spacing w:before="1"/>
        <w:ind w:left="640"/>
        <w:rPr>
          <w:rFonts w:ascii="Times New Roman" w:eastAsia="Times New Roman"/>
        </w:rPr>
      </w:pPr>
      <w:r>
        <w:rPr/>
        <w:t>网址：</w:t>
      </w:r>
      <w:hyperlink r:id="rId17">
        <w:r>
          <w:rPr>
            <w:rFonts w:ascii="Times New Roman" w:eastAsia="Times New Roman"/>
          </w:rPr>
          <w:t>www.srcb.com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021-962999</w:t>
      </w:r>
    </w:p>
    <w:p>
      <w:pPr>
        <w:pStyle w:val="BodyText"/>
        <w:spacing w:before="3"/>
        <w:rPr>
          <w:rFonts w:ascii="Times New Roman"/>
          <w:sz w:val="17"/>
        </w:rPr>
      </w:pPr>
    </w:p>
    <w:p>
      <w:pPr>
        <w:pStyle w:val="ListParagraph"/>
        <w:numPr>
          <w:ilvl w:val="0"/>
          <w:numId w:val="7"/>
        </w:numPr>
        <w:tabs>
          <w:tab w:pos="1170" w:val="left" w:leader="none"/>
        </w:tabs>
        <w:spacing w:line="240" w:lineRule="auto" w:before="0" w:after="0"/>
        <w:ind w:left="1169" w:right="0" w:hanging="530"/>
        <w:jc w:val="left"/>
        <w:rPr>
          <w:sz w:val="21"/>
        </w:rPr>
      </w:pPr>
      <w:r>
        <w:rPr>
          <w:spacing w:val="-3"/>
          <w:sz w:val="21"/>
        </w:rPr>
        <w:t>北京农村商业银行股份有限公司</w:t>
      </w:r>
    </w:p>
    <w:p>
      <w:pPr>
        <w:pStyle w:val="BodyText"/>
        <w:spacing w:before="7"/>
        <w:rPr>
          <w:sz w:val="15"/>
        </w:rPr>
      </w:pPr>
    </w:p>
    <w:p>
      <w:pPr>
        <w:pStyle w:val="BodyText"/>
        <w:spacing w:before="1"/>
        <w:ind w:left="640"/>
      </w:pPr>
      <w:r>
        <w:rPr/>
        <w:t>住所：北京市西城区月坛南街</w:t>
      </w:r>
      <w:r>
        <w:rPr>
          <w:rFonts w:ascii="Times New Roman" w:eastAsia="Times New Roman"/>
        </w:rPr>
        <w:t>1</w:t>
      </w:r>
      <w:r>
        <w:rPr/>
        <w:t>号院</w:t>
      </w:r>
      <w:r>
        <w:rPr>
          <w:rFonts w:ascii="Times New Roman" w:eastAsia="Times New Roman"/>
        </w:rPr>
        <w:t>2</w:t>
      </w:r>
      <w:r>
        <w:rPr/>
        <w:t>号楼</w:t>
      </w:r>
    </w:p>
    <w:p>
      <w:pPr>
        <w:pStyle w:val="BodyText"/>
        <w:spacing w:before="6"/>
        <w:rPr>
          <w:sz w:val="15"/>
        </w:rPr>
      </w:pPr>
    </w:p>
    <w:p>
      <w:pPr>
        <w:pStyle w:val="BodyText"/>
        <w:ind w:left="640"/>
      </w:pPr>
      <w:r>
        <w:rPr/>
        <w:t>办公地址：北京市西城区月坛南街</w:t>
      </w:r>
      <w:r>
        <w:rPr>
          <w:rFonts w:ascii="Times New Roman" w:eastAsia="Times New Roman"/>
        </w:rPr>
        <w:t>1</w:t>
      </w:r>
      <w:r>
        <w:rPr/>
        <w:t>号院</w:t>
      </w:r>
      <w:r>
        <w:rPr>
          <w:rFonts w:ascii="Times New Roman" w:eastAsia="Times New Roman"/>
        </w:rPr>
        <w:t>2</w:t>
      </w:r>
      <w:r>
        <w:rPr/>
        <w:t>号楼</w:t>
      </w:r>
    </w:p>
    <w:p>
      <w:pPr>
        <w:spacing w:after="0"/>
        <w:sectPr>
          <w:pgSz w:w="11910" w:h="16840"/>
          <w:pgMar w:header="877" w:footer="995" w:top="1420" w:bottom="1180" w:left="1580" w:right="1200"/>
        </w:sectPr>
      </w:pPr>
    </w:p>
    <w:p>
      <w:pPr>
        <w:pStyle w:val="BodyText"/>
        <w:spacing w:line="417" w:lineRule="auto" w:before="110"/>
        <w:ind w:left="640" w:right="6590"/>
        <w:jc w:val="both"/>
        <w:rPr>
          <w:rFonts w:ascii="Times New Roman" w:eastAsia="Times New Roman"/>
        </w:rPr>
      </w:pPr>
      <w:r>
        <w:rPr/>
        <w:t>法定代表人：王金山电话：</w:t>
      </w:r>
      <w:r>
        <w:rPr>
          <w:rFonts w:ascii="Times New Roman" w:eastAsia="Times New Roman"/>
        </w:rPr>
        <w:t>010-89198762 </w:t>
      </w:r>
      <w:r>
        <w:rPr/>
        <w:t>传真：</w:t>
      </w:r>
      <w:r>
        <w:rPr>
          <w:rFonts w:ascii="Times New Roman" w:eastAsia="Times New Roman"/>
        </w:rPr>
        <w:t>010-89198678</w:t>
      </w:r>
    </w:p>
    <w:p>
      <w:pPr>
        <w:pStyle w:val="BodyText"/>
        <w:spacing w:line="269" w:lineRule="exact"/>
        <w:ind w:left="640"/>
      </w:pPr>
      <w:r>
        <w:rPr/>
        <w:t>联系人：鲁娟</w:t>
      </w:r>
    </w:p>
    <w:p>
      <w:pPr>
        <w:pStyle w:val="BodyText"/>
        <w:spacing w:before="6"/>
        <w:rPr>
          <w:sz w:val="15"/>
        </w:rPr>
      </w:pPr>
    </w:p>
    <w:p>
      <w:pPr>
        <w:pStyle w:val="BodyText"/>
        <w:spacing w:line="417" w:lineRule="auto"/>
        <w:ind w:left="640" w:right="6487"/>
        <w:rPr>
          <w:rFonts w:ascii="Times New Roman" w:eastAsia="Times New Roman"/>
        </w:rPr>
      </w:pPr>
      <w:r>
        <w:rPr/>
        <w:t>网址：</w:t>
      </w:r>
      <w:hyperlink r:id="rId18">
        <w:r>
          <w:rPr>
            <w:rFonts w:ascii="Times New Roman" w:eastAsia="Times New Roman"/>
          </w:rPr>
          <w:t>www.bjrcb.com </w:t>
        </w:r>
      </w:hyperlink>
      <w:r>
        <w:rPr/>
        <w:t>客户服务电话：</w:t>
      </w:r>
      <w:r>
        <w:rPr>
          <w:rFonts w:ascii="Times New Roman" w:eastAsia="Times New Roman"/>
        </w:rPr>
        <w:t>96198</w:t>
      </w:r>
    </w:p>
    <w:p>
      <w:pPr>
        <w:pStyle w:val="ListParagraph"/>
        <w:numPr>
          <w:ilvl w:val="0"/>
          <w:numId w:val="7"/>
        </w:numPr>
        <w:tabs>
          <w:tab w:pos="1170" w:val="left" w:leader="none"/>
        </w:tabs>
        <w:spacing w:line="269" w:lineRule="exact" w:before="0" w:after="0"/>
        <w:ind w:left="1169" w:right="0" w:hanging="530"/>
        <w:jc w:val="left"/>
        <w:rPr>
          <w:sz w:val="21"/>
        </w:rPr>
      </w:pPr>
      <w:r>
        <w:rPr>
          <w:spacing w:val="-3"/>
          <w:sz w:val="21"/>
        </w:rPr>
        <w:t>东莞银行股份有限公司</w:t>
      </w:r>
    </w:p>
    <w:p>
      <w:pPr>
        <w:pStyle w:val="BodyText"/>
        <w:spacing w:before="8"/>
        <w:rPr>
          <w:sz w:val="15"/>
        </w:rPr>
      </w:pPr>
    </w:p>
    <w:p>
      <w:pPr>
        <w:pStyle w:val="BodyText"/>
        <w:ind w:left="640"/>
      </w:pPr>
      <w:r>
        <w:rPr/>
        <w:t>住所：东莞市莞城区体育路</w:t>
      </w:r>
      <w:r>
        <w:rPr>
          <w:rFonts w:ascii="Times New Roman" w:eastAsia="Times New Roman"/>
        </w:rPr>
        <w:t>21</w:t>
      </w:r>
      <w:r>
        <w:rPr/>
        <w:t>号</w:t>
      </w:r>
    </w:p>
    <w:p>
      <w:pPr>
        <w:pStyle w:val="BodyText"/>
        <w:spacing w:before="6"/>
        <w:rPr>
          <w:sz w:val="15"/>
        </w:rPr>
      </w:pPr>
    </w:p>
    <w:p>
      <w:pPr>
        <w:pStyle w:val="BodyText"/>
        <w:spacing w:line="417" w:lineRule="auto" w:before="1"/>
        <w:ind w:left="640" w:right="5118"/>
      </w:pPr>
      <w:r>
        <w:rPr/>
        <w:t>办公地址：东莞市莞城区体育路</w:t>
      </w:r>
      <w:r>
        <w:rPr>
          <w:rFonts w:ascii="Times New Roman" w:eastAsia="Times New Roman"/>
        </w:rPr>
        <w:t>21</w:t>
      </w:r>
      <w:r>
        <w:rPr/>
        <w:t>号法定代表人：卢国锋</w:t>
      </w:r>
    </w:p>
    <w:p>
      <w:pPr>
        <w:pStyle w:val="BodyText"/>
        <w:spacing w:line="417" w:lineRule="auto"/>
        <w:ind w:left="640" w:right="6520"/>
        <w:rPr>
          <w:rFonts w:ascii="Times New Roman" w:eastAsia="Times New Roman"/>
        </w:rPr>
      </w:pPr>
      <w:r>
        <w:rPr/>
        <w:t>电话：</w:t>
      </w:r>
      <w:r>
        <w:rPr>
          <w:rFonts w:ascii="Times New Roman" w:eastAsia="Times New Roman"/>
        </w:rPr>
        <w:t>0769-22865177 </w:t>
      </w:r>
      <w:r>
        <w:rPr/>
        <w:t>传真：</w:t>
      </w:r>
      <w:r>
        <w:rPr>
          <w:rFonts w:ascii="Times New Roman" w:eastAsia="Times New Roman"/>
        </w:rPr>
        <w:t>0769-23156406</w:t>
      </w:r>
    </w:p>
    <w:p>
      <w:pPr>
        <w:pStyle w:val="BodyText"/>
        <w:spacing w:line="269" w:lineRule="exact"/>
        <w:ind w:left="640"/>
      </w:pPr>
      <w:r>
        <w:rPr/>
        <w:t>联系人：朱杰霞</w:t>
      </w:r>
    </w:p>
    <w:p>
      <w:pPr>
        <w:pStyle w:val="BodyText"/>
        <w:spacing w:before="6"/>
        <w:rPr>
          <w:sz w:val="15"/>
        </w:rPr>
      </w:pPr>
    </w:p>
    <w:p>
      <w:pPr>
        <w:pStyle w:val="BodyText"/>
        <w:spacing w:line="417" w:lineRule="auto"/>
        <w:ind w:left="640" w:right="5828"/>
        <w:rPr>
          <w:rFonts w:ascii="Times New Roman" w:eastAsia="Times New Roman"/>
        </w:rPr>
      </w:pPr>
      <w:r>
        <w:rPr/>
        <w:t>网址：</w:t>
      </w:r>
      <w:hyperlink r:id="rId19">
        <w:r>
          <w:rPr>
            <w:rFonts w:ascii="Times New Roman" w:eastAsia="Times New Roman"/>
          </w:rPr>
          <w:t>www.dongguanbank.cn </w:t>
        </w:r>
      </w:hyperlink>
      <w:r>
        <w:rPr/>
        <w:t>客户服务电话：</w:t>
      </w:r>
      <w:r>
        <w:rPr>
          <w:rFonts w:ascii="Times New Roman" w:eastAsia="Times New Roman"/>
        </w:rPr>
        <w:t>0769-956033</w:t>
      </w:r>
    </w:p>
    <w:p>
      <w:pPr>
        <w:pStyle w:val="ListParagraph"/>
        <w:numPr>
          <w:ilvl w:val="0"/>
          <w:numId w:val="7"/>
        </w:numPr>
        <w:tabs>
          <w:tab w:pos="1170" w:val="left" w:leader="none"/>
        </w:tabs>
        <w:spacing w:line="240" w:lineRule="auto" w:before="0" w:after="0"/>
        <w:ind w:left="1169" w:right="0" w:hanging="530"/>
        <w:jc w:val="left"/>
        <w:rPr>
          <w:sz w:val="21"/>
        </w:rPr>
      </w:pPr>
      <w:r>
        <w:rPr>
          <w:spacing w:val="-3"/>
          <w:sz w:val="21"/>
        </w:rPr>
        <w:t>渤海银行股份有限公司</w:t>
      </w:r>
    </w:p>
    <w:p>
      <w:pPr>
        <w:pStyle w:val="BodyText"/>
        <w:spacing w:before="7"/>
        <w:rPr>
          <w:sz w:val="15"/>
        </w:rPr>
      </w:pPr>
    </w:p>
    <w:p>
      <w:pPr>
        <w:pStyle w:val="BodyText"/>
        <w:ind w:left="640"/>
      </w:pPr>
      <w:r>
        <w:rPr/>
        <w:t>住所：天津市河东区海河东路</w:t>
      </w:r>
      <w:r>
        <w:rPr>
          <w:rFonts w:ascii="Times New Roman" w:eastAsia="Times New Roman"/>
        </w:rPr>
        <w:t>218</w:t>
      </w:r>
      <w:r>
        <w:rPr/>
        <w:t>号</w:t>
      </w:r>
    </w:p>
    <w:p>
      <w:pPr>
        <w:pStyle w:val="BodyText"/>
        <w:spacing w:before="6"/>
        <w:rPr>
          <w:sz w:val="15"/>
        </w:rPr>
      </w:pPr>
    </w:p>
    <w:p>
      <w:pPr>
        <w:pStyle w:val="BodyText"/>
        <w:spacing w:line="417" w:lineRule="auto" w:before="1"/>
        <w:ind w:left="640" w:right="4804"/>
      </w:pPr>
      <w:r>
        <w:rPr>
          <w:spacing w:val="-3"/>
        </w:rPr>
        <w:t>办公地址：天津市河东区海河东路</w:t>
      </w:r>
      <w:r>
        <w:rPr>
          <w:rFonts w:ascii="Times New Roman" w:eastAsia="Times New Roman"/>
        </w:rPr>
        <w:t>218</w:t>
      </w:r>
      <w:r>
        <w:rPr>
          <w:spacing w:val="-12"/>
        </w:rPr>
        <w:t>号</w:t>
      </w:r>
      <w:r>
        <w:rPr>
          <w:spacing w:val="-3"/>
        </w:rPr>
        <w:t>法定代表人：李伏安</w:t>
      </w:r>
    </w:p>
    <w:p>
      <w:pPr>
        <w:pStyle w:val="BodyText"/>
        <w:spacing w:line="269" w:lineRule="exact"/>
        <w:ind w:left="640"/>
        <w:rPr>
          <w:rFonts w:ascii="Times New Roman" w:eastAsia="Times New Roman"/>
        </w:rPr>
      </w:pPr>
      <w:r>
        <w:rPr>
          <w:spacing w:val="-1"/>
        </w:rPr>
        <w:t>电话：</w:t>
      </w:r>
      <w:r>
        <w:rPr>
          <w:rFonts w:ascii="Times New Roman" w:eastAsia="Times New Roman"/>
          <w:spacing w:val="-1"/>
        </w:rPr>
        <w:t>022-58316666</w:t>
      </w:r>
    </w:p>
    <w:p>
      <w:pPr>
        <w:pStyle w:val="BodyText"/>
        <w:spacing w:before="3"/>
        <w:rPr>
          <w:rFonts w:ascii="Times New Roman"/>
          <w:sz w:val="17"/>
        </w:rPr>
      </w:pPr>
    </w:p>
    <w:p>
      <w:pPr>
        <w:pStyle w:val="BodyText"/>
        <w:ind w:left="640"/>
        <w:rPr>
          <w:rFonts w:ascii="Times New Roman" w:eastAsia="Times New Roman"/>
        </w:rPr>
      </w:pPr>
      <w:r>
        <w:rPr/>
        <w:t>传真：</w:t>
      </w:r>
      <w:r>
        <w:rPr>
          <w:rFonts w:ascii="Times New Roman" w:eastAsia="Times New Roman"/>
        </w:rPr>
        <w:t>-</w:t>
      </w:r>
    </w:p>
    <w:p>
      <w:pPr>
        <w:pStyle w:val="BodyText"/>
        <w:spacing w:before="4"/>
        <w:rPr>
          <w:rFonts w:ascii="Times New Roman"/>
          <w:sz w:val="17"/>
        </w:rPr>
      </w:pPr>
    </w:p>
    <w:p>
      <w:pPr>
        <w:pStyle w:val="BodyText"/>
        <w:ind w:left="640"/>
      </w:pPr>
      <w:r>
        <w:rPr/>
        <w:t>联系人：潘鹏程</w:t>
      </w:r>
    </w:p>
    <w:p>
      <w:pPr>
        <w:pStyle w:val="BodyText"/>
        <w:spacing w:before="7"/>
        <w:rPr>
          <w:sz w:val="15"/>
        </w:rPr>
      </w:pPr>
    </w:p>
    <w:p>
      <w:pPr>
        <w:pStyle w:val="BodyText"/>
        <w:spacing w:line="417" w:lineRule="auto"/>
        <w:ind w:left="640" w:right="6242"/>
        <w:rPr>
          <w:rFonts w:ascii="Times New Roman" w:eastAsia="Times New Roman"/>
        </w:rPr>
      </w:pPr>
      <w:r>
        <w:rPr/>
        <w:t>网址：</w:t>
      </w:r>
      <w:hyperlink r:id="rId20">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7"/>
        </w:numPr>
        <w:tabs>
          <w:tab w:pos="1170" w:val="left" w:leader="none"/>
        </w:tabs>
        <w:spacing w:line="417" w:lineRule="auto" w:before="0" w:after="0"/>
        <w:ind w:left="640" w:right="4804" w:firstLine="0"/>
        <w:jc w:val="left"/>
        <w:rPr>
          <w:sz w:val="21"/>
        </w:rPr>
      </w:pPr>
      <w:r>
        <w:rPr>
          <w:spacing w:val="-3"/>
          <w:sz w:val="21"/>
        </w:rPr>
        <w:t>东莞农村商业银行股份有限公司 住所：广东省东莞市东城区鸿福东路</w:t>
      </w:r>
      <w:r>
        <w:rPr>
          <w:rFonts w:ascii="Times New Roman" w:eastAsia="Times New Roman"/>
          <w:sz w:val="21"/>
        </w:rPr>
        <w:t>2</w:t>
      </w:r>
      <w:r>
        <w:rPr>
          <w:spacing w:val="-13"/>
          <w:sz w:val="21"/>
        </w:rPr>
        <w:t>号</w:t>
      </w:r>
    </w:p>
    <w:p>
      <w:pPr>
        <w:pStyle w:val="BodyText"/>
        <w:spacing w:line="417" w:lineRule="auto"/>
        <w:ind w:left="640" w:right="4384"/>
      </w:pPr>
      <w:r>
        <w:rPr/>
        <w:t>办公地址：广东省东莞市东城区鸿福东路</w:t>
      </w:r>
      <w:r>
        <w:rPr>
          <w:rFonts w:ascii="Times New Roman" w:eastAsia="Times New Roman"/>
        </w:rPr>
        <w:t>2</w:t>
      </w:r>
      <w:r>
        <w:rPr/>
        <w:t>号法定代表人：王耀球</w:t>
      </w:r>
    </w:p>
    <w:p>
      <w:pPr>
        <w:pStyle w:val="BodyText"/>
        <w:spacing w:line="417" w:lineRule="auto"/>
        <w:ind w:left="640" w:right="5154"/>
        <w:rPr>
          <w:rFonts w:ascii="Times New Roman" w:eastAsia="Times New Roman"/>
        </w:rPr>
      </w:pPr>
      <w:r>
        <w:rPr/>
        <w:t>电话：</w:t>
      </w:r>
      <w:r>
        <w:rPr>
          <w:rFonts w:ascii="Times New Roman" w:eastAsia="Times New Roman"/>
        </w:rPr>
        <w:t>0769-22866254</w:t>
      </w:r>
      <w:r>
        <w:rPr/>
        <w:t>、</w:t>
      </w:r>
      <w:r>
        <w:rPr>
          <w:rFonts w:ascii="Times New Roman" w:eastAsia="Times New Roman"/>
        </w:rPr>
        <w:t>15625596450 </w:t>
      </w:r>
      <w:r>
        <w:rPr/>
        <w:t>传真：</w:t>
      </w:r>
      <w:r>
        <w:rPr>
          <w:rFonts w:ascii="Times New Roman" w:eastAsia="Times New Roman"/>
        </w:rPr>
        <w:t>0769-22866282</w:t>
      </w:r>
    </w:p>
    <w:p>
      <w:pPr>
        <w:spacing w:after="0" w:line="417" w:lineRule="auto"/>
        <w:rPr>
          <w:rFonts w:ascii="Times New Roman" w:eastAsia="Times New Roman"/>
        </w:rPr>
        <w:sectPr>
          <w:pgSz w:w="11910" w:h="16840"/>
          <w:pgMar w:header="877" w:footer="995" w:top="1420" w:bottom="1180" w:left="1580" w:right="1200"/>
        </w:sectPr>
      </w:pPr>
    </w:p>
    <w:p>
      <w:pPr>
        <w:pStyle w:val="BodyText"/>
        <w:spacing w:before="110"/>
        <w:ind w:left="640"/>
      </w:pPr>
      <w:r>
        <w:rPr/>
        <w:t>联系人：刘托福</w:t>
      </w:r>
    </w:p>
    <w:p>
      <w:pPr>
        <w:pStyle w:val="BodyText"/>
        <w:spacing w:before="6"/>
        <w:rPr>
          <w:sz w:val="15"/>
        </w:rPr>
      </w:pPr>
    </w:p>
    <w:p>
      <w:pPr>
        <w:pStyle w:val="BodyText"/>
        <w:ind w:left="640"/>
        <w:rPr>
          <w:rFonts w:ascii="Times New Roman" w:eastAsia="Times New Roman"/>
        </w:rPr>
      </w:pPr>
      <w:r>
        <w:rPr/>
        <w:t>网址：</w:t>
      </w:r>
      <w:hyperlink r:id="rId21">
        <w:r>
          <w:rPr>
            <w:rFonts w:ascii="Times New Roman" w:eastAsia="Times New Roman"/>
          </w:rPr>
          <w:t>www.drcbank.com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0769-961122</w:t>
      </w:r>
    </w:p>
    <w:p>
      <w:pPr>
        <w:pStyle w:val="BodyText"/>
        <w:spacing w:before="3"/>
        <w:rPr>
          <w:rFonts w:ascii="Times New Roman"/>
          <w:sz w:val="17"/>
        </w:rPr>
      </w:pPr>
    </w:p>
    <w:p>
      <w:pPr>
        <w:pStyle w:val="ListParagraph"/>
        <w:numPr>
          <w:ilvl w:val="0"/>
          <w:numId w:val="7"/>
        </w:numPr>
        <w:tabs>
          <w:tab w:pos="1275" w:val="left" w:leader="none"/>
        </w:tabs>
        <w:spacing w:line="417" w:lineRule="auto" w:before="0" w:after="0"/>
        <w:ind w:left="640" w:right="4489" w:firstLine="0"/>
        <w:jc w:val="left"/>
        <w:rPr>
          <w:sz w:val="21"/>
        </w:rPr>
      </w:pPr>
      <w:r>
        <w:rPr>
          <w:spacing w:val="-4"/>
          <w:sz w:val="21"/>
        </w:rPr>
        <w:t>江苏苏州农村商业银行股份有限公司</w:t>
      </w:r>
      <w:r>
        <w:rPr>
          <w:spacing w:val="-3"/>
          <w:sz w:val="21"/>
        </w:rPr>
        <w:t>住所：江苏省苏州市吴江区中山南路</w:t>
      </w:r>
      <w:r>
        <w:rPr>
          <w:rFonts w:ascii="Times New Roman" w:eastAsia="Times New Roman"/>
          <w:sz w:val="21"/>
        </w:rPr>
        <w:t>1777</w:t>
      </w:r>
      <w:r>
        <w:rPr>
          <w:spacing w:val="-12"/>
          <w:sz w:val="21"/>
        </w:rPr>
        <w:t>号</w:t>
      </w:r>
    </w:p>
    <w:p>
      <w:pPr>
        <w:pStyle w:val="BodyText"/>
        <w:spacing w:line="417" w:lineRule="auto"/>
        <w:ind w:left="640" w:right="4069"/>
      </w:pPr>
      <w:r>
        <w:rPr/>
        <w:t>办公地址：江苏省苏州市吴江区中山南路</w:t>
      </w:r>
      <w:r>
        <w:rPr>
          <w:rFonts w:ascii="Times New Roman" w:eastAsia="Times New Roman"/>
        </w:rPr>
        <w:t>1777</w:t>
      </w:r>
      <w:r>
        <w:rPr/>
        <w:t>号法定代表人：魏礼亚</w:t>
      </w:r>
    </w:p>
    <w:p>
      <w:pPr>
        <w:pStyle w:val="BodyText"/>
        <w:spacing w:line="417" w:lineRule="auto"/>
        <w:ind w:left="640" w:right="6520"/>
        <w:rPr>
          <w:rFonts w:ascii="Times New Roman" w:eastAsia="Times New Roman"/>
        </w:rPr>
      </w:pPr>
      <w:r>
        <w:rPr/>
        <w:t>电话：</w:t>
      </w:r>
      <w:r>
        <w:rPr>
          <w:rFonts w:ascii="Times New Roman" w:eastAsia="Times New Roman"/>
        </w:rPr>
        <w:t>0512-63969209 </w:t>
      </w:r>
      <w:r>
        <w:rPr/>
        <w:t>传真：</w:t>
      </w:r>
      <w:r>
        <w:rPr>
          <w:rFonts w:ascii="Times New Roman" w:eastAsia="Times New Roman"/>
        </w:rPr>
        <w:t>0512-63969209</w:t>
      </w:r>
    </w:p>
    <w:p>
      <w:pPr>
        <w:pStyle w:val="BodyText"/>
        <w:spacing w:line="269" w:lineRule="exact"/>
        <w:ind w:left="640"/>
      </w:pPr>
      <w:r>
        <w:rPr/>
        <w:t>联系人：葛晓亮</w:t>
      </w:r>
    </w:p>
    <w:p>
      <w:pPr>
        <w:pStyle w:val="BodyText"/>
        <w:spacing w:before="7"/>
        <w:rPr>
          <w:sz w:val="15"/>
        </w:rPr>
      </w:pPr>
    </w:p>
    <w:p>
      <w:pPr>
        <w:pStyle w:val="BodyText"/>
        <w:ind w:left="640"/>
        <w:rPr>
          <w:rFonts w:ascii="Times New Roman" w:eastAsia="Times New Roman"/>
        </w:rPr>
      </w:pPr>
      <w:r>
        <w:rPr/>
        <w:t>网址：</w:t>
      </w:r>
      <w:hyperlink r:id="rId22">
        <w:r>
          <w:rPr>
            <w:rFonts w:ascii="Times New Roman" w:eastAsia="Times New Roman"/>
          </w:rPr>
          <w:t>http://www.szrcb.com</w:t>
        </w:r>
      </w:hyperlink>
    </w:p>
    <w:p>
      <w:pPr>
        <w:pStyle w:val="BodyText"/>
        <w:spacing w:before="3"/>
        <w:rPr>
          <w:rFonts w:ascii="Times New Roman"/>
          <w:sz w:val="17"/>
        </w:rPr>
      </w:pPr>
    </w:p>
    <w:p>
      <w:pPr>
        <w:pStyle w:val="BodyText"/>
        <w:ind w:left="640"/>
      </w:pPr>
      <w:r>
        <w:rPr>
          <w:spacing w:val="-2"/>
        </w:rPr>
        <w:t>客户服务电话：</w:t>
      </w:r>
      <w:r>
        <w:rPr>
          <w:rFonts w:ascii="Times New Roman" w:eastAsia="Times New Roman"/>
        </w:rPr>
        <w:t>96068</w:t>
      </w:r>
      <w:r>
        <w:rPr/>
        <w:t>（</w:t>
      </w:r>
      <w:r>
        <w:rPr>
          <w:spacing w:val="-3"/>
        </w:rPr>
        <w:t>江苏省内</w:t>
      </w:r>
      <w:r>
        <w:rPr>
          <w:spacing w:val="-106"/>
        </w:rPr>
        <w:t>）</w:t>
      </w:r>
      <w:r>
        <w:rPr/>
        <w:t>、</w:t>
      </w:r>
      <w:r>
        <w:rPr>
          <w:rFonts w:ascii="Times New Roman" w:eastAsia="Times New Roman"/>
        </w:rPr>
        <w:t>4008696068</w:t>
      </w:r>
      <w:r>
        <w:rPr/>
        <w:t>（</w:t>
      </w:r>
      <w:r>
        <w:rPr>
          <w:spacing w:val="-3"/>
        </w:rPr>
        <w:t>江苏省外</w:t>
      </w:r>
      <w:r>
        <w:rPr/>
        <w:t>）</w:t>
      </w:r>
    </w:p>
    <w:p>
      <w:pPr>
        <w:pStyle w:val="BodyText"/>
        <w:spacing w:before="7"/>
        <w:rPr>
          <w:sz w:val="15"/>
        </w:rPr>
      </w:pPr>
    </w:p>
    <w:p>
      <w:pPr>
        <w:pStyle w:val="ListParagraph"/>
        <w:numPr>
          <w:ilvl w:val="0"/>
          <w:numId w:val="7"/>
        </w:numPr>
        <w:tabs>
          <w:tab w:pos="1266" w:val="left" w:leader="none"/>
        </w:tabs>
        <w:spacing w:line="240" w:lineRule="auto" w:before="0" w:after="0"/>
        <w:ind w:left="1265" w:right="0" w:hanging="626"/>
        <w:jc w:val="left"/>
        <w:rPr>
          <w:sz w:val="21"/>
        </w:rPr>
      </w:pPr>
      <w:r>
        <w:rPr>
          <w:spacing w:val="-3"/>
          <w:sz w:val="21"/>
        </w:rPr>
        <w:t>恒丰银行股份有限公司</w:t>
      </w:r>
    </w:p>
    <w:p>
      <w:pPr>
        <w:pStyle w:val="BodyText"/>
        <w:spacing w:before="7"/>
        <w:rPr>
          <w:sz w:val="15"/>
        </w:rPr>
      </w:pPr>
    </w:p>
    <w:p>
      <w:pPr>
        <w:pStyle w:val="BodyText"/>
        <w:ind w:left="640"/>
      </w:pPr>
      <w:r>
        <w:rPr/>
        <w:t>住所：山东省济南市历下区泺源大街</w:t>
      </w:r>
      <w:r>
        <w:rPr>
          <w:rFonts w:ascii="Times New Roman" w:eastAsia="Times New Roman"/>
        </w:rPr>
        <w:t>8</w:t>
      </w:r>
      <w:r>
        <w:rPr/>
        <w:t>号</w:t>
      </w:r>
    </w:p>
    <w:p>
      <w:pPr>
        <w:pStyle w:val="BodyText"/>
        <w:spacing w:before="7"/>
        <w:rPr>
          <w:sz w:val="15"/>
        </w:rPr>
      </w:pPr>
    </w:p>
    <w:p>
      <w:pPr>
        <w:pStyle w:val="BodyText"/>
        <w:spacing w:line="417" w:lineRule="auto"/>
        <w:ind w:left="640" w:right="3440"/>
      </w:pPr>
      <w:r>
        <w:rPr/>
        <w:t>办公地址：上海市黄浦区开平路</w:t>
      </w:r>
      <w:r>
        <w:rPr>
          <w:rFonts w:ascii="Times New Roman" w:eastAsia="Times New Roman"/>
        </w:rPr>
        <w:t>88</w:t>
      </w:r>
      <w:r>
        <w:rPr/>
        <w:t>号瀛通绿地大厦</w:t>
      </w:r>
      <w:r>
        <w:rPr>
          <w:rFonts w:ascii="Times New Roman" w:eastAsia="Times New Roman"/>
        </w:rPr>
        <w:t>21</w:t>
      </w:r>
      <w:r>
        <w:rPr/>
        <w:t>楼法定代表人：陈颖</w:t>
      </w:r>
    </w:p>
    <w:p>
      <w:pPr>
        <w:pStyle w:val="BodyText"/>
        <w:spacing w:line="269" w:lineRule="exact"/>
        <w:ind w:left="640"/>
        <w:rPr>
          <w:rFonts w:ascii="Times New Roman" w:eastAsia="Times New Roman"/>
        </w:rPr>
      </w:pPr>
      <w:r>
        <w:rPr/>
        <w:t>电话：</w:t>
      </w:r>
      <w:r>
        <w:rPr>
          <w:rFonts w:ascii="Times New Roman" w:eastAsia="Times New Roman"/>
        </w:rPr>
        <w:t>021-63890139</w:t>
      </w:r>
    </w:p>
    <w:p>
      <w:pPr>
        <w:pStyle w:val="BodyText"/>
        <w:spacing w:before="3"/>
        <w:rPr>
          <w:rFonts w:ascii="Times New Roman"/>
          <w:sz w:val="17"/>
        </w:rPr>
      </w:pPr>
    </w:p>
    <w:p>
      <w:pPr>
        <w:pStyle w:val="BodyText"/>
        <w:spacing w:before="1"/>
        <w:ind w:left="64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640"/>
      </w:pPr>
      <w:r>
        <w:rPr/>
        <w:t>联系人：张昊</w:t>
      </w:r>
    </w:p>
    <w:p>
      <w:pPr>
        <w:pStyle w:val="BodyText"/>
        <w:spacing w:before="7"/>
        <w:rPr>
          <w:sz w:val="15"/>
        </w:rPr>
      </w:pPr>
    </w:p>
    <w:p>
      <w:pPr>
        <w:pStyle w:val="BodyText"/>
        <w:spacing w:line="417" w:lineRule="auto"/>
        <w:ind w:left="640" w:right="6067"/>
        <w:rPr>
          <w:rFonts w:ascii="Times New Roman" w:eastAsia="Times New Roman"/>
        </w:rPr>
      </w:pPr>
      <w:r>
        <w:rPr/>
        <w:t>网址：</w:t>
      </w:r>
      <w:hyperlink r:id="rId23">
        <w:r>
          <w:rPr>
            <w:rFonts w:ascii="Times New Roman" w:eastAsia="Times New Roman"/>
          </w:rPr>
          <w:t>www.hfbank.com.cn </w:t>
        </w:r>
      </w:hyperlink>
      <w:r>
        <w:rPr/>
        <w:t>客户服务电话：</w:t>
      </w:r>
      <w:r>
        <w:rPr>
          <w:rFonts w:ascii="Times New Roman" w:eastAsia="Times New Roman"/>
        </w:rPr>
        <w:t>95395</w:t>
      </w:r>
    </w:p>
    <w:p>
      <w:pPr>
        <w:pStyle w:val="ListParagraph"/>
        <w:numPr>
          <w:ilvl w:val="0"/>
          <w:numId w:val="7"/>
        </w:numPr>
        <w:tabs>
          <w:tab w:pos="1275" w:val="left" w:leader="none"/>
        </w:tabs>
        <w:spacing w:line="417" w:lineRule="auto" w:before="0" w:after="0"/>
        <w:ind w:left="640" w:right="5644" w:firstLine="0"/>
        <w:jc w:val="left"/>
        <w:rPr>
          <w:sz w:val="21"/>
        </w:rPr>
      </w:pPr>
      <w:r>
        <w:rPr>
          <w:spacing w:val="-3"/>
          <w:sz w:val="21"/>
        </w:rPr>
        <w:t>泉州银行股份有限公司住所：泉州市丰泽区云鹿路</w:t>
      </w:r>
      <w:r>
        <w:rPr>
          <w:rFonts w:ascii="Times New Roman" w:eastAsia="Times New Roman"/>
          <w:sz w:val="21"/>
        </w:rPr>
        <w:t>3</w:t>
      </w:r>
      <w:r>
        <w:rPr>
          <w:spacing w:val="-14"/>
          <w:sz w:val="21"/>
        </w:rPr>
        <w:t>号</w:t>
      </w:r>
    </w:p>
    <w:p>
      <w:pPr>
        <w:pStyle w:val="BodyText"/>
        <w:spacing w:line="417" w:lineRule="auto"/>
        <w:ind w:left="640" w:right="5224"/>
      </w:pPr>
      <w:r>
        <w:rPr/>
        <w:t>办公地址：泉州市丰泽区云鹿路</w:t>
      </w:r>
      <w:r>
        <w:rPr>
          <w:rFonts w:ascii="Times New Roman" w:eastAsia="Times New Roman"/>
        </w:rPr>
        <w:t>3</w:t>
      </w:r>
      <w:r>
        <w:rPr/>
        <w:t>号法定代表人：傅子能</w:t>
      </w:r>
    </w:p>
    <w:p>
      <w:pPr>
        <w:pStyle w:val="BodyText"/>
        <w:spacing w:line="417" w:lineRule="auto"/>
        <w:ind w:left="640" w:right="6520"/>
        <w:rPr>
          <w:rFonts w:ascii="Times New Roman" w:eastAsia="Times New Roman"/>
        </w:rPr>
      </w:pPr>
      <w:r>
        <w:rPr/>
        <w:t>电话：</w:t>
      </w:r>
      <w:r>
        <w:rPr>
          <w:rFonts w:ascii="Times New Roman" w:eastAsia="Times New Roman"/>
        </w:rPr>
        <w:t>0595-22551071 </w:t>
      </w:r>
      <w:r>
        <w:rPr/>
        <w:t>传真：</w:t>
      </w:r>
      <w:r>
        <w:rPr>
          <w:rFonts w:ascii="Times New Roman" w:eastAsia="Times New Roman"/>
        </w:rPr>
        <w:t>0595-22578871</w:t>
      </w:r>
    </w:p>
    <w:p>
      <w:pPr>
        <w:pStyle w:val="BodyText"/>
        <w:spacing w:line="269" w:lineRule="exact"/>
        <w:ind w:left="640"/>
      </w:pPr>
      <w:r>
        <w:rPr/>
        <w:t>联系人：董培姗</w:t>
      </w:r>
    </w:p>
    <w:p>
      <w:pPr>
        <w:pStyle w:val="BodyText"/>
        <w:spacing w:before="6"/>
        <w:rPr>
          <w:sz w:val="15"/>
        </w:rPr>
      </w:pPr>
    </w:p>
    <w:p>
      <w:pPr>
        <w:pStyle w:val="BodyText"/>
        <w:spacing w:before="1"/>
        <w:ind w:left="640"/>
        <w:rPr>
          <w:rFonts w:ascii="Times New Roman" w:eastAsia="Times New Roman"/>
        </w:rPr>
      </w:pPr>
      <w:r>
        <w:rPr/>
        <w:t>网址：</w:t>
      </w:r>
      <w:hyperlink r:id="rId24">
        <w:r>
          <w:rPr>
            <w:rFonts w:ascii="Times New Roman" w:eastAsia="Times New Roman"/>
          </w:rPr>
          <w:t>www. </w:t>
        </w:r>
      </w:hyperlink>
      <w:r>
        <w:rPr>
          <w:rFonts w:ascii="Times New Roman" w:eastAsia="Times New Roman"/>
        </w:rPr>
        <w:t>qzccbank.com</w:t>
      </w:r>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400-889-6312</w:t>
      </w:r>
    </w:p>
    <w:p>
      <w:pPr>
        <w:spacing w:after="0"/>
        <w:rPr>
          <w:rFonts w:ascii="Times New Roman" w:eastAsia="Times New Roman"/>
        </w:rPr>
        <w:sectPr>
          <w:pgSz w:w="11910" w:h="16840"/>
          <w:pgMar w:header="877" w:footer="995" w:top="1420" w:bottom="1180" w:left="1580" w:right="1200"/>
        </w:sectPr>
      </w:pPr>
    </w:p>
    <w:p>
      <w:pPr>
        <w:pStyle w:val="ListParagraph"/>
        <w:numPr>
          <w:ilvl w:val="0"/>
          <w:numId w:val="7"/>
        </w:numPr>
        <w:tabs>
          <w:tab w:pos="1275" w:val="left" w:leader="none"/>
        </w:tabs>
        <w:spacing w:line="417" w:lineRule="auto" w:before="110" w:after="0"/>
        <w:ind w:left="640" w:right="4069" w:firstLine="0"/>
        <w:jc w:val="left"/>
        <w:rPr>
          <w:sz w:val="21"/>
        </w:rPr>
      </w:pPr>
      <w:r>
        <w:rPr>
          <w:spacing w:val="-4"/>
          <w:sz w:val="21"/>
        </w:rPr>
        <w:t>浙江绍兴瑞丰农村商业银行股份有限公司</w:t>
      </w:r>
      <w:r>
        <w:rPr>
          <w:spacing w:val="-3"/>
          <w:sz w:val="21"/>
        </w:rPr>
        <w:t>住所：浙江省绍兴市柯桥区笛扬路</w:t>
      </w:r>
      <w:r>
        <w:rPr>
          <w:rFonts w:ascii="Times New Roman" w:eastAsia="Times New Roman"/>
          <w:sz w:val="21"/>
        </w:rPr>
        <w:t>1363</w:t>
      </w:r>
      <w:r>
        <w:rPr>
          <w:sz w:val="21"/>
        </w:rPr>
        <w:t>号</w:t>
      </w:r>
    </w:p>
    <w:p>
      <w:pPr>
        <w:pStyle w:val="BodyText"/>
        <w:spacing w:line="417" w:lineRule="auto"/>
        <w:ind w:left="640" w:right="4278"/>
      </w:pPr>
      <w:r>
        <w:rPr/>
        <w:t>办公地址：浙江省绍兴市柯桥区笛扬路</w:t>
      </w:r>
      <w:r>
        <w:rPr>
          <w:rFonts w:ascii="Times New Roman" w:eastAsia="Times New Roman"/>
        </w:rPr>
        <w:t>1363</w:t>
      </w:r>
      <w:r>
        <w:rPr/>
        <w:t>号法定代表人：章伟东</w:t>
      </w:r>
    </w:p>
    <w:p>
      <w:pPr>
        <w:pStyle w:val="BodyText"/>
        <w:spacing w:line="417" w:lineRule="auto"/>
        <w:ind w:left="640" w:right="6530"/>
        <w:rPr>
          <w:rFonts w:ascii="Times New Roman" w:eastAsia="Times New Roman"/>
        </w:rPr>
      </w:pPr>
      <w:r>
        <w:rPr/>
        <w:t>电话：</w:t>
      </w:r>
      <w:r>
        <w:rPr>
          <w:rFonts w:ascii="Times New Roman" w:eastAsia="Times New Roman"/>
        </w:rPr>
        <w:t>0575-81103096 </w:t>
      </w:r>
      <w:r>
        <w:rPr/>
        <w:t>传真：</w:t>
      </w:r>
      <w:r>
        <w:rPr>
          <w:rFonts w:ascii="Times New Roman" w:eastAsia="Times New Roman"/>
        </w:rPr>
        <w:t>0575-81168501</w:t>
      </w:r>
    </w:p>
    <w:p>
      <w:pPr>
        <w:pStyle w:val="BodyText"/>
        <w:spacing w:line="417" w:lineRule="auto"/>
        <w:ind w:left="640" w:right="6755"/>
        <w:rPr>
          <w:rFonts w:ascii="Times New Roman" w:eastAsia="Times New Roman"/>
        </w:rPr>
      </w:pPr>
      <w:r>
        <w:rPr>
          <w:spacing w:val="-2"/>
        </w:rPr>
        <w:t>联系人：朱江良 </w:t>
      </w:r>
      <w:r>
        <w:rPr>
          <w:spacing w:val="-3"/>
        </w:rPr>
        <w:t>网址：</w:t>
      </w:r>
      <w:hyperlink r:id="rId25">
        <w:r>
          <w:rPr>
            <w:rFonts w:ascii="Times New Roman" w:eastAsia="Times New Roman"/>
            <w:spacing w:val="-4"/>
          </w:rPr>
          <w:t>www.borf.cn</w:t>
        </w:r>
      </w:hyperlink>
    </w:p>
    <w:p>
      <w:pPr>
        <w:pStyle w:val="BodyText"/>
        <w:ind w:left="640"/>
        <w:rPr>
          <w:rFonts w:ascii="Times New Roman" w:eastAsia="Times New Roman"/>
        </w:rPr>
      </w:pPr>
      <w:r>
        <w:rPr/>
        <w:t>客户服务电话：</w:t>
      </w:r>
      <w:r>
        <w:rPr>
          <w:rFonts w:ascii="Times New Roman" w:eastAsia="Times New Roman"/>
        </w:rPr>
        <w:t>400-88-96596</w:t>
      </w:r>
    </w:p>
    <w:p>
      <w:pPr>
        <w:pStyle w:val="BodyText"/>
        <w:spacing w:before="2"/>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深圳市新兰德证券投资咨询有限公司</w:t>
      </w:r>
    </w:p>
    <w:p>
      <w:pPr>
        <w:pStyle w:val="BodyText"/>
        <w:spacing w:before="7"/>
        <w:rPr>
          <w:sz w:val="15"/>
        </w:rPr>
      </w:pPr>
    </w:p>
    <w:p>
      <w:pPr>
        <w:pStyle w:val="BodyText"/>
        <w:spacing w:line="417" w:lineRule="auto"/>
        <w:ind w:left="640" w:right="2914"/>
      </w:pPr>
      <w:r>
        <w:rPr>
          <w:spacing w:val="-3"/>
        </w:rPr>
        <w:t>住所：深圳市福田区福田街道民田路</w:t>
      </w:r>
      <w:r>
        <w:rPr>
          <w:rFonts w:ascii="Times New Roman" w:eastAsia="Times New Roman"/>
        </w:rPr>
        <w:t>178</w:t>
      </w:r>
      <w:r>
        <w:rPr>
          <w:spacing w:val="-3"/>
        </w:rPr>
        <w:t>号华融大厦</w:t>
      </w:r>
      <w:r>
        <w:rPr>
          <w:rFonts w:ascii="Times New Roman" w:eastAsia="Times New Roman"/>
        </w:rPr>
        <w:t>27</w:t>
      </w:r>
      <w:r>
        <w:rPr/>
        <w:t>层</w:t>
      </w:r>
      <w:r>
        <w:rPr>
          <w:rFonts w:ascii="Times New Roman" w:eastAsia="Times New Roman"/>
        </w:rPr>
        <w:t>2704 </w:t>
      </w:r>
      <w:r>
        <w:rPr>
          <w:spacing w:val="-3"/>
        </w:rPr>
        <w:t>办公地址：北京市西城区宣武门外大街</w:t>
      </w:r>
      <w:r>
        <w:rPr>
          <w:rFonts w:ascii="Times New Roman" w:eastAsia="Times New Roman"/>
        </w:rPr>
        <w:t>28</w:t>
      </w:r>
      <w:r>
        <w:rPr>
          <w:spacing w:val="-3"/>
        </w:rPr>
        <w:t>号富卓大厦</w:t>
      </w:r>
      <w:r>
        <w:rPr>
          <w:rFonts w:ascii="Times New Roman" w:eastAsia="Times New Roman"/>
        </w:rPr>
        <w:t>16</w:t>
      </w:r>
      <w:r>
        <w:rPr/>
        <w:t>层  </w:t>
      </w:r>
      <w:r>
        <w:rPr>
          <w:spacing w:val="-3"/>
        </w:rPr>
        <w:t>法定代表人：洪弘</w:t>
      </w:r>
    </w:p>
    <w:p>
      <w:pPr>
        <w:pStyle w:val="BodyText"/>
        <w:spacing w:line="417" w:lineRule="auto"/>
        <w:ind w:left="640" w:right="6626"/>
        <w:rPr>
          <w:rFonts w:ascii="Times New Roman" w:eastAsia="Times New Roman"/>
        </w:rPr>
      </w:pPr>
      <w:r>
        <w:rPr/>
        <w:t>电话：</w:t>
      </w:r>
      <w:r>
        <w:rPr>
          <w:rFonts w:ascii="Times New Roman" w:eastAsia="Times New Roman"/>
        </w:rPr>
        <w:t>010-83363101 </w:t>
      </w:r>
      <w:r>
        <w:rPr/>
        <w:t>传真：</w:t>
      </w:r>
      <w:r>
        <w:rPr>
          <w:rFonts w:ascii="Times New Roman" w:eastAsia="Times New Roman"/>
        </w:rPr>
        <w:t>010-83363072</w:t>
      </w:r>
    </w:p>
    <w:p>
      <w:pPr>
        <w:pStyle w:val="BodyText"/>
        <w:ind w:left="640"/>
      </w:pPr>
      <w:r>
        <w:rPr/>
        <w:t>联系人：文雯</w:t>
      </w:r>
    </w:p>
    <w:p>
      <w:pPr>
        <w:pStyle w:val="BodyText"/>
        <w:spacing w:before="6"/>
        <w:rPr>
          <w:sz w:val="15"/>
        </w:rPr>
      </w:pPr>
    </w:p>
    <w:p>
      <w:pPr>
        <w:pStyle w:val="BodyText"/>
        <w:ind w:left="640"/>
        <w:rPr>
          <w:rFonts w:ascii="Times New Roman" w:eastAsia="Times New Roman"/>
        </w:rPr>
      </w:pPr>
      <w:r>
        <w:rPr/>
        <w:t>网址：</w:t>
      </w:r>
      <w:hyperlink r:id="rId26">
        <w:r>
          <w:rPr>
            <w:rFonts w:ascii="Times New Roman" w:eastAsia="Times New Roman"/>
          </w:rPr>
          <w:t>http://8.jrj.com.cn/</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400-166-1188</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江苏汇林保大基金销售有限公司</w:t>
      </w:r>
    </w:p>
    <w:p>
      <w:pPr>
        <w:pStyle w:val="BodyText"/>
        <w:spacing w:before="7"/>
        <w:rPr>
          <w:sz w:val="15"/>
        </w:rPr>
      </w:pPr>
    </w:p>
    <w:p>
      <w:pPr>
        <w:pStyle w:val="BodyText"/>
        <w:ind w:left="640"/>
      </w:pPr>
      <w:r>
        <w:rPr/>
        <w:t>住所：南京市高淳区经济开发区古檀大道</w:t>
      </w:r>
      <w:r>
        <w:rPr>
          <w:rFonts w:ascii="Times New Roman" w:eastAsia="Times New Roman"/>
        </w:rPr>
        <w:t>47</w:t>
      </w:r>
      <w:r>
        <w:rPr/>
        <w:t>号</w:t>
      </w:r>
    </w:p>
    <w:p>
      <w:pPr>
        <w:pStyle w:val="BodyText"/>
        <w:spacing w:before="7"/>
        <w:rPr>
          <w:sz w:val="15"/>
        </w:rPr>
      </w:pPr>
    </w:p>
    <w:p>
      <w:pPr>
        <w:pStyle w:val="BodyText"/>
        <w:spacing w:line="417" w:lineRule="auto"/>
        <w:ind w:left="640" w:right="3123"/>
      </w:pPr>
      <w:r>
        <w:rPr/>
        <w:t>办公地址：南京市鼓楼区中山北路</w:t>
      </w:r>
      <w:r>
        <w:rPr>
          <w:rFonts w:ascii="Times New Roman" w:eastAsia="Times New Roman"/>
        </w:rPr>
        <w:t>2</w:t>
      </w:r>
      <w:r>
        <w:rPr/>
        <w:t>号绿地紫峰大厦</w:t>
      </w:r>
      <w:r>
        <w:rPr>
          <w:rFonts w:ascii="Times New Roman" w:eastAsia="Times New Roman"/>
        </w:rPr>
        <w:t>2005</w:t>
      </w:r>
      <w:r>
        <w:rPr/>
        <w:t>室法定代表人：吴言林</w:t>
      </w:r>
    </w:p>
    <w:p>
      <w:pPr>
        <w:pStyle w:val="BodyText"/>
        <w:ind w:left="640"/>
        <w:rPr>
          <w:rFonts w:ascii="Times New Roman" w:eastAsia="Times New Roman"/>
        </w:rPr>
      </w:pPr>
      <w:r>
        <w:rPr/>
        <w:t>电话：</w:t>
      </w:r>
      <w:r>
        <w:rPr>
          <w:rFonts w:ascii="Times New Roman" w:eastAsia="Times New Roman"/>
        </w:rPr>
        <w:t>025-66046166</w:t>
      </w:r>
      <w:r>
        <w:rPr/>
        <w:t>转</w:t>
      </w:r>
      <w:r>
        <w:rPr>
          <w:rFonts w:ascii="Times New Roman" w:eastAsia="Times New Roman"/>
        </w:rPr>
        <w:t>837</w:t>
      </w:r>
    </w:p>
    <w:p>
      <w:pPr>
        <w:pStyle w:val="BodyText"/>
        <w:spacing w:before="3"/>
        <w:rPr>
          <w:rFonts w:ascii="Times New Roman"/>
          <w:sz w:val="17"/>
        </w:rPr>
      </w:pPr>
    </w:p>
    <w:p>
      <w:pPr>
        <w:pStyle w:val="BodyText"/>
        <w:spacing w:before="1"/>
        <w:ind w:left="640"/>
      </w:pPr>
      <w:r>
        <w:rPr/>
        <w:t>联系人：孙平</w:t>
      </w:r>
    </w:p>
    <w:p>
      <w:pPr>
        <w:pStyle w:val="BodyText"/>
        <w:spacing w:before="6"/>
        <w:rPr>
          <w:sz w:val="15"/>
        </w:rPr>
      </w:pPr>
    </w:p>
    <w:p>
      <w:pPr>
        <w:pStyle w:val="BodyText"/>
        <w:ind w:left="640"/>
        <w:rPr>
          <w:rFonts w:ascii="Times New Roman" w:eastAsia="Times New Roman"/>
        </w:rPr>
      </w:pPr>
      <w:r>
        <w:rPr/>
        <w:t>网址：</w:t>
      </w:r>
      <w:hyperlink r:id="rId27">
        <w:r>
          <w:rPr>
            <w:rFonts w:ascii="Times New Roman" w:eastAsia="Times New Roman"/>
          </w:rPr>
          <w:t>www.huilinbd.com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025-66046166</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上海挖财基金销售有限公司</w:t>
      </w:r>
    </w:p>
    <w:p>
      <w:pPr>
        <w:pStyle w:val="BodyText"/>
        <w:spacing w:before="7"/>
        <w:rPr>
          <w:sz w:val="15"/>
        </w:rPr>
      </w:pPr>
    </w:p>
    <w:p>
      <w:pPr>
        <w:pStyle w:val="BodyText"/>
        <w:ind w:left="640"/>
      </w:pPr>
      <w:r>
        <w:rPr/>
        <w:t>住所：中国（上海）自由贸易试验区杨高南路</w:t>
      </w:r>
      <w:r>
        <w:rPr>
          <w:rFonts w:ascii="Times New Roman" w:eastAsia="Times New Roman"/>
        </w:rPr>
        <w:t>799</w:t>
      </w:r>
      <w:r>
        <w:rPr/>
        <w:t>号</w:t>
      </w:r>
      <w:r>
        <w:rPr>
          <w:rFonts w:ascii="Times New Roman" w:eastAsia="Times New Roman"/>
        </w:rPr>
        <w:t>5</w:t>
      </w:r>
      <w:r>
        <w:rPr/>
        <w:t>层</w:t>
      </w:r>
      <w:r>
        <w:rPr>
          <w:rFonts w:ascii="Times New Roman" w:eastAsia="Times New Roman"/>
        </w:rPr>
        <w:t>01</w:t>
      </w:r>
      <w:r>
        <w:rPr/>
        <w:t>、</w:t>
      </w:r>
      <w:r>
        <w:rPr>
          <w:rFonts w:ascii="Times New Roman" w:eastAsia="Times New Roman"/>
        </w:rPr>
        <w:t>02</w:t>
      </w:r>
      <w:r>
        <w:rPr/>
        <w:t>、</w:t>
      </w:r>
      <w:r>
        <w:rPr>
          <w:rFonts w:ascii="Times New Roman" w:eastAsia="Times New Roman"/>
        </w:rPr>
        <w:t>03</w:t>
      </w:r>
      <w:r>
        <w:rPr/>
        <w:t>室</w:t>
      </w:r>
    </w:p>
    <w:p>
      <w:pPr>
        <w:pStyle w:val="BodyText"/>
        <w:spacing w:before="7"/>
        <w:rPr>
          <w:sz w:val="15"/>
        </w:rPr>
      </w:pPr>
    </w:p>
    <w:p>
      <w:pPr>
        <w:pStyle w:val="BodyText"/>
        <w:spacing w:line="417" w:lineRule="auto"/>
        <w:ind w:left="640" w:right="1760"/>
      </w:pPr>
      <w:r>
        <w:rPr/>
        <w:t>办公地址：中国（上海）自由贸易试验区杨高南路</w:t>
      </w:r>
      <w:r>
        <w:rPr>
          <w:rFonts w:ascii="Times New Roman" w:eastAsia="Times New Roman"/>
        </w:rPr>
        <w:t>799</w:t>
      </w:r>
      <w:r>
        <w:rPr/>
        <w:t>号</w:t>
      </w:r>
      <w:r>
        <w:rPr>
          <w:rFonts w:ascii="Times New Roman" w:eastAsia="Times New Roman"/>
        </w:rPr>
        <w:t>5</w:t>
      </w:r>
      <w:r>
        <w:rPr/>
        <w:t>层</w:t>
      </w:r>
      <w:r>
        <w:rPr>
          <w:rFonts w:ascii="Times New Roman" w:eastAsia="Times New Roman"/>
        </w:rPr>
        <w:t>01</w:t>
      </w:r>
      <w:r>
        <w:rPr/>
        <w:t>、</w:t>
      </w:r>
      <w:r>
        <w:rPr>
          <w:rFonts w:ascii="Times New Roman" w:eastAsia="Times New Roman"/>
        </w:rPr>
        <w:t>02</w:t>
      </w:r>
      <w:r>
        <w:rPr/>
        <w:t>、</w:t>
      </w:r>
      <w:r>
        <w:rPr>
          <w:rFonts w:ascii="Times New Roman" w:eastAsia="Times New Roman"/>
        </w:rPr>
        <w:t>03</w:t>
      </w:r>
      <w:r>
        <w:rPr/>
        <w:t>室法定代表人：胡燕亮</w:t>
      </w:r>
    </w:p>
    <w:p>
      <w:pPr>
        <w:spacing w:after="0" w:line="417" w:lineRule="auto"/>
        <w:sectPr>
          <w:pgSz w:w="11910" w:h="16840"/>
          <w:pgMar w:header="877" w:footer="995" w:top="1420" w:bottom="1180" w:left="1580" w:right="1200"/>
        </w:sectPr>
      </w:pPr>
    </w:p>
    <w:p>
      <w:pPr>
        <w:pStyle w:val="BodyText"/>
        <w:spacing w:line="417" w:lineRule="auto" w:before="110"/>
        <w:ind w:left="640" w:right="662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spacing w:line="269" w:lineRule="exact"/>
        <w:ind w:left="640"/>
      </w:pPr>
      <w:r>
        <w:rPr/>
        <w:t>联系人：李娟</w:t>
      </w:r>
    </w:p>
    <w:p>
      <w:pPr>
        <w:pStyle w:val="BodyText"/>
        <w:spacing w:before="6"/>
        <w:rPr>
          <w:sz w:val="15"/>
        </w:rPr>
      </w:pPr>
    </w:p>
    <w:p>
      <w:pPr>
        <w:pStyle w:val="BodyText"/>
        <w:ind w:left="640"/>
        <w:rPr>
          <w:rFonts w:ascii="Times New Roman" w:eastAsia="Times New Roman"/>
        </w:rPr>
      </w:pPr>
      <w:r>
        <w:rPr/>
        <w:t>网址：</w:t>
      </w:r>
      <w:hyperlink r:id="rId28">
        <w:r>
          <w:rPr>
            <w:rFonts w:ascii="Times New Roman" w:eastAsia="Times New Roman"/>
          </w:rPr>
          <w:t>www.wacaijijin.com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021-50810673</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喜鹊财富基金销售有限公司</w:t>
      </w:r>
    </w:p>
    <w:p>
      <w:pPr>
        <w:pStyle w:val="BodyText"/>
        <w:spacing w:before="7"/>
        <w:rPr>
          <w:sz w:val="15"/>
        </w:rPr>
      </w:pPr>
    </w:p>
    <w:p>
      <w:pPr>
        <w:pStyle w:val="BodyText"/>
        <w:ind w:left="640"/>
      </w:pPr>
      <w:r>
        <w:rPr/>
        <w:t>住所：西藏拉萨市柳梧新区柳梧大厦</w:t>
      </w:r>
      <w:r>
        <w:rPr>
          <w:rFonts w:ascii="Times New Roman" w:eastAsia="Times New Roman"/>
        </w:rPr>
        <w:t>1513</w:t>
      </w:r>
      <w:r>
        <w:rPr/>
        <w:t>室</w:t>
      </w:r>
    </w:p>
    <w:p>
      <w:pPr>
        <w:pStyle w:val="BodyText"/>
        <w:spacing w:before="7"/>
        <w:rPr>
          <w:sz w:val="15"/>
        </w:rPr>
      </w:pPr>
    </w:p>
    <w:p>
      <w:pPr>
        <w:pStyle w:val="BodyText"/>
        <w:spacing w:line="417" w:lineRule="auto"/>
        <w:ind w:left="640" w:right="4069"/>
      </w:pPr>
      <w:r>
        <w:rPr/>
        <w:t>办公地址：西藏拉萨市柳梧新区柳梧大厦</w:t>
      </w:r>
      <w:r>
        <w:rPr>
          <w:rFonts w:ascii="Times New Roman" w:eastAsia="Times New Roman"/>
        </w:rPr>
        <w:t>1513</w:t>
      </w:r>
      <w:r>
        <w:rPr/>
        <w:t>室法定代表人：陈皓</w:t>
      </w:r>
    </w:p>
    <w:p>
      <w:pPr>
        <w:pStyle w:val="BodyText"/>
        <w:spacing w:line="417" w:lineRule="auto"/>
        <w:ind w:left="640" w:right="541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spacing w:line="269" w:lineRule="exact"/>
        <w:ind w:left="640"/>
      </w:pPr>
      <w:r>
        <w:rPr/>
        <w:t>联系人：张萌</w:t>
      </w:r>
    </w:p>
    <w:p>
      <w:pPr>
        <w:pStyle w:val="BodyText"/>
        <w:spacing w:before="7"/>
        <w:rPr>
          <w:sz w:val="15"/>
        </w:rPr>
      </w:pPr>
    </w:p>
    <w:p>
      <w:pPr>
        <w:pStyle w:val="BodyText"/>
        <w:ind w:left="640"/>
        <w:rPr>
          <w:rFonts w:ascii="Times New Roman" w:eastAsia="Times New Roman"/>
        </w:rPr>
      </w:pPr>
      <w:r>
        <w:rPr/>
        <w:t>网址：</w:t>
      </w:r>
      <w:hyperlink r:id="rId29">
        <w:r>
          <w:rPr>
            <w:rFonts w:ascii="Times New Roman" w:eastAsia="Times New Roman"/>
          </w:rPr>
          <w:t>www.xiquefund.com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400-699-7719</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北京度小满基金销售有限公司</w:t>
      </w:r>
    </w:p>
    <w:p>
      <w:pPr>
        <w:pStyle w:val="BodyText"/>
        <w:spacing w:before="7"/>
        <w:rPr>
          <w:sz w:val="15"/>
        </w:rPr>
      </w:pPr>
    </w:p>
    <w:p>
      <w:pPr>
        <w:pStyle w:val="BodyText"/>
        <w:spacing w:line="417" w:lineRule="auto"/>
        <w:ind w:left="640" w:right="3123"/>
      </w:pPr>
      <w:r>
        <w:rPr/>
        <w:t>住所：北京市海淀区西北旺东路</w:t>
      </w:r>
      <w:r>
        <w:rPr>
          <w:rFonts w:ascii="Times New Roman" w:eastAsia="Times New Roman"/>
        </w:rPr>
        <w:t>10</w:t>
      </w:r>
      <w:r>
        <w:rPr/>
        <w:t>号院西区</w:t>
      </w:r>
      <w:r>
        <w:rPr>
          <w:rFonts w:ascii="Times New Roman" w:eastAsia="Times New Roman"/>
        </w:rPr>
        <w:t>4</w:t>
      </w:r>
      <w:r>
        <w:rPr/>
        <w:t>号楼</w:t>
      </w:r>
      <w:r>
        <w:rPr>
          <w:rFonts w:ascii="Times New Roman" w:eastAsia="Times New Roman"/>
        </w:rPr>
        <w:t>1</w:t>
      </w:r>
      <w:r>
        <w:rPr/>
        <w:t>层</w:t>
      </w:r>
      <w:r>
        <w:rPr>
          <w:rFonts w:ascii="Times New Roman" w:eastAsia="Times New Roman"/>
        </w:rPr>
        <w:t>103</w:t>
      </w:r>
      <w:r>
        <w:rPr/>
        <w:t>室办公地址：北京市海淀区西北旺东路</w:t>
      </w:r>
      <w:r>
        <w:rPr>
          <w:rFonts w:ascii="Times New Roman" w:eastAsia="Times New Roman"/>
        </w:rPr>
        <w:t>10</w:t>
      </w:r>
      <w:r>
        <w:rPr/>
        <w:t>号院西区</w:t>
      </w:r>
      <w:r>
        <w:rPr>
          <w:rFonts w:ascii="Times New Roman" w:eastAsia="Times New Roman"/>
        </w:rPr>
        <w:t>4</w:t>
      </w:r>
      <w:r>
        <w:rPr/>
        <w:t>号楼</w:t>
      </w:r>
    </w:p>
    <w:p>
      <w:pPr>
        <w:pStyle w:val="BodyText"/>
        <w:spacing w:line="417" w:lineRule="auto"/>
        <w:ind w:left="640" w:right="6564"/>
        <w:rPr>
          <w:rFonts w:ascii="Times New Roman" w:eastAsia="Times New Roman"/>
        </w:rPr>
      </w:pPr>
      <w:r>
        <w:rPr/>
        <w:t>法定代表人：葛新电话：</w:t>
      </w:r>
      <w:r>
        <w:rPr>
          <w:rFonts w:ascii="Times New Roman" w:eastAsia="Times New Roman"/>
        </w:rPr>
        <w:t>010-59403028 </w:t>
      </w:r>
      <w:r>
        <w:rPr/>
        <w:t>传真：</w:t>
      </w:r>
      <w:r>
        <w:rPr>
          <w:rFonts w:ascii="Times New Roman" w:eastAsia="Times New Roman"/>
        </w:rPr>
        <w:t>010-59403027</w:t>
      </w:r>
    </w:p>
    <w:p>
      <w:pPr>
        <w:pStyle w:val="BodyText"/>
        <w:spacing w:line="269" w:lineRule="exact"/>
        <w:ind w:left="640"/>
      </w:pPr>
      <w:r>
        <w:rPr/>
        <w:t>联系人：孙博超</w:t>
      </w:r>
    </w:p>
    <w:p>
      <w:pPr>
        <w:pStyle w:val="BodyText"/>
        <w:spacing w:before="7"/>
        <w:rPr>
          <w:sz w:val="15"/>
        </w:rPr>
      </w:pPr>
    </w:p>
    <w:p>
      <w:pPr>
        <w:pStyle w:val="BodyText"/>
        <w:spacing w:line="417" w:lineRule="auto"/>
        <w:ind w:left="640" w:right="5886"/>
        <w:rPr>
          <w:rFonts w:ascii="Times New Roman" w:eastAsia="Times New Roman"/>
        </w:rPr>
      </w:pPr>
      <w:r>
        <w:rPr/>
        <w:t>网址：</w:t>
      </w:r>
      <w:hyperlink r:id="rId30">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诺亚正行基金销售有限公司</w:t>
      </w:r>
    </w:p>
    <w:p>
      <w:pPr>
        <w:pStyle w:val="BodyText"/>
        <w:spacing w:before="7"/>
        <w:rPr>
          <w:sz w:val="15"/>
        </w:rPr>
      </w:pPr>
    </w:p>
    <w:p>
      <w:pPr>
        <w:pStyle w:val="BodyText"/>
        <w:ind w:left="640"/>
      </w:pPr>
      <w:r>
        <w:rPr/>
        <w:t>住所：上海市虹口区飞虹路</w:t>
      </w:r>
      <w:r>
        <w:rPr>
          <w:rFonts w:ascii="Times New Roman" w:eastAsia="Times New Roman"/>
        </w:rPr>
        <w:t>360</w:t>
      </w:r>
      <w:r>
        <w:rPr/>
        <w:t>弄</w:t>
      </w:r>
      <w:r>
        <w:rPr>
          <w:rFonts w:ascii="Times New Roman" w:eastAsia="Times New Roman"/>
        </w:rPr>
        <w:t>9</w:t>
      </w:r>
      <w:r>
        <w:rPr/>
        <w:t>号</w:t>
      </w:r>
      <w:r>
        <w:rPr>
          <w:rFonts w:ascii="Times New Roman" w:eastAsia="Times New Roman"/>
        </w:rPr>
        <w:t>3724</w:t>
      </w:r>
      <w:r>
        <w:rPr/>
        <w:t>室</w:t>
      </w:r>
    </w:p>
    <w:p>
      <w:pPr>
        <w:pStyle w:val="BodyText"/>
        <w:spacing w:before="6"/>
        <w:rPr>
          <w:sz w:val="15"/>
        </w:rPr>
      </w:pPr>
    </w:p>
    <w:p>
      <w:pPr>
        <w:pStyle w:val="BodyText"/>
        <w:spacing w:line="417" w:lineRule="auto"/>
        <w:ind w:left="640" w:right="3404"/>
      </w:pPr>
      <w:r>
        <w:rPr/>
        <w:t>办公地址：上海市杨浦区昆明路</w:t>
      </w:r>
      <w:r>
        <w:rPr>
          <w:rFonts w:ascii="Times New Roman" w:eastAsia="Times New Roman"/>
        </w:rPr>
        <w:t>508</w:t>
      </w:r>
      <w:r>
        <w:rPr/>
        <w:t>号北美广场</w:t>
      </w:r>
      <w:r>
        <w:rPr>
          <w:rFonts w:ascii="Times New Roman" w:eastAsia="Times New Roman"/>
        </w:rPr>
        <w:t>B</w:t>
      </w:r>
      <w:r>
        <w:rPr/>
        <w:t>座</w:t>
      </w:r>
      <w:r>
        <w:rPr>
          <w:rFonts w:ascii="Times New Roman" w:eastAsia="Times New Roman"/>
        </w:rPr>
        <w:t>12</w:t>
      </w:r>
      <w:r>
        <w:rPr/>
        <w:t>楼法定代表人：汪静波</w:t>
      </w:r>
    </w:p>
    <w:p>
      <w:pPr>
        <w:pStyle w:val="BodyText"/>
        <w:spacing w:line="417" w:lineRule="auto"/>
        <w:ind w:left="640" w:right="662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ind w:left="640"/>
      </w:pPr>
      <w:r>
        <w:rPr/>
        <w:t>联系人：张裕</w:t>
      </w:r>
    </w:p>
    <w:p>
      <w:pPr>
        <w:spacing w:after="0"/>
        <w:sectPr>
          <w:pgSz w:w="11910" w:h="16840"/>
          <w:pgMar w:header="877" w:footer="995" w:top="1420" w:bottom="1180" w:left="1580" w:right="1200"/>
        </w:sectPr>
      </w:pPr>
    </w:p>
    <w:p>
      <w:pPr>
        <w:pStyle w:val="BodyText"/>
        <w:spacing w:line="417" w:lineRule="auto" w:before="110"/>
        <w:ind w:left="640" w:right="5821"/>
        <w:rPr>
          <w:rFonts w:ascii="Times New Roman" w:eastAsia="Times New Roman"/>
        </w:rPr>
      </w:pPr>
      <w:r>
        <w:rPr/>
        <w:t>网址：</w:t>
      </w:r>
      <w:hyperlink r:id="rId31">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深圳众禄基金销售股份有限公司</w:t>
      </w:r>
    </w:p>
    <w:p>
      <w:pPr>
        <w:pStyle w:val="BodyText"/>
        <w:spacing w:before="6"/>
        <w:rPr>
          <w:sz w:val="15"/>
        </w:rPr>
      </w:pPr>
    </w:p>
    <w:p>
      <w:pPr>
        <w:pStyle w:val="BodyText"/>
        <w:ind w:left="640"/>
        <w:rPr>
          <w:rFonts w:ascii="Times New Roman" w:eastAsia="Times New Roman"/>
        </w:rPr>
      </w:pPr>
      <w:r>
        <w:rPr>
          <w:spacing w:val="-3"/>
        </w:rPr>
        <w:t>住所：深圳市罗湖区梨园路物资控股置地大厦</w:t>
      </w:r>
      <w:r>
        <w:rPr>
          <w:rFonts w:ascii="Times New Roman" w:eastAsia="Times New Roman"/>
        </w:rPr>
        <w:t>8</w:t>
      </w:r>
      <w:r>
        <w:rPr/>
        <w:t>楼</w:t>
      </w:r>
      <w:r>
        <w:rPr>
          <w:rFonts w:ascii="Times New Roman" w:eastAsia="Times New Roman"/>
          <w:spacing w:val="-3"/>
        </w:rPr>
        <w:t>801</w:t>
      </w:r>
    </w:p>
    <w:p>
      <w:pPr>
        <w:pStyle w:val="BodyText"/>
        <w:spacing w:before="4"/>
        <w:rPr>
          <w:rFonts w:ascii="Times New Roman"/>
          <w:sz w:val="17"/>
        </w:rPr>
      </w:pPr>
    </w:p>
    <w:p>
      <w:pPr>
        <w:pStyle w:val="BodyText"/>
        <w:spacing w:line="417" w:lineRule="auto"/>
        <w:ind w:left="640" w:right="3229"/>
      </w:pPr>
      <w:r>
        <w:rPr/>
        <w:t>办公地址：深圳市罗湖区梨园路物资控股置地大厦</w:t>
      </w:r>
      <w:r>
        <w:rPr>
          <w:rFonts w:ascii="Times New Roman" w:eastAsia="Times New Roman"/>
        </w:rPr>
        <w:t>8</w:t>
      </w:r>
      <w:r>
        <w:rPr/>
        <w:t>楼</w:t>
      </w:r>
      <w:r>
        <w:rPr>
          <w:rFonts w:ascii="Times New Roman" w:eastAsia="Times New Roman"/>
        </w:rPr>
        <w:t>801 </w:t>
      </w:r>
      <w:r>
        <w:rPr/>
        <w:t>法定代表人：薛峰</w:t>
      </w:r>
    </w:p>
    <w:p>
      <w:pPr>
        <w:pStyle w:val="BodyText"/>
        <w:spacing w:line="417" w:lineRule="auto"/>
        <w:ind w:left="640" w:right="6520"/>
        <w:rPr>
          <w:rFonts w:ascii="Times New Roman" w:eastAsia="Times New Roman"/>
        </w:rPr>
      </w:pPr>
      <w:r>
        <w:rPr/>
        <w:t>电话：</w:t>
      </w:r>
      <w:r>
        <w:rPr>
          <w:rFonts w:ascii="Times New Roman" w:eastAsia="Times New Roman"/>
        </w:rPr>
        <w:t>0755-33227950 </w:t>
      </w:r>
      <w:r>
        <w:rPr/>
        <w:t>传真：</w:t>
      </w:r>
      <w:r>
        <w:rPr>
          <w:rFonts w:ascii="Times New Roman" w:eastAsia="Times New Roman"/>
        </w:rPr>
        <w:t>0755-33227951</w:t>
      </w:r>
    </w:p>
    <w:p>
      <w:pPr>
        <w:pStyle w:val="BodyText"/>
        <w:ind w:left="640"/>
      </w:pPr>
      <w:r>
        <w:rPr/>
        <w:t>联系人：童彩平</w:t>
      </w:r>
    </w:p>
    <w:p>
      <w:pPr>
        <w:pStyle w:val="BodyText"/>
        <w:spacing w:before="6"/>
        <w:rPr>
          <w:sz w:val="15"/>
        </w:rPr>
      </w:pPr>
    </w:p>
    <w:p>
      <w:pPr>
        <w:pStyle w:val="BodyText"/>
        <w:spacing w:before="1"/>
        <w:ind w:left="640"/>
        <w:rPr>
          <w:rFonts w:ascii="Times New Roman" w:eastAsia="Times New Roman"/>
        </w:rPr>
      </w:pPr>
      <w:r>
        <w:rPr/>
        <w:t>网址：</w:t>
      </w:r>
      <w:hyperlink r:id="rId32">
        <w:r>
          <w:rPr>
            <w:rFonts w:ascii="Times New Roman" w:eastAsia="Times New Roman"/>
          </w:rPr>
          <w:t>www.zlfund.cn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4006-788-887</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上海天天基金销售有限公司</w:t>
      </w:r>
    </w:p>
    <w:p>
      <w:pPr>
        <w:pStyle w:val="BodyText"/>
        <w:spacing w:before="7"/>
        <w:rPr>
          <w:sz w:val="15"/>
        </w:rPr>
      </w:pPr>
    </w:p>
    <w:p>
      <w:pPr>
        <w:pStyle w:val="BodyText"/>
        <w:ind w:left="640"/>
      </w:pPr>
      <w:r>
        <w:rPr/>
        <w:t>住所：上海市徐汇区龙田路</w:t>
      </w:r>
      <w:r>
        <w:rPr>
          <w:rFonts w:ascii="Times New Roman" w:eastAsia="Times New Roman"/>
        </w:rPr>
        <w:t>190</w:t>
      </w:r>
      <w:r>
        <w:rPr/>
        <w:t>号</w:t>
      </w:r>
      <w:r>
        <w:rPr>
          <w:rFonts w:ascii="Times New Roman" w:eastAsia="Times New Roman"/>
        </w:rPr>
        <w:t>2</w:t>
      </w:r>
      <w:r>
        <w:rPr/>
        <w:t>号楼</w:t>
      </w:r>
    </w:p>
    <w:p>
      <w:pPr>
        <w:pStyle w:val="BodyText"/>
        <w:spacing w:before="7"/>
        <w:rPr>
          <w:sz w:val="15"/>
        </w:rPr>
      </w:pPr>
    </w:p>
    <w:p>
      <w:pPr>
        <w:pStyle w:val="BodyText"/>
        <w:spacing w:line="417" w:lineRule="auto"/>
        <w:ind w:left="640" w:right="3227"/>
      </w:pPr>
      <w:r>
        <w:rPr/>
        <w:t>办公地址：上海市徐汇区宛平南路</w:t>
      </w:r>
      <w:r>
        <w:rPr>
          <w:rFonts w:ascii="Times New Roman" w:eastAsia="Times New Roman"/>
        </w:rPr>
        <w:t>88</w:t>
      </w:r>
      <w:r>
        <w:rPr/>
        <w:t>号金座东方财富大厦法定代表人：其实</w:t>
      </w:r>
    </w:p>
    <w:p>
      <w:pPr>
        <w:pStyle w:val="BodyText"/>
        <w:ind w:left="640"/>
        <w:rPr>
          <w:rFonts w:ascii="Times New Roman" w:eastAsia="Times New Roman"/>
        </w:rPr>
      </w:pPr>
      <w:r>
        <w:rPr/>
        <w:t>电话：</w:t>
      </w:r>
      <w:r>
        <w:rPr>
          <w:rFonts w:ascii="Times New Roman" w:eastAsia="Times New Roman"/>
        </w:rPr>
        <w:t>95021</w:t>
      </w:r>
    </w:p>
    <w:p>
      <w:pPr>
        <w:pStyle w:val="BodyText"/>
        <w:spacing w:before="3"/>
        <w:rPr>
          <w:rFonts w:ascii="Times New Roman"/>
          <w:sz w:val="17"/>
        </w:rPr>
      </w:pPr>
    </w:p>
    <w:p>
      <w:pPr>
        <w:pStyle w:val="BodyText"/>
        <w:spacing w:before="1"/>
        <w:ind w:left="64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ind w:left="640"/>
      </w:pPr>
      <w:r>
        <w:rPr/>
        <w:t>联系人：屠彦洋</w:t>
      </w:r>
    </w:p>
    <w:p>
      <w:pPr>
        <w:pStyle w:val="BodyText"/>
        <w:spacing w:before="7"/>
        <w:rPr>
          <w:sz w:val="15"/>
        </w:rPr>
      </w:pPr>
    </w:p>
    <w:p>
      <w:pPr>
        <w:pStyle w:val="BodyText"/>
        <w:spacing w:line="417" w:lineRule="auto"/>
        <w:ind w:left="640" w:right="5821"/>
        <w:rPr>
          <w:rFonts w:ascii="Times New Roman" w:eastAsia="Times New Roman"/>
        </w:rPr>
      </w:pPr>
      <w:r>
        <w:rPr/>
        <w:t>网址：</w:t>
      </w:r>
      <w:hyperlink r:id="rId33">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上海好买基金销售有限公司</w:t>
      </w:r>
    </w:p>
    <w:p>
      <w:pPr>
        <w:pStyle w:val="BodyText"/>
        <w:spacing w:before="7"/>
        <w:rPr>
          <w:sz w:val="15"/>
        </w:rPr>
      </w:pPr>
    </w:p>
    <w:p>
      <w:pPr>
        <w:pStyle w:val="BodyText"/>
        <w:ind w:left="640"/>
      </w:pPr>
      <w:r>
        <w:rPr/>
        <w:t>住所：上海市虹口区场中路</w:t>
      </w:r>
      <w:r>
        <w:rPr>
          <w:rFonts w:ascii="Times New Roman" w:eastAsia="Times New Roman"/>
        </w:rPr>
        <w:t>685</w:t>
      </w:r>
      <w:r>
        <w:rPr/>
        <w:t>弄</w:t>
      </w:r>
      <w:r>
        <w:rPr>
          <w:rFonts w:ascii="Times New Roman" w:eastAsia="Times New Roman"/>
        </w:rPr>
        <w:t>37</w:t>
      </w:r>
      <w:r>
        <w:rPr/>
        <w:t>号</w:t>
      </w:r>
      <w:r>
        <w:rPr>
          <w:rFonts w:ascii="Times New Roman" w:eastAsia="Times New Roman"/>
        </w:rPr>
        <w:t>4</w:t>
      </w:r>
      <w:r>
        <w:rPr/>
        <w:t>号楼</w:t>
      </w:r>
      <w:r>
        <w:rPr>
          <w:rFonts w:ascii="Times New Roman" w:eastAsia="Times New Roman"/>
        </w:rPr>
        <w:t>449</w:t>
      </w:r>
      <w:r>
        <w:rPr/>
        <w:t>室</w:t>
      </w:r>
    </w:p>
    <w:p>
      <w:pPr>
        <w:pStyle w:val="BodyText"/>
        <w:spacing w:before="7"/>
        <w:rPr>
          <w:sz w:val="15"/>
        </w:rPr>
      </w:pPr>
    </w:p>
    <w:p>
      <w:pPr>
        <w:pStyle w:val="BodyText"/>
        <w:spacing w:line="417" w:lineRule="auto"/>
        <w:ind w:left="640" w:right="1828"/>
      </w:pPr>
      <w:r>
        <w:rPr/>
        <w:t>办公地址：上海市浦东新区浦东南路</w:t>
      </w:r>
      <w:r>
        <w:rPr>
          <w:rFonts w:ascii="Times New Roman" w:eastAsia="Times New Roman"/>
        </w:rPr>
        <w:t>1118</w:t>
      </w:r>
      <w:r>
        <w:rPr/>
        <w:t>号鄂尔多斯国际大厦</w:t>
      </w:r>
      <w:r>
        <w:rPr>
          <w:rFonts w:ascii="Times New Roman" w:eastAsia="Times New Roman"/>
        </w:rPr>
        <w:t>903~906</w:t>
      </w:r>
      <w:r>
        <w:rPr/>
        <w:t>室法定代表人：杨文斌</w:t>
      </w:r>
    </w:p>
    <w:p>
      <w:pPr>
        <w:pStyle w:val="BodyText"/>
        <w:spacing w:line="417" w:lineRule="auto"/>
        <w:ind w:left="640" w:right="662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ind w:left="640"/>
      </w:pPr>
      <w:r>
        <w:rPr/>
        <w:t>联系人：周天雪</w:t>
      </w:r>
    </w:p>
    <w:p>
      <w:pPr>
        <w:pStyle w:val="BodyText"/>
        <w:spacing w:before="6"/>
        <w:rPr>
          <w:sz w:val="15"/>
        </w:rPr>
      </w:pPr>
    </w:p>
    <w:p>
      <w:pPr>
        <w:pStyle w:val="BodyText"/>
        <w:ind w:left="640"/>
        <w:rPr>
          <w:rFonts w:ascii="Times New Roman" w:eastAsia="Times New Roman"/>
        </w:rPr>
      </w:pPr>
      <w:r>
        <w:rPr/>
        <w:t>网址：</w:t>
      </w:r>
      <w:hyperlink r:id="rId34">
        <w:r>
          <w:rPr>
            <w:rFonts w:ascii="Times New Roman" w:eastAsia="Times New Roman"/>
          </w:rPr>
          <w:t>www.ehowbuy.com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400-700-9665</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spacing w:after="0" w:line="240" w:lineRule="auto"/>
        <w:jc w:val="left"/>
        <w:rPr>
          <w:sz w:val="21"/>
        </w:rPr>
        <w:sectPr>
          <w:pgSz w:w="11910" w:h="16840"/>
          <w:pgMar w:header="877" w:footer="995" w:top="1420" w:bottom="1180" w:left="1580" w:right="1200"/>
        </w:sectPr>
      </w:pPr>
    </w:p>
    <w:p>
      <w:pPr>
        <w:pStyle w:val="BodyText"/>
        <w:spacing w:line="417" w:lineRule="auto" w:before="110"/>
        <w:ind w:left="640" w:right="2600"/>
        <w:jc w:val="both"/>
      </w:pPr>
      <w:r>
        <w:rPr/>
        <w:t>住所：浙江省杭州市余杭区五常街道文一西路</w:t>
      </w:r>
      <w:r>
        <w:rPr>
          <w:rFonts w:ascii="Times New Roman" w:eastAsia="Times New Roman"/>
        </w:rPr>
        <w:t>969</w:t>
      </w:r>
      <w:r>
        <w:rPr/>
        <w:t>号</w:t>
      </w:r>
      <w:r>
        <w:rPr>
          <w:rFonts w:ascii="Times New Roman" w:eastAsia="Times New Roman"/>
        </w:rPr>
        <w:t>3</w:t>
      </w:r>
      <w:r>
        <w:rPr/>
        <w:t>幢</w:t>
      </w:r>
      <w:r>
        <w:rPr>
          <w:rFonts w:ascii="Times New Roman" w:eastAsia="Times New Roman"/>
        </w:rPr>
        <w:t>5</w:t>
      </w:r>
      <w:r>
        <w:rPr/>
        <w:t>层</w:t>
      </w:r>
      <w:r>
        <w:rPr>
          <w:rFonts w:ascii="Times New Roman" w:eastAsia="Times New Roman"/>
        </w:rPr>
        <w:t>599</w:t>
      </w:r>
      <w:r>
        <w:rPr/>
        <w:t>室办公地址：浙江省杭州市西湖区万塘路</w:t>
      </w:r>
      <w:r>
        <w:rPr>
          <w:rFonts w:ascii="Times New Roman" w:eastAsia="Times New Roman"/>
        </w:rPr>
        <w:t>18</w:t>
      </w:r>
      <w:r>
        <w:rPr/>
        <w:t>号黄龙时代广场</w:t>
      </w:r>
      <w:r>
        <w:rPr>
          <w:rFonts w:ascii="Times New Roman" w:eastAsia="Times New Roman"/>
        </w:rPr>
        <w:t>B</w:t>
      </w:r>
      <w:r>
        <w:rPr/>
        <w:t>座</w:t>
      </w:r>
      <w:r>
        <w:rPr>
          <w:rFonts w:ascii="Times New Roman" w:eastAsia="Times New Roman"/>
        </w:rPr>
        <w:t>6F </w:t>
      </w:r>
      <w:r>
        <w:rPr/>
        <w:t>法定代表人：祖国明</w:t>
      </w:r>
    </w:p>
    <w:p>
      <w:pPr>
        <w:pStyle w:val="BodyText"/>
        <w:spacing w:line="269" w:lineRule="exact"/>
        <w:ind w:left="640"/>
        <w:rPr>
          <w:rFonts w:ascii="Times New Roman" w:eastAsia="Times New Roman"/>
        </w:rPr>
      </w:pPr>
      <w:r>
        <w:rPr/>
        <w:t>电话：</w:t>
      </w:r>
      <w:r>
        <w:rPr>
          <w:rFonts w:ascii="Times New Roman" w:eastAsia="Times New Roman"/>
        </w:rPr>
        <w:t>18205712248</w:t>
      </w:r>
    </w:p>
    <w:p>
      <w:pPr>
        <w:pStyle w:val="BodyText"/>
        <w:spacing w:before="3"/>
        <w:rPr>
          <w:rFonts w:ascii="Times New Roman"/>
          <w:sz w:val="17"/>
        </w:rPr>
      </w:pPr>
    </w:p>
    <w:p>
      <w:pPr>
        <w:pStyle w:val="BodyText"/>
        <w:ind w:left="640"/>
      </w:pPr>
      <w:r>
        <w:rPr/>
        <w:t>联系人：韩爱斌</w:t>
      </w:r>
    </w:p>
    <w:p>
      <w:pPr>
        <w:pStyle w:val="BodyText"/>
        <w:spacing w:before="7"/>
        <w:rPr>
          <w:sz w:val="15"/>
        </w:rPr>
      </w:pPr>
    </w:p>
    <w:p>
      <w:pPr>
        <w:pStyle w:val="BodyText"/>
        <w:ind w:left="640"/>
        <w:rPr>
          <w:rFonts w:ascii="Times New Roman" w:eastAsia="Times New Roman"/>
        </w:rPr>
      </w:pPr>
      <w:r>
        <w:rPr/>
        <w:t>网址：</w:t>
      </w:r>
      <w:hyperlink r:id="rId35">
        <w:r>
          <w:rPr>
            <w:rFonts w:ascii="Times New Roman" w:eastAsia="Times New Roman"/>
          </w:rPr>
          <w:t>www.fund123.cn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4000-766-123</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上海长量基金销售有限公司</w:t>
      </w:r>
    </w:p>
    <w:p>
      <w:pPr>
        <w:pStyle w:val="BodyText"/>
        <w:spacing w:before="7"/>
        <w:rPr>
          <w:sz w:val="15"/>
        </w:rPr>
      </w:pPr>
    </w:p>
    <w:p>
      <w:pPr>
        <w:pStyle w:val="BodyText"/>
        <w:ind w:left="640"/>
      </w:pPr>
      <w:r>
        <w:rPr/>
        <w:t>住所：上海市浦东新区高翔路</w:t>
      </w:r>
      <w:r>
        <w:rPr>
          <w:rFonts w:ascii="Times New Roman" w:eastAsia="Times New Roman"/>
        </w:rPr>
        <w:t>526</w:t>
      </w:r>
      <w:r>
        <w:rPr/>
        <w:t>号</w:t>
      </w:r>
      <w:r>
        <w:rPr>
          <w:rFonts w:ascii="Times New Roman" w:eastAsia="Times New Roman"/>
        </w:rPr>
        <w:t>2</w:t>
      </w:r>
      <w:r>
        <w:rPr/>
        <w:t>幢</w:t>
      </w:r>
      <w:r>
        <w:rPr>
          <w:rFonts w:ascii="Times New Roman" w:eastAsia="Times New Roman"/>
        </w:rPr>
        <w:t>220</w:t>
      </w:r>
      <w:r>
        <w:rPr/>
        <w:t>室</w:t>
      </w:r>
    </w:p>
    <w:p>
      <w:pPr>
        <w:pStyle w:val="BodyText"/>
        <w:spacing w:before="7"/>
        <w:rPr>
          <w:sz w:val="15"/>
        </w:rPr>
      </w:pPr>
    </w:p>
    <w:p>
      <w:pPr>
        <w:pStyle w:val="BodyText"/>
        <w:spacing w:line="417" w:lineRule="auto"/>
        <w:ind w:left="640" w:right="2984"/>
      </w:pPr>
      <w:r>
        <w:rPr/>
        <w:t>办公地址：上海市浦东新区浦东大道</w:t>
      </w:r>
      <w:r>
        <w:rPr>
          <w:rFonts w:ascii="Times New Roman" w:eastAsia="Times New Roman"/>
        </w:rPr>
        <w:t>555</w:t>
      </w:r>
      <w:r>
        <w:rPr/>
        <w:t>号裕景国际</w:t>
      </w:r>
      <w:r>
        <w:rPr>
          <w:rFonts w:ascii="Times New Roman" w:eastAsia="Times New Roman"/>
        </w:rPr>
        <w:t>B</w:t>
      </w:r>
      <w:r>
        <w:rPr/>
        <w:t>座</w:t>
      </w:r>
      <w:r>
        <w:rPr>
          <w:rFonts w:ascii="Times New Roman" w:eastAsia="Times New Roman"/>
        </w:rPr>
        <w:t>16</w:t>
      </w:r>
      <w:r>
        <w:rPr/>
        <w:t>层法定代表人：张跃伟</w:t>
      </w:r>
    </w:p>
    <w:p>
      <w:pPr>
        <w:pStyle w:val="BodyText"/>
        <w:spacing w:line="417" w:lineRule="auto"/>
        <w:ind w:left="640" w:right="662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spacing w:line="269" w:lineRule="exact"/>
        <w:ind w:left="640"/>
      </w:pPr>
      <w:r>
        <w:rPr/>
        <w:t>联系人：黄辉</w:t>
      </w:r>
    </w:p>
    <w:p>
      <w:pPr>
        <w:pStyle w:val="BodyText"/>
        <w:spacing w:before="7"/>
        <w:rPr>
          <w:sz w:val="15"/>
        </w:rPr>
      </w:pPr>
    </w:p>
    <w:p>
      <w:pPr>
        <w:pStyle w:val="BodyText"/>
        <w:ind w:left="640"/>
        <w:rPr>
          <w:rFonts w:ascii="Times New Roman" w:eastAsia="Times New Roman"/>
        </w:rPr>
      </w:pPr>
      <w:r>
        <w:rPr/>
        <w:t>网址：</w:t>
      </w:r>
      <w:hyperlink r:id="rId36">
        <w:r>
          <w:rPr>
            <w:rFonts w:ascii="Times New Roman" w:eastAsia="Times New Roman"/>
          </w:rPr>
          <w:t>www.erichfund.com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400-820-2899</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浙江同花顺基金销售有限公司</w:t>
      </w:r>
    </w:p>
    <w:p>
      <w:pPr>
        <w:pStyle w:val="BodyText"/>
        <w:spacing w:before="6"/>
        <w:rPr>
          <w:sz w:val="15"/>
        </w:rPr>
      </w:pPr>
    </w:p>
    <w:p>
      <w:pPr>
        <w:pStyle w:val="BodyText"/>
        <w:ind w:left="640"/>
      </w:pPr>
      <w:r>
        <w:rPr/>
        <w:t>住所：浙江省杭州市文二西路一号元茂大厦</w:t>
      </w:r>
      <w:r>
        <w:rPr>
          <w:rFonts w:ascii="Times New Roman" w:eastAsia="Times New Roman"/>
        </w:rPr>
        <w:t>903</w:t>
      </w:r>
      <w:r>
        <w:rPr/>
        <w:t>室</w:t>
      </w:r>
    </w:p>
    <w:p>
      <w:pPr>
        <w:pStyle w:val="BodyText"/>
        <w:spacing w:before="7"/>
        <w:rPr>
          <w:sz w:val="15"/>
        </w:rPr>
      </w:pPr>
    </w:p>
    <w:p>
      <w:pPr>
        <w:pStyle w:val="BodyText"/>
        <w:spacing w:line="417" w:lineRule="auto"/>
        <w:ind w:left="640" w:right="2283"/>
      </w:pPr>
      <w:r>
        <w:rPr/>
        <w:t>办公地址：浙江省杭州市余杭区五常街道同顺街</w:t>
      </w:r>
      <w:r>
        <w:rPr>
          <w:rFonts w:ascii="Times New Roman" w:eastAsia="Times New Roman"/>
        </w:rPr>
        <w:t>18</w:t>
      </w:r>
      <w:r>
        <w:rPr/>
        <w:t>号同花顺大楼</w:t>
      </w:r>
      <w:r>
        <w:rPr>
          <w:rFonts w:ascii="Times New Roman" w:eastAsia="Times New Roman"/>
        </w:rPr>
        <w:t>4</w:t>
      </w:r>
      <w:r>
        <w:rPr/>
        <w:t>层法定代表人：凌顺平</w:t>
      </w:r>
    </w:p>
    <w:p>
      <w:pPr>
        <w:pStyle w:val="BodyText"/>
        <w:spacing w:line="417" w:lineRule="auto"/>
        <w:ind w:left="640" w:right="604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ind w:left="640"/>
      </w:pPr>
      <w:r>
        <w:rPr/>
        <w:t>联系人：吴强</w:t>
      </w:r>
    </w:p>
    <w:p>
      <w:pPr>
        <w:pStyle w:val="BodyText"/>
        <w:spacing w:before="7"/>
        <w:rPr>
          <w:sz w:val="15"/>
        </w:rPr>
      </w:pPr>
    </w:p>
    <w:p>
      <w:pPr>
        <w:pStyle w:val="BodyText"/>
        <w:ind w:left="640"/>
        <w:rPr>
          <w:rFonts w:ascii="Times New Roman" w:eastAsia="Times New Roman"/>
        </w:rPr>
      </w:pPr>
      <w:r>
        <w:rPr/>
        <w:t>网址：</w:t>
      </w:r>
      <w:hyperlink r:id="rId37">
        <w:r>
          <w:rPr>
            <w:rFonts w:ascii="Times New Roman" w:eastAsia="Times New Roman"/>
          </w:rPr>
          <w:t>www.5ifund.com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400-877-3772</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上海利得基金销售有限公司</w:t>
      </w:r>
    </w:p>
    <w:p>
      <w:pPr>
        <w:pStyle w:val="BodyText"/>
        <w:spacing w:before="6"/>
        <w:rPr>
          <w:sz w:val="15"/>
        </w:rPr>
      </w:pPr>
    </w:p>
    <w:p>
      <w:pPr>
        <w:pStyle w:val="BodyText"/>
        <w:ind w:left="640"/>
      </w:pPr>
      <w:r>
        <w:rPr/>
        <w:t>住所：上海市宝山区蕴川路</w:t>
      </w:r>
      <w:r>
        <w:rPr>
          <w:rFonts w:ascii="Times New Roman" w:eastAsia="Times New Roman"/>
        </w:rPr>
        <w:t>5475</w:t>
      </w:r>
      <w:r>
        <w:rPr/>
        <w:t>号</w:t>
      </w:r>
      <w:r>
        <w:rPr>
          <w:rFonts w:ascii="Times New Roman" w:eastAsia="Times New Roman"/>
        </w:rPr>
        <w:t>1033</w:t>
      </w:r>
      <w:r>
        <w:rPr/>
        <w:t>室</w:t>
      </w:r>
    </w:p>
    <w:p>
      <w:pPr>
        <w:pStyle w:val="BodyText"/>
        <w:spacing w:before="7"/>
        <w:rPr>
          <w:sz w:val="15"/>
        </w:rPr>
      </w:pPr>
    </w:p>
    <w:p>
      <w:pPr>
        <w:pStyle w:val="BodyText"/>
        <w:spacing w:line="417" w:lineRule="auto"/>
        <w:ind w:left="640" w:right="4278"/>
      </w:pPr>
      <w:r>
        <w:rPr>
          <w:spacing w:val="-3"/>
        </w:rPr>
        <w:t>办公地址：上海市虹口区东大名路</w:t>
      </w:r>
      <w:r>
        <w:rPr>
          <w:rFonts w:ascii="Times New Roman" w:eastAsia="Times New Roman"/>
        </w:rPr>
        <w:t>1098</w:t>
      </w:r>
      <w:r>
        <w:rPr>
          <w:spacing w:val="-3"/>
        </w:rPr>
        <w:t>号</w:t>
      </w:r>
      <w:r>
        <w:rPr>
          <w:rFonts w:ascii="Times New Roman" w:eastAsia="Times New Roman"/>
        </w:rPr>
        <w:t>53</w:t>
      </w:r>
      <w:r>
        <w:rPr>
          <w:spacing w:val="-11"/>
        </w:rPr>
        <w:t>楼</w:t>
      </w:r>
      <w:r>
        <w:rPr>
          <w:spacing w:val="-3"/>
        </w:rPr>
        <w:t>法定代表人：沈继伟</w:t>
      </w:r>
    </w:p>
    <w:p>
      <w:pPr>
        <w:pStyle w:val="BodyText"/>
        <w:ind w:left="640"/>
        <w:rPr>
          <w:rFonts w:ascii="Times New Roman" w:eastAsia="Times New Roman"/>
        </w:rPr>
      </w:pPr>
      <w:r>
        <w:rPr>
          <w:spacing w:val="-1"/>
        </w:rPr>
        <w:t>电话：</w:t>
      </w:r>
      <w:r>
        <w:rPr>
          <w:rFonts w:ascii="Times New Roman" w:eastAsia="Times New Roman"/>
          <w:spacing w:val="-1"/>
        </w:rPr>
        <w:t>021-50583533</w:t>
      </w:r>
    </w:p>
    <w:p>
      <w:pPr>
        <w:spacing w:after="0"/>
        <w:rPr>
          <w:rFonts w:ascii="Times New Roman" w:eastAsia="Times New Roman"/>
        </w:rPr>
        <w:sectPr>
          <w:pgSz w:w="11910" w:h="16840"/>
          <w:pgMar w:header="877" w:footer="995" w:top="1420" w:bottom="1180" w:left="1580" w:right="1200"/>
        </w:sectPr>
      </w:pPr>
    </w:p>
    <w:p>
      <w:pPr>
        <w:pStyle w:val="BodyText"/>
        <w:spacing w:before="110"/>
        <w:ind w:left="640"/>
        <w:rPr>
          <w:rFonts w:ascii="Times New Roman" w:eastAsia="Times New Roman"/>
        </w:rPr>
      </w:pPr>
      <w:r>
        <w:rPr/>
        <w:t>传真：</w:t>
      </w:r>
      <w:r>
        <w:rPr>
          <w:rFonts w:ascii="Times New Roman" w:eastAsia="Times New Roman"/>
        </w:rPr>
        <w:t>021-61101630</w:t>
      </w:r>
    </w:p>
    <w:p>
      <w:pPr>
        <w:pStyle w:val="BodyText"/>
        <w:spacing w:before="3"/>
        <w:rPr>
          <w:rFonts w:ascii="Times New Roman"/>
          <w:sz w:val="17"/>
        </w:rPr>
      </w:pPr>
    </w:p>
    <w:p>
      <w:pPr>
        <w:pStyle w:val="BodyText"/>
        <w:ind w:left="640"/>
      </w:pPr>
      <w:r>
        <w:rPr/>
        <w:t>联系人：曹怡晨</w:t>
      </w:r>
    </w:p>
    <w:p>
      <w:pPr>
        <w:pStyle w:val="BodyText"/>
        <w:spacing w:before="7"/>
        <w:rPr>
          <w:sz w:val="15"/>
        </w:rPr>
      </w:pPr>
    </w:p>
    <w:p>
      <w:pPr>
        <w:pStyle w:val="BodyText"/>
        <w:spacing w:line="417" w:lineRule="auto"/>
        <w:ind w:left="640" w:right="5357"/>
        <w:rPr>
          <w:rFonts w:ascii="Times New Roman" w:eastAsia="Times New Roman"/>
        </w:rPr>
      </w:pPr>
      <w:r>
        <w:rPr/>
        <w:t>网址：</w:t>
      </w:r>
      <w:hyperlink r:id="rId38">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北京创金启富基金销售有限公司</w:t>
      </w:r>
    </w:p>
    <w:p>
      <w:pPr>
        <w:pStyle w:val="BodyText"/>
        <w:spacing w:before="6"/>
        <w:rPr>
          <w:sz w:val="15"/>
        </w:rPr>
      </w:pPr>
    </w:p>
    <w:p>
      <w:pPr>
        <w:pStyle w:val="BodyText"/>
        <w:spacing w:before="1"/>
        <w:ind w:left="640"/>
      </w:pPr>
      <w:r>
        <w:rPr/>
        <w:t>住所：北京市西城区白纸坊东街</w:t>
      </w:r>
      <w:r>
        <w:rPr>
          <w:rFonts w:ascii="Times New Roman" w:eastAsia="Times New Roman"/>
        </w:rPr>
        <w:t>2</w:t>
      </w:r>
      <w:r>
        <w:rPr/>
        <w:t>号院</w:t>
      </w:r>
      <w:r>
        <w:rPr>
          <w:rFonts w:ascii="Times New Roman" w:eastAsia="Times New Roman"/>
        </w:rPr>
        <w:t>6</w:t>
      </w:r>
      <w:r>
        <w:rPr/>
        <w:t>号楼</w:t>
      </w:r>
      <w:r>
        <w:rPr>
          <w:rFonts w:ascii="Times New Roman" w:eastAsia="Times New Roman"/>
        </w:rPr>
        <w:t>712</w:t>
      </w:r>
      <w:r>
        <w:rPr/>
        <w:t>室</w:t>
      </w:r>
    </w:p>
    <w:p>
      <w:pPr>
        <w:pStyle w:val="BodyText"/>
        <w:spacing w:before="6"/>
        <w:rPr>
          <w:sz w:val="15"/>
        </w:rPr>
      </w:pPr>
    </w:p>
    <w:p>
      <w:pPr>
        <w:pStyle w:val="BodyText"/>
        <w:spacing w:line="417" w:lineRule="auto"/>
        <w:ind w:left="640" w:right="3546"/>
      </w:pPr>
      <w:r>
        <w:rPr/>
        <w:t>办公地址：北京市西城区白纸坊东街</w:t>
      </w:r>
      <w:r>
        <w:rPr>
          <w:rFonts w:ascii="Times New Roman" w:eastAsia="Times New Roman"/>
        </w:rPr>
        <w:t>2</w:t>
      </w:r>
      <w:r>
        <w:rPr/>
        <w:t>号院</w:t>
      </w:r>
      <w:r>
        <w:rPr>
          <w:rFonts w:ascii="Times New Roman" w:eastAsia="Times New Roman"/>
        </w:rPr>
        <w:t>6</w:t>
      </w:r>
      <w:r>
        <w:rPr/>
        <w:t>号楼</w:t>
      </w:r>
      <w:r>
        <w:rPr>
          <w:rFonts w:ascii="Times New Roman" w:eastAsia="Times New Roman"/>
        </w:rPr>
        <w:t>712</w:t>
      </w:r>
      <w:r>
        <w:rPr/>
        <w:t>室法定代表人：梁蓉</w:t>
      </w:r>
    </w:p>
    <w:p>
      <w:pPr>
        <w:pStyle w:val="BodyText"/>
        <w:spacing w:line="417" w:lineRule="auto" w:before="1"/>
        <w:ind w:left="640" w:right="6241"/>
        <w:rPr>
          <w:rFonts w:ascii="Times New Roman" w:eastAsia="Times New Roman"/>
        </w:rPr>
      </w:pPr>
      <w:r>
        <w:rPr/>
        <w:t>电话：</w:t>
      </w:r>
      <w:r>
        <w:rPr>
          <w:rFonts w:ascii="Times New Roman" w:eastAsia="Times New Roman"/>
        </w:rPr>
        <w:t>010-66154828-809 </w:t>
      </w:r>
      <w:r>
        <w:rPr/>
        <w:t>传真：</w:t>
      </w:r>
      <w:r>
        <w:rPr>
          <w:rFonts w:ascii="Times New Roman" w:eastAsia="Times New Roman"/>
        </w:rPr>
        <w:t>010-88067526</w:t>
      </w:r>
    </w:p>
    <w:p>
      <w:pPr>
        <w:pStyle w:val="BodyText"/>
        <w:spacing w:line="269" w:lineRule="exact"/>
        <w:ind w:left="640"/>
      </w:pPr>
      <w:r>
        <w:rPr/>
        <w:t>联系人：马浩</w:t>
      </w:r>
    </w:p>
    <w:p>
      <w:pPr>
        <w:pStyle w:val="BodyText"/>
        <w:spacing w:before="6"/>
        <w:rPr>
          <w:sz w:val="15"/>
        </w:rPr>
      </w:pPr>
    </w:p>
    <w:p>
      <w:pPr>
        <w:pStyle w:val="BodyText"/>
        <w:ind w:left="640"/>
        <w:rPr>
          <w:rFonts w:ascii="Times New Roman" w:eastAsia="Times New Roman"/>
        </w:rPr>
      </w:pPr>
      <w:r>
        <w:rPr/>
        <w:t>网址：</w:t>
      </w:r>
      <w:hyperlink r:id="rId39">
        <w:r>
          <w:rPr>
            <w:rFonts w:ascii="Times New Roman" w:eastAsia="Times New Roman"/>
          </w:rPr>
          <w:t>www.5irich.com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400-6262-818</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泛华普益基金销售有限公司</w:t>
      </w:r>
    </w:p>
    <w:p>
      <w:pPr>
        <w:pStyle w:val="BodyText"/>
        <w:spacing w:before="7"/>
        <w:rPr>
          <w:sz w:val="15"/>
        </w:rPr>
      </w:pPr>
    </w:p>
    <w:p>
      <w:pPr>
        <w:pStyle w:val="BodyText"/>
        <w:ind w:left="640"/>
      </w:pPr>
      <w:r>
        <w:rPr/>
        <w:t>住所：成都市成华区建设路</w:t>
      </w:r>
      <w:r>
        <w:rPr>
          <w:rFonts w:ascii="Times New Roman" w:eastAsia="Times New Roman"/>
        </w:rPr>
        <w:t>9</w:t>
      </w:r>
      <w:r>
        <w:rPr/>
        <w:t>号高地中心</w:t>
      </w:r>
      <w:r>
        <w:rPr>
          <w:rFonts w:ascii="Times New Roman" w:eastAsia="Times New Roman"/>
        </w:rPr>
        <w:t>1101</w:t>
      </w:r>
      <w:r>
        <w:rPr/>
        <w:t>室</w:t>
      </w:r>
    </w:p>
    <w:p>
      <w:pPr>
        <w:pStyle w:val="BodyText"/>
        <w:spacing w:before="7"/>
        <w:rPr>
          <w:sz w:val="15"/>
        </w:rPr>
      </w:pPr>
    </w:p>
    <w:p>
      <w:pPr>
        <w:pStyle w:val="BodyText"/>
        <w:spacing w:line="417" w:lineRule="auto"/>
        <w:ind w:left="640" w:right="1304"/>
      </w:pPr>
      <w:r>
        <w:rPr/>
        <w:t>办公地址：成都市金牛区花照壁西顺街</w:t>
      </w:r>
      <w:r>
        <w:rPr>
          <w:rFonts w:ascii="Times New Roman" w:eastAsia="Times New Roman"/>
        </w:rPr>
        <w:t>399</w:t>
      </w:r>
      <w:r>
        <w:rPr/>
        <w:t>号</w:t>
      </w:r>
      <w:r>
        <w:rPr>
          <w:rFonts w:ascii="Times New Roman" w:eastAsia="Times New Roman"/>
        </w:rPr>
        <w:t>1</w:t>
      </w:r>
      <w:r>
        <w:rPr/>
        <w:t>栋</w:t>
      </w:r>
      <w:r>
        <w:rPr>
          <w:rFonts w:ascii="Times New Roman" w:eastAsia="Times New Roman"/>
        </w:rPr>
        <w:t>1</w:t>
      </w:r>
      <w:r>
        <w:rPr/>
        <w:t>单元龙湖西宸天街</w:t>
      </w:r>
      <w:r>
        <w:rPr>
          <w:rFonts w:ascii="Times New Roman" w:eastAsia="Times New Roman"/>
        </w:rPr>
        <w:t>B</w:t>
      </w:r>
      <w:r>
        <w:rPr/>
        <w:t>座</w:t>
      </w:r>
      <w:r>
        <w:rPr>
          <w:rFonts w:ascii="Times New Roman" w:eastAsia="Times New Roman"/>
        </w:rPr>
        <w:t>1201</w:t>
      </w:r>
      <w:r>
        <w:rPr/>
        <w:t>号法定代表人：于海锋</w:t>
      </w:r>
    </w:p>
    <w:p>
      <w:pPr>
        <w:pStyle w:val="BodyText"/>
        <w:spacing w:line="269" w:lineRule="exact"/>
        <w:ind w:left="640"/>
        <w:rPr>
          <w:rFonts w:ascii="Times New Roman" w:eastAsia="Times New Roman"/>
        </w:rPr>
      </w:pPr>
      <w:r>
        <w:rPr/>
        <w:t>电话：</w:t>
      </w:r>
      <w:r>
        <w:rPr>
          <w:rFonts w:ascii="Times New Roman" w:eastAsia="Times New Roman"/>
        </w:rPr>
        <w:t>13910181936</w:t>
      </w:r>
    </w:p>
    <w:p>
      <w:pPr>
        <w:pStyle w:val="BodyText"/>
        <w:spacing w:before="3"/>
        <w:rPr>
          <w:rFonts w:ascii="Times New Roman"/>
          <w:sz w:val="17"/>
        </w:rPr>
      </w:pPr>
    </w:p>
    <w:p>
      <w:pPr>
        <w:pStyle w:val="BodyText"/>
        <w:spacing w:before="1"/>
        <w:ind w:left="64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640"/>
      </w:pPr>
      <w:r>
        <w:rPr/>
        <w:t>联系人：隋亚方</w:t>
      </w:r>
    </w:p>
    <w:p>
      <w:pPr>
        <w:pStyle w:val="BodyText"/>
        <w:spacing w:before="7"/>
        <w:rPr>
          <w:sz w:val="15"/>
        </w:rPr>
      </w:pPr>
    </w:p>
    <w:p>
      <w:pPr>
        <w:pStyle w:val="BodyText"/>
        <w:spacing w:line="417" w:lineRule="auto"/>
        <w:ind w:left="640" w:right="5501"/>
        <w:rPr>
          <w:rFonts w:ascii="Times New Roman" w:eastAsia="Times New Roman"/>
        </w:rPr>
      </w:pPr>
      <w:r>
        <w:rPr/>
        <w:t>网址：</w:t>
      </w:r>
      <w:r>
        <w:rPr>
          <w:rFonts w:ascii="Times New Roman" w:eastAsia="Times New Roman"/>
        </w:rPr>
        <w:t>https://</w:t>
      </w:r>
      <w:hyperlink r:id="rId40">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7"/>
        </w:numPr>
        <w:tabs>
          <w:tab w:pos="1275" w:val="left" w:leader="none"/>
        </w:tabs>
        <w:spacing w:line="417" w:lineRule="auto" w:before="0" w:after="0"/>
        <w:ind w:left="640" w:right="4175" w:firstLine="0"/>
        <w:jc w:val="left"/>
        <w:rPr>
          <w:rFonts w:ascii="Times New Roman" w:eastAsia="Times New Roman"/>
          <w:sz w:val="21"/>
        </w:rPr>
      </w:pPr>
      <w:r>
        <w:rPr>
          <w:spacing w:val="-3"/>
          <w:sz w:val="21"/>
        </w:rPr>
        <w:t>宜信普泽</w:t>
      </w:r>
      <w:r>
        <w:rPr>
          <w:sz w:val="21"/>
        </w:rPr>
        <w:t>（</w:t>
      </w:r>
      <w:r>
        <w:rPr>
          <w:spacing w:val="-2"/>
          <w:sz w:val="21"/>
        </w:rPr>
        <w:t>北京</w:t>
      </w:r>
      <w:r>
        <w:rPr>
          <w:spacing w:val="-3"/>
          <w:sz w:val="21"/>
        </w:rPr>
        <w:t>）基金销售有限公司  住所：北京市朝阳区建国路</w:t>
      </w:r>
      <w:r>
        <w:rPr>
          <w:rFonts w:ascii="Times New Roman" w:eastAsia="Times New Roman"/>
          <w:sz w:val="21"/>
        </w:rPr>
        <w:t>88</w:t>
      </w:r>
      <w:r>
        <w:rPr>
          <w:spacing w:val="-3"/>
          <w:sz w:val="21"/>
        </w:rPr>
        <w:t>号</w:t>
      </w:r>
      <w:r>
        <w:rPr>
          <w:rFonts w:ascii="Times New Roman" w:eastAsia="Times New Roman"/>
          <w:sz w:val="21"/>
        </w:rPr>
        <w:t>9</w:t>
      </w:r>
      <w:r>
        <w:rPr>
          <w:spacing w:val="-2"/>
          <w:sz w:val="21"/>
        </w:rPr>
        <w:t>号楼</w:t>
      </w:r>
      <w:r>
        <w:rPr>
          <w:rFonts w:ascii="Times New Roman" w:eastAsia="Times New Roman"/>
          <w:sz w:val="21"/>
        </w:rPr>
        <w:t>15</w:t>
      </w:r>
      <w:r>
        <w:rPr>
          <w:sz w:val="21"/>
        </w:rPr>
        <w:t>层</w:t>
      </w:r>
      <w:r>
        <w:rPr>
          <w:rFonts w:ascii="Times New Roman" w:eastAsia="Times New Roman"/>
          <w:spacing w:val="-4"/>
          <w:sz w:val="21"/>
        </w:rPr>
        <w:t>1809</w:t>
      </w:r>
    </w:p>
    <w:p>
      <w:pPr>
        <w:pStyle w:val="BodyText"/>
        <w:spacing w:line="417" w:lineRule="auto"/>
        <w:ind w:left="640" w:right="2725"/>
      </w:pPr>
      <w:r>
        <w:rPr/>
        <w:t>办公地址：北京市朝阳区建国路</w:t>
      </w:r>
      <w:r>
        <w:rPr>
          <w:rFonts w:ascii="Times New Roman" w:eastAsia="Times New Roman"/>
        </w:rPr>
        <w:t>88</w:t>
      </w:r>
      <w:r>
        <w:rPr/>
        <w:t>号</w:t>
      </w:r>
      <w:r>
        <w:rPr>
          <w:rFonts w:ascii="Times New Roman" w:eastAsia="Times New Roman"/>
        </w:rPr>
        <w:t>SOHO</w:t>
      </w:r>
      <w:r>
        <w:rPr/>
        <w:t>现代城</w:t>
      </w:r>
      <w:r>
        <w:rPr>
          <w:rFonts w:ascii="Times New Roman" w:eastAsia="Times New Roman"/>
        </w:rPr>
        <w:t>C</w:t>
      </w:r>
      <w:r>
        <w:rPr/>
        <w:t>座</w:t>
      </w:r>
      <w:r>
        <w:rPr>
          <w:rFonts w:ascii="Times New Roman" w:eastAsia="Times New Roman"/>
        </w:rPr>
        <w:t>18</w:t>
      </w:r>
      <w:r>
        <w:rPr/>
        <w:t>层</w:t>
      </w:r>
      <w:r>
        <w:rPr>
          <w:rFonts w:ascii="Times New Roman" w:eastAsia="Times New Roman"/>
        </w:rPr>
        <w:t>1809 </w:t>
      </w:r>
      <w:r>
        <w:rPr/>
        <w:t>法定代表人：沈伟桦</w:t>
      </w:r>
    </w:p>
    <w:p>
      <w:pPr>
        <w:pStyle w:val="BodyText"/>
        <w:spacing w:line="417" w:lineRule="auto"/>
        <w:ind w:left="640" w:right="6626"/>
        <w:rPr>
          <w:rFonts w:ascii="Times New Roman" w:eastAsia="Times New Roman"/>
        </w:rPr>
      </w:pPr>
      <w:r>
        <w:rPr/>
        <w:t>电话：</w:t>
      </w:r>
      <w:r>
        <w:rPr>
          <w:rFonts w:ascii="Times New Roman" w:eastAsia="Times New Roman"/>
        </w:rPr>
        <w:t>010-52855713 </w:t>
      </w:r>
      <w:r>
        <w:rPr/>
        <w:t>传真：</w:t>
      </w:r>
      <w:r>
        <w:rPr>
          <w:rFonts w:ascii="Times New Roman" w:eastAsia="Times New Roman"/>
        </w:rPr>
        <w:t>010-85894285</w:t>
      </w:r>
    </w:p>
    <w:p>
      <w:pPr>
        <w:pStyle w:val="BodyText"/>
        <w:ind w:left="640"/>
      </w:pPr>
      <w:r>
        <w:rPr/>
        <w:t>联系人：程刚</w:t>
      </w:r>
    </w:p>
    <w:p>
      <w:pPr>
        <w:pStyle w:val="BodyText"/>
        <w:spacing w:before="6"/>
        <w:rPr>
          <w:sz w:val="15"/>
        </w:rPr>
      </w:pPr>
    </w:p>
    <w:p>
      <w:pPr>
        <w:pStyle w:val="BodyText"/>
        <w:ind w:left="640"/>
        <w:rPr>
          <w:rFonts w:ascii="Times New Roman" w:eastAsia="Times New Roman"/>
        </w:rPr>
      </w:pPr>
      <w:r>
        <w:rPr/>
        <w:t>网址：</w:t>
      </w:r>
      <w:hyperlink r:id="rId41">
        <w:r>
          <w:rPr>
            <w:rFonts w:ascii="Times New Roman" w:eastAsia="Times New Roman"/>
          </w:rPr>
          <w:t>www.yixinfund.com</w:t>
        </w:r>
      </w:hyperlink>
    </w:p>
    <w:p>
      <w:pPr>
        <w:spacing w:after="0"/>
        <w:rPr>
          <w:rFonts w:ascii="Times New Roman" w:eastAsia="Times New Roman"/>
        </w:rPr>
        <w:sectPr>
          <w:pgSz w:w="11910" w:h="16840"/>
          <w:pgMar w:header="877" w:footer="995" w:top="1420" w:bottom="1180" w:left="1580" w:right="1200"/>
        </w:sectPr>
      </w:pPr>
    </w:p>
    <w:p>
      <w:pPr>
        <w:pStyle w:val="BodyText"/>
        <w:spacing w:before="110"/>
        <w:ind w:left="640"/>
        <w:rPr>
          <w:rFonts w:ascii="Times New Roman" w:eastAsia="Times New Roman"/>
        </w:rPr>
      </w:pPr>
      <w:r>
        <w:rPr/>
        <w:t>客户服务电话：</w:t>
      </w:r>
      <w:r>
        <w:rPr>
          <w:rFonts w:ascii="Times New Roman" w:eastAsia="Times New Roman"/>
        </w:rPr>
        <w:t>400-609-9200</w:t>
      </w:r>
    </w:p>
    <w:p>
      <w:pPr>
        <w:pStyle w:val="BodyText"/>
        <w:spacing w:before="3"/>
        <w:rPr>
          <w:rFonts w:ascii="Times New Roman"/>
          <w:sz w:val="17"/>
        </w:rPr>
      </w:pPr>
    </w:p>
    <w:p>
      <w:pPr>
        <w:pStyle w:val="ListParagraph"/>
        <w:numPr>
          <w:ilvl w:val="0"/>
          <w:numId w:val="7"/>
        </w:numPr>
        <w:tabs>
          <w:tab w:pos="1275" w:val="left" w:leader="none"/>
        </w:tabs>
        <w:spacing w:line="417" w:lineRule="auto" w:before="0" w:after="0"/>
        <w:ind w:left="640" w:right="5260" w:firstLine="0"/>
        <w:jc w:val="left"/>
        <w:rPr>
          <w:sz w:val="21"/>
        </w:rPr>
      </w:pPr>
      <w:r>
        <w:rPr>
          <w:spacing w:val="-3"/>
          <w:sz w:val="21"/>
        </w:rPr>
        <w:t>南京苏宁基金销售有限公司住所：南京市玄武区苏宁大道</w:t>
      </w:r>
      <w:r>
        <w:rPr>
          <w:rFonts w:ascii="Times New Roman" w:eastAsia="Times New Roman"/>
          <w:sz w:val="21"/>
        </w:rPr>
        <w:t>1-5</w:t>
      </w:r>
      <w:r>
        <w:rPr>
          <w:spacing w:val="-13"/>
          <w:sz w:val="21"/>
        </w:rPr>
        <w:t>号</w:t>
      </w:r>
    </w:p>
    <w:p>
      <w:pPr>
        <w:pStyle w:val="BodyText"/>
        <w:spacing w:line="417" w:lineRule="auto"/>
        <w:ind w:left="640" w:right="4489"/>
      </w:pPr>
      <w:r>
        <w:rPr/>
        <w:t>办公地址：南京市玄武区苏宁大道苏宁总部法定代表人：刘汉青</w:t>
      </w:r>
    </w:p>
    <w:p>
      <w:pPr>
        <w:pStyle w:val="BodyText"/>
        <w:spacing w:line="417" w:lineRule="auto"/>
        <w:ind w:left="640" w:right="592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ind w:left="640"/>
      </w:pPr>
      <w:r>
        <w:rPr/>
        <w:t>联系人：王峰</w:t>
      </w:r>
    </w:p>
    <w:p>
      <w:pPr>
        <w:pStyle w:val="BodyText"/>
        <w:spacing w:before="6"/>
        <w:rPr>
          <w:sz w:val="15"/>
        </w:rPr>
      </w:pPr>
    </w:p>
    <w:p>
      <w:pPr>
        <w:pStyle w:val="BodyText"/>
        <w:spacing w:line="417" w:lineRule="auto"/>
        <w:ind w:left="640" w:right="6375"/>
        <w:rPr>
          <w:rFonts w:ascii="Times New Roman" w:eastAsia="Times New Roman"/>
        </w:rPr>
      </w:pPr>
      <w:r>
        <w:rPr/>
        <w:t>网址：</w:t>
      </w:r>
      <w:hyperlink r:id="rId42">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浦领基金销售有限公司</w:t>
      </w:r>
    </w:p>
    <w:p>
      <w:pPr>
        <w:pStyle w:val="BodyText"/>
        <w:spacing w:before="7"/>
        <w:rPr>
          <w:sz w:val="15"/>
        </w:rPr>
      </w:pPr>
    </w:p>
    <w:p>
      <w:pPr>
        <w:pStyle w:val="BodyText"/>
        <w:spacing w:line="417" w:lineRule="auto"/>
        <w:ind w:left="640" w:right="3335"/>
      </w:pPr>
      <w:r>
        <w:rPr/>
        <w:t>住所：北京市朝阳区望京东园四区</w:t>
      </w:r>
      <w:r>
        <w:rPr>
          <w:rFonts w:ascii="Times New Roman" w:eastAsia="Times New Roman"/>
        </w:rPr>
        <w:t>2</w:t>
      </w:r>
      <w:r>
        <w:rPr/>
        <w:t>号楼</w:t>
      </w:r>
      <w:r>
        <w:rPr>
          <w:rFonts w:ascii="Times New Roman" w:eastAsia="Times New Roman"/>
        </w:rPr>
        <w:t>10</w:t>
      </w:r>
      <w:r>
        <w:rPr/>
        <w:t>层</w:t>
      </w:r>
      <w:r>
        <w:rPr>
          <w:rFonts w:ascii="Times New Roman" w:eastAsia="Times New Roman"/>
        </w:rPr>
        <w:t>1001</w:t>
      </w:r>
      <w:r>
        <w:rPr/>
        <w:t>号</w:t>
      </w:r>
      <w:r>
        <w:rPr>
          <w:rFonts w:ascii="Times New Roman" w:eastAsia="Times New Roman"/>
        </w:rPr>
        <w:t>04</w:t>
      </w:r>
      <w:r>
        <w:rPr/>
        <w:t>室办公地址：北京市朝阳区望京中航资本大厦</w:t>
      </w:r>
      <w:r>
        <w:rPr>
          <w:rFonts w:ascii="Times New Roman" w:eastAsia="Times New Roman"/>
        </w:rPr>
        <w:t>10</w:t>
      </w:r>
      <w:r>
        <w:rPr/>
        <w:t>层</w:t>
      </w:r>
    </w:p>
    <w:p>
      <w:pPr>
        <w:pStyle w:val="BodyText"/>
        <w:spacing w:line="417" w:lineRule="auto"/>
        <w:ind w:left="640" w:right="6590"/>
        <w:jc w:val="both"/>
        <w:rPr>
          <w:rFonts w:ascii="Times New Roman" w:eastAsia="Times New Roman"/>
        </w:rPr>
      </w:pPr>
      <w:r>
        <w:rPr/>
        <w:t>法定代表人：聂婉君电话：</w:t>
      </w:r>
      <w:r>
        <w:rPr>
          <w:rFonts w:ascii="Times New Roman" w:eastAsia="Times New Roman"/>
        </w:rPr>
        <w:t>010-59497361 </w:t>
      </w:r>
      <w:r>
        <w:rPr/>
        <w:t>传真：</w:t>
      </w:r>
      <w:r>
        <w:rPr>
          <w:rFonts w:ascii="Times New Roman" w:eastAsia="Times New Roman"/>
        </w:rPr>
        <w:t>010-64788016</w:t>
      </w:r>
    </w:p>
    <w:p>
      <w:pPr>
        <w:pStyle w:val="BodyText"/>
        <w:ind w:left="640"/>
      </w:pPr>
      <w:r>
        <w:rPr/>
        <w:t>联系人：李艳</w:t>
      </w:r>
    </w:p>
    <w:p>
      <w:pPr>
        <w:pStyle w:val="BodyText"/>
        <w:spacing w:before="6"/>
        <w:rPr>
          <w:sz w:val="15"/>
        </w:rPr>
      </w:pPr>
    </w:p>
    <w:p>
      <w:pPr>
        <w:pStyle w:val="BodyText"/>
        <w:spacing w:before="1"/>
        <w:ind w:left="640"/>
        <w:rPr>
          <w:rFonts w:ascii="Times New Roman" w:eastAsia="Times New Roman"/>
        </w:rPr>
      </w:pPr>
      <w:r>
        <w:rPr/>
        <w:t>网址：</w:t>
      </w:r>
      <w:hyperlink r:id="rId43">
        <w:r>
          <w:rPr>
            <w:rFonts w:ascii="Times New Roman" w:eastAsia="Times New Roman"/>
          </w:rPr>
          <w:t>www.zscffund.com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400-012-5899</w:t>
      </w:r>
    </w:p>
    <w:p>
      <w:pPr>
        <w:pStyle w:val="BodyText"/>
        <w:spacing w:before="3"/>
        <w:rPr>
          <w:rFonts w:ascii="Times New Roman"/>
          <w:sz w:val="17"/>
        </w:rPr>
      </w:pPr>
    </w:p>
    <w:p>
      <w:pPr>
        <w:pStyle w:val="ListParagraph"/>
        <w:numPr>
          <w:ilvl w:val="0"/>
          <w:numId w:val="7"/>
        </w:numPr>
        <w:tabs>
          <w:tab w:pos="1275" w:val="left" w:leader="none"/>
        </w:tabs>
        <w:spacing w:line="417" w:lineRule="auto" w:before="0" w:after="0"/>
        <w:ind w:left="640" w:right="4384" w:firstLine="0"/>
        <w:jc w:val="left"/>
        <w:rPr>
          <w:sz w:val="21"/>
        </w:rPr>
      </w:pPr>
      <w:r>
        <w:rPr>
          <w:spacing w:val="-3"/>
          <w:sz w:val="21"/>
        </w:rPr>
        <w:t>通华财富</w:t>
      </w:r>
      <w:r>
        <w:rPr>
          <w:sz w:val="21"/>
        </w:rPr>
        <w:t>（</w:t>
      </w:r>
      <w:r>
        <w:rPr>
          <w:spacing w:val="-2"/>
          <w:sz w:val="21"/>
        </w:rPr>
        <w:t>上海</w:t>
      </w:r>
      <w:r>
        <w:rPr>
          <w:spacing w:val="-3"/>
          <w:sz w:val="21"/>
        </w:rPr>
        <w:t>）基金销售有限公司住所：上海市虹口区同丰路</w:t>
      </w:r>
      <w:r>
        <w:rPr>
          <w:rFonts w:ascii="Times New Roman" w:eastAsia="Times New Roman"/>
          <w:sz w:val="21"/>
        </w:rPr>
        <w:t>667</w:t>
      </w:r>
      <w:r>
        <w:rPr>
          <w:sz w:val="21"/>
        </w:rPr>
        <w:t>弄</w:t>
      </w:r>
      <w:r>
        <w:rPr>
          <w:rFonts w:ascii="Times New Roman" w:eastAsia="Times New Roman"/>
          <w:sz w:val="21"/>
        </w:rPr>
        <w:t>107</w:t>
      </w:r>
      <w:r>
        <w:rPr>
          <w:sz w:val="21"/>
        </w:rPr>
        <w:t>号</w:t>
      </w:r>
      <w:r>
        <w:rPr>
          <w:rFonts w:ascii="Times New Roman" w:eastAsia="Times New Roman"/>
          <w:sz w:val="21"/>
        </w:rPr>
        <w:t>201</w:t>
      </w:r>
      <w:r>
        <w:rPr>
          <w:spacing w:val="-11"/>
          <w:sz w:val="21"/>
        </w:rPr>
        <w:t>室</w:t>
      </w:r>
    </w:p>
    <w:p>
      <w:pPr>
        <w:pStyle w:val="BodyText"/>
        <w:spacing w:line="417" w:lineRule="auto" w:before="1"/>
        <w:ind w:left="640" w:right="3332"/>
      </w:pPr>
      <w:r>
        <w:rPr/>
        <w:t>办公地址：上海市浦东新区金沪路</w:t>
      </w:r>
      <w:r>
        <w:rPr>
          <w:rFonts w:ascii="Times New Roman" w:eastAsia="Times New Roman"/>
        </w:rPr>
        <w:t>55</w:t>
      </w:r>
      <w:r>
        <w:rPr/>
        <w:t>号通华科技大厦</w:t>
      </w:r>
      <w:r>
        <w:rPr>
          <w:rFonts w:ascii="Times New Roman" w:eastAsia="Times New Roman"/>
        </w:rPr>
        <w:t>2</w:t>
      </w:r>
      <w:r>
        <w:rPr/>
        <w:t>层法定代表人：沈丹义</w:t>
      </w:r>
    </w:p>
    <w:p>
      <w:pPr>
        <w:pStyle w:val="BodyText"/>
        <w:spacing w:line="417" w:lineRule="auto"/>
        <w:ind w:left="640" w:right="662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spacing w:line="269" w:lineRule="exact"/>
        <w:ind w:left="640"/>
      </w:pPr>
      <w:r>
        <w:rPr/>
        <w:t>联系人：周晶</w:t>
      </w:r>
    </w:p>
    <w:p>
      <w:pPr>
        <w:pStyle w:val="BodyText"/>
        <w:spacing w:before="6"/>
        <w:rPr>
          <w:sz w:val="15"/>
        </w:rPr>
      </w:pPr>
    </w:p>
    <w:p>
      <w:pPr>
        <w:pStyle w:val="BodyText"/>
        <w:spacing w:line="417" w:lineRule="auto"/>
        <w:ind w:left="640" w:right="5821"/>
        <w:rPr>
          <w:rFonts w:ascii="Times New Roman" w:eastAsia="Times New Roman"/>
        </w:rPr>
      </w:pPr>
      <w:r>
        <w:rPr/>
        <w:t>网址：</w:t>
      </w:r>
      <w:hyperlink r:id="rId44">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北京恒天明泽基金销售有限公司</w:t>
      </w:r>
    </w:p>
    <w:p>
      <w:pPr>
        <w:pStyle w:val="BodyText"/>
        <w:spacing w:before="7"/>
        <w:rPr>
          <w:sz w:val="15"/>
        </w:rPr>
      </w:pPr>
    </w:p>
    <w:p>
      <w:pPr>
        <w:pStyle w:val="BodyText"/>
        <w:ind w:left="640"/>
      </w:pPr>
      <w:r>
        <w:rPr/>
        <w:t>住所：北京市经济技术开发区宏达北路</w:t>
      </w:r>
      <w:r>
        <w:rPr>
          <w:rFonts w:ascii="Times New Roman" w:eastAsia="Times New Roman"/>
        </w:rPr>
        <w:t>10</w:t>
      </w:r>
      <w:r>
        <w:rPr/>
        <w:t>号五层</w:t>
      </w:r>
      <w:r>
        <w:rPr>
          <w:rFonts w:ascii="Times New Roman" w:eastAsia="Times New Roman"/>
        </w:rPr>
        <w:t>5122</w:t>
      </w:r>
      <w:r>
        <w:rPr/>
        <w:t>室</w:t>
      </w:r>
    </w:p>
    <w:p>
      <w:pPr>
        <w:spacing w:after="0"/>
        <w:sectPr>
          <w:pgSz w:w="11910" w:h="16840"/>
          <w:pgMar w:header="877" w:footer="995" w:top="1420" w:bottom="1180" w:left="1580" w:right="1200"/>
        </w:sectPr>
      </w:pPr>
    </w:p>
    <w:p>
      <w:pPr>
        <w:pStyle w:val="BodyText"/>
        <w:spacing w:line="417" w:lineRule="auto" w:before="110"/>
        <w:ind w:left="640" w:right="3075"/>
      </w:pPr>
      <w:r>
        <w:rPr/>
        <w:t>办公地址：北京市朝阳区东三环中路</w:t>
      </w:r>
      <w:r>
        <w:rPr>
          <w:rFonts w:ascii="Times New Roman" w:eastAsia="Times New Roman"/>
        </w:rPr>
        <w:t>20</w:t>
      </w:r>
      <w:r>
        <w:rPr/>
        <w:t>号乐成中心</w:t>
      </w:r>
      <w:r>
        <w:rPr>
          <w:rFonts w:ascii="Times New Roman" w:eastAsia="Times New Roman"/>
        </w:rPr>
        <w:t>A</w:t>
      </w:r>
      <w:r>
        <w:rPr/>
        <w:t>座</w:t>
      </w:r>
      <w:r>
        <w:rPr>
          <w:rFonts w:ascii="Times New Roman" w:eastAsia="Times New Roman"/>
        </w:rPr>
        <w:t>23</w:t>
      </w:r>
      <w:r>
        <w:rPr/>
        <w:t>层法定代表人：梁越</w:t>
      </w:r>
    </w:p>
    <w:p>
      <w:pPr>
        <w:pStyle w:val="BodyText"/>
        <w:spacing w:line="417" w:lineRule="auto"/>
        <w:ind w:left="640" w:right="662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spacing w:line="269" w:lineRule="exact"/>
        <w:ind w:left="640"/>
      </w:pPr>
      <w:r>
        <w:rPr/>
        <w:t>联系人：马鹏程</w:t>
      </w:r>
    </w:p>
    <w:p>
      <w:pPr>
        <w:pStyle w:val="BodyText"/>
        <w:spacing w:before="6"/>
        <w:rPr>
          <w:sz w:val="15"/>
        </w:rPr>
      </w:pPr>
    </w:p>
    <w:p>
      <w:pPr>
        <w:pStyle w:val="BodyText"/>
        <w:ind w:left="640"/>
        <w:rPr>
          <w:rFonts w:ascii="Times New Roman" w:eastAsia="Times New Roman"/>
        </w:rPr>
      </w:pPr>
      <w:r>
        <w:rPr/>
        <w:t>网址：</w:t>
      </w:r>
      <w:hyperlink r:id="rId45">
        <w:r>
          <w:rPr>
            <w:rFonts w:ascii="Times New Roman" w:eastAsia="Times New Roman"/>
          </w:rPr>
          <w:t>www.chtwm.com</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400-898-0618</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北京汇成基金销售有限公司</w:t>
      </w:r>
    </w:p>
    <w:p>
      <w:pPr>
        <w:pStyle w:val="BodyText"/>
        <w:spacing w:before="6"/>
        <w:rPr>
          <w:sz w:val="15"/>
        </w:rPr>
      </w:pPr>
    </w:p>
    <w:p>
      <w:pPr>
        <w:pStyle w:val="BodyText"/>
        <w:ind w:left="640"/>
        <w:rPr>
          <w:rFonts w:ascii="Times New Roman" w:eastAsia="Times New Roman"/>
        </w:rPr>
      </w:pPr>
      <w:r>
        <w:rPr/>
        <w:t>住所：北京市海淀区中关村大街</w:t>
      </w:r>
      <w:r>
        <w:rPr>
          <w:rFonts w:ascii="Times New Roman" w:eastAsia="Times New Roman"/>
        </w:rPr>
        <w:t>11</w:t>
      </w:r>
      <w:r>
        <w:rPr/>
        <w:t>号</w:t>
      </w:r>
      <w:r>
        <w:rPr>
          <w:rFonts w:ascii="Times New Roman" w:eastAsia="Times New Roman"/>
        </w:rPr>
        <w:t>11</w:t>
      </w:r>
      <w:r>
        <w:rPr/>
        <w:t>层</w:t>
      </w:r>
      <w:r>
        <w:rPr>
          <w:rFonts w:ascii="Times New Roman" w:eastAsia="Times New Roman"/>
        </w:rPr>
        <w:t>1108</w:t>
      </w:r>
    </w:p>
    <w:p>
      <w:pPr>
        <w:pStyle w:val="BodyText"/>
        <w:spacing w:before="4"/>
        <w:rPr>
          <w:rFonts w:ascii="Times New Roman"/>
          <w:sz w:val="17"/>
        </w:rPr>
      </w:pPr>
    </w:p>
    <w:p>
      <w:pPr>
        <w:pStyle w:val="BodyText"/>
        <w:spacing w:line="417" w:lineRule="auto"/>
        <w:ind w:left="640" w:right="3836"/>
      </w:pPr>
      <w:r>
        <w:rPr/>
        <w:t>办公地址：北京市海淀区中关村大街</w:t>
      </w:r>
      <w:r>
        <w:rPr>
          <w:rFonts w:ascii="Times New Roman" w:eastAsia="Times New Roman"/>
        </w:rPr>
        <w:t>11</w:t>
      </w:r>
      <w:r>
        <w:rPr/>
        <w:t>号</w:t>
      </w:r>
      <w:r>
        <w:rPr>
          <w:rFonts w:ascii="Times New Roman" w:eastAsia="Times New Roman"/>
        </w:rPr>
        <w:t>11</w:t>
      </w:r>
      <w:r>
        <w:rPr/>
        <w:t>层</w:t>
      </w:r>
      <w:r>
        <w:rPr>
          <w:rFonts w:ascii="Times New Roman" w:eastAsia="Times New Roman"/>
        </w:rPr>
        <w:t>1108 </w:t>
      </w:r>
      <w:r>
        <w:rPr/>
        <w:t>法定代表人：王伟刚</w:t>
      </w:r>
    </w:p>
    <w:p>
      <w:pPr>
        <w:pStyle w:val="BodyText"/>
        <w:spacing w:line="417" w:lineRule="auto"/>
        <w:ind w:left="640" w:right="6626"/>
        <w:rPr>
          <w:rFonts w:ascii="Times New Roman" w:eastAsia="Times New Roman"/>
        </w:rPr>
      </w:pPr>
      <w:r>
        <w:rPr/>
        <w:t>电话：</w:t>
      </w:r>
      <w:r>
        <w:rPr>
          <w:rFonts w:ascii="Times New Roman" w:eastAsia="Times New Roman"/>
        </w:rPr>
        <w:t>010-56282140 </w:t>
      </w:r>
      <w:r>
        <w:rPr/>
        <w:t>传真：</w:t>
      </w:r>
      <w:r>
        <w:rPr>
          <w:rFonts w:ascii="Times New Roman" w:eastAsia="Times New Roman"/>
        </w:rPr>
        <w:t>010-62680827</w:t>
      </w:r>
    </w:p>
    <w:p>
      <w:pPr>
        <w:pStyle w:val="BodyText"/>
        <w:spacing w:line="269" w:lineRule="exact"/>
        <w:ind w:left="640"/>
      </w:pPr>
      <w:r>
        <w:rPr/>
        <w:t>联系人：丁向坤</w:t>
      </w:r>
    </w:p>
    <w:p>
      <w:pPr>
        <w:pStyle w:val="BodyText"/>
        <w:spacing w:before="6"/>
        <w:rPr>
          <w:sz w:val="15"/>
        </w:rPr>
      </w:pPr>
    </w:p>
    <w:p>
      <w:pPr>
        <w:pStyle w:val="BodyText"/>
        <w:spacing w:before="1"/>
        <w:ind w:left="640"/>
        <w:rPr>
          <w:rFonts w:ascii="Times New Roman" w:eastAsia="Times New Roman"/>
        </w:rPr>
      </w:pPr>
      <w:r>
        <w:rPr/>
        <w:t>网址： </w:t>
      </w:r>
      <w:hyperlink r:id="rId46">
        <w:r>
          <w:rPr>
            <w:rFonts w:ascii="Times New Roman" w:eastAsia="Times New Roman"/>
          </w:rPr>
          <w:t>www.hcjijin.com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400-619-9059</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北京钱景基金销售有限公司</w:t>
      </w:r>
    </w:p>
    <w:p>
      <w:pPr>
        <w:pStyle w:val="BodyText"/>
        <w:spacing w:before="6"/>
        <w:rPr>
          <w:sz w:val="15"/>
        </w:rPr>
      </w:pPr>
    </w:p>
    <w:p>
      <w:pPr>
        <w:pStyle w:val="BodyText"/>
        <w:ind w:left="640"/>
        <w:rPr>
          <w:rFonts w:ascii="Times New Roman" w:eastAsia="Times New Roman"/>
        </w:rPr>
      </w:pPr>
      <w:r>
        <w:rPr/>
        <w:t>住所：北京市海淀区丹棱街</w:t>
      </w:r>
      <w:r>
        <w:rPr>
          <w:rFonts w:ascii="Times New Roman" w:eastAsia="Times New Roman"/>
        </w:rPr>
        <w:t>6</w:t>
      </w:r>
      <w:r>
        <w:rPr/>
        <w:t>号</w:t>
      </w:r>
      <w:r>
        <w:rPr>
          <w:rFonts w:ascii="Times New Roman" w:eastAsia="Times New Roman"/>
        </w:rPr>
        <w:t>1</w:t>
      </w:r>
      <w:r>
        <w:rPr/>
        <w:t>幢</w:t>
      </w:r>
      <w:r>
        <w:rPr>
          <w:rFonts w:ascii="Times New Roman" w:eastAsia="Times New Roman"/>
        </w:rPr>
        <w:t>9</w:t>
      </w:r>
      <w:r>
        <w:rPr/>
        <w:t>层</w:t>
      </w:r>
      <w:r>
        <w:rPr>
          <w:rFonts w:ascii="Times New Roman" w:eastAsia="Times New Roman"/>
        </w:rPr>
        <w:t>1008-1012</w:t>
      </w:r>
    </w:p>
    <w:p>
      <w:pPr>
        <w:pStyle w:val="BodyText"/>
        <w:spacing w:before="4"/>
        <w:rPr>
          <w:rFonts w:ascii="Times New Roman"/>
          <w:sz w:val="17"/>
        </w:rPr>
      </w:pPr>
    </w:p>
    <w:p>
      <w:pPr>
        <w:pStyle w:val="BodyText"/>
        <w:spacing w:line="417" w:lineRule="auto"/>
        <w:ind w:left="640" w:right="3685"/>
      </w:pPr>
      <w:r>
        <w:rPr/>
        <w:t>办公地址：北京市海淀区丹棱街</w:t>
      </w:r>
      <w:r>
        <w:rPr>
          <w:rFonts w:ascii="Times New Roman" w:eastAsia="Times New Roman"/>
        </w:rPr>
        <w:t>6</w:t>
      </w:r>
      <w:r>
        <w:rPr/>
        <w:t>号</w:t>
      </w:r>
      <w:r>
        <w:rPr>
          <w:rFonts w:ascii="Times New Roman" w:eastAsia="Times New Roman"/>
        </w:rPr>
        <w:t>1</w:t>
      </w:r>
      <w:r>
        <w:rPr/>
        <w:t>幢</w:t>
      </w:r>
      <w:r>
        <w:rPr>
          <w:rFonts w:ascii="Times New Roman" w:eastAsia="Times New Roman"/>
        </w:rPr>
        <w:t>9</w:t>
      </w:r>
      <w:r>
        <w:rPr/>
        <w:t>层</w:t>
      </w:r>
      <w:r>
        <w:rPr>
          <w:rFonts w:ascii="Times New Roman" w:eastAsia="Times New Roman"/>
        </w:rPr>
        <w:t>1008-1012 </w:t>
      </w:r>
      <w:r>
        <w:rPr/>
        <w:t>法定代表人：赵荣春</w:t>
      </w:r>
    </w:p>
    <w:p>
      <w:pPr>
        <w:pStyle w:val="BodyText"/>
        <w:spacing w:line="417" w:lineRule="auto"/>
        <w:ind w:left="640" w:right="6626"/>
        <w:rPr>
          <w:rFonts w:ascii="Times New Roman" w:eastAsia="Times New Roman"/>
        </w:rPr>
      </w:pPr>
      <w:r>
        <w:rPr/>
        <w:t>电话：</w:t>
      </w:r>
      <w:r>
        <w:rPr>
          <w:rFonts w:ascii="Times New Roman" w:eastAsia="Times New Roman"/>
        </w:rPr>
        <w:t>010-57418829 </w:t>
      </w:r>
      <w:r>
        <w:rPr/>
        <w:t>传真：</w:t>
      </w:r>
      <w:r>
        <w:rPr>
          <w:rFonts w:ascii="Times New Roman" w:eastAsia="Times New Roman"/>
        </w:rPr>
        <w:t>010-57569671</w:t>
      </w:r>
    </w:p>
    <w:p>
      <w:pPr>
        <w:pStyle w:val="BodyText"/>
        <w:ind w:left="640"/>
      </w:pPr>
      <w:r>
        <w:rPr/>
        <w:t>联系人：魏争</w:t>
      </w:r>
    </w:p>
    <w:p>
      <w:pPr>
        <w:pStyle w:val="BodyText"/>
        <w:spacing w:before="6"/>
        <w:rPr>
          <w:sz w:val="15"/>
        </w:rPr>
      </w:pPr>
    </w:p>
    <w:p>
      <w:pPr>
        <w:pStyle w:val="BodyText"/>
        <w:ind w:left="640"/>
        <w:rPr>
          <w:rFonts w:ascii="Times New Roman" w:eastAsia="Times New Roman"/>
        </w:rPr>
      </w:pPr>
      <w:r>
        <w:rPr/>
        <w:t>网址：</w:t>
      </w:r>
      <w:hyperlink r:id="rId47">
        <w:r>
          <w:rPr>
            <w:rFonts w:ascii="Times New Roman" w:eastAsia="Times New Roman"/>
          </w:rPr>
          <w:t>www.niuji.net</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400-893-6885</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北京植信基金销售有限公司</w:t>
      </w:r>
    </w:p>
    <w:p>
      <w:pPr>
        <w:pStyle w:val="BodyText"/>
        <w:spacing w:before="7"/>
        <w:rPr>
          <w:sz w:val="15"/>
        </w:rPr>
      </w:pPr>
    </w:p>
    <w:p>
      <w:pPr>
        <w:pStyle w:val="BodyText"/>
        <w:spacing w:line="417" w:lineRule="auto"/>
        <w:ind w:left="640" w:right="4072"/>
        <w:jc w:val="both"/>
      </w:pPr>
      <w:r>
        <w:rPr/>
        <w:t>住所：北京市密云县兴盛南路</w:t>
      </w:r>
      <w:r>
        <w:rPr>
          <w:rFonts w:ascii="Times New Roman" w:eastAsia="Times New Roman"/>
        </w:rPr>
        <w:t>8</w:t>
      </w:r>
      <w:r>
        <w:rPr/>
        <w:t>号院</w:t>
      </w:r>
      <w:r>
        <w:rPr>
          <w:rFonts w:ascii="Times New Roman" w:eastAsia="Times New Roman"/>
        </w:rPr>
        <w:t>2</w:t>
      </w:r>
      <w:r>
        <w:rPr/>
        <w:t>号楼</w:t>
      </w:r>
      <w:r>
        <w:rPr>
          <w:rFonts w:ascii="Times New Roman" w:eastAsia="Times New Roman"/>
        </w:rPr>
        <w:t>106-67 </w:t>
      </w:r>
      <w:r>
        <w:rPr/>
        <w:t>办公地址：北京市朝阳区盛世龙源国食苑</w:t>
      </w:r>
      <w:r>
        <w:rPr>
          <w:rFonts w:ascii="Times New Roman" w:eastAsia="Times New Roman"/>
        </w:rPr>
        <w:t>10</w:t>
      </w:r>
      <w:r>
        <w:rPr/>
        <w:t>号楼法定代表人：王军辉</w:t>
      </w:r>
    </w:p>
    <w:p>
      <w:pPr>
        <w:pStyle w:val="BodyText"/>
        <w:ind w:left="640"/>
        <w:rPr>
          <w:rFonts w:ascii="Times New Roman" w:eastAsia="Times New Roman"/>
        </w:rPr>
      </w:pPr>
      <w:r>
        <w:rPr/>
        <w:t>客户服务电话：</w:t>
      </w:r>
      <w:r>
        <w:rPr>
          <w:rFonts w:ascii="Times New Roman" w:eastAsia="Times New Roman"/>
        </w:rPr>
        <w:t>400-680-2123</w:t>
      </w:r>
    </w:p>
    <w:p>
      <w:pPr>
        <w:spacing w:after="0"/>
        <w:rPr>
          <w:rFonts w:ascii="Times New Roman" w:eastAsia="Times New Roman"/>
        </w:rPr>
        <w:sectPr>
          <w:pgSz w:w="11910" w:h="16840"/>
          <w:pgMar w:header="877" w:footer="995" w:top="1420" w:bottom="1180" w:left="1580" w:right="1200"/>
        </w:sectPr>
      </w:pPr>
    </w:p>
    <w:p>
      <w:pPr>
        <w:pStyle w:val="BodyText"/>
        <w:spacing w:before="110"/>
        <w:ind w:left="640"/>
      </w:pPr>
      <w:r>
        <w:rPr/>
        <w:t>联系人：吴鹏</w:t>
      </w:r>
    </w:p>
    <w:p>
      <w:pPr>
        <w:pStyle w:val="BodyText"/>
        <w:spacing w:before="6"/>
        <w:rPr>
          <w:sz w:val="15"/>
        </w:rPr>
      </w:pPr>
    </w:p>
    <w:p>
      <w:pPr>
        <w:pStyle w:val="BodyText"/>
        <w:ind w:left="640"/>
        <w:rPr>
          <w:rFonts w:ascii="Times New Roman" w:eastAsia="Times New Roman"/>
        </w:rPr>
      </w:pPr>
      <w:r>
        <w:rPr/>
        <w:t>网址：</w:t>
      </w:r>
      <w:hyperlink r:id="rId48">
        <w:r>
          <w:rPr>
            <w:rFonts w:ascii="Times New Roman" w:eastAsia="Times New Roman"/>
          </w:rPr>
          <w:t>www.zhixin-inv.com</w:t>
        </w:r>
      </w:hyperlink>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海银基金销售有限公司</w:t>
      </w:r>
    </w:p>
    <w:p>
      <w:pPr>
        <w:pStyle w:val="BodyText"/>
        <w:spacing w:before="6"/>
        <w:rPr>
          <w:sz w:val="15"/>
        </w:rPr>
      </w:pPr>
    </w:p>
    <w:p>
      <w:pPr>
        <w:pStyle w:val="BodyText"/>
        <w:spacing w:before="1"/>
        <w:ind w:left="640"/>
      </w:pPr>
      <w:r>
        <w:rPr/>
        <w:t>住所：上海市自由贸易试验区银城中路</w:t>
      </w:r>
      <w:r>
        <w:rPr>
          <w:rFonts w:ascii="Times New Roman" w:eastAsia="Times New Roman"/>
        </w:rPr>
        <w:t>8</w:t>
      </w:r>
      <w:r>
        <w:rPr/>
        <w:t>号</w:t>
      </w:r>
      <w:r>
        <w:rPr>
          <w:rFonts w:ascii="Times New Roman" w:eastAsia="Times New Roman"/>
        </w:rPr>
        <w:t>4</w:t>
      </w:r>
      <w:r>
        <w:rPr/>
        <w:t>楼</w:t>
      </w:r>
    </w:p>
    <w:p>
      <w:pPr>
        <w:pStyle w:val="BodyText"/>
        <w:spacing w:before="6"/>
        <w:rPr>
          <w:sz w:val="15"/>
        </w:rPr>
      </w:pPr>
    </w:p>
    <w:p>
      <w:pPr>
        <w:pStyle w:val="BodyText"/>
        <w:spacing w:line="417" w:lineRule="auto"/>
        <w:ind w:left="640" w:right="3858"/>
      </w:pPr>
      <w:r>
        <w:rPr/>
        <w:t>办公地址：上海市自由贸易试验区银城中路</w:t>
      </w:r>
      <w:r>
        <w:rPr>
          <w:rFonts w:ascii="Times New Roman" w:eastAsia="Times New Roman"/>
        </w:rPr>
        <w:t>8</w:t>
      </w:r>
      <w:r>
        <w:rPr/>
        <w:t>号</w:t>
      </w:r>
      <w:r>
        <w:rPr>
          <w:rFonts w:ascii="Times New Roman" w:eastAsia="Times New Roman"/>
        </w:rPr>
        <w:t>4</w:t>
      </w:r>
      <w:r>
        <w:rPr/>
        <w:t>楼法定代表人：惠晓川</w:t>
      </w:r>
    </w:p>
    <w:p>
      <w:pPr>
        <w:pStyle w:val="BodyText"/>
        <w:spacing w:line="417" w:lineRule="auto"/>
        <w:ind w:left="640" w:right="6626"/>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pStyle w:val="BodyText"/>
        <w:ind w:left="640"/>
      </w:pPr>
      <w:r>
        <w:rPr/>
        <w:t>联系人：秦琼</w:t>
      </w:r>
    </w:p>
    <w:p>
      <w:pPr>
        <w:pStyle w:val="BodyText"/>
        <w:spacing w:before="7"/>
        <w:rPr>
          <w:sz w:val="15"/>
        </w:rPr>
      </w:pPr>
    </w:p>
    <w:p>
      <w:pPr>
        <w:pStyle w:val="BodyText"/>
        <w:spacing w:line="417" w:lineRule="auto"/>
        <w:ind w:left="640" w:right="5821"/>
        <w:rPr>
          <w:rFonts w:ascii="Times New Roman" w:eastAsia="Times New Roman"/>
        </w:rPr>
      </w:pPr>
      <w:r>
        <w:rPr/>
        <w:t>网址：</w:t>
      </w:r>
      <w:hyperlink r:id="rId49">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济安财富</w:t>
      </w:r>
      <w:r>
        <w:rPr>
          <w:sz w:val="21"/>
        </w:rPr>
        <w:t>（</w:t>
      </w:r>
      <w:r>
        <w:rPr>
          <w:spacing w:val="-2"/>
          <w:sz w:val="21"/>
        </w:rPr>
        <w:t>北京</w:t>
      </w:r>
      <w:r>
        <w:rPr>
          <w:spacing w:val="-3"/>
          <w:sz w:val="21"/>
        </w:rPr>
        <w:t>）基金销售有限公司</w:t>
      </w:r>
    </w:p>
    <w:p>
      <w:pPr>
        <w:pStyle w:val="BodyText"/>
        <w:spacing w:before="7"/>
        <w:rPr>
          <w:sz w:val="15"/>
        </w:rPr>
      </w:pPr>
    </w:p>
    <w:p>
      <w:pPr>
        <w:pStyle w:val="BodyText"/>
        <w:ind w:left="640"/>
        <w:rPr>
          <w:rFonts w:ascii="Times New Roman" w:eastAsia="Times New Roman"/>
        </w:rPr>
      </w:pPr>
      <w:r>
        <w:rPr/>
        <w:t>住所：北京市朝阳区太阳宫中路</w:t>
      </w:r>
      <w:r>
        <w:rPr>
          <w:rFonts w:ascii="Times New Roman" w:eastAsia="Times New Roman"/>
        </w:rPr>
        <w:t>16</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307</w:t>
      </w:r>
    </w:p>
    <w:p>
      <w:pPr>
        <w:pStyle w:val="BodyText"/>
        <w:spacing w:before="3"/>
        <w:rPr>
          <w:rFonts w:ascii="Times New Roman"/>
          <w:sz w:val="17"/>
        </w:rPr>
      </w:pPr>
    </w:p>
    <w:p>
      <w:pPr>
        <w:pStyle w:val="BodyText"/>
        <w:spacing w:line="417" w:lineRule="auto"/>
        <w:ind w:left="640" w:right="3332"/>
      </w:pPr>
      <w:r>
        <w:rPr/>
        <w:t>办公地址：北京市朝阳区太阳宫中路</w:t>
      </w:r>
      <w:r>
        <w:rPr>
          <w:rFonts w:ascii="Times New Roman" w:eastAsia="Times New Roman"/>
        </w:rPr>
        <w:t>16</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307 </w:t>
      </w:r>
      <w:r>
        <w:rPr/>
        <w:t>法定代表人：杨健</w:t>
      </w:r>
    </w:p>
    <w:p>
      <w:pPr>
        <w:pStyle w:val="BodyText"/>
        <w:spacing w:line="417" w:lineRule="auto"/>
        <w:ind w:left="640" w:right="6626"/>
        <w:rPr>
          <w:rFonts w:ascii="Times New Roman" w:eastAsia="Times New Roman"/>
        </w:rPr>
      </w:pPr>
      <w:r>
        <w:rPr/>
        <w:t>电话：</w:t>
      </w:r>
      <w:r>
        <w:rPr>
          <w:rFonts w:ascii="Times New Roman" w:eastAsia="Times New Roman"/>
        </w:rPr>
        <w:t>010-65309516 </w:t>
      </w:r>
      <w:r>
        <w:rPr/>
        <w:t>传真：</w:t>
      </w:r>
      <w:r>
        <w:rPr>
          <w:rFonts w:ascii="Times New Roman" w:eastAsia="Times New Roman"/>
        </w:rPr>
        <w:t>010-65330699</w:t>
      </w:r>
    </w:p>
    <w:p>
      <w:pPr>
        <w:pStyle w:val="BodyText"/>
        <w:spacing w:line="269" w:lineRule="exact"/>
        <w:ind w:left="640"/>
      </w:pPr>
      <w:r>
        <w:rPr/>
        <w:t>联系人：李海燕</w:t>
      </w:r>
    </w:p>
    <w:p>
      <w:pPr>
        <w:pStyle w:val="BodyText"/>
        <w:spacing w:before="7"/>
        <w:rPr>
          <w:sz w:val="15"/>
        </w:rPr>
      </w:pPr>
    </w:p>
    <w:p>
      <w:pPr>
        <w:pStyle w:val="BodyText"/>
        <w:spacing w:line="417" w:lineRule="auto"/>
        <w:ind w:left="640" w:right="5821"/>
        <w:rPr>
          <w:rFonts w:ascii="Times New Roman" w:eastAsia="Times New Roman"/>
        </w:rPr>
      </w:pPr>
      <w:r>
        <w:rPr/>
        <w:t>网址：</w:t>
      </w:r>
      <w:hyperlink r:id="rId50">
        <w:r>
          <w:rPr>
            <w:rFonts w:ascii="Times New Roman" w:eastAsia="Times New Roman"/>
          </w:rPr>
          <w:t>www.jianfortune.com</w:t>
        </w:r>
      </w:hyperlink>
      <w:r>
        <w:rPr>
          <w:rFonts w:ascii="Times New Roman" w:eastAsia="Times New Roman"/>
        </w:rPr>
        <w:t> </w:t>
      </w:r>
      <w:r>
        <w:rPr/>
        <w:t>客户服务电话：</w:t>
      </w:r>
      <w:r>
        <w:rPr>
          <w:rFonts w:ascii="Times New Roman" w:eastAsia="Times New Roman"/>
        </w:rPr>
        <w:t>400-673-7010</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上海万得基金销售有限公司</w:t>
      </w:r>
    </w:p>
    <w:p>
      <w:pPr>
        <w:pStyle w:val="BodyText"/>
        <w:spacing w:before="7"/>
        <w:rPr>
          <w:sz w:val="15"/>
        </w:rPr>
      </w:pPr>
    </w:p>
    <w:p>
      <w:pPr>
        <w:pStyle w:val="BodyText"/>
        <w:spacing w:line="417" w:lineRule="auto"/>
        <w:ind w:left="640" w:right="3234"/>
      </w:pPr>
      <w:r>
        <w:rPr/>
        <w:t>住所：中国（上海）自由贸易试验区福山路</w:t>
      </w:r>
      <w:r>
        <w:rPr>
          <w:rFonts w:ascii="Times New Roman" w:eastAsia="Times New Roman"/>
        </w:rPr>
        <w:t>33</w:t>
      </w:r>
      <w:r>
        <w:rPr/>
        <w:t>号</w:t>
      </w:r>
      <w:r>
        <w:rPr>
          <w:rFonts w:ascii="Times New Roman" w:eastAsia="Times New Roman"/>
        </w:rPr>
        <w:t>11</w:t>
      </w:r>
      <w:r>
        <w:rPr/>
        <w:t>楼</w:t>
      </w:r>
      <w:r>
        <w:rPr>
          <w:rFonts w:ascii="Times New Roman" w:eastAsia="Times New Roman"/>
        </w:rPr>
        <w:t>B</w:t>
      </w:r>
      <w:r>
        <w:rPr/>
        <w:t>座办公地址：上海市浦东新区浦明路</w:t>
      </w:r>
      <w:r>
        <w:rPr>
          <w:rFonts w:ascii="Times New Roman" w:eastAsia="Times New Roman"/>
        </w:rPr>
        <w:t>1500</w:t>
      </w:r>
      <w:r>
        <w:rPr/>
        <w:t>号万得大厦</w:t>
      </w:r>
      <w:r>
        <w:rPr>
          <w:rFonts w:ascii="Times New Roman" w:eastAsia="Times New Roman"/>
        </w:rPr>
        <w:t>11</w:t>
      </w:r>
      <w:r>
        <w:rPr/>
        <w:t>楼法定代表人：黄祎</w:t>
      </w:r>
    </w:p>
    <w:p>
      <w:pPr>
        <w:pStyle w:val="BodyText"/>
        <w:spacing w:line="417" w:lineRule="auto"/>
        <w:ind w:left="640" w:right="662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spacing w:line="269" w:lineRule="exact"/>
        <w:ind w:left="640"/>
      </w:pPr>
      <w:r>
        <w:rPr/>
        <w:t>联系人：徐亚丹</w:t>
      </w:r>
    </w:p>
    <w:p>
      <w:pPr>
        <w:pStyle w:val="BodyText"/>
        <w:spacing w:before="6"/>
        <w:rPr>
          <w:sz w:val="15"/>
        </w:rPr>
      </w:pPr>
    </w:p>
    <w:p>
      <w:pPr>
        <w:pStyle w:val="BodyText"/>
        <w:spacing w:line="417" w:lineRule="auto" w:before="1"/>
        <w:ind w:left="640" w:right="5821"/>
        <w:rPr>
          <w:rFonts w:ascii="Times New Roman" w:eastAsia="Times New Roman"/>
        </w:rPr>
      </w:pPr>
      <w:r>
        <w:rPr/>
        <w:t>网址：</w:t>
      </w:r>
      <w:hyperlink r:id="rId51">
        <w:r>
          <w:rPr>
            <w:rFonts w:ascii="Times New Roman" w:eastAsia="Times New Roman"/>
          </w:rPr>
          <w:t>www.520fund.com.cn </w:t>
        </w:r>
      </w:hyperlink>
      <w:r>
        <w:rPr/>
        <w:t>客户服务电话：</w:t>
      </w:r>
      <w:r>
        <w:rPr>
          <w:rFonts w:ascii="Times New Roman" w:eastAsia="Times New Roman"/>
        </w:rPr>
        <w:t>400-799-1888</w:t>
      </w: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上海联泰基金销售有限公司</w:t>
      </w:r>
    </w:p>
    <w:p>
      <w:pPr>
        <w:spacing w:after="0" w:line="240" w:lineRule="auto"/>
        <w:jc w:val="left"/>
        <w:rPr>
          <w:sz w:val="21"/>
        </w:rPr>
        <w:sectPr>
          <w:pgSz w:w="11910" w:h="16840"/>
          <w:pgMar w:header="877" w:footer="995" w:top="1420" w:bottom="1180" w:left="1580" w:right="1200"/>
        </w:sectPr>
      </w:pPr>
    </w:p>
    <w:p>
      <w:pPr>
        <w:pStyle w:val="BodyText"/>
        <w:spacing w:line="417" w:lineRule="auto" w:before="110"/>
        <w:ind w:left="640" w:right="2915"/>
      </w:pPr>
      <w:r>
        <w:rPr/>
        <w:t>住所：中国（上海）自由贸易试验区富特北路</w:t>
      </w:r>
      <w:r>
        <w:rPr>
          <w:rFonts w:ascii="Times New Roman" w:eastAsia="Times New Roman"/>
        </w:rPr>
        <w:t>277</w:t>
      </w:r>
      <w:r>
        <w:rPr/>
        <w:t>号</w:t>
      </w:r>
      <w:r>
        <w:rPr>
          <w:rFonts w:ascii="Times New Roman" w:eastAsia="Times New Roman"/>
        </w:rPr>
        <w:t>3</w:t>
      </w:r>
      <w:r>
        <w:rPr/>
        <w:t>层</w:t>
      </w:r>
      <w:r>
        <w:rPr>
          <w:rFonts w:ascii="Times New Roman" w:eastAsia="Times New Roman"/>
        </w:rPr>
        <w:t>310</w:t>
      </w:r>
      <w:r>
        <w:rPr/>
        <w:t>室办公地址：中国（上海）长宁区福泉北路</w:t>
      </w:r>
      <w:r>
        <w:rPr>
          <w:rFonts w:ascii="Times New Roman" w:eastAsia="Times New Roman"/>
        </w:rPr>
        <w:t>518</w:t>
      </w:r>
      <w:r>
        <w:rPr/>
        <w:t>号</w:t>
      </w:r>
      <w:r>
        <w:rPr>
          <w:rFonts w:ascii="Times New Roman" w:eastAsia="Times New Roman"/>
        </w:rPr>
        <w:t>8</w:t>
      </w:r>
      <w:r>
        <w:rPr/>
        <w:t>座</w:t>
      </w:r>
      <w:r>
        <w:rPr>
          <w:rFonts w:ascii="Times New Roman" w:eastAsia="Times New Roman"/>
        </w:rPr>
        <w:t>3</w:t>
      </w:r>
      <w:r>
        <w:rPr/>
        <w:t>层</w:t>
      </w:r>
    </w:p>
    <w:p>
      <w:pPr>
        <w:pStyle w:val="BodyText"/>
        <w:spacing w:line="417" w:lineRule="auto"/>
        <w:ind w:left="640" w:right="6590"/>
        <w:rPr>
          <w:rFonts w:ascii="Times New Roman" w:eastAsia="Times New Roman"/>
        </w:rPr>
      </w:pPr>
      <w:r>
        <w:rPr/>
        <w:t>法定代表人：尹彬彬电话：</w:t>
      </w:r>
      <w:r>
        <w:rPr>
          <w:rFonts w:ascii="Times New Roman" w:eastAsia="Times New Roman"/>
        </w:rPr>
        <w:t>15201924977 </w:t>
      </w:r>
      <w:r>
        <w:rPr/>
        <w:t>传真：</w:t>
      </w:r>
      <w:r>
        <w:rPr>
          <w:rFonts w:ascii="Times New Roman" w:eastAsia="Times New Roman"/>
        </w:rPr>
        <w:t>021-52975270</w:t>
      </w:r>
    </w:p>
    <w:p>
      <w:pPr>
        <w:pStyle w:val="BodyText"/>
        <w:spacing w:line="269" w:lineRule="exact"/>
        <w:ind w:left="640"/>
      </w:pPr>
      <w:r>
        <w:rPr/>
        <w:t>联系人：兰敏</w:t>
      </w:r>
    </w:p>
    <w:p>
      <w:pPr>
        <w:pStyle w:val="BodyText"/>
        <w:spacing w:before="6"/>
        <w:rPr>
          <w:sz w:val="15"/>
        </w:rPr>
      </w:pPr>
    </w:p>
    <w:p>
      <w:pPr>
        <w:pStyle w:val="BodyText"/>
        <w:ind w:left="640"/>
        <w:rPr>
          <w:rFonts w:ascii="Times New Roman" w:eastAsia="Times New Roman"/>
        </w:rPr>
      </w:pPr>
      <w:r>
        <w:rPr/>
        <w:t>网址：</w:t>
      </w:r>
      <w:hyperlink r:id="rId52">
        <w:r>
          <w:rPr>
            <w:rFonts w:ascii="Times New Roman" w:eastAsia="Times New Roman"/>
          </w:rPr>
          <w:t>www.66liantai.com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400-118-1188</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深圳市金海九州基金销售有限公司</w:t>
      </w:r>
    </w:p>
    <w:p>
      <w:pPr>
        <w:pStyle w:val="BodyText"/>
        <w:spacing w:before="6"/>
        <w:rPr>
          <w:sz w:val="15"/>
        </w:rPr>
      </w:pPr>
    </w:p>
    <w:p>
      <w:pPr>
        <w:pStyle w:val="BodyText"/>
        <w:spacing w:line="417" w:lineRule="auto"/>
        <w:ind w:left="220" w:right="542" w:firstLine="419"/>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室（入驻深圳市前海商务秘书有限公司）</w:t>
      </w:r>
    </w:p>
    <w:p>
      <w:pPr>
        <w:pStyle w:val="BodyText"/>
        <w:spacing w:line="417" w:lineRule="auto"/>
        <w:ind w:left="640" w:right="3867"/>
      </w:pPr>
      <w:r>
        <w:rPr/>
        <w:t>办公地址：深圳市福田区富德生命保险大厦</w:t>
      </w:r>
      <w:r>
        <w:rPr>
          <w:rFonts w:ascii="Times New Roman" w:eastAsia="Times New Roman"/>
        </w:rPr>
        <w:t>1106</w:t>
      </w:r>
      <w:r>
        <w:rPr/>
        <w:t>室法定代表人：彭维熙</w:t>
      </w:r>
    </w:p>
    <w:p>
      <w:pPr>
        <w:pStyle w:val="BodyText"/>
        <w:spacing w:line="417" w:lineRule="auto"/>
        <w:ind w:left="640" w:right="652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ind w:left="640"/>
      </w:pPr>
      <w:r>
        <w:rPr/>
        <w:t>联系人：彭维熙</w:t>
      </w:r>
    </w:p>
    <w:p>
      <w:pPr>
        <w:pStyle w:val="BodyText"/>
        <w:spacing w:before="6"/>
        <w:rPr>
          <w:sz w:val="15"/>
        </w:rPr>
      </w:pPr>
    </w:p>
    <w:p>
      <w:pPr>
        <w:pStyle w:val="BodyText"/>
        <w:spacing w:before="1"/>
        <w:ind w:left="640"/>
        <w:rPr>
          <w:rFonts w:ascii="Times New Roman" w:eastAsia="Times New Roman"/>
        </w:rPr>
      </w:pPr>
      <w:r>
        <w:rPr/>
        <w:t>网址：</w:t>
      </w:r>
      <w:hyperlink r:id="rId53">
        <w:r>
          <w:rPr>
            <w:rFonts w:ascii="Times New Roman" w:eastAsia="Times New Roman"/>
          </w:rPr>
          <w:t>www.jhjzfund.com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400-099-3333</w:t>
      </w:r>
    </w:p>
    <w:p>
      <w:pPr>
        <w:pStyle w:val="BodyText"/>
        <w:spacing w:before="3"/>
        <w:rPr>
          <w:rFonts w:ascii="Times New Roman"/>
          <w:sz w:val="17"/>
        </w:rPr>
      </w:pPr>
    </w:p>
    <w:p>
      <w:pPr>
        <w:pStyle w:val="ListParagraph"/>
        <w:numPr>
          <w:ilvl w:val="0"/>
          <w:numId w:val="7"/>
        </w:numPr>
        <w:tabs>
          <w:tab w:pos="1275" w:val="left" w:leader="none"/>
        </w:tabs>
        <w:spacing w:line="417" w:lineRule="auto" w:before="0" w:after="0"/>
        <w:ind w:left="640" w:right="4384"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有限公司住所：辽宁省大连市沙河口区星海中龙园</w:t>
      </w:r>
      <w:r>
        <w:rPr>
          <w:rFonts w:ascii="Times New Roman" w:eastAsia="Times New Roman"/>
          <w:sz w:val="21"/>
        </w:rPr>
        <w:t>3</w:t>
      </w:r>
      <w:r>
        <w:rPr>
          <w:spacing w:val="-12"/>
          <w:sz w:val="21"/>
        </w:rPr>
        <w:t>号</w:t>
      </w:r>
    </w:p>
    <w:p>
      <w:pPr>
        <w:pStyle w:val="BodyText"/>
        <w:spacing w:line="417" w:lineRule="auto"/>
        <w:ind w:left="640" w:right="3963"/>
      </w:pPr>
      <w:r>
        <w:rPr/>
        <w:t>办公地址：辽宁省大连市沙河口区星海中龙园</w:t>
      </w:r>
      <w:r>
        <w:rPr>
          <w:rFonts w:ascii="Times New Roman" w:eastAsia="Times New Roman"/>
        </w:rPr>
        <w:t>3</w:t>
      </w:r>
      <w:r>
        <w:rPr/>
        <w:t>号法定代表人：李春光</w:t>
      </w:r>
    </w:p>
    <w:p>
      <w:pPr>
        <w:pStyle w:val="BodyText"/>
        <w:spacing w:line="417" w:lineRule="auto"/>
        <w:ind w:left="640" w:right="614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spacing w:line="269" w:lineRule="exact"/>
        <w:ind w:left="640"/>
      </w:pPr>
      <w:r>
        <w:rPr/>
        <w:t>联系人：张晓辉</w:t>
      </w:r>
    </w:p>
    <w:p>
      <w:pPr>
        <w:pStyle w:val="BodyText"/>
        <w:spacing w:before="7"/>
        <w:rPr>
          <w:sz w:val="15"/>
        </w:rPr>
      </w:pPr>
    </w:p>
    <w:p>
      <w:pPr>
        <w:pStyle w:val="BodyText"/>
        <w:spacing w:line="417" w:lineRule="auto"/>
        <w:ind w:left="640" w:right="5829"/>
        <w:rPr>
          <w:rFonts w:ascii="Times New Roman" w:eastAsia="Times New Roman"/>
        </w:rPr>
      </w:pPr>
      <w:r>
        <w:rPr/>
        <w:t>网址：</w:t>
      </w:r>
      <w:hyperlink r:id="rId54">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上海汇付基金销售有限公司</w:t>
      </w:r>
    </w:p>
    <w:p>
      <w:pPr>
        <w:pStyle w:val="BodyText"/>
        <w:spacing w:before="7"/>
        <w:rPr>
          <w:sz w:val="15"/>
        </w:rPr>
      </w:pPr>
    </w:p>
    <w:p>
      <w:pPr>
        <w:pStyle w:val="BodyText"/>
        <w:ind w:left="640"/>
      </w:pPr>
      <w:r>
        <w:rPr/>
        <w:t>住所：上海市黄浦区黄河路</w:t>
      </w:r>
      <w:r>
        <w:rPr>
          <w:rFonts w:ascii="Times New Roman" w:eastAsia="Times New Roman"/>
        </w:rPr>
        <w:t>333</w:t>
      </w:r>
      <w:r>
        <w:rPr/>
        <w:t>号</w:t>
      </w:r>
      <w:r>
        <w:rPr>
          <w:rFonts w:ascii="Times New Roman" w:eastAsia="Times New Roman"/>
        </w:rPr>
        <w:t>201</w:t>
      </w:r>
      <w:r>
        <w:rPr/>
        <w:t>室</w:t>
      </w:r>
      <w:r>
        <w:rPr>
          <w:rFonts w:ascii="Times New Roman" w:eastAsia="Times New Roman"/>
        </w:rPr>
        <w:t>A</w:t>
      </w:r>
      <w:r>
        <w:rPr/>
        <w:t>区</w:t>
      </w:r>
      <w:r>
        <w:rPr>
          <w:rFonts w:ascii="Times New Roman" w:eastAsia="Times New Roman"/>
        </w:rPr>
        <w:t>056</w:t>
      </w:r>
      <w:r>
        <w:rPr/>
        <w:t>单元</w:t>
      </w:r>
    </w:p>
    <w:p>
      <w:pPr>
        <w:pStyle w:val="BodyText"/>
        <w:spacing w:before="7"/>
        <w:rPr>
          <w:sz w:val="15"/>
        </w:rPr>
      </w:pPr>
    </w:p>
    <w:p>
      <w:pPr>
        <w:pStyle w:val="BodyText"/>
        <w:ind w:left="640"/>
      </w:pPr>
      <w:r>
        <w:rPr/>
        <w:t>办公地址：上海市徐汇区宜山路</w:t>
      </w:r>
      <w:r>
        <w:rPr>
          <w:rFonts w:ascii="Times New Roman" w:eastAsia="Times New Roman"/>
        </w:rPr>
        <w:t>700</w:t>
      </w:r>
      <w:r>
        <w:rPr/>
        <w:t>号普天信息产业园</w:t>
      </w:r>
      <w:r>
        <w:rPr>
          <w:rFonts w:ascii="Times New Roman" w:eastAsia="Times New Roman"/>
        </w:rPr>
        <w:t>2</w:t>
      </w:r>
      <w:r>
        <w:rPr/>
        <w:t>期</w:t>
      </w:r>
      <w:r>
        <w:rPr>
          <w:rFonts w:ascii="Times New Roman" w:eastAsia="Times New Roman"/>
        </w:rPr>
        <w:t>C5</w:t>
      </w:r>
      <w:r>
        <w:rPr/>
        <w:t>栋</w:t>
      </w:r>
    </w:p>
    <w:p>
      <w:pPr>
        <w:spacing w:after="0"/>
        <w:sectPr>
          <w:pgSz w:w="11910" w:h="16840"/>
          <w:pgMar w:header="877" w:footer="995" w:top="1420" w:bottom="1180" w:left="1580" w:right="1200"/>
        </w:sectPr>
      </w:pPr>
    </w:p>
    <w:p>
      <w:pPr>
        <w:pStyle w:val="BodyText"/>
        <w:spacing w:line="417" w:lineRule="auto" w:before="110"/>
        <w:ind w:left="640" w:right="6564"/>
        <w:rPr>
          <w:rFonts w:ascii="Times New Roman" w:eastAsia="Times New Roman"/>
        </w:rPr>
      </w:pPr>
      <w:r>
        <w:rPr/>
        <w:t>法定代表人：金佶电话：</w:t>
      </w:r>
      <w:r>
        <w:rPr>
          <w:rFonts w:ascii="Times New Roman" w:eastAsia="Times New Roman"/>
        </w:rPr>
        <w:t>021-33323999 </w:t>
      </w:r>
      <w:r>
        <w:rPr/>
        <w:t>传真：</w:t>
      </w:r>
      <w:r>
        <w:rPr>
          <w:rFonts w:ascii="Times New Roman" w:eastAsia="Times New Roman"/>
        </w:rPr>
        <w:t>021-33323837</w:t>
      </w:r>
    </w:p>
    <w:p>
      <w:pPr>
        <w:pStyle w:val="BodyText"/>
        <w:spacing w:line="269" w:lineRule="exact"/>
        <w:ind w:left="640"/>
      </w:pPr>
      <w:r>
        <w:rPr/>
        <w:t>联系人：甄宝林</w:t>
      </w:r>
    </w:p>
    <w:p>
      <w:pPr>
        <w:pStyle w:val="BodyText"/>
        <w:spacing w:before="6"/>
        <w:rPr>
          <w:sz w:val="15"/>
        </w:rPr>
      </w:pPr>
    </w:p>
    <w:p>
      <w:pPr>
        <w:pStyle w:val="BodyText"/>
        <w:ind w:left="640"/>
        <w:rPr>
          <w:rFonts w:ascii="Times New Roman" w:eastAsia="Times New Roman"/>
        </w:rPr>
      </w:pPr>
      <w:r>
        <w:rPr/>
        <w:t>网址：</w:t>
      </w:r>
      <w:hyperlink r:id="rId55">
        <w:r>
          <w:rPr>
            <w:rFonts w:ascii="Times New Roman" w:eastAsia="Times New Roman"/>
          </w:rPr>
          <w:t>www.hotjijin.com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021-34013999</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上海基煜基金销售有限公司</w:t>
      </w:r>
    </w:p>
    <w:p>
      <w:pPr>
        <w:pStyle w:val="BodyText"/>
        <w:spacing w:before="8"/>
        <w:rPr>
          <w:sz w:val="15"/>
        </w:rPr>
      </w:pPr>
    </w:p>
    <w:p>
      <w:pPr>
        <w:pStyle w:val="BodyText"/>
        <w:spacing w:line="417" w:lineRule="auto"/>
        <w:ind w:left="640" w:right="812"/>
      </w:pPr>
      <w:r>
        <w:rPr/>
        <w:t>住所：上海市崇明县长兴镇路潘园公路</w:t>
      </w:r>
      <w:r>
        <w:rPr>
          <w:rFonts w:ascii="Times New Roman" w:eastAsia="Times New Roman"/>
        </w:rPr>
        <w:t>1800</w:t>
      </w:r>
      <w:r>
        <w:rPr/>
        <w:t>号</w:t>
      </w:r>
      <w:r>
        <w:rPr>
          <w:rFonts w:ascii="Times New Roman" w:eastAsia="Times New Roman"/>
        </w:rPr>
        <w:t>2</w:t>
      </w:r>
      <w:r>
        <w:rPr/>
        <w:t>号楼</w:t>
      </w:r>
      <w:r>
        <w:rPr>
          <w:rFonts w:ascii="Times New Roman" w:eastAsia="Times New Roman"/>
        </w:rPr>
        <w:t>6153</w:t>
      </w:r>
      <w:r>
        <w:rPr/>
        <w:t>室（上海泰和经济发展区） 办公地址：上海市浦东新区银城中路</w:t>
      </w:r>
      <w:r>
        <w:rPr>
          <w:rFonts w:ascii="Times New Roman" w:eastAsia="Times New Roman"/>
        </w:rPr>
        <w:t>488</w:t>
      </w:r>
      <w:r>
        <w:rPr/>
        <w:t>号太平金融大厦</w:t>
      </w:r>
      <w:r>
        <w:rPr>
          <w:rFonts w:ascii="Times New Roman" w:eastAsia="Times New Roman"/>
        </w:rPr>
        <w:t>1503</w:t>
      </w:r>
      <w:r>
        <w:rPr/>
        <w:t>室</w:t>
      </w:r>
    </w:p>
    <w:p>
      <w:pPr>
        <w:pStyle w:val="BodyText"/>
        <w:spacing w:line="269" w:lineRule="exact"/>
        <w:ind w:left="640"/>
      </w:pPr>
      <w:r>
        <w:rPr/>
        <w:t>法定代表人：王翔</w:t>
      </w:r>
    </w:p>
    <w:p>
      <w:pPr>
        <w:pStyle w:val="BodyText"/>
        <w:spacing w:before="6"/>
        <w:rPr>
          <w:sz w:val="15"/>
        </w:rPr>
      </w:pPr>
    </w:p>
    <w:p>
      <w:pPr>
        <w:pStyle w:val="BodyText"/>
        <w:spacing w:line="417" w:lineRule="auto"/>
        <w:ind w:left="640" w:right="620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spacing w:line="269" w:lineRule="exact"/>
        <w:ind w:left="640"/>
      </w:pPr>
      <w:r>
        <w:rPr/>
        <w:t>联系人：蓝杰</w:t>
      </w:r>
    </w:p>
    <w:p>
      <w:pPr>
        <w:pStyle w:val="BodyText"/>
        <w:spacing w:before="7"/>
        <w:rPr>
          <w:sz w:val="15"/>
        </w:rPr>
      </w:pPr>
    </w:p>
    <w:p>
      <w:pPr>
        <w:pStyle w:val="BodyText"/>
        <w:spacing w:line="417" w:lineRule="auto"/>
        <w:ind w:left="640" w:right="5821"/>
        <w:rPr>
          <w:rFonts w:ascii="Times New Roman" w:eastAsia="Times New Roman"/>
        </w:rPr>
      </w:pPr>
      <w:r>
        <w:rPr/>
        <w:t>网址：</w:t>
      </w:r>
      <w:hyperlink r:id="rId56">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7"/>
        </w:numPr>
        <w:tabs>
          <w:tab w:pos="1275" w:val="left" w:leader="none"/>
        </w:tabs>
        <w:spacing w:line="417" w:lineRule="auto" w:before="0" w:after="0"/>
        <w:ind w:left="640" w:right="4595" w:firstLine="0"/>
        <w:jc w:val="left"/>
        <w:rPr>
          <w:sz w:val="21"/>
        </w:rPr>
      </w:pPr>
      <w:r>
        <w:rPr>
          <w:spacing w:val="-3"/>
          <w:sz w:val="21"/>
        </w:rPr>
        <w:t>上海中正达广基金销售有限公司  住所：上海市徐汇区龙腾大道</w:t>
      </w:r>
      <w:r>
        <w:rPr>
          <w:rFonts w:ascii="Times New Roman" w:eastAsia="Times New Roman"/>
          <w:sz w:val="21"/>
        </w:rPr>
        <w:t>2815</w:t>
      </w:r>
      <w:r>
        <w:rPr>
          <w:spacing w:val="-3"/>
          <w:sz w:val="21"/>
        </w:rPr>
        <w:t>号</w:t>
      </w:r>
      <w:r>
        <w:rPr>
          <w:rFonts w:ascii="Times New Roman" w:eastAsia="Times New Roman"/>
          <w:sz w:val="21"/>
        </w:rPr>
        <w:t>302</w:t>
      </w:r>
      <w:r>
        <w:rPr>
          <w:spacing w:val="-11"/>
          <w:sz w:val="21"/>
        </w:rPr>
        <w:t>室</w:t>
      </w:r>
    </w:p>
    <w:p>
      <w:pPr>
        <w:pStyle w:val="BodyText"/>
        <w:spacing w:line="417" w:lineRule="auto"/>
        <w:ind w:left="640" w:right="4175"/>
      </w:pPr>
      <w:r>
        <w:rPr/>
        <w:t>办公地址：上海市徐汇区龙腾大道</w:t>
      </w:r>
      <w:r>
        <w:rPr>
          <w:rFonts w:ascii="Times New Roman" w:eastAsia="Times New Roman"/>
        </w:rPr>
        <w:t>2815</w:t>
      </w:r>
      <w:r>
        <w:rPr/>
        <w:t>号</w:t>
      </w:r>
      <w:r>
        <w:rPr>
          <w:rFonts w:ascii="Times New Roman" w:eastAsia="Times New Roman"/>
        </w:rPr>
        <w:t>302</w:t>
      </w:r>
      <w:r>
        <w:rPr/>
        <w:t>室法定代表人：黄欣</w:t>
      </w:r>
    </w:p>
    <w:p>
      <w:pPr>
        <w:pStyle w:val="BodyText"/>
        <w:spacing w:line="417" w:lineRule="auto"/>
        <w:ind w:left="640" w:right="6241"/>
        <w:rPr>
          <w:rFonts w:ascii="Times New Roman" w:eastAsia="Times New Roman"/>
        </w:rPr>
      </w:pPr>
      <w:r>
        <w:rPr/>
        <w:t>电话：</w:t>
      </w:r>
      <w:r>
        <w:rPr>
          <w:rFonts w:ascii="Times New Roman" w:eastAsia="Times New Roman"/>
        </w:rPr>
        <w:t>021-33768132-801 </w:t>
      </w:r>
      <w:r>
        <w:rPr/>
        <w:t>传真：</w:t>
      </w:r>
      <w:r>
        <w:rPr>
          <w:rFonts w:ascii="Times New Roman" w:eastAsia="Times New Roman"/>
        </w:rPr>
        <w:t>021-33768132-802</w:t>
      </w:r>
    </w:p>
    <w:p>
      <w:pPr>
        <w:pStyle w:val="BodyText"/>
        <w:ind w:left="640"/>
      </w:pPr>
      <w:r>
        <w:rPr/>
        <w:t>联系人：戴珉微</w:t>
      </w:r>
    </w:p>
    <w:p>
      <w:pPr>
        <w:pStyle w:val="BodyText"/>
        <w:spacing w:before="6"/>
        <w:rPr>
          <w:sz w:val="15"/>
        </w:rPr>
      </w:pPr>
    </w:p>
    <w:p>
      <w:pPr>
        <w:pStyle w:val="BodyText"/>
        <w:spacing w:line="417" w:lineRule="auto" w:before="1"/>
        <w:ind w:left="640" w:right="5500"/>
        <w:rPr>
          <w:rFonts w:ascii="Times New Roman" w:eastAsia="Times New Roman"/>
        </w:rPr>
      </w:pPr>
      <w:r>
        <w:rPr/>
        <w:t>网址：</w:t>
      </w:r>
      <w:hyperlink r:id="rId57">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北京虹点基金销售有限公司</w:t>
      </w:r>
    </w:p>
    <w:p>
      <w:pPr>
        <w:pStyle w:val="BodyText"/>
        <w:spacing w:before="6"/>
        <w:rPr>
          <w:sz w:val="15"/>
        </w:rPr>
      </w:pPr>
    </w:p>
    <w:p>
      <w:pPr>
        <w:pStyle w:val="BodyText"/>
        <w:ind w:left="640"/>
      </w:pPr>
      <w:r>
        <w:rPr/>
        <w:t>住所：北京市朝阳区工人体育场北路甲</w:t>
      </w:r>
      <w:r>
        <w:rPr>
          <w:rFonts w:ascii="Times New Roman" w:eastAsia="Times New Roman"/>
        </w:rPr>
        <w:t>2</w:t>
      </w:r>
      <w:r>
        <w:rPr/>
        <w:t>号裙房</w:t>
      </w:r>
      <w:r>
        <w:rPr>
          <w:rFonts w:ascii="Times New Roman" w:eastAsia="Times New Roman"/>
        </w:rPr>
        <w:t>2</w:t>
      </w:r>
      <w:r>
        <w:rPr/>
        <w:t>层</w:t>
      </w:r>
      <w:r>
        <w:rPr>
          <w:rFonts w:ascii="Times New Roman" w:eastAsia="Times New Roman"/>
        </w:rPr>
        <w:t>222</w:t>
      </w:r>
      <w:r>
        <w:rPr/>
        <w:t>单元</w:t>
      </w:r>
    </w:p>
    <w:p>
      <w:pPr>
        <w:pStyle w:val="BodyText"/>
        <w:spacing w:before="7"/>
        <w:rPr>
          <w:sz w:val="15"/>
        </w:rPr>
      </w:pPr>
    </w:p>
    <w:p>
      <w:pPr>
        <w:pStyle w:val="BodyText"/>
        <w:spacing w:line="417" w:lineRule="auto"/>
        <w:ind w:left="640" w:right="2703"/>
      </w:pPr>
      <w:r>
        <w:rPr/>
        <w:t>办公地址：北京市朝阳区工人体育场北路甲</w:t>
      </w:r>
      <w:r>
        <w:rPr>
          <w:rFonts w:ascii="Times New Roman" w:eastAsia="Times New Roman"/>
        </w:rPr>
        <w:t>2</w:t>
      </w:r>
      <w:r>
        <w:rPr/>
        <w:t>号裙房</w:t>
      </w:r>
      <w:r>
        <w:rPr>
          <w:rFonts w:ascii="Times New Roman" w:eastAsia="Times New Roman"/>
        </w:rPr>
        <w:t>2</w:t>
      </w:r>
      <w:r>
        <w:rPr/>
        <w:t>层</w:t>
      </w:r>
      <w:r>
        <w:rPr>
          <w:rFonts w:ascii="Times New Roman" w:eastAsia="Times New Roman"/>
        </w:rPr>
        <w:t>222</w:t>
      </w:r>
      <w:r>
        <w:rPr/>
        <w:t>单元法定代表人：郑毓栋</w:t>
      </w:r>
    </w:p>
    <w:p>
      <w:pPr>
        <w:pStyle w:val="BodyText"/>
        <w:spacing w:line="417" w:lineRule="auto"/>
        <w:ind w:left="640" w:right="6626"/>
        <w:rPr>
          <w:rFonts w:ascii="Times New Roman" w:eastAsia="Times New Roman"/>
        </w:rPr>
      </w:pPr>
      <w:r>
        <w:rPr/>
        <w:t>电话：</w:t>
      </w:r>
      <w:r>
        <w:rPr>
          <w:rFonts w:ascii="Times New Roman" w:eastAsia="Times New Roman"/>
        </w:rPr>
        <w:t>010-65951887 </w:t>
      </w:r>
      <w:r>
        <w:rPr/>
        <w:t>传真：</w:t>
      </w:r>
      <w:r>
        <w:rPr>
          <w:rFonts w:ascii="Times New Roman" w:eastAsia="Times New Roman"/>
        </w:rPr>
        <w:t>010-65951887</w:t>
      </w:r>
    </w:p>
    <w:p>
      <w:pPr>
        <w:spacing w:after="0" w:line="417" w:lineRule="auto"/>
        <w:rPr>
          <w:rFonts w:ascii="Times New Roman" w:eastAsia="Times New Roman"/>
        </w:rPr>
        <w:sectPr>
          <w:pgSz w:w="11910" w:h="16840"/>
          <w:pgMar w:header="877" w:footer="995" w:top="1420" w:bottom="1180" w:left="1580" w:right="1200"/>
        </w:sectPr>
      </w:pPr>
    </w:p>
    <w:p>
      <w:pPr>
        <w:pStyle w:val="BodyText"/>
        <w:spacing w:before="110"/>
        <w:ind w:left="640"/>
      </w:pPr>
      <w:r>
        <w:rPr/>
        <w:t>联系人：姜颖</w:t>
      </w:r>
    </w:p>
    <w:p>
      <w:pPr>
        <w:pStyle w:val="BodyText"/>
        <w:spacing w:before="6"/>
        <w:rPr>
          <w:sz w:val="15"/>
        </w:rPr>
      </w:pPr>
    </w:p>
    <w:p>
      <w:pPr>
        <w:pStyle w:val="BodyText"/>
        <w:spacing w:line="417" w:lineRule="auto"/>
        <w:ind w:left="640" w:right="5734"/>
        <w:rPr>
          <w:rFonts w:ascii="Times New Roman" w:eastAsia="Times New Roman"/>
        </w:rPr>
      </w:pPr>
      <w:r>
        <w:rPr/>
        <w:t>网址：</w:t>
      </w:r>
      <w:hyperlink r:id="rId58">
        <w:r>
          <w:rPr>
            <w:rFonts w:ascii="Times New Roman" w:eastAsia="Times New Roman"/>
          </w:rPr>
          <w:t>www.hongdianfund.com </w:t>
        </w:r>
      </w:hyperlink>
      <w:r>
        <w:rPr/>
        <w:t>客户服务电话：</w:t>
      </w:r>
      <w:r>
        <w:rPr>
          <w:rFonts w:ascii="Times New Roman" w:eastAsia="Times New Roman"/>
        </w:rPr>
        <w:t>400-618-0707</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上海陆金所基金销售有限公司</w:t>
      </w:r>
    </w:p>
    <w:p>
      <w:pPr>
        <w:pStyle w:val="BodyText"/>
        <w:spacing w:before="7"/>
        <w:rPr>
          <w:sz w:val="15"/>
        </w:rPr>
      </w:pPr>
    </w:p>
    <w:p>
      <w:pPr>
        <w:pStyle w:val="BodyText"/>
        <w:spacing w:line="417" w:lineRule="auto"/>
        <w:ind w:left="640" w:right="3651"/>
      </w:pPr>
      <w:r>
        <w:rPr/>
        <w:t>住所：上海市浦东新区陆家嘴环路</w:t>
      </w:r>
      <w:r>
        <w:rPr>
          <w:rFonts w:ascii="Times New Roman" w:eastAsia="Times New Roman"/>
        </w:rPr>
        <w:t>1333</w:t>
      </w:r>
      <w:r>
        <w:rPr/>
        <w:t>号</w:t>
      </w:r>
      <w:r>
        <w:rPr>
          <w:rFonts w:ascii="Times New Roman" w:eastAsia="Times New Roman"/>
        </w:rPr>
        <w:t>14</w:t>
      </w:r>
      <w:r>
        <w:rPr/>
        <w:t>楼</w:t>
      </w:r>
      <w:r>
        <w:rPr>
          <w:rFonts w:ascii="Times New Roman" w:eastAsia="Times New Roman"/>
        </w:rPr>
        <w:t>09</w:t>
      </w:r>
      <w:r>
        <w:rPr/>
        <w:t>单元办公地址：上海市浦东新区陆家嘴环路</w:t>
      </w:r>
      <w:r>
        <w:rPr>
          <w:rFonts w:ascii="Times New Roman" w:eastAsia="Times New Roman"/>
        </w:rPr>
        <w:t>1333</w:t>
      </w:r>
      <w:r>
        <w:rPr/>
        <w:t>号</w:t>
      </w:r>
    </w:p>
    <w:p>
      <w:pPr>
        <w:pStyle w:val="BodyText"/>
        <w:spacing w:line="417" w:lineRule="auto"/>
        <w:ind w:left="640" w:right="6590"/>
        <w:jc w:val="both"/>
        <w:rPr>
          <w:rFonts w:ascii="Times New Roman" w:eastAsia="Times New Roman"/>
        </w:rPr>
      </w:pPr>
      <w:r>
        <w:rPr/>
        <w:t>法定代表人：王之光电话：</w:t>
      </w:r>
      <w:r>
        <w:rPr>
          <w:rFonts w:ascii="Times New Roman" w:eastAsia="Times New Roman"/>
        </w:rPr>
        <w:t>021-20665952 </w:t>
      </w:r>
      <w:r>
        <w:rPr/>
        <w:t>传真：</w:t>
      </w:r>
      <w:r>
        <w:rPr>
          <w:rFonts w:ascii="Times New Roman" w:eastAsia="Times New Roman"/>
        </w:rPr>
        <w:t>021-22066653</w:t>
      </w:r>
    </w:p>
    <w:p>
      <w:pPr>
        <w:pStyle w:val="BodyText"/>
        <w:ind w:left="640"/>
      </w:pPr>
      <w:r>
        <w:rPr/>
        <w:t>联系人：宁博宇</w:t>
      </w:r>
    </w:p>
    <w:p>
      <w:pPr>
        <w:pStyle w:val="BodyText"/>
        <w:spacing w:before="7"/>
        <w:rPr>
          <w:sz w:val="15"/>
        </w:rPr>
      </w:pPr>
    </w:p>
    <w:p>
      <w:pPr>
        <w:pStyle w:val="BodyText"/>
        <w:ind w:left="640"/>
        <w:rPr>
          <w:rFonts w:ascii="Times New Roman" w:eastAsia="Times New Roman"/>
        </w:rPr>
      </w:pPr>
      <w:r>
        <w:rPr/>
        <w:t>网址：</w:t>
      </w:r>
      <w:hyperlink r:id="rId59">
        <w:r>
          <w:rPr>
            <w:rFonts w:ascii="Times New Roman" w:eastAsia="Times New Roman"/>
          </w:rPr>
          <w:t>www.lufunds.com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400-821-9031</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珠海盈米基金销售有限公司</w:t>
      </w:r>
    </w:p>
    <w:p>
      <w:pPr>
        <w:pStyle w:val="BodyText"/>
        <w:spacing w:before="6"/>
        <w:rPr>
          <w:sz w:val="15"/>
        </w:rPr>
      </w:pPr>
    </w:p>
    <w:p>
      <w:pPr>
        <w:pStyle w:val="BodyText"/>
        <w:ind w:left="640"/>
        <w:rPr>
          <w:rFonts w:ascii="Times New Roman" w:eastAsia="Times New Roman"/>
        </w:rPr>
      </w:pPr>
      <w:r>
        <w:rPr/>
        <w:t>住所：珠海市横琴新区宝华路</w:t>
      </w:r>
      <w:r>
        <w:rPr>
          <w:rFonts w:ascii="Times New Roman" w:eastAsia="Times New Roman"/>
        </w:rPr>
        <w:t>6</w:t>
      </w:r>
      <w:r>
        <w:rPr/>
        <w:t>号</w:t>
      </w:r>
      <w:r>
        <w:rPr>
          <w:rFonts w:ascii="Times New Roman" w:eastAsia="Times New Roman"/>
        </w:rPr>
        <w:t>105</w:t>
      </w:r>
      <w:r>
        <w:rPr/>
        <w:t>室</w:t>
      </w:r>
      <w:r>
        <w:rPr>
          <w:rFonts w:ascii="Times New Roman" w:eastAsia="Times New Roman"/>
        </w:rPr>
        <w:t>-3491</w:t>
      </w:r>
    </w:p>
    <w:p>
      <w:pPr>
        <w:pStyle w:val="BodyText"/>
        <w:spacing w:before="4"/>
        <w:rPr>
          <w:rFonts w:ascii="Times New Roman"/>
          <w:sz w:val="17"/>
        </w:rPr>
      </w:pPr>
    </w:p>
    <w:p>
      <w:pPr>
        <w:pStyle w:val="BodyText"/>
        <w:spacing w:line="417" w:lineRule="auto"/>
        <w:ind w:left="640" w:right="1446"/>
      </w:pPr>
      <w:r>
        <w:rPr/>
        <w:t>办公地址：广东省广州市海珠区琶洲大道东</w:t>
      </w:r>
      <w:r>
        <w:rPr>
          <w:rFonts w:ascii="Times New Roman" w:eastAsia="Times New Roman"/>
        </w:rPr>
        <w:t>1</w:t>
      </w:r>
      <w:r>
        <w:rPr/>
        <w:t>号保利国际广场南塔</w:t>
      </w:r>
      <w:r>
        <w:rPr>
          <w:rFonts w:ascii="Times New Roman" w:eastAsia="Times New Roman"/>
        </w:rPr>
        <w:t>B1201-1203 </w:t>
      </w:r>
      <w:r>
        <w:rPr/>
        <w:t>法定代表人：肖雯</w:t>
      </w:r>
    </w:p>
    <w:p>
      <w:pPr>
        <w:pStyle w:val="BodyText"/>
        <w:spacing w:line="417" w:lineRule="auto"/>
        <w:ind w:left="640" w:right="6626"/>
        <w:rPr>
          <w:rFonts w:ascii="Times New Roman" w:eastAsia="Times New Roman"/>
        </w:rPr>
      </w:pPr>
      <w:r>
        <w:rPr/>
        <w:t>电话：</w:t>
      </w:r>
      <w:r>
        <w:rPr>
          <w:rFonts w:ascii="Times New Roman" w:eastAsia="Times New Roman"/>
        </w:rPr>
        <w:t>020-89629021 </w:t>
      </w:r>
      <w:r>
        <w:rPr/>
        <w:t>传真：</w:t>
      </w:r>
      <w:r>
        <w:rPr>
          <w:rFonts w:ascii="Times New Roman" w:eastAsia="Times New Roman"/>
        </w:rPr>
        <w:t>020-89629011</w:t>
      </w:r>
    </w:p>
    <w:p>
      <w:pPr>
        <w:pStyle w:val="BodyText"/>
        <w:spacing w:line="269" w:lineRule="exact"/>
        <w:ind w:left="640"/>
      </w:pPr>
      <w:r>
        <w:rPr/>
        <w:t>联系人：吴煜浩</w:t>
      </w:r>
    </w:p>
    <w:p>
      <w:pPr>
        <w:pStyle w:val="BodyText"/>
        <w:spacing w:before="6"/>
        <w:rPr>
          <w:sz w:val="15"/>
        </w:rPr>
      </w:pPr>
    </w:p>
    <w:p>
      <w:pPr>
        <w:pStyle w:val="BodyText"/>
        <w:spacing w:before="1"/>
        <w:ind w:left="640"/>
        <w:rPr>
          <w:rFonts w:ascii="Times New Roman" w:eastAsia="Times New Roman"/>
        </w:rPr>
      </w:pPr>
      <w:r>
        <w:rPr/>
        <w:t>网址：</w:t>
      </w:r>
      <w:hyperlink r:id="rId60">
        <w:r>
          <w:rPr>
            <w:rFonts w:ascii="Times New Roman" w:eastAsia="Times New Roman"/>
          </w:rPr>
          <w:t>www.yingmi.cn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020-89629066</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和耕传承基金销售有限公司</w:t>
      </w:r>
    </w:p>
    <w:p>
      <w:pPr>
        <w:pStyle w:val="BodyText"/>
        <w:spacing w:before="7"/>
        <w:rPr>
          <w:sz w:val="15"/>
        </w:rPr>
      </w:pPr>
    </w:p>
    <w:p>
      <w:pPr>
        <w:pStyle w:val="BodyText"/>
        <w:spacing w:line="417" w:lineRule="auto"/>
        <w:ind w:left="640" w:right="593"/>
      </w:pPr>
      <w:r>
        <w:rPr>
          <w:spacing w:val="-7"/>
        </w:rPr>
        <w:t>住所：河南自贸试验区郑州片区</w:t>
      </w:r>
      <w:r>
        <w:rPr/>
        <w:t>（</w:t>
      </w:r>
      <w:r>
        <w:rPr>
          <w:spacing w:val="-2"/>
        </w:rPr>
        <w:t>郑东</w:t>
      </w:r>
      <w:r>
        <w:rPr>
          <w:spacing w:val="-22"/>
        </w:rPr>
        <w:t>）</w:t>
      </w:r>
      <w:r>
        <w:rPr>
          <w:spacing w:val="-6"/>
        </w:rPr>
        <w:t>东风东路东、康宁街北</w:t>
      </w:r>
      <w:r>
        <w:rPr>
          <w:rFonts w:ascii="Times New Roman" w:eastAsia="Times New Roman"/>
          <w:spacing w:val="-3"/>
        </w:rPr>
        <w:t>6</w:t>
      </w:r>
      <w:r>
        <w:rPr/>
        <w:t>号楼</w:t>
      </w:r>
      <w:r>
        <w:rPr>
          <w:rFonts w:ascii="Times New Roman" w:eastAsia="Times New Roman"/>
          <w:spacing w:val="-3"/>
        </w:rPr>
        <w:t>6</w:t>
      </w:r>
      <w:r>
        <w:rPr/>
        <w:t>楼</w:t>
      </w:r>
      <w:r>
        <w:rPr>
          <w:rFonts w:ascii="Times New Roman" w:eastAsia="Times New Roman"/>
        </w:rPr>
        <w:t>602</w:t>
      </w:r>
      <w:r>
        <w:rPr>
          <w:spacing w:val="-20"/>
        </w:rPr>
        <w:t>、</w:t>
      </w:r>
      <w:r>
        <w:rPr>
          <w:rFonts w:ascii="Times New Roman" w:eastAsia="Times New Roman"/>
        </w:rPr>
        <w:t>603</w:t>
      </w:r>
      <w:r>
        <w:rPr/>
        <w:t>房间</w:t>
      </w:r>
      <w:r>
        <w:rPr>
          <w:spacing w:val="-3"/>
        </w:rPr>
        <w:t>办公地址：北京市朝阳区酒仙桥路</w:t>
      </w:r>
      <w:r>
        <w:rPr>
          <w:rFonts w:ascii="Times New Roman" w:eastAsia="Times New Roman"/>
          <w:spacing w:val="-3"/>
        </w:rPr>
        <w:t>6</w:t>
      </w:r>
      <w:r>
        <w:rPr>
          <w:spacing w:val="-3"/>
        </w:rPr>
        <w:t>号院国际电子城</w:t>
      </w:r>
      <w:r>
        <w:rPr>
          <w:rFonts w:ascii="Times New Roman" w:eastAsia="Times New Roman"/>
        </w:rPr>
        <w:t>b</w:t>
      </w:r>
      <w:r>
        <w:rPr/>
        <w:t>座</w:t>
      </w:r>
    </w:p>
    <w:p>
      <w:pPr>
        <w:pStyle w:val="BodyText"/>
        <w:spacing w:line="417" w:lineRule="auto"/>
        <w:ind w:left="640" w:right="6458"/>
        <w:rPr>
          <w:rFonts w:ascii="Times New Roman" w:eastAsia="Times New Roman"/>
        </w:rPr>
      </w:pPr>
      <w:r>
        <w:rPr/>
        <w:t>法定代表人：王旋 电话：</w:t>
      </w:r>
      <w:r>
        <w:rPr>
          <w:rFonts w:ascii="Times New Roman" w:eastAsia="Times New Roman"/>
        </w:rPr>
        <w:t>0371-85518396 </w:t>
      </w:r>
      <w:r>
        <w:rPr/>
        <w:t>传真：</w:t>
      </w:r>
      <w:r>
        <w:rPr>
          <w:rFonts w:ascii="Times New Roman" w:eastAsia="Times New Roman"/>
        </w:rPr>
        <w:t>0371-85518397</w:t>
      </w:r>
    </w:p>
    <w:p>
      <w:pPr>
        <w:pStyle w:val="BodyText"/>
        <w:spacing w:line="269" w:lineRule="exact"/>
        <w:ind w:left="640"/>
      </w:pPr>
      <w:r>
        <w:rPr/>
        <w:t>联系人：胡静华</w:t>
      </w:r>
    </w:p>
    <w:p>
      <w:pPr>
        <w:pStyle w:val="BodyText"/>
        <w:spacing w:before="7"/>
        <w:rPr>
          <w:sz w:val="15"/>
        </w:rPr>
      </w:pPr>
    </w:p>
    <w:p>
      <w:pPr>
        <w:pStyle w:val="BodyText"/>
        <w:ind w:left="640"/>
        <w:rPr>
          <w:rFonts w:ascii="Times New Roman" w:eastAsia="Times New Roman"/>
        </w:rPr>
      </w:pPr>
      <w:r>
        <w:rPr/>
        <w:t>网址：</w:t>
      </w:r>
      <w:hyperlink r:id="rId61">
        <w:r>
          <w:rPr>
            <w:rFonts w:ascii="Times New Roman" w:eastAsia="Times New Roman"/>
          </w:rPr>
          <w:t>www.hgccpb.com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4000-555-671</w:t>
      </w:r>
    </w:p>
    <w:p>
      <w:pPr>
        <w:spacing w:after="0"/>
        <w:rPr>
          <w:rFonts w:ascii="Times New Roman" w:eastAsia="Times New Roman"/>
        </w:rPr>
        <w:sectPr>
          <w:pgSz w:w="11910" w:h="16840"/>
          <w:pgMar w:header="877" w:footer="995" w:top="1420" w:bottom="1180" w:left="1580" w:right="1200"/>
        </w:sectPr>
      </w:pPr>
    </w:p>
    <w:p>
      <w:pPr>
        <w:pStyle w:val="ListParagraph"/>
        <w:numPr>
          <w:ilvl w:val="0"/>
          <w:numId w:val="7"/>
        </w:numPr>
        <w:tabs>
          <w:tab w:pos="1275" w:val="left" w:leader="none"/>
        </w:tabs>
        <w:spacing w:line="240" w:lineRule="auto" w:before="110" w:after="0"/>
        <w:ind w:left="1275" w:right="0" w:hanging="635"/>
        <w:jc w:val="left"/>
        <w:rPr>
          <w:sz w:val="21"/>
        </w:rPr>
      </w:pPr>
      <w:r>
        <w:rPr>
          <w:spacing w:val="-3"/>
          <w:sz w:val="21"/>
        </w:rPr>
        <w:t>奕丰基金销售有限公司</w:t>
      </w:r>
    </w:p>
    <w:p>
      <w:pPr>
        <w:pStyle w:val="BodyText"/>
        <w:spacing w:before="6"/>
        <w:rPr>
          <w:sz w:val="15"/>
        </w:rPr>
      </w:pPr>
    </w:p>
    <w:p>
      <w:pPr>
        <w:pStyle w:val="BodyText"/>
        <w:ind w:left="640"/>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w:t>
      </w:r>
    </w:p>
    <w:p>
      <w:pPr>
        <w:pStyle w:val="BodyText"/>
        <w:spacing w:before="7"/>
        <w:rPr>
          <w:sz w:val="15"/>
        </w:rPr>
      </w:pPr>
    </w:p>
    <w:p>
      <w:pPr>
        <w:pStyle w:val="BodyText"/>
        <w:spacing w:line="417" w:lineRule="auto"/>
        <w:ind w:left="640" w:right="2658"/>
        <w:rPr>
          <w:rFonts w:ascii="Times New Roman" w:eastAsia="Times New Roman"/>
        </w:rPr>
      </w:pPr>
      <w:r>
        <w:rPr/>
        <w:t>办公地址：深圳市南山区海德三道航天科技广场</w:t>
      </w:r>
      <w:r>
        <w:rPr>
          <w:rFonts w:ascii="Times New Roman" w:eastAsia="Times New Roman"/>
        </w:rPr>
        <w:t>A</w:t>
      </w:r>
      <w:r>
        <w:rPr/>
        <w:t>座</w:t>
      </w:r>
      <w:r>
        <w:rPr>
          <w:rFonts w:ascii="Times New Roman" w:eastAsia="Times New Roman"/>
        </w:rPr>
        <w:t>17</w:t>
      </w:r>
      <w:r>
        <w:rPr/>
        <w:t>楼</w:t>
      </w:r>
      <w:r>
        <w:rPr>
          <w:rFonts w:ascii="Times New Roman" w:eastAsia="Times New Roman"/>
        </w:rPr>
        <w:t>1704</w:t>
      </w:r>
      <w:r>
        <w:rPr/>
        <w:t>室法定代表人：</w:t>
      </w:r>
      <w:r>
        <w:rPr>
          <w:rFonts w:ascii="Times New Roman" w:eastAsia="Times New Roman"/>
        </w:rPr>
        <w:t>TEO WEE HOWE</w:t>
      </w:r>
    </w:p>
    <w:p>
      <w:pPr>
        <w:pStyle w:val="BodyText"/>
        <w:spacing w:line="417" w:lineRule="auto"/>
        <w:ind w:left="640" w:right="652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spacing w:line="269" w:lineRule="exact"/>
        <w:ind w:left="640"/>
      </w:pPr>
      <w:r>
        <w:rPr/>
        <w:t>联系人：叶健</w:t>
      </w:r>
    </w:p>
    <w:p>
      <w:pPr>
        <w:pStyle w:val="BodyText"/>
        <w:spacing w:before="7"/>
        <w:rPr>
          <w:sz w:val="15"/>
        </w:rPr>
      </w:pPr>
    </w:p>
    <w:p>
      <w:pPr>
        <w:pStyle w:val="BodyText"/>
        <w:ind w:left="640"/>
        <w:rPr>
          <w:rFonts w:ascii="Times New Roman" w:eastAsia="Times New Roman"/>
        </w:rPr>
      </w:pPr>
      <w:r>
        <w:rPr/>
        <w:t>网址：</w:t>
      </w:r>
      <w:hyperlink r:id="rId62">
        <w:r>
          <w:rPr>
            <w:rFonts w:ascii="Times New Roman" w:eastAsia="Times New Roman"/>
          </w:rPr>
          <w:t>www.ifastps.com.cn</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400-684-0500</w:t>
      </w:r>
    </w:p>
    <w:p>
      <w:pPr>
        <w:pStyle w:val="BodyText"/>
        <w:spacing w:before="3"/>
        <w:rPr>
          <w:rFonts w:ascii="Times New Roman"/>
          <w:sz w:val="17"/>
        </w:rPr>
      </w:pPr>
    </w:p>
    <w:p>
      <w:pPr>
        <w:pStyle w:val="ListParagraph"/>
        <w:numPr>
          <w:ilvl w:val="0"/>
          <w:numId w:val="7"/>
        </w:numPr>
        <w:tabs>
          <w:tab w:pos="1275" w:val="left" w:leader="none"/>
        </w:tabs>
        <w:spacing w:line="417" w:lineRule="auto" w:before="0" w:after="0"/>
        <w:ind w:left="640" w:right="4489" w:firstLine="0"/>
        <w:jc w:val="left"/>
        <w:rPr>
          <w:sz w:val="21"/>
        </w:rPr>
      </w:pPr>
      <w:r>
        <w:rPr>
          <w:spacing w:val="-3"/>
          <w:sz w:val="21"/>
        </w:rPr>
        <w:t>中证金牛</w:t>
      </w:r>
      <w:r>
        <w:rPr>
          <w:sz w:val="21"/>
        </w:rPr>
        <w:t>（</w:t>
      </w:r>
      <w:r>
        <w:rPr>
          <w:spacing w:val="-2"/>
          <w:sz w:val="21"/>
        </w:rPr>
        <w:t>北京</w:t>
      </w:r>
      <w:r>
        <w:rPr>
          <w:spacing w:val="-3"/>
          <w:sz w:val="21"/>
        </w:rPr>
        <w:t>）</w:t>
      </w:r>
      <w:r>
        <w:rPr>
          <w:spacing w:val="-5"/>
          <w:sz w:val="21"/>
        </w:rPr>
        <w:t>投资咨询有限公司</w:t>
      </w:r>
      <w:r>
        <w:rPr>
          <w:spacing w:val="-3"/>
          <w:sz w:val="21"/>
        </w:rPr>
        <w:t>住所：北京市丰台区东管头</w:t>
      </w:r>
      <w:r>
        <w:rPr>
          <w:rFonts w:ascii="Times New Roman" w:eastAsia="Times New Roman"/>
          <w:sz w:val="21"/>
        </w:rPr>
        <w:t>1</w:t>
      </w:r>
      <w:r>
        <w:rPr>
          <w:sz w:val="21"/>
        </w:rPr>
        <w:t>号</w:t>
      </w:r>
      <w:r>
        <w:rPr>
          <w:rFonts w:ascii="Times New Roman" w:eastAsia="Times New Roman"/>
          <w:spacing w:val="-3"/>
          <w:sz w:val="21"/>
        </w:rPr>
        <w:t>2</w:t>
      </w:r>
      <w:r>
        <w:rPr>
          <w:spacing w:val="-2"/>
          <w:sz w:val="21"/>
        </w:rPr>
        <w:t>号楼</w:t>
      </w:r>
      <w:r>
        <w:rPr>
          <w:rFonts w:ascii="Times New Roman" w:eastAsia="Times New Roman"/>
          <w:sz w:val="21"/>
        </w:rPr>
        <w:t>2-45</w:t>
      </w:r>
      <w:r>
        <w:rPr>
          <w:sz w:val="21"/>
        </w:rPr>
        <w:t>室</w:t>
      </w:r>
    </w:p>
    <w:p>
      <w:pPr>
        <w:pStyle w:val="BodyText"/>
        <w:spacing w:line="417" w:lineRule="auto"/>
        <w:ind w:left="640" w:right="2552"/>
      </w:pPr>
      <w:r>
        <w:rPr/>
        <w:t>办公地址：北京市宣武门外大街甲一号新华社第三工作区</w:t>
      </w:r>
      <w:r>
        <w:rPr>
          <w:rFonts w:ascii="Times New Roman" w:eastAsia="Times New Roman"/>
        </w:rPr>
        <w:t>A</w:t>
      </w:r>
      <w:r>
        <w:rPr/>
        <w:t>座</w:t>
      </w:r>
      <w:r>
        <w:rPr>
          <w:rFonts w:ascii="Times New Roman" w:eastAsia="Times New Roman"/>
        </w:rPr>
        <w:t>5</w:t>
      </w:r>
      <w:r>
        <w:rPr/>
        <w:t>层法定代表人：钱昊旻</w:t>
      </w:r>
    </w:p>
    <w:p>
      <w:pPr>
        <w:pStyle w:val="BodyText"/>
        <w:spacing w:line="417" w:lineRule="auto"/>
        <w:ind w:left="640" w:right="662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ind w:left="640"/>
      </w:pPr>
      <w:r>
        <w:rPr/>
        <w:t>联系人：孙雯</w:t>
      </w:r>
    </w:p>
    <w:p>
      <w:pPr>
        <w:pStyle w:val="BodyText"/>
        <w:spacing w:before="6"/>
        <w:rPr>
          <w:sz w:val="15"/>
        </w:rPr>
      </w:pPr>
    </w:p>
    <w:p>
      <w:pPr>
        <w:pStyle w:val="BodyText"/>
        <w:ind w:left="640"/>
        <w:rPr>
          <w:rFonts w:ascii="Times New Roman" w:eastAsia="Times New Roman"/>
        </w:rPr>
      </w:pPr>
      <w:r>
        <w:rPr/>
        <w:t>网址：</w:t>
      </w:r>
      <w:hyperlink r:id="rId63">
        <w:r>
          <w:rPr>
            <w:rFonts w:ascii="Times New Roman" w:eastAsia="Times New Roman"/>
          </w:rPr>
          <w:t>www.jnlc.com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4008-909-998</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京东肯特瑞基金销售有限公司</w:t>
      </w:r>
    </w:p>
    <w:p>
      <w:pPr>
        <w:pStyle w:val="BodyText"/>
        <w:spacing w:before="7"/>
        <w:rPr>
          <w:sz w:val="15"/>
        </w:rPr>
      </w:pPr>
    </w:p>
    <w:p>
      <w:pPr>
        <w:pStyle w:val="BodyText"/>
        <w:ind w:left="640"/>
        <w:rPr>
          <w:rFonts w:ascii="Times New Roman" w:eastAsia="Times New Roman"/>
        </w:rPr>
      </w:pPr>
      <w:r>
        <w:rPr/>
        <w:t>住所：北京市海淀区显龙山路</w:t>
      </w:r>
      <w:r>
        <w:rPr>
          <w:rFonts w:ascii="Times New Roman" w:eastAsia="Times New Roman"/>
        </w:rPr>
        <w:t>19</w:t>
      </w:r>
      <w:r>
        <w:rPr/>
        <w:t>号</w:t>
      </w:r>
      <w:r>
        <w:rPr>
          <w:rFonts w:ascii="Times New Roman" w:eastAsia="Times New Roman"/>
        </w:rPr>
        <w:t>1</w:t>
      </w:r>
      <w:r>
        <w:rPr/>
        <w:t>幢</w:t>
      </w:r>
      <w:r>
        <w:rPr>
          <w:rFonts w:ascii="Times New Roman" w:eastAsia="Times New Roman"/>
        </w:rPr>
        <w:t>4</w:t>
      </w:r>
      <w:r>
        <w:rPr/>
        <w:t>层</w:t>
      </w:r>
      <w:r>
        <w:rPr>
          <w:rFonts w:ascii="Times New Roman" w:eastAsia="Times New Roman"/>
        </w:rPr>
        <w:t>1</w:t>
      </w:r>
      <w:r>
        <w:rPr/>
        <w:t>座</w:t>
      </w:r>
      <w:r>
        <w:rPr>
          <w:rFonts w:ascii="Times New Roman" w:eastAsia="Times New Roman"/>
        </w:rPr>
        <w:t>401</w:t>
      </w:r>
    </w:p>
    <w:p>
      <w:pPr>
        <w:pStyle w:val="BodyText"/>
        <w:spacing w:before="3"/>
        <w:rPr>
          <w:rFonts w:ascii="Times New Roman"/>
          <w:sz w:val="17"/>
        </w:rPr>
      </w:pPr>
    </w:p>
    <w:p>
      <w:pPr>
        <w:pStyle w:val="BodyText"/>
        <w:spacing w:line="417" w:lineRule="auto"/>
        <w:ind w:left="640" w:right="1546"/>
      </w:pPr>
      <w:r>
        <w:rPr/>
        <w:t>办公地址：北京市大兴区亦庄经济开发区科创十一街十八号院京东集团总部法定代表人：江卉</w:t>
      </w:r>
    </w:p>
    <w:p>
      <w:pPr>
        <w:pStyle w:val="BodyText"/>
        <w:spacing w:line="417" w:lineRule="auto" w:before="1"/>
        <w:ind w:left="640" w:right="662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spacing w:line="269" w:lineRule="exact"/>
        <w:ind w:left="640"/>
      </w:pPr>
      <w:r>
        <w:rPr/>
        <w:t>联系人：黄立影</w:t>
      </w:r>
    </w:p>
    <w:p>
      <w:pPr>
        <w:pStyle w:val="BodyText"/>
        <w:spacing w:before="6"/>
        <w:rPr>
          <w:sz w:val="15"/>
        </w:rPr>
      </w:pPr>
    </w:p>
    <w:p>
      <w:pPr>
        <w:pStyle w:val="BodyText"/>
        <w:ind w:left="640"/>
        <w:rPr>
          <w:rFonts w:ascii="Times New Roman" w:eastAsia="Times New Roman"/>
        </w:rPr>
      </w:pPr>
      <w:r>
        <w:rPr/>
        <w:t>网址：</w:t>
      </w:r>
      <w:hyperlink r:id="rId64">
        <w:r>
          <w:rPr>
            <w:rFonts w:ascii="Times New Roman" w:eastAsia="Times New Roman"/>
          </w:rPr>
          <w:t>http://fund.jd.com/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大连网金基金销售有限公司</w:t>
      </w:r>
    </w:p>
    <w:p>
      <w:pPr>
        <w:pStyle w:val="BodyText"/>
        <w:spacing w:before="7"/>
        <w:rPr>
          <w:sz w:val="15"/>
        </w:rPr>
      </w:pPr>
    </w:p>
    <w:p>
      <w:pPr>
        <w:pStyle w:val="BodyText"/>
        <w:ind w:left="640"/>
        <w:rPr>
          <w:rFonts w:ascii="Times New Roman" w:eastAsia="Times New Roman"/>
        </w:rPr>
      </w:pPr>
      <w:r>
        <w:rPr/>
        <w:t>住所：中国大连市沙河口区体坛路</w:t>
      </w:r>
      <w:r>
        <w:rPr>
          <w:rFonts w:ascii="Times New Roman" w:eastAsia="Times New Roman"/>
        </w:rPr>
        <w:t>22</w:t>
      </w:r>
      <w:r>
        <w:rPr/>
        <w:t>号诺德大厦</w:t>
      </w:r>
      <w:r>
        <w:rPr>
          <w:rFonts w:ascii="Times New Roman" w:eastAsia="Times New Roman"/>
        </w:rPr>
        <w:t>202</w:t>
      </w:r>
    </w:p>
    <w:p>
      <w:pPr>
        <w:pStyle w:val="BodyText"/>
        <w:spacing w:before="4"/>
        <w:rPr>
          <w:rFonts w:ascii="Times New Roman"/>
          <w:sz w:val="17"/>
        </w:rPr>
      </w:pPr>
    </w:p>
    <w:p>
      <w:pPr>
        <w:pStyle w:val="BodyText"/>
        <w:ind w:left="640"/>
        <w:rPr>
          <w:rFonts w:ascii="Times New Roman" w:eastAsia="Times New Roman"/>
        </w:rPr>
      </w:pPr>
      <w:r>
        <w:rPr/>
        <w:t>办公地址：中国大连市沙河口区体坛路</w:t>
      </w:r>
      <w:r>
        <w:rPr>
          <w:rFonts w:ascii="Times New Roman" w:eastAsia="Times New Roman"/>
        </w:rPr>
        <w:t>22</w:t>
      </w:r>
      <w:r>
        <w:rPr/>
        <w:t>号诺德大厦</w:t>
      </w:r>
      <w:r>
        <w:rPr>
          <w:rFonts w:ascii="Times New Roman" w:eastAsia="Times New Roman"/>
        </w:rPr>
        <w:t>202</w:t>
      </w:r>
    </w:p>
    <w:p>
      <w:pPr>
        <w:spacing w:after="0"/>
        <w:rPr>
          <w:rFonts w:ascii="Times New Roman" w:eastAsia="Times New Roman"/>
        </w:rPr>
        <w:sectPr>
          <w:pgSz w:w="11910" w:h="16840"/>
          <w:pgMar w:header="877" w:footer="995" w:top="1420" w:bottom="1180" w:left="1580" w:right="1200"/>
        </w:sectPr>
      </w:pPr>
    </w:p>
    <w:p>
      <w:pPr>
        <w:pStyle w:val="BodyText"/>
        <w:spacing w:line="417" w:lineRule="auto" w:before="110"/>
        <w:ind w:left="640" w:right="6530"/>
        <w:rPr>
          <w:rFonts w:ascii="Times New Roman" w:eastAsia="Times New Roman"/>
        </w:rPr>
      </w:pPr>
      <w:r>
        <w:rPr>
          <w:spacing w:val="-3"/>
        </w:rPr>
        <w:t>法定代表人：樊怀东电话：</w:t>
      </w:r>
      <w:r>
        <w:rPr>
          <w:rFonts w:ascii="Times New Roman" w:eastAsia="Times New Roman"/>
          <w:spacing w:val="-3"/>
        </w:rPr>
        <w:t>13522300698 </w:t>
      </w:r>
      <w:r>
        <w:rPr>
          <w:spacing w:val="-3"/>
        </w:rPr>
        <w:t>传真：</w:t>
      </w:r>
      <w:r>
        <w:rPr>
          <w:rFonts w:ascii="Times New Roman" w:eastAsia="Times New Roman"/>
          <w:spacing w:val="-3"/>
        </w:rPr>
        <w:t>0411-39027835</w:t>
      </w:r>
    </w:p>
    <w:p>
      <w:pPr>
        <w:pStyle w:val="BodyText"/>
        <w:spacing w:line="269" w:lineRule="exact"/>
        <w:ind w:left="640"/>
      </w:pPr>
      <w:r>
        <w:rPr/>
        <w:t>联系人：王清臣</w:t>
      </w:r>
    </w:p>
    <w:p>
      <w:pPr>
        <w:pStyle w:val="BodyText"/>
        <w:spacing w:before="6"/>
        <w:rPr>
          <w:sz w:val="15"/>
        </w:rPr>
      </w:pPr>
    </w:p>
    <w:p>
      <w:pPr>
        <w:pStyle w:val="BodyText"/>
        <w:spacing w:line="417" w:lineRule="auto"/>
        <w:ind w:left="640" w:right="5701"/>
        <w:rPr>
          <w:rFonts w:ascii="Times New Roman" w:eastAsia="Times New Roman"/>
        </w:rPr>
      </w:pPr>
      <w:r>
        <w:rPr/>
        <w:t>网址：</w:t>
      </w:r>
      <w:hyperlink r:id="rId65">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7"/>
        </w:numPr>
        <w:tabs>
          <w:tab w:pos="1275" w:val="left" w:leader="none"/>
        </w:tabs>
        <w:spacing w:line="417" w:lineRule="auto" w:before="0" w:after="0"/>
        <w:ind w:left="640" w:right="4278" w:firstLine="0"/>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 住所：上海市黄浦区中山南路</w:t>
      </w:r>
      <w:r>
        <w:rPr>
          <w:rFonts w:ascii="Times New Roman" w:eastAsia="Times New Roman"/>
          <w:sz w:val="21"/>
        </w:rPr>
        <w:t>100</w:t>
      </w:r>
      <w:r>
        <w:rPr>
          <w:sz w:val="21"/>
        </w:rPr>
        <w:t>号</w:t>
      </w:r>
      <w:r>
        <w:rPr>
          <w:rFonts w:ascii="Times New Roman" w:eastAsia="Times New Roman"/>
          <w:spacing w:val="-3"/>
          <w:sz w:val="21"/>
        </w:rPr>
        <w:t>7</w:t>
      </w:r>
      <w:r>
        <w:rPr>
          <w:sz w:val="21"/>
        </w:rPr>
        <w:t>层</w:t>
      </w:r>
      <w:r>
        <w:rPr>
          <w:rFonts w:ascii="Times New Roman" w:eastAsia="Times New Roman"/>
          <w:sz w:val="21"/>
        </w:rPr>
        <w:t>05</w:t>
      </w:r>
      <w:r>
        <w:rPr>
          <w:spacing w:val="-6"/>
          <w:sz w:val="21"/>
        </w:rPr>
        <w:t>单元</w:t>
      </w:r>
    </w:p>
    <w:p>
      <w:pPr>
        <w:pStyle w:val="BodyText"/>
        <w:spacing w:line="417" w:lineRule="auto"/>
        <w:ind w:left="640" w:right="2293"/>
      </w:pPr>
      <w:r>
        <w:rPr/>
        <w:t>办公地址：上海市浦东新区民生路</w:t>
      </w:r>
      <w:r>
        <w:rPr>
          <w:rFonts w:ascii="Times New Roman" w:eastAsia="Times New Roman"/>
        </w:rPr>
        <w:t>1199</w:t>
      </w:r>
      <w:r>
        <w:rPr/>
        <w:t>弄证大五道口广场</w:t>
      </w:r>
      <w:r>
        <w:rPr>
          <w:rFonts w:ascii="Times New Roman" w:eastAsia="Times New Roman"/>
        </w:rPr>
        <w:t>1</w:t>
      </w:r>
      <w:r>
        <w:rPr/>
        <w:t>号楼</w:t>
      </w:r>
      <w:r>
        <w:rPr>
          <w:rFonts w:ascii="Times New Roman" w:eastAsia="Times New Roman"/>
        </w:rPr>
        <w:t>27</w:t>
      </w:r>
      <w:r>
        <w:rPr/>
        <w:t>层法定代表人：弭洪军</w:t>
      </w:r>
    </w:p>
    <w:p>
      <w:pPr>
        <w:pStyle w:val="BodyText"/>
        <w:spacing w:line="417" w:lineRule="auto"/>
        <w:ind w:left="640" w:right="6626"/>
        <w:rPr>
          <w:rFonts w:ascii="Times New Roman" w:eastAsia="Times New Roman"/>
        </w:rPr>
      </w:pPr>
      <w:r>
        <w:rPr/>
        <w:t>电话：</w:t>
      </w:r>
      <w:r>
        <w:rPr>
          <w:rFonts w:ascii="Times New Roman" w:eastAsia="Times New Roman"/>
        </w:rPr>
        <w:t>021-33357030 </w:t>
      </w:r>
      <w:r>
        <w:rPr/>
        <w:t>传真：</w:t>
      </w:r>
      <w:r>
        <w:rPr>
          <w:rFonts w:ascii="Times New Roman" w:eastAsia="Times New Roman"/>
        </w:rPr>
        <w:t>021-63353736</w:t>
      </w:r>
    </w:p>
    <w:p>
      <w:pPr>
        <w:pStyle w:val="BodyText"/>
        <w:spacing w:line="269" w:lineRule="exact"/>
        <w:ind w:left="640"/>
      </w:pPr>
      <w:r>
        <w:rPr/>
        <w:t>联系人：李娜</w:t>
      </w:r>
    </w:p>
    <w:p>
      <w:pPr>
        <w:pStyle w:val="BodyText"/>
        <w:spacing w:before="7"/>
        <w:rPr>
          <w:sz w:val="15"/>
        </w:rPr>
      </w:pPr>
    </w:p>
    <w:p>
      <w:pPr>
        <w:pStyle w:val="BodyText"/>
        <w:ind w:left="640"/>
        <w:rPr>
          <w:rFonts w:ascii="Times New Roman" w:eastAsia="Times New Roman"/>
        </w:rPr>
      </w:pPr>
      <w:r>
        <w:rPr/>
        <w:t>网址：</w:t>
      </w:r>
      <w:hyperlink r:id="rId66">
        <w:r>
          <w:rPr>
            <w:rFonts w:ascii="Times New Roman" w:eastAsia="Times New Roman"/>
          </w:rPr>
          <w:t>www.cmiwm.com</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400-876-5716</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深圳市金斧子基金销售有限公司</w:t>
      </w:r>
    </w:p>
    <w:p>
      <w:pPr>
        <w:pStyle w:val="BodyText"/>
        <w:spacing w:before="7"/>
        <w:rPr>
          <w:sz w:val="15"/>
        </w:rPr>
      </w:pPr>
    </w:p>
    <w:p>
      <w:pPr>
        <w:pStyle w:val="BodyText"/>
        <w:ind w:left="640"/>
        <w:rPr>
          <w:rFonts w:ascii="Times New Roman" w:eastAsia="Times New Roman"/>
        </w:rPr>
      </w:pPr>
      <w:r>
        <w:rPr/>
        <w:t>住所：深圳市南山区粤海街道科技园中区科苑路</w:t>
      </w:r>
      <w:r>
        <w:rPr>
          <w:rFonts w:ascii="Times New Roman" w:eastAsia="Times New Roman"/>
        </w:rPr>
        <w:t>15</w:t>
      </w:r>
      <w:r>
        <w:rPr/>
        <w:t>号科兴科学园</w:t>
      </w:r>
      <w:r>
        <w:rPr>
          <w:rFonts w:ascii="Times New Roman" w:eastAsia="Times New Roman"/>
        </w:rPr>
        <w:t>B</w:t>
      </w:r>
      <w:r>
        <w:rPr/>
        <w:t>栋</w:t>
      </w:r>
      <w:r>
        <w:rPr>
          <w:rFonts w:ascii="Times New Roman" w:eastAsia="Times New Roman"/>
        </w:rPr>
        <w:t>3</w:t>
      </w:r>
      <w:r>
        <w:rPr/>
        <w:t>单元</w:t>
      </w:r>
      <w:r>
        <w:rPr>
          <w:rFonts w:ascii="Times New Roman" w:eastAsia="Times New Roman"/>
        </w:rPr>
        <w:t>11</w:t>
      </w:r>
      <w:r>
        <w:rPr/>
        <w:t>层</w:t>
      </w:r>
      <w:r>
        <w:rPr>
          <w:rFonts w:ascii="Times New Roman" w:eastAsia="Times New Roman"/>
        </w:rPr>
        <w:t>1108</w:t>
      </w:r>
    </w:p>
    <w:p>
      <w:pPr>
        <w:pStyle w:val="BodyText"/>
        <w:spacing w:before="5"/>
        <w:rPr>
          <w:rFonts w:ascii="Times New Roman"/>
          <w:sz w:val="10"/>
        </w:rPr>
      </w:pPr>
    </w:p>
    <w:p>
      <w:pPr>
        <w:pStyle w:val="BodyText"/>
        <w:spacing w:before="79"/>
        <w:ind w:left="640"/>
      </w:pPr>
      <w:r>
        <w:rPr/>
        <w:t>办公地址：深圳市南山区粤海街道科技园中区科苑路</w:t>
      </w:r>
      <w:r>
        <w:rPr>
          <w:rFonts w:ascii="Times New Roman" w:eastAsia="Times New Roman"/>
        </w:rPr>
        <w:t>15</w:t>
      </w:r>
      <w:r>
        <w:rPr/>
        <w:t>号科兴科学园</w:t>
      </w:r>
      <w:r>
        <w:rPr>
          <w:rFonts w:ascii="Times New Roman" w:eastAsia="Times New Roman"/>
        </w:rPr>
        <w:t>B</w:t>
      </w:r>
      <w:r>
        <w:rPr/>
        <w:t>栋</w:t>
      </w:r>
      <w:r>
        <w:rPr>
          <w:rFonts w:ascii="Times New Roman" w:eastAsia="Times New Roman"/>
        </w:rPr>
        <w:t>3</w:t>
      </w:r>
      <w:r>
        <w:rPr/>
        <w:t>单元</w:t>
      </w:r>
      <w:r>
        <w:rPr>
          <w:rFonts w:ascii="Times New Roman" w:eastAsia="Times New Roman"/>
        </w:rPr>
        <w:t>11</w:t>
      </w:r>
      <w:r>
        <w:rPr/>
        <w:t>层</w:t>
      </w:r>
    </w:p>
    <w:p>
      <w:pPr>
        <w:pStyle w:val="BodyText"/>
        <w:spacing w:before="5"/>
        <w:rPr>
          <w:sz w:val="16"/>
        </w:rPr>
      </w:pPr>
    </w:p>
    <w:p>
      <w:pPr>
        <w:pStyle w:val="BodyText"/>
        <w:ind w:left="220"/>
        <w:rPr>
          <w:rFonts w:ascii="Times New Roman"/>
        </w:rPr>
      </w:pPr>
      <w:r>
        <w:rPr>
          <w:rFonts w:ascii="Times New Roman"/>
        </w:rPr>
        <w:t>1108</w:t>
      </w:r>
    </w:p>
    <w:p>
      <w:pPr>
        <w:pStyle w:val="BodyText"/>
        <w:spacing w:before="6"/>
        <w:rPr>
          <w:rFonts w:ascii="Times New Roman"/>
          <w:sz w:val="12"/>
        </w:rPr>
      </w:pPr>
    </w:p>
    <w:p>
      <w:pPr>
        <w:pStyle w:val="BodyText"/>
        <w:spacing w:line="417" w:lineRule="auto" w:before="71"/>
        <w:ind w:left="640" w:right="652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ind w:left="640"/>
      </w:pPr>
      <w:r>
        <w:rPr/>
        <w:t>联系人：陈丽霞</w:t>
      </w:r>
    </w:p>
    <w:p>
      <w:pPr>
        <w:pStyle w:val="BodyText"/>
        <w:spacing w:before="7"/>
        <w:rPr>
          <w:sz w:val="15"/>
        </w:rPr>
      </w:pPr>
    </w:p>
    <w:p>
      <w:pPr>
        <w:pStyle w:val="BodyText"/>
        <w:ind w:left="640"/>
        <w:rPr>
          <w:rFonts w:ascii="Times New Roman" w:eastAsia="Times New Roman"/>
        </w:rPr>
      </w:pPr>
      <w:r>
        <w:rPr/>
        <w:t>网址：</w:t>
      </w:r>
      <w:hyperlink r:id="rId67">
        <w:r>
          <w:rPr>
            <w:rFonts w:ascii="Times New Roman" w:eastAsia="Times New Roman"/>
          </w:rPr>
          <w:t>www.jfzinv.com</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400-9302-888</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北京蛋卷基金销售有限公司</w:t>
      </w:r>
    </w:p>
    <w:p>
      <w:pPr>
        <w:pStyle w:val="BodyText"/>
        <w:spacing w:before="7"/>
        <w:rPr>
          <w:sz w:val="15"/>
        </w:rPr>
      </w:pPr>
    </w:p>
    <w:p>
      <w:pPr>
        <w:pStyle w:val="BodyText"/>
        <w:ind w:left="640"/>
        <w:rPr>
          <w:rFonts w:ascii="Times New Roman" w:eastAsia="Times New Roman"/>
        </w:rPr>
      </w:pPr>
      <w:r>
        <w:rPr/>
        <w:t>住所：北京市朝阳区阜通东大街</w:t>
      </w:r>
      <w:r>
        <w:rPr>
          <w:rFonts w:ascii="Times New Roman" w:eastAsia="Times New Roman"/>
        </w:rPr>
        <w:t>1</w:t>
      </w:r>
      <w:r>
        <w:rPr/>
        <w:t>号院</w:t>
      </w:r>
      <w:r>
        <w:rPr>
          <w:rFonts w:ascii="Times New Roman" w:eastAsia="Times New Roman"/>
        </w:rPr>
        <w:t>6</w:t>
      </w:r>
      <w:r>
        <w:rPr/>
        <w:t>号楼</w:t>
      </w:r>
      <w:r>
        <w:rPr>
          <w:rFonts w:ascii="Times New Roman" w:eastAsia="Times New Roman"/>
        </w:rPr>
        <w:t>2</w:t>
      </w:r>
      <w:r>
        <w:rPr/>
        <w:t>单元</w:t>
      </w:r>
      <w:r>
        <w:rPr>
          <w:rFonts w:ascii="Times New Roman" w:eastAsia="Times New Roman"/>
        </w:rPr>
        <w:t>21</w:t>
      </w:r>
      <w:r>
        <w:rPr/>
        <w:t>层</w:t>
      </w:r>
      <w:r>
        <w:rPr>
          <w:rFonts w:ascii="Times New Roman" w:eastAsia="Times New Roman"/>
        </w:rPr>
        <w:t>222507</w:t>
      </w:r>
    </w:p>
    <w:p>
      <w:pPr>
        <w:pStyle w:val="BodyText"/>
        <w:spacing w:before="3"/>
        <w:rPr>
          <w:rFonts w:ascii="Times New Roman"/>
          <w:sz w:val="17"/>
        </w:rPr>
      </w:pPr>
    </w:p>
    <w:p>
      <w:pPr>
        <w:pStyle w:val="BodyText"/>
        <w:spacing w:line="417" w:lineRule="auto"/>
        <w:ind w:left="640" w:right="2494"/>
      </w:pPr>
      <w:r>
        <w:rPr>
          <w:spacing w:val="-3"/>
        </w:rPr>
        <w:t>办公地址：北京市朝阳区阜通东大街</w:t>
      </w:r>
      <w:r>
        <w:rPr>
          <w:rFonts w:ascii="Times New Roman" w:eastAsia="Times New Roman"/>
        </w:rPr>
        <w:t>1</w:t>
      </w:r>
      <w:r>
        <w:rPr>
          <w:spacing w:val="-2"/>
        </w:rPr>
        <w:t>号院</w:t>
      </w:r>
      <w:r>
        <w:rPr>
          <w:rFonts w:ascii="Times New Roman" w:eastAsia="Times New Roman"/>
        </w:rPr>
        <w:t>6</w:t>
      </w:r>
      <w:r>
        <w:rPr>
          <w:spacing w:val="-2"/>
        </w:rPr>
        <w:t>号楼</w:t>
      </w:r>
      <w:r>
        <w:rPr>
          <w:rFonts w:ascii="Times New Roman" w:eastAsia="Times New Roman"/>
          <w:spacing w:val="-3"/>
        </w:rPr>
        <w:t>2</w:t>
      </w:r>
      <w:r>
        <w:rPr>
          <w:spacing w:val="-2"/>
        </w:rPr>
        <w:t>单元</w:t>
      </w:r>
      <w:r>
        <w:rPr>
          <w:rFonts w:ascii="Times New Roman" w:eastAsia="Times New Roman"/>
        </w:rPr>
        <w:t>21</w:t>
      </w:r>
      <w:r>
        <w:rPr>
          <w:spacing w:val="-3"/>
        </w:rPr>
        <w:t>层</w:t>
      </w:r>
      <w:r>
        <w:rPr>
          <w:rFonts w:ascii="Times New Roman" w:eastAsia="Times New Roman"/>
        </w:rPr>
        <w:t>222507 </w:t>
      </w:r>
      <w:r>
        <w:rPr>
          <w:spacing w:val="-3"/>
        </w:rPr>
        <w:t>法定代表人：钟斐斐</w:t>
      </w:r>
    </w:p>
    <w:p>
      <w:pPr>
        <w:pStyle w:val="BodyText"/>
        <w:ind w:left="640"/>
        <w:rPr>
          <w:rFonts w:ascii="Times New Roman" w:eastAsia="Times New Roman"/>
        </w:rPr>
      </w:pPr>
      <w:r>
        <w:rPr>
          <w:spacing w:val="-1"/>
        </w:rPr>
        <w:t>电话：</w:t>
      </w:r>
      <w:r>
        <w:rPr>
          <w:rFonts w:ascii="Times New Roman" w:eastAsia="Times New Roman"/>
          <w:spacing w:val="-1"/>
        </w:rPr>
        <w:t>010-61840688</w:t>
      </w:r>
    </w:p>
    <w:p>
      <w:pPr>
        <w:spacing w:after="0"/>
        <w:rPr>
          <w:rFonts w:ascii="Times New Roman" w:eastAsia="Times New Roman"/>
        </w:rPr>
        <w:sectPr>
          <w:pgSz w:w="11910" w:h="16840"/>
          <w:pgMar w:header="877" w:footer="995" w:top="1420" w:bottom="1180" w:left="1580" w:right="1200"/>
        </w:sectPr>
      </w:pPr>
    </w:p>
    <w:p>
      <w:pPr>
        <w:pStyle w:val="BodyText"/>
        <w:spacing w:before="110"/>
        <w:ind w:left="640"/>
        <w:rPr>
          <w:rFonts w:ascii="Times New Roman" w:eastAsia="Times New Roman"/>
        </w:rPr>
      </w:pPr>
      <w:r>
        <w:rPr/>
        <w:t>传真：</w:t>
      </w:r>
      <w:r>
        <w:rPr>
          <w:rFonts w:ascii="Times New Roman" w:eastAsia="Times New Roman"/>
        </w:rPr>
        <w:t>010-61840699</w:t>
      </w:r>
    </w:p>
    <w:p>
      <w:pPr>
        <w:pStyle w:val="BodyText"/>
        <w:spacing w:before="3"/>
        <w:rPr>
          <w:rFonts w:ascii="Times New Roman"/>
          <w:sz w:val="17"/>
        </w:rPr>
      </w:pPr>
    </w:p>
    <w:p>
      <w:pPr>
        <w:pStyle w:val="BodyText"/>
        <w:ind w:left="640"/>
      </w:pPr>
      <w:r>
        <w:rPr/>
        <w:t>联系人：袁永姣</w:t>
      </w:r>
    </w:p>
    <w:p>
      <w:pPr>
        <w:pStyle w:val="BodyText"/>
        <w:spacing w:before="7"/>
        <w:rPr>
          <w:sz w:val="15"/>
        </w:rPr>
      </w:pPr>
    </w:p>
    <w:p>
      <w:pPr>
        <w:pStyle w:val="BodyText"/>
        <w:spacing w:line="417" w:lineRule="auto"/>
        <w:ind w:left="640" w:right="582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天津万家财富资产管理有限公司</w:t>
      </w:r>
    </w:p>
    <w:p>
      <w:pPr>
        <w:pStyle w:val="BodyText"/>
        <w:spacing w:before="6"/>
        <w:rPr>
          <w:sz w:val="15"/>
        </w:rPr>
      </w:pPr>
    </w:p>
    <w:p>
      <w:pPr>
        <w:pStyle w:val="BodyText"/>
        <w:spacing w:line="417" w:lineRule="auto" w:before="1"/>
        <w:ind w:left="640" w:right="1373"/>
      </w:pPr>
      <w:r>
        <w:rPr/>
        <w:t>住所：天津自贸区（中心商务区）迎宾大道</w:t>
      </w:r>
      <w:r>
        <w:rPr>
          <w:rFonts w:ascii="Times New Roman" w:eastAsia="Times New Roman"/>
        </w:rPr>
        <w:t>1988</w:t>
      </w:r>
      <w:r>
        <w:rPr/>
        <w:t>号滨海浙商大厦公寓</w:t>
      </w:r>
      <w:r>
        <w:rPr>
          <w:rFonts w:ascii="Times New Roman" w:eastAsia="Times New Roman"/>
        </w:rPr>
        <w:t>2-2413</w:t>
      </w:r>
      <w:r>
        <w:rPr/>
        <w:t>室办公地址：北京市西城区丰盛胡同</w:t>
      </w:r>
      <w:r>
        <w:rPr>
          <w:rFonts w:ascii="Times New Roman" w:eastAsia="Times New Roman"/>
        </w:rPr>
        <w:t>28</w:t>
      </w:r>
      <w:r>
        <w:rPr/>
        <w:t>号太平洋保险大厦</w:t>
      </w:r>
      <w:r>
        <w:rPr>
          <w:rFonts w:ascii="Times New Roman" w:eastAsia="Times New Roman"/>
        </w:rPr>
        <w:t>5</w:t>
      </w:r>
      <w:r>
        <w:rPr/>
        <w:t>层</w:t>
      </w:r>
    </w:p>
    <w:p>
      <w:pPr>
        <w:pStyle w:val="BodyText"/>
        <w:spacing w:line="417" w:lineRule="auto"/>
        <w:ind w:left="640" w:right="6590"/>
        <w:rPr>
          <w:rFonts w:ascii="Times New Roman" w:eastAsia="Times New Roman"/>
        </w:rPr>
      </w:pPr>
      <w:r>
        <w:rPr/>
        <w:t>法定代表人：李修辞电话：</w:t>
      </w:r>
      <w:r>
        <w:rPr>
          <w:rFonts w:ascii="Times New Roman" w:eastAsia="Times New Roman"/>
        </w:rPr>
        <w:t>18511290872 </w:t>
      </w:r>
      <w:r>
        <w:rPr/>
        <w:t>传真：</w:t>
      </w:r>
      <w:r>
        <w:rPr>
          <w:rFonts w:ascii="Times New Roman" w:eastAsia="Times New Roman"/>
        </w:rPr>
        <w:t>010-59013828</w:t>
      </w:r>
    </w:p>
    <w:p>
      <w:pPr>
        <w:pStyle w:val="BodyText"/>
        <w:spacing w:line="269" w:lineRule="exact"/>
        <w:ind w:left="640"/>
      </w:pPr>
      <w:r>
        <w:rPr/>
        <w:t>联系人：邵玉磊</w:t>
      </w:r>
    </w:p>
    <w:p>
      <w:pPr>
        <w:pStyle w:val="BodyText"/>
        <w:spacing w:before="6"/>
        <w:rPr>
          <w:sz w:val="15"/>
        </w:rPr>
      </w:pPr>
    </w:p>
    <w:p>
      <w:pPr>
        <w:pStyle w:val="BodyText"/>
        <w:spacing w:line="417" w:lineRule="auto" w:before="1"/>
        <w:ind w:left="640" w:right="5785"/>
        <w:rPr>
          <w:rFonts w:ascii="Times New Roman" w:eastAsia="Times New Roman"/>
        </w:rPr>
      </w:pPr>
      <w:r>
        <w:rPr/>
        <w:t>网址：</w:t>
      </w:r>
      <w:hyperlink r:id="rId68">
        <w:r>
          <w:rPr>
            <w:rFonts w:ascii="Times New Roman" w:eastAsia="Times New Roman"/>
          </w:rPr>
          <w:t>www.wanjiawealth.com </w:t>
        </w:r>
      </w:hyperlink>
      <w:r>
        <w:rPr/>
        <w:t>客户服务电话：</w:t>
      </w:r>
      <w:r>
        <w:rPr>
          <w:rFonts w:ascii="Times New Roman" w:eastAsia="Times New Roman"/>
        </w:rPr>
        <w:t>010-59013842</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上海华夏财富投资管理有限公司</w:t>
      </w:r>
    </w:p>
    <w:p>
      <w:pPr>
        <w:pStyle w:val="BodyText"/>
        <w:spacing w:before="7"/>
        <w:rPr>
          <w:sz w:val="15"/>
        </w:rPr>
      </w:pPr>
    </w:p>
    <w:p>
      <w:pPr>
        <w:pStyle w:val="BodyText"/>
        <w:ind w:left="640"/>
      </w:pPr>
      <w:r>
        <w:rPr/>
        <w:t>住所：上海市虹口区东大名路</w:t>
      </w:r>
      <w:r>
        <w:rPr>
          <w:rFonts w:ascii="Times New Roman" w:eastAsia="Times New Roman"/>
        </w:rPr>
        <w:t>687</w:t>
      </w:r>
      <w:r>
        <w:rPr/>
        <w:t>号一幢二楼</w:t>
      </w:r>
      <w:r>
        <w:rPr>
          <w:rFonts w:ascii="Times New Roman" w:eastAsia="Times New Roman"/>
        </w:rPr>
        <w:t>268</w:t>
      </w:r>
      <w:r>
        <w:rPr/>
        <w:t>室</w:t>
      </w:r>
    </w:p>
    <w:p>
      <w:pPr>
        <w:pStyle w:val="BodyText"/>
        <w:spacing w:before="6"/>
        <w:rPr>
          <w:sz w:val="15"/>
        </w:rPr>
      </w:pPr>
    </w:p>
    <w:p>
      <w:pPr>
        <w:pStyle w:val="BodyText"/>
        <w:spacing w:line="417" w:lineRule="auto" w:before="1"/>
        <w:ind w:left="640" w:right="3404"/>
      </w:pPr>
      <w:r>
        <w:rPr/>
        <w:t>办公地址：北京市西城区金融大街</w:t>
      </w:r>
      <w:r>
        <w:rPr>
          <w:rFonts w:ascii="Times New Roman" w:eastAsia="Times New Roman"/>
        </w:rPr>
        <w:t>33</w:t>
      </w:r>
      <w:r>
        <w:rPr/>
        <w:t>号通泰大厦</w:t>
      </w:r>
      <w:r>
        <w:rPr>
          <w:rFonts w:ascii="Times New Roman" w:eastAsia="Times New Roman"/>
        </w:rPr>
        <w:t>B</w:t>
      </w:r>
      <w:r>
        <w:rPr/>
        <w:t>座</w:t>
      </w:r>
      <w:r>
        <w:rPr>
          <w:rFonts w:ascii="Times New Roman" w:eastAsia="Times New Roman"/>
        </w:rPr>
        <w:t>8</w:t>
      </w:r>
      <w:r>
        <w:rPr/>
        <w:t>层法定代表人：毛淮平</w:t>
      </w:r>
    </w:p>
    <w:p>
      <w:pPr>
        <w:pStyle w:val="BodyText"/>
        <w:spacing w:line="417" w:lineRule="auto"/>
        <w:ind w:left="640" w:right="662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ind w:left="640"/>
      </w:pPr>
      <w:r>
        <w:rPr/>
        <w:t>联系人：张静怡</w:t>
      </w:r>
    </w:p>
    <w:p>
      <w:pPr>
        <w:pStyle w:val="BodyText"/>
        <w:spacing w:before="6"/>
        <w:rPr>
          <w:sz w:val="15"/>
        </w:rPr>
      </w:pPr>
    </w:p>
    <w:p>
      <w:pPr>
        <w:pStyle w:val="BodyText"/>
        <w:spacing w:line="417" w:lineRule="auto"/>
        <w:ind w:left="640" w:right="5821"/>
        <w:rPr>
          <w:rFonts w:ascii="Times New Roman" w:eastAsia="Times New Roman"/>
        </w:rPr>
      </w:pPr>
      <w:r>
        <w:rPr/>
        <w:t>网址：</w:t>
      </w:r>
      <w:hyperlink r:id="rId69">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中信期货有限公司</w:t>
      </w:r>
    </w:p>
    <w:p>
      <w:pPr>
        <w:pStyle w:val="BodyText"/>
        <w:spacing w:before="7"/>
        <w:rPr>
          <w:sz w:val="15"/>
        </w:rPr>
      </w:pPr>
    </w:p>
    <w:p>
      <w:pPr>
        <w:pStyle w:val="BodyText"/>
        <w:ind w:left="640"/>
      </w:pPr>
      <w:r>
        <w:rPr/>
        <w:t>住所：深圳市福田区中心三路</w:t>
      </w:r>
      <w:r>
        <w:rPr>
          <w:rFonts w:ascii="Times New Roman" w:eastAsia="Times New Roman"/>
        </w:rPr>
        <w:t>8</w:t>
      </w:r>
      <w:r>
        <w:rPr/>
        <w:t>号卓越时代广场（二期）北座</w:t>
      </w:r>
      <w:r>
        <w:rPr>
          <w:rFonts w:ascii="Times New Roman" w:eastAsia="Times New Roman"/>
        </w:rPr>
        <w:t>13</w:t>
      </w:r>
      <w:r>
        <w:rPr/>
        <w:t>层</w:t>
      </w:r>
      <w:r>
        <w:rPr>
          <w:rFonts w:ascii="Times New Roman" w:eastAsia="Times New Roman"/>
        </w:rPr>
        <w:t>1301-1305</w:t>
      </w:r>
      <w:r>
        <w:rPr/>
        <w:t>、</w:t>
      </w:r>
      <w:r>
        <w:rPr>
          <w:rFonts w:ascii="Times New Roman" w:eastAsia="Times New Roman"/>
        </w:rPr>
        <w:t>14</w:t>
      </w:r>
      <w:r>
        <w:rPr/>
        <w:t>层</w:t>
      </w:r>
    </w:p>
    <w:p>
      <w:pPr>
        <w:pStyle w:val="BodyText"/>
        <w:spacing w:before="7"/>
        <w:rPr>
          <w:sz w:val="15"/>
        </w:rPr>
      </w:pPr>
    </w:p>
    <w:p>
      <w:pPr>
        <w:pStyle w:val="BodyText"/>
        <w:ind w:left="640"/>
        <w:rPr>
          <w:rFonts w:ascii="Times New Roman" w:eastAsia="Times New Roman"/>
        </w:rPr>
      </w:pPr>
      <w:r>
        <w:rPr/>
        <w:t>办公地址：深圳市福田区中心三路</w:t>
      </w:r>
      <w:r>
        <w:rPr>
          <w:rFonts w:ascii="Times New Roman" w:eastAsia="Times New Roman"/>
        </w:rPr>
        <w:t>8</w:t>
      </w:r>
      <w:r>
        <w:rPr/>
        <w:t>号卓越时代广场（二期）北座</w:t>
      </w:r>
      <w:r>
        <w:rPr>
          <w:rFonts w:ascii="Times New Roman" w:eastAsia="Times New Roman"/>
        </w:rPr>
        <w:t>13</w:t>
      </w:r>
      <w:r>
        <w:rPr/>
        <w:t>层</w:t>
      </w:r>
      <w:r>
        <w:rPr>
          <w:rFonts w:ascii="Times New Roman" w:eastAsia="Times New Roman"/>
        </w:rPr>
        <w:t>1301-1305</w:t>
      </w:r>
      <w:r>
        <w:rPr/>
        <w:t>、</w:t>
      </w:r>
      <w:r>
        <w:rPr>
          <w:rFonts w:ascii="Times New Roman" w:eastAsia="Times New Roman"/>
        </w:rPr>
        <w:t>14</w:t>
      </w:r>
    </w:p>
    <w:p>
      <w:pPr>
        <w:pStyle w:val="BodyText"/>
        <w:rPr>
          <w:rFonts w:ascii="Times New Roman"/>
          <w:sz w:val="11"/>
        </w:rPr>
      </w:pPr>
    </w:p>
    <w:p>
      <w:pPr>
        <w:pStyle w:val="BodyText"/>
        <w:spacing w:before="72"/>
        <w:ind w:left="220"/>
      </w:pPr>
      <w:r>
        <w:rPr>
          <w:w w:val="100"/>
        </w:rPr>
        <w:t>层</w:t>
      </w:r>
    </w:p>
    <w:p>
      <w:pPr>
        <w:pStyle w:val="BodyText"/>
        <w:spacing w:before="12"/>
        <w:rPr>
          <w:sz w:val="9"/>
        </w:rPr>
      </w:pPr>
    </w:p>
    <w:p>
      <w:pPr>
        <w:pStyle w:val="BodyText"/>
        <w:spacing w:line="417" w:lineRule="auto" w:before="72"/>
        <w:ind w:left="640" w:right="646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ind w:left="640"/>
      </w:pPr>
      <w:r>
        <w:rPr/>
        <w:t>联系人：刘宏莹</w:t>
      </w:r>
    </w:p>
    <w:p>
      <w:pPr>
        <w:spacing w:after="0"/>
        <w:sectPr>
          <w:pgSz w:w="11910" w:h="16840"/>
          <w:pgMar w:header="877" w:footer="995" w:top="1420" w:bottom="1180" w:left="1580" w:right="1200"/>
        </w:sectPr>
      </w:pPr>
    </w:p>
    <w:p>
      <w:pPr>
        <w:pStyle w:val="BodyText"/>
        <w:spacing w:before="110"/>
        <w:ind w:left="640"/>
        <w:rPr>
          <w:rFonts w:ascii="Times New Roman" w:eastAsia="Times New Roman"/>
        </w:rPr>
      </w:pPr>
      <w:r>
        <w:rPr/>
        <w:t>网址：</w:t>
      </w:r>
      <w:hyperlink r:id="rId70">
        <w:r>
          <w:rPr>
            <w:rFonts w:ascii="Times New Roman" w:eastAsia="Times New Roman"/>
          </w:rPr>
          <w:t>www.citicsf.com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400-990-8826</w:t>
      </w:r>
    </w:p>
    <w:p>
      <w:pPr>
        <w:pStyle w:val="BodyText"/>
        <w:spacing w:before="3"/>
        <w:rPr>
          <w:rFonts w:ascii="Times New Roman"/>
          <w:sz w:val="17"/>
        </w:rPr>
      </w:pPr>
    </w:p>
    <w:p>
      <w:pPr>
        <w:pStyle w:val="ListParagraph"/>
        <w:numPr>
          <w:ilvl w:val="0"/>
          <w:numId w:val="7"/>
        </w:numPr>
        <w:tabs>
          <w:tab w:pos="1275" w:val="left" w:leader="none"/>
        </w:tabs>
        <w:spacing w:line="417" w:lineRule="auto" w:before="1" w:after="0"/>
        <w:ind w:left="640" w:right="5750" w:firstLine="0"/>
        <w:jc w:val="left"/>
        <w:rPr>
          <w:sz w:val="21"/>
        </w:rPr>
      </w:pPr>
      <w:r>
        <w:rPr>
          <w:spacing w:val="-5"/>
          <w:sz w:val="21"/>
        </w:rPr>
        <w:t>弘业期货股份有限公司</w:t>
      </w:r>
      <w:r>
        <w:rPr>
          <w:spacing w:val="-3"/>
          <w:sz w:val="21"/>
        </w:rPr>
        <w:t>住所：南京市中华路</w:t>
      </w:r>
      <w:r>
        <w:rPr>
          <w:rFonts w:ascii="Times New Roman" w:eastAsia="Times New Roman"/>
          <w:sz w:val="21"/>
        </w:rPr>
        <w:t>50</w:t>
      </w:r>
      <w:r>
        <w:rPr>
          <w:sz w:val="21"/>
        </w:rPr>
        <w:t>号</w:t>
      </w:r>
    </w:p>
    <w:p>
      <w:pPr>
        <w:pStyle w:val="BodyText"/>
        <w:spacing w:line="417" w:lineRule="auto"/>
        <w:ind w:left="640" w:right="4912"/>
      </w:pPr>
      <w:r>
        <w:rPr/>
        <w:t>办公地址：南京市中华路</w:t>
      </w:r>
      <w:r>
        <w:rPr>
          <w:rFonts w:ascii="Times New Roman" w:eastAsia="Times New Roman"/>
        </w:rPr>
        <w:t>50</w:t>
      </w:r>
      <w:r>
        <w:rPr/>
        <w:t>号弘业大厦法定代表人：周剑秋</w:t>
      </w:r>
    </w:p>
    <w:p>
      <w:pPr>
        <w:pStyle w:val="BodyText"/>
        <w:spacing w:line="417" w:lineRule="auto"/>
        <w:ind w:left="640" w:right="662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ind w:left="640"/>
      </w:pPr>
      <w:r>
        <w:rPr/>
        <w:t>联系人：张苏怡</w:t>
      </w:r>
    </w:p>
    <w:p>
      <w:pPr>
        <w:pStyle w:val="BodyText"/>
        <w:spacing w:before="6"/>
        <w:rPr>
          <w:sz w:val="15"/>
        </w:rPr>
      </w:pPr>
    </w:p>
    <w:p>
      <w:pPr>
        <w:pStyle w:val="BodyText"/>
        <w:ind w:left="640"/>
        <w:rPr>
          <w:rFonts w:ascii="Times New Roman" w:eastAsia="Times New Roman"/>
        </w:rPr>
      </w:pPr>
      <w:r>
        <w:rPr/>
        <w:t>网址：</w:t>
      </w:r>
      <w:hyperlink r:id="rId71">
        <w:r>
          <w:rPr>
            <w:rFonts w:ascii="Times New Roman" w:eastAsia="Times New Roman"/>
          </w:rPr>
          <w:t>www.ftol.com.cn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400-828-8288</w:t>
      </w:r>
    </w:p>
    <w:p>
      <w:pPr>
        <w:pStyle w:val="BodyText"/>
        <w:spacing w:before="4"/>
        <w:rPr>
          <w:rFonts w:ascii="Times New Roman"/>
          <w:sz w:val="17"/>
        </w:rPr>
      </w:pPr>
    </w:p>
    <w:p>
      <w:pPr>
        <w:pStyle w:val="ListParagraph"/>
        <w:numPr>
          <w:ilvl w:val="0"/>
          <w:numId w:val="7"/>
        </w:numPr>
        <w:tabs>
          <w:tab w:pos="1275" w:val="left" w:leader="none"/>
        </w:tabs>
        <w:spacing w:line="417" w:lineRule="auto" w:before="0" w:after="0"/>
        <w:ind w:left="640" w:right="5015" w:firstLine="0"/>
        <w:jc w:val="left"/>
        <w:rPr>
          <w:sz w:val="21"/>
        </w:rPr>
      </w:pPr>
      <w:r>
        <w:rPr>
          <w:spacing w:val="-3"/>
          <w:sz w:val="21"/>
        </w:rPr>
        <w:t>中信建投证券股份有限公司  住所：北京市朝阳区安立路</w:t>
      </w:r>
      <w:r>
        <w:rPr>
          <w:rFonts w:ascii="Times New Roman" w:eastAsia="Times New Roman"/>
          <w:sz w:val="21"/>
        </w:rPr>
        <w:t>66</w:t>
      </w:r>
      <w:r>
        <w:rPr>
          <w:spacing w:val="-3"/>
          <w:sz w:val="21"/>
        </w:rPr>
        <w:t>号</w:t>
      </w:r>
      <w:r>
        <w:rPr>
          <w:rFonts w:ascii="Times New Roman" w:eastAsia="Times New Roman"/>
          <w:sz w:val="21"/>
        </w:rPr>
        <w:t>4</w:t>
      </w:r>
      <w:r>
        <w:rPr>
          <w:spacing w:val="-3"/>
          <w:sz w:val="21"/>
        </w:rPr>
        <w:t>号楼办公地址：北京市朝阳门内大街</w:t>
      </w:r>
      <w:r>
        <w:rPr>
          <w:rFonts w:ascii="Times New Roman" w:eastAsia="Times New Roman"/>
          <w:sz w:val="21"/>
        </w:rPr>
        <w:t>188</w:t>
      </w:r>
      <w:r>
        <w:rPr>
          <w:spacing w:val="-13"/>
          <w:sz w:val="21"/>
        </w:rPr>
        <w:t>号</w:t>
      </w:r>
      <w:r>
        <w:rPr>
          <w:spacing w:val="-3"/>
          <w:sz w:val="21"/>
        </w:rPr>
        <w:t>法定代表人：王常青</w:t>
      </w:r>
    </w:p>
    <w:p>
      <w:pPr>
        <w:pStyle w:val="BodyText"/>
        <w:spacing w:line="417" w:lineRule="auto"/>
        <w:ind w:left="640" w:right="648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spacing w:line="269" w:lineRule="exact"/>
        <w:ind w:left="640"/>
      </w:pPr>
      <w:r>
        <w:rPr/>
        <w:t>联系人：权唐</w:t>
      </w:r>
    </w:p>
    <w:p>
      <w:pPr>
        <w:pStyle w:val="BodyText"/>
        <w:spacing w:before="6"/>
        <w:rPr>
          <w:sz w:val="15"/>
        </w:rPr>
      </w:pPr>
    </w:p>
    <w:p>
      <w:pPr>
        <w:pStyle w:val="BodyText"/>
        <w:ind w:left="640"/>
        <w:rPr>
          <w:rFonts w:ascii="Times New Roman" w:eastAsia="Times New Roman"/>
        </w:rPr>
      </w:pPr>
      <w:r>
        <w:rPr/>
        <w:t>网址：</w:t>
      </w:r>
      <w:hyperlink r:id="rId72">
        <w:r>
          <w:rPr>
            <w:rFonts w:ascii="Times New Roman" w:eastAsia="Times New Roman"/>
          </w:rPr>
          <w:t>www.csc108.com</w:t>
        </w:r>
      </w:hyperlink>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广发证券股份有限公司</w:t>
      </w:r>
    </w:p>
    <w:p>
      <w:pPr>
        <w:pStyle w:val="BodyText"/>
        <w:spacing w:before="6"/>
        <w:rPr>
          <w:sz w:val="15"/>
        </w:rPr>
      </w:pPr>
    </w:p>
    <w:p>
      <w:pPr>
        <w:pStyle w:val="BodyText"/>
        <w:spacing w:line="417" w:lineRule="auto" w:before="1"/>
        <w:ind w:left="640" w:right="2807"/>
      </w:pPr>
      <w:r>
        <w:rPr/>
        <w:t>住所：广东省广州市黄埔区中新广州知识城腾飞一街</w:t>
      </w:r>
      <w:r>
        <w:rPr>
          <w:rFonts w:ascii="Times New Roman" w:eastAsia="Times New Roman"/>
        </w:rPr>
        <w:t>2</w:t>
      </w:r>
      <w:r>
        <w:rPr/>
        <w:t>号</w:t>
      </w:r>
      <w:r>
        <w:rPr>
          <w:rFonts w:ascii="Times New Roman" w:eastAsia="Times New Roman"/>
        </w:rPr>
        <w:t>618</w:t>
      </w:r>
      <w:r>
        <w:rPr/>
        <w:t>室办公地址：广州市天河区马场路</w:t>
      </w:r>
      <w:r>
        <w:rPr>
          <w:rFonts w:ascii="Times New Roman" w:eastAsia="Times New Roman"/>
        </w:rPr>
        <w:t>26</w:t>
      </w:r>
      <w:r>
        <w:rPr/>
        <w:t>号广发证券大厦</w:t>
      </w:r>
      <w:r>
        <w:rPr>
          <w:rFonts w:ascii="Times New Roman" w:eastAsia="Times New Roman"/>
        </w:rPr>
        <w:t>36</w:t>
      </w:r>
      <w:r>
        <w:rPr/>
        <w:t>楼</w:t>
      </w:r>
    </w:p>
    <w:p>
      <w:pPr>
        <w:pStyle w:val="BodyText"/>
        <w:spacing w:line="417" w:lineRule="auto"/>
        <w:ind w:left="640" w:right="6590"/>
        <w:jc w:val="both"/>
        <w:rPr>
          <w:rFonts w:ascii="Times New Roman" w:eastAsia="Times New Roman"/>
        </w:rPr>
      </w:pPr>
      <w:r>
        <w:rPr/>
        <w:t>法定代表人：孙树明电话：</w:t>
      </w:r>
      <w:r>
        <w:rPr>
          <w:rFonts w:ascii="Times New Roman" w:eastAsia="Times New Roman"/>
        </w:rPr>
        <w:t>020-66336146 </w:t>
      </w:r>
      <w:r>
        <w:rPr/>
        <w:t>传真：</w:t>
      </w:r>
      <w:r>
        <w:rPr>
          <w:rFonts w:ascii="Times New Roman" w:eastAsia="Times New Roman"/>
        </w:rPr>
        <w:t>020-87555417</w:t>
      </w:r>
    </w:p>
    <w:p>
      <w:pPr>
        <w:pStyle w:val="BodyText"/>
        <w:spacing w:line="269" w:lineRule="exact"/>
        <w:ind w:left="640"/>
      </w:pPr>
      <w:r>
        <w:rPr/>
        <w:t>联系人：陈姗姗</w:t>
      </w:r>
    </w:p>
    <w:p>
      <w:pPr>
        <w:pStyle w:val="BodyText"/>
        <w:spacing w:before="6"/>
        <w:rPr>
          <w:sz w:val="15"/>
        </w:rPr>
      </w:pPr>
    </w:p>
    <w:p>
      <w:pPr>
        <w:pStyle w:val="BodyText"/>
        <w:spacing w:before="1"/>
        <w:ind w:left="640"/>
        <w:rPr>
          <w:rFonts w:ascii="Times New Roman" w:eastAsia="Times New Roman"/>
        </w:rPr>
      </w:pPr>
      <w:r>
        <w:rPr/>
        <w:t>网址：</w:t>
      </w:r>
      <w:hyperlink r:id="rId73">
        <w:r>
          <w:rPr>
            <w:rFonts w:ascii="Times New Roman" w:eastAsia="Times New Roman"/>
          </w:rPr>
          <w:t>www.gf.com.cn</w:t>
        </w:r>
      </w:hyperlink>
    </w:p>
    <w:p>
      <w:pPr>
        <w:pStyle w:val="BodyText"/>
        <w:spacing w:before="3"/>
        <w:rPr>
          <w:rFonts w:ascii="Times New Roman"/>
          <w:sz w:val="17"/>
        </w:rPr>
      </w:pPr>
    </w:p>
    <w:p>
      <w:pPr>
        <w:pStyle w:val="BodyText"/>
        <w:ind w:left="640"/>
      </w:pPr>
      <w:r>
        <w:rPr/>
        <w:t>客户服务电话：</w:t>
      </w:r>
      <w:r>
        <w:rPr>
          <w:rFonts w:ascii="Times New Roman" w:eastAsia="Times New Roman"/>
        </w:rPr>
        <w:t>95575</w:t>
      </w:r>
      <w:r>
        <w:rPr/>
        <w:t>或致电各地营业网点</w:t>
      </w:r>
    </w:p>
    <w:p>
      <w:pPr>
        <w:pStyle w:val="BodyText"/>
        <w:spacing w:before="7"/>
        <w:rPr>
          <w:sz w:val="15"/>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中信证券股份有限公司</w:t>
      </w:r>
    </w:p>
    <w:p>
      <w:pPr>
        <w:pStyle w:val="BodyText"/>
        <w:spacing w:before="7"/>
        <w:rPr>
          <w:sz w:val="15"/>
        </w:rPr>
      </w:pPr>
    </w:p>
    <w:p>
      <w:pPr>
        <w:pStyle w:val="BodyText"/>
        <w:ind w:left="640"/>
      </w:pPr>
      <w:r>
        <w:rPr/>
        <w:t>住所：广东省深圳市福田区中心三路</w:t>
      </w:r>
      <w:r>
        <w:rPr>
          <w:rFonts w:ascii="Times New Roman" w:eastAsia="Times New Roman"/>
        </w:rPr>
        <w:t>8</w:t>
      </w:r>
      <w:r>
        <w:rPr/>
        <w:t>号卓越时代广场（二期）北座</w:t>
      </w:r>
    </w:p>
    <w:p>
      <w:pPr>
        <w:spacing w:after="0"/>
        <w:sectPr>
          <w:pgSz w:w="11910" w:h="16840"/>
          <w:pgMar w:header="877" w:footer="995" w:top="1420" w:bottom="1180" w:left="1580" w:right="1200"/>
        </w:sectPr>
      </w:pPr>
    </w:p>
    <w:p>
      <w:pPr>
        <w:pStyle w:val="BodyText"/>
        <w:spacing w:line="417" w:lineRule="auto" w:before="110"/>
        <w:ind w:left="640" w:right="3649"/>
      </w:pPr>
      <w:r>
        <w:rPr/>
        <w:t>办公地址：北京市朝阳区亮马桥路</w:t>
      </w:r>
      <w:r>
        <w:rPr>
          <w:rFonts w:ascii="Times New Roman" w:eastAsia="Times New Roman"/>
        </w:rPr>
        <w:t>48</w:t>
      </w:r>
      <w:r>
        <w:rPr/>
        <w:t>号中信证券大厦法定代表人：张佑君</w:t>
      </w:r>
    </w:p>
    <w:p>
      <w:pPr>
        <w:pStyle w:val="BodyText"/>
        <w:spacing w:line="417" w:lineRule="auto"/>
        <w:ind w:left="640" w:right="6626"/>
        <w:rPr>
          <w:rFonts w:ascii="Times New Roman" w:eastAsia="Times New Roman"/>
        </w:rPr>
      </w:pPr>
      <w:r>
        <w:rPr/>
        <w:t>电话：</w:t>
      </w:r>
      <w:r>
        <w:rPr>
          <w:rFonts w:ascii="Times New Roman" w:eastAsia="Times New Roman"/>
        </w:rPr>
        <w:t>010-60838888 </w:t>
      </w:r>
      <w:r>
        <w:rPr/>
        <w:t>传真：</w:t>
      </w:r>
      <w:r>
        <w:rPr>
          <w:rFonts w:ascii="Times New Roman" w:eastAsia="Times New Roman"/>
        </w:rPr>
        <w:t>010-60836029</w:t>
      </w:r>
    </w:p>
    <w:p>
      <w:pPr>
        <w:pStyle w:val="BodyText"/>
        <w:spacing w:line="269" w:lineRule="exact"/>
        <w:ind w:left="640"/>
      </w:pPr>
      <w:r>
        <w:rPr/>
        <w:t>联系人：郑慧</w:t>
      </w:r>
    </w:p>
    <w:p>
      <w:pPr>
        <w:pStyle w:val="BodyText"/>
        <w:spacing w:before="6"/>
        <w:rPr>
          <w:sz w:val="15"/>
        </w:rPr>
      </w:pPr>
    </w:p>
    <w:p>
      <w:pPr>
        <w:pStyle w:val="BodyText"/>
        <w:spacing w:line="417" w:lineRule="auto"/>
        <w:ind w:left="640" w:right="6218"/>
        <w:rPr>
          <w:rFonts w:ascii="Times New Roman" w:eastAsia="Times New Roman"/>
        </w:rPr>
      </w:pPr>
      <w:r>
        <w:rPr/>
        <w:t>网址：</w:t>
      </w:r>
      <w:hyperlink r:id="rId74">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中国银河证券股份有限公司</w:t>
      </w:r>
    </w:p>
    <w:p>
      <w:pPr>
        <w:pStyle w:val="BodyText"/>
        <w:spacing w:before="7"/>
        <w:rPr>
          <w:sz w:val="15"/>
        </w:rPr>
      </w:pPr>
    </w:p>
    <w:p>
      <w:pPr>
        <w:pStyle w:val="BodyText"/>
        <w:ind w:left="640"/>
      </w:pPr>
      <w:r>
        <w:rPr/>
        <w:t>住所：北京市西城区金融大街</w:t>
      </w:r>
      <w:r>
        <w:rPr>
          <w:rFonts w:ascii="Times New Roman" w:eastAsia="Times New Roman"/>
        </w:rPr>
        <w:t>35</w:t>
      </w:r>
      <w:r>
        <w:rPr/>
        <w:t>号</w:t>
      </w:r>
      <w:r>
        <w:rPr>
          <w:rFonts w:ascii="Times New Roman" w:eastAsia="Times New Roman"/>
        </w:rPr>
        <w:t>2-6</w:t>
      </w:r>
      <w:r>
        <w:rPr/>
        <w:t>层</w:t>
      </w:r>
    </w:p>
    <w:p>
      <w:pPr>
        <w:pStyle w:val="BodyText"/>
        <w:spacing w:before="7"/>
        <w:rPr>
          <w:sz w:val="15"/>
        </w:rPr>
      </w:pPr>
    </w:p>
    <w:p>
      <w:pPr>
        <w:pStyle w:val="BodyText"/>
        <w:spacing w:line="417" w:lineRule="auto"/>
        <w:ind w:left="640" w:right="3299"/>
      </w:pPr>
      <w:r>
        <w:rPr/>
        <w:t>办公地址：北京市西城区金融大街</w:t>
      </w:r>
      <w:r>
        <w:rPr>
          <w:rFonts w:ascii="Times New Roman" w:eastAsia="Times New Roman"/>
        </w:rPr>
        <w:t>35</w:t>
      </w:r>
      <w:r>
        <w:rPr/>
        <w:t>号国际企业大厦</w:t>
      </w:r>
      <w:r>
        <w:rPr>
          <w:rFonts w:ascii="Times New Roman" w:eastAsia="Times New Roman"/>
        </w:rPr>
        <w:t>C</w:t>
      </w:r>
      <w:r>
        <w:rPr/>
        <w:t>座法定代表人：陈共炎</w:t>
      </w:r>
    </w:p>
    <w:p>
      <w:pPr>
        <w:pStyle w:val="BodyText"/>
        <w:spacing w:line="417" w:lineRule="auto"/>
        <w:ind w:left="640" w:right="6626"/>
        <w:rPr>
          <w:rFonts w:ascii="Times New Roman" w:eastAsia="Times New Roman"/>
        </w:rPr>
      </w:pPr>
      <w:r>
        <w:rPr/>
        <w:t>电话：</w:t>
      </w:r>
      <w:r>
        <w:rPr>
          <w:rFonts w:ascii="Times New Roman" w:eastAsia="Times New Roman"/>
        </w:rPr>
        <w:t>010-83574507 </w:t>
      </w:r>
      <w:r>
        <w:rPr/>
        <w:t>传真：</w:t>
      </w:r>
      <w:r>
        <w:rPr>
          <w:rFonts w:ascii="Times New Roman" w:eastAsia="Times New Roman"/>
        </w:rPr>
        <w:t>010-66568990</w:t>
      </w:r>
    </w:p>
    <w:p>
      <w:pPr>
        <w:pStyle w:val="BodyText"/>
        <w:spacing w:line="269" w:lineRule="exact"/>
        <w:ind w:left="640"/>
      </w:pPr>
      <w:r>
        <w:rPr/>
        <w:t>联系人：辛国政</w:t>
      </w:r>
    </w:p>
    <w:p>
      <w:pPr>
        <w:pStyle w:val="BodyText"/>
        <w:spacing w:before="6"/>
        <w:rPr>
          <w:sz w:val="15"/>
        </w:rPr>
      </w:pPr>
    </w:p>
    <w:p>
      <w:pPr>
        <w:pStyle w:val="BodyText"/>
        <w:spacing w:before="1"/>
        <w:ind w:left="640"/>
        <w:rPr>
          <w:rFonts w:ascii="Times New Roman" w:eastAsia="Times New Roman"/>
        </w:rPr>
      </w:pPr>
      <w:r>
        <w:rPr/>
        <w:t>网址：</w:t>
      </w:r>
      <w:hyperlink r:id="rId75">
        <w:r>
          <w:rPr>
            <w:rFonts w:ascii="Times New Roman" w:eastAsia="Times New Roman"/>
          </w:rPr>
          <w:t>www.chinastock.com.cn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4008-888-888</w:t>
      </w:r>
      <w:r>
        <w:rPr/>
        <w:t>或</w:t>
      </w:r>
      <w:r>
        <w:rPr>
          <w:rFonts w:ascii="Times New Roman" w:eastAsia="Times New Roman"/>
        </w:rPr>
        <w:t>95551</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申万宏源证券有限公司</w:t>
      </w:r>
    </w:p>
    <w:p>
      <w:pPr>
        <w:pStyle w:val="BodyText"/>
        <w:spacing w:before="6"/>
        <w:rPr>
          <w:sz w:val="15"/>
        </w:rPr>
      </w:pPr>
    </w:p>
    <w:p>
      <w:pPr>
        <w:pStyle w:val="BodyText"/>
        <w:ind w:left="640"/>
      </w:pPr>
      <w:r>
        <w:rPr/>
        <w:t>住所：上海市徐汇区长乐路</w:t>
      </w:r>
      <w:r>
        <w:rPr>
          <w:rFonts w:ascii="Times New Roman" w:eastAsia="Times New Roman"/>
        </w:rPr>
        <w:t>989</w:t>
      </w:r>
      <w:r>
        <w:rPr/>
        <w:t>号</w:t>
      </w:r>
      <w:r>
        <w:rPr>
          <w:rFonts w:ascii="Times New Roman" w:eastAsia="Times New Roman"/>
        </w:rPr>
        <w:t>45</w:t>
      </w:r>
      <w:r>
        <w:rPr/>
        <w:t>层</w:t>
      </w:r>
    </w:p>
    <w:p>
      <w:pPr>
        <w:pStyle w:val="BodyText"/>
        <w:spacing w:before="7"/>
        <w:rPr>
          <w:sz w:val="15"/>
        </w:rPr>
      </w:pPr>
    </w:p>
    <w:p>
      <w:pPr>
        <w:pStyle w:val="BodyText"/>
        <w:spacing w:line="417" w:lineRule="auto"/>
        <w:ind w:left="640" w:right="3546"/>
      </w:pPr>
      <w:r>
        <w:rPr/>
        <w:t>办公地址：上海市徐汇区长乐路</w:t>
      </w:r>
      <w:r>
        <w:rPr>
          <w:rFonts w:ascii="Times New Roman" w:eastAsia="Times New Roman"/>
        </w:rPr>
        <w:t>989</w:t>
      </w:r>
      <w:r>
        <w:rPr/>
        <w:t>号</w:t>
      </w:r>
      <w:r>
        <w:rPr>
          <w:rFonts w:ascii="Times New Roman" w:eastAsia="Times New Roman"/>
        </w:rPr>
        <w:t>45</w:t>
      </w:r>
      <w:r>
        <w:rPr/>
        <w:t>层（</w:t>
      </w:r>
      <w:r>
        <w:rPr>
          <w:rFonts w:ascii="Times New Roman" w:eastAsia="Times New Roman"/>
        </w:rPr>
        <w:t>200031</w:t>
      </w:r>
      <w:r>
        <w:rPr/>
        <w:t>） 法定代表人：李梅</w:t>
      </w:r>
    </w:p>
    <w:p>
      <w:pPr>
        <w:pStyle w:val="BodyText"/>
        <w:spacing w:line="417" w:lineRule="auto"/>
        <w:ind w:left="640" w:right="662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ind w:left="640"/>
      </w:pPr>
      <w:r>
        <w:rPr/>
        <w:t>联系人：陈宇</w:t>
      </w:r>
    </w:p>
    <w:p>
      <w:pPr>
        <w:pStyle w:val="BodyText"/>
        <w:spacing w:before="7"/>
        <w:rPr>
          <w:sz w:val="15"/>
        </w:rPr>
      </w:pPr>
    </w:p>
    <w:p>
      <w:pPr>
        <w:pStyle w:val="BodyText"/>
        <w:ind w:left="640"/>
        <w:rPr>
          <w:rFonts w:ascii="Times New Roman" w:eastAsia="Times New Roman"/>
        </w:rPr>
      </w:pPr>
      <w:r>
        <w:rPr/>
        <w:t>网址：</w:t>
      </w:r>
      <w:hyperlink r:id="rId76">
        <w:r>
          <w:rPr>
            <w:rFonts w:ascii="Times New Roman" w:eastAsia="Times New Roman"/>
          </w:rPr>
          <w:t>www.swhysc.com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安信证券股份有限公司</w:t>
      </w:r>
    </w:p>
    <w:p>
      <w:pPr>
        <w:pStyle w:val="BodyText"/>
        <w:spacing w:before="6"/>
        <w:rPr>
          <w:sz w:val="15"/>
        </w:rPr>
      </w:pPr>
    </w:p>
    <w:p>
      <w:pPr>
        <w:pStyle w:val="BodyText"/>
        <w:ind w:left="640"/>
      </w:pPr>
      <w:r>
        <w:rPr/>
        <w:t>住所：深圳市福田区金田路</w:t>
      </w:r>
      <w:r>
        <w:rPr>
          <w:rFonts w:ascii="Times New Roman" w:eastAsia="Times New Roman"/>
        </w:rPr>
        <w:t>4018</w:t>
      </w:r>
      <w:r>
        <w:rPr/>
        <w:t>号安联大厦</w:t>
      </w:r>
      <w:r>
        <w:rPr>
          <w:rFonts w:ascii="Times New Roman" w:eastAsia="Times New Roman"/>
        </w:rPr>
        <w:t>35</w:t>
      </w:r>
      <w:r>
        <w:rPr/>
        <w:t>层、</w:t>
      </w:r>
      <w:r>
        <w:rPr>
          <w:rFonts w:ascii="Times New Roman" w:eastAsia="Times New Roman"/>
        </w:rPr>
        <w:t>28</w:t>
      </w:r>
      <w:r>
        <w:rPr/>
        <w:t>层</w:t>
      </w:r>
      <w:r>
        <w:rPr>
          <w:rFonts w:ascii="Times New Roman" w:eastAsia="Times New Roman"/>
        </w:rPr>
        <w:t>A02</w:t>
      </w:r>
      <w:r>
        <w:rPr/>
        <w:t>单元</w:t>
      </w:r>
    </w:p>
    <w:p>
      <w:pPr>
        <w:pStyle w:val="BodyText"/>
        <w:spacing w:before="7"/>
        <w:rPr>
          <w:sz w:val="15"/>
        </w:rPr>
      </w:pPr>
    </w:p>
    <w:p>
      <w:pPr>
        <w:pStyle w:val="BodyText"/>
        <w:spacing w:line="417" w:lineRule="auto"/>
        <w:ind w:left="640" w:right="2235"/>
      </w:pPr>
      <w:r>
        <w:rPr/>
        <w:t>办公地址：深圳市福田区金田路</w:t>
      </w:r>
      <w:r>
        <w:rPr>
          <w:rFonts w:ascii="Times New Roman" w:eastAsia="Times New Roman"/>
        </w:rPr>
        <w:t>4018</w:t>
      </w:r>
      <w:r>
        <w:rPr/>
        <w:t>号安联大厦</w:t>
      </w:r>
      <w:r>
        <w:rPr>
          <w:rFonts w:ascii="Times New Roman" w:eastAsia="Times New Roman"/>
        </w:rPr>
        <w:t>35</w:t>
      </w:r>
      <w:r>
        <w:rPr/>
        <w:t>层、</w:t>
      </w:r>
      <w:r>
        <w:rPr>
          <w:rFonts w:ascii="Times New Roman" w:eastAsia="Times New Roman"/>
        </w:rPr>
        <w:t>28</w:t>
      </w:r>
      <w:r>
        <w:rPr/>
        <w:t>层</w:t>
      </w:r>
      <w:r>
        <w:rPr>
          <w:rFonts w:ascii="Times New Roman" w:eastAsia="Times New Roman"/>
        </w:rPr>
        <w:t>A02</w:t>
      </w:r>
      <w:r>
        <w:rPr/>
        <w:t>单元法定代表人：黄炎勋</w:t>
      </w:r>
    </w:p>
    <w:p>
      <w:pPr>
        <w:pStyle w:val="BodyText"/>
        <w:ind w:left="640"/>
        <w:rPr>
          <w:rFonts w:ascii="Times New Roman" w:eastAsia="Times New Roman"/>
        </w:rPr>
      </w:pPr>
      <w:r>
        <w:rPr/>
        <w:t>电话：</w:t>
      </w:r>
      <w:r>
        <w:rPr>
          <w:rFonts w:ascii="Times New Roman" w:eastAsia="Times New Roman"/>
        </w:rPr>
        <w:t>0755-82558305</w:t>
      </w:r>
    </w:p>
    <w:p>
      <w:pPr>
        <w:spacing w:after="0"/>
        <w:rPr>
          <w:rFonts w:ascii="Times New Roman" w:eastAsia="Times New Roman"/>
        </w:rPr>
        <w:sectPr>
          <w:pgSz w:w="11910" w:h="16840"/>
          <w:pgMar w:header="877" w:footer="995" w:top="1420" w:bottom="1180" w:left="1580" w:right="1200"/>
        </w:sectPr>
      </w:pPr>
    </w:p>
    <w:p>
      <w:pPr>
        <w:pStyle w:val="BodyText"/>
        <w:spacing w:before="110"/>
        <w:ind w:left="640"/>
        <w:rPr>
          <w:rFonts w:ascii="Times New Roman" w:eastAsia="Times New Roman"/>
        </w:rPr>
      </w:pPr>
      <w:r>
        <w:rPr/>
        <w:t>传真：</w:t>
      </w:r>
      <w:r>
        <w:rPr>
          <w:rFonts w:ascii="Times New Roman" w:eastAsia="Times New Roman"/>
        </w:rPr>
        <w:t>0755-82558355</w:t>
      </w:r>
    </w:p>
    <w:p>
      <w:pPr>
        <w:pStyle w:val="BodyText"/>
        <w:spacing w:before="3"/>
        <w:rPr>
          <w:rFonts w:ascii="Times New Roman"/>
          <w:sz w:val="17"/>
        </w:rPr>
      </w:pPr>
    </w:p>
    <w:p>
      <w:pPr>
        <w:pStyle w:val="BodyText"/>
        <w:ind w:left="640"/>
      </w:pPr>
      <w:r>
        <w:rPr/>
        <w:t>联系人：陈剑虹</w:t>
      </w:r>
    </w:p>
    <w:p>
      <w:pPr>
        <w:pStyle w:val="BodyText"/>
        <w:spacing w:before="7"/>
        <w:rPr>
          <w:sz w:val="15"/>
        </w:rPr>
      </w:pPr>
    </w:p>
    <w:p>
      <w:pPr>
        <w:pStyle w:val="BodyText"/>
        <w:spacing w:line="417" w:lineRule="auto"/>
        <w:ind w:left="640" w:right="6009"/>
        <w:rPr>
          <w:rFonts w:ascii="Times New Roman" w:eastAsia="Times New Roman"/>
        </w:rPr>
      </w:pPr>
      <w:r>
        <w:rPr/>
        <w:t>网址：</w:t>
      </w:r>
      <w:hyperlink r:id="rId77">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万联证券股份有限公司</w:t>
      </w:r>
    </w:p>
    <w:p>
      <w:pPr>
        <w:pStyle w:val="BodyText"/>
        <w:spacing w:before="6"/>
        <w:rPr>
          <w:sz w:val="15"/>
        </w:rPr>
      </w:pPr>
    </w:p>
    <w:p>
      <w:pPr>
        <w:pStyle w:val="BodyText"/>
        <w:spacing w:before="1"/>
        <w:ind w:left="640"/>
      </w:pPr>
      <w:r>
        <w:rPr/>
        <w:t>住所：广州市天河区珠江东路</w:t>
      </w:r>
      <w:r>
        <w:rPr>
          <w:rFonts w:ascii="Times New Roman" w:eastAsia="Times New Roman"/>
        </w:rPr>
        <w:t>11</w:t>
      </w:r>
      <w:r>
        <w:rPr/>
        <w:t>号高德置地广场</w:t>
      </w:r>
      <w:r>
        <w:rPr>
          <w:rFonts w:ascii="Times New Roman" w:eastAsia="Times New Roman"/>
        </w:rPr>
        <w:t>F</w:t>
      </w:r>
      <w:r>
        <w:rPr/>
        <w:t>座</w:t>
      </w:r>
      <w:r>
        <w:rPr>
          <w:rFonts w:ascii="Times New Roman" w:eastAsia="Times New Roman"/>
        </w:rPr>
        <w:t>18</w:t>
      </w:r>
      <w:r>
        <w:rPr/>
        <w:t>、</w:t>
      </w:r>
      <w:r>
        <w:rPr>
          <w:rFonts w:ascii="Times New Roman" w:eastAsia="Times New Roman"/>
        </w:rPr>
        <w:t>19</w:t>
      </w:r>
      <w:r>
        <w:rPr/>
        <w:t>楼</w:t>
      </w:r>
    </w:p>
    <w:p>
      <w:pPr>
        <w:pStyle w:val="BodyText"/>
        <w:spacing w:before="6"/>
        <w:rPr>
          <w:sz w:val="15"/>
        </w:rPr>
      </w:pPr>
    </w:p>
    <w:p>
      <w:pPr>
        <w:pStyle w:val="BodyText"/>
        <w:spacing w:line="417" w:lineRule="auto"/>
        <w:ind w:left="640" w:right="2490"/>
      </w:pPr>
      <w:r>
        <w:rPr>
          <w:spacing w:val="-3"/>
        </w:rPr>
        <w:t>办公地址：广州市天河区珠江东路</w:t>
      </w:r>
      <w:r>
        <w:rPr>
          <w:rFonts w:ascii="Times New Roman" w:eastAsia="Times New Roman"/>
          <w:spacing w:val="-5"/>
        </w:rPr>
        <w:t>11</w:t>
      </w:r>
      <w:r>
        <w:rPr>
          <w:spacing w:val="-3"/>
        </w:rPr>
        <w:t>号高德置地广场</w:t>
      </w:r>
      <w:r>
        <w:rPr>
          <w:rFonts w:ascii="Times New Roman" w:eastAsia="Times New Roman"/>
          <w:spacing w:val="-5"/>
        </w:rPr>
        <w:t>F</w:t>
      </w:r>
      <w:r>
        <w:rPr/>
        <w:t>座</w:t>
      </w:r>
      <w:r>
        <w:rPr>
          <w:rFonts w:ascii="Times New Roman" w:eastAsia="Times New Roman"/>
        </w:rPr>
        <w:t>18</w:t>
      </w:r>
      <w:r>
        <w:rPr/>
        <w:t>、</w:t>
      </w:r>
      <w:r>
        <w:rPr>
          <w:rFonts w:ascii="Times New Roman" w:eastAsia="Times New Roman"/>
        </w:rPr>
        <w:t>19</w:t>
      </w:r>
      <w:r>
        <w:rPr/>
        <w:t>楼</w:t>
      </w:r>
      <w:r>
        <w:rPr>
          <w:spacing w:val="-3"/>
        </w:rPr>
        <w:t>法定代表人：张建军</w:t>
      </w:r>
    </w:p>
    <w:p>
      <w:pPr>
        <w:pStyle w:val="BodyText"/>
        <w:spacing w:before="1"/>
        <w:ind w:left="640"/>
        <w:rPr>
          <w:rFonts w:ascii="Times New Roman" w:eastAsia="Times New Roman"/>
        </w:rPr>
      </w:pPr>
      <w:r>
        <w:rPr>
          <w:spacing w:val="-1"/>
        </w:rPr>
        <w:t>电话：</w:t>
      </w:r>
      <w:r>
        <w:rPr>
          <w:rFonts w:ascii="Times New Roman" w:eastAsia="Times New Roman"/>
          <w:spacing w:val="-1"/>
        </w:rPr>
        <w:t>020-38286588</w:t>
      </w:r>
    </w:p>
    <w:p>
      <w:pPr>
        <w:pStyle w:val="BodyText"/>
        <w:spacing w:before="3"/>
        <w:rPr>
          <w:rFonts w:ascii="Times New Roman"/>
          <w:sz w:val="17"/>
        </w:rPr>
      </w:pPr>
    </w:p>
    <w:p>
      <w:pPr>
        <w:pStyle w:val="BodyText"/>
        <w:ind w:left="640"/>
        <w:rPr>
          <w:rFonts w:ascii="Times New Roman" w:eastAsia="Times New Roman"/>
        </w:rPr>
      </w:pPr>
      <w:r>
        <w:rPr/>
        <w:t>传真：</w:t>
      </w:r>
      <w:r>
        <w:rPr>
          <w:rFonts w:ascii="Times New Roman" w:eastAsia="Times New Roman"/>
        </w:rPr>
        <w:t>020-22373718-1013</w:t>
      </w:r>
    </w:p>
    <w:p>
      <w:pPr>
        <w:pStyle w:val="BodyText"/>
        <w:spacing w:before="3"/>
        <w:rPr>
          <w:rFonts w:ascii="Times New Roman"/>
          <w:sz w:val="17"/>
        </w:rPr>
      </w:pPr>
    </w:p>
    <w:p>
      <w:pPr>
        <w:pStyle w:val="BodyText"/>
        <w:spacing w:before="1"/>
        <w:ind w:left="640"/>
      </w:pPr>
      <w:r>
        <w:rPr/>
        <w:t>联系人：王鑫</w:t>
      </w:r>
    </w:p>
    <w:p>
      <w:pPr>
        <w:pStyle w:val="BodyText"/>
        <w:spacing w:before="6"/>
        <w:rPr>
          <w:sz w:val="15"/>
        </w:rPr>
      </w:pPr>
    </w:p>
    <w:p>
      <w:pPr>
        <w:pStyle w:val="BodyText"/>
        <w:spacing w:line="417" w:lineRule="auto"/>
        <w:ind w:left="640" w:right="6242"/>
        <w:rPr>
          <w:rFonts w:ascii="Times New Roman" w:eastAsia="Times New Roman"/>
        </w:rPr>
      </w:pPr>
      <w:r>
        <w:rPr/>
        <w:t>网址：</w:t>
      </w:r>
      <w:hyperlink r:id="rId78">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渤海证券股份有限公司</w:t>
      </w:r>
    </w:p>
    <w:p>
      <w:pPr>
        <w:pStyle w:val="BodyText"/>
        <w:spacing w:before="7"/>
        <w:rPr>
          <w:sz w:val="15"/>
        </w:rPr>
      </w:pPr>
    </w:p>
    <w:p>
      <w:pPr>
        <w:pStyle w:val="BodyText"/>
        <w:spacing w:line="417" w:lineRule="auto"/>
        <w:ind w:left="640" w:right="3546"/>
      </w:pPr>
      <w:r>
        <w:rPr/>
        <w:t>住所：天津经济技术开发区第二大街</w:t>
      </w:r>
      <w:r>
        <w:rPr>
          <w:rFonts w:ascii="Times New Roman" w:eastAsia="Times New Roman"/>
        </w:rPr>
        <w:t>42</w:t>
      </w:r>
      <w:r>
        <w:rPr/>
        <w:t>号写字楼</w:t>
      </w:r>
      <w:r>
        <w:rPr>
          <w:rFonts w:ascii="Times New Roman" w:eastAsia="Times New Roman"/>
        </w:rPr>
        <w:t>101</w:t>
      </w:r>
      <w:r>
        <w:rPr/>
        <w:t>室办公地址：天津市南开区滨水西道</w:t>
      </w:r>
      <w:r>
        <w:rPr>
          <w:rFonts w:ascii="Times New Roman" w:eastAsia="Times New Roman"/>
        </w:rPr>
        <w:t>8</w:t>
      </w:r>
      <w:r>
        <w:rPr/>
        <w:t>号</w:t>
      </w:r>
    </w:p>
    <w:p>
      <w:pPr>
        <w:pStyle w:val="BodyText"/>
        <w:spacing w:line="417" w:lineRule="auto"/>
        <w:ind w:left="640" w:right="6590"/>
        <w:jc w:val="both"/>
        <w:rPr>
          <w:rFonts w:ascii="Times New Roman" w:eastAsia="Times New Roman"/>
        </w:rPr>
      </w:pPr>
      <w:r>
        <w:rPr/>
        <w:t>法定代表人：王春峰电话：</w:t>
      </w:r>
      <w:r>
        <w:rPr>
          <w:rFonts w:ascii="Times New Roman" w:eastAsia="Times New Roman"/>
        </w:rPr>
        <w:t>022-28451991 </w:t>
      </w:r>
      <w:r>
        <w:rPr/>
        <w:t>传真：</w:t>
      </w:r>
      <w:r>
        <w:rPr>
          <w:rFonts w:ascii="Times New Roman" w:eastAsia="Times New Roman"/>
        </w:rPr>
        <w:t>022-28451892</w:t>
      </w:r>
    </w:p>
    <w:p>
      <w:pPr>
        <w:pStyle w:val="BodyText"/>
        <w:spacing w:line="269" w:lineRule="exact"/>
        <w:ind w:left="640"/>
      </w:pPr>
      <w:r>
        <w:rPr/>
        <w:t>联系人：蔡霆</w:t>
      </w:r>
    </w:p>
    <w:p>
      <w:pPr>
        <w:pStyle w:val="BodyText"/>
        <w:spacing w:before="7"/>
        <w:rPr>
          <w:sz w:val="15"/>
        </w:rPr>
      </w:pPr>
    </w:p>
    <w:p>
      <w:pPr>
        <w:pStyle w:val="BodyText"/>
        <w:ind w:left="640"/>
        <w:rPr>
          <w:rFonts w:ascii="Times New Roman" w:eastAsia="Times New Roman"/>
        </w:rPr>
      </w:pPr>
      <w:r>
        <w:rPr/>
        <w:t>网址：</w:t>
      </w:r>
      <w:hyperlink r:id="rId79">
        <w:r>
          <w:rPr>
            <w:rFonts w:ascii="Times New Roman" w:eastAsia="Times New Roman"/>
          </w:rPr>
          <w:t>www.ewww.com.cn</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400-651-5988</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ind w:left="640"/>
        <w:rPr>
          <w:rFonts w:ascii="Times New Roman" w:eastAsia="Times New Roman"/>
        </w:rPr>
      </w:pPr>
      <w:r>
        <w:rPr/>
        <w:t>住所：山东省青岛市崂山区深圳路</w:t>
      </w:r>
      <w:r>
        <w:rPr>
          <w:rFonts w:ascii="Times New Roman" w:eastAsia="Times New Roman"/>
        </w:rPr>
        <w:t>222</w:t>
      </w:r>
      <w:r>
        <w:rPr/>
        <w:t>号</w:t>
      </w:r>
      <w:r>
        <w:rPr>
          <w:rFonts w:ascii="Times New Roman" w:eastAsia="Times New Roman"/>
        </w:rPr>
        <w:t>1</w:t>
      </w:r>
      <w:r>
        <w:rPr/>
        <w:t>号楼</w:t>
      </w:r>
      <w:r>
        <w:rPr>
          <w:rFonts w:ascii="Times New Roman" w:eastAsia="Times New Roman"/>
        </w:rPr>
        <w:t>2001</w:t>
      </w:r>
    </w:p>
    <w:p>
      <w:pPr>
        <w:pStyle w:val="BodyText"/>
        <w:spacing w:before="3"/>
        <w:rPr>
          <w:rFonts w:ascii="Times New Roman"/>
          <w:sz w:val="17"/>
        </w:rPr>
      </w:pPr>
    </w:p>
    <w:p>
      <w:pPr>
        <w:pStyle w:val="BodyText"/>
        <w:spacing w:line="417" w:lineRule="auto" w:before="1"/>
        <w:ind w:left="640" w:right="2703"/>
      </w:pPr>
      <w:r>
        <w:rPr/>
        <w:t>办公地址：山东省青岛市市南区东海西路</w:t>
      </w:r>
      <w:r>
        <w:rPr>
          <w:rFonts w:ascii="Times New Roman" w:eastAsia="Times New Roman"/>
        </w:rPr>
        <w:t>28</w:t>
      </w:r>
      <w:r>
        <w:rPr/>
        <w:t>号龙翔广场东座</w:t>
      </w:r>
      <w:r>
        <w:rPr>
          <w:rFonts w:ascii="Times New Roman" w:eastAsia="Times New Roman"/>
        </w:rPr>
        <w:t>5</w:t>
      </w:r>
      <w:r>
        <w:rPr/>
        <w:t>层法定代表人：姜晓林</w:t>
      </w:r>
    </w:p>
    <w:p>
      <w:pPr>
        <w:pStyle w:val="BodyText"/>
        <w:spacing w:line="417" w:lineRule="auto"/>
        <w:ind w:left="640" w:right="652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ind w:left="640"/>
      </w:pPr>
      <w:r>
        <w:rPr/>
        <w:t>联系人：刘晓明</w:t>
      </w:r>
    </w:p>
    <w:p>
      <w:pPr>
        <w:pStyle w:val="BodyText"/>
        <w:spacing w:before="6"/>
        <w:rPr>
          <w:sz w:val="15"/>
        </w:rPr>
      </w:pPr>
    </w:p>
    <w:p>
      <w:pPr>
        <w:pStyle w:val="BodyText"/>
        <w:ind w:left="640"/>
        <w:rPr>
          <w:rFonts w:ascii="Times New Roman" w:eastAsia="Times New Roman"/>
        </w:rPr>
      </w:pPr>
      <w:r>
        <w:rPr/>
        <w:t>网址：</w:t>
      </w:r>
      <w:hyperlink r:id="rId80">
        <w:r>
          <w:rPr>
            <w:rFonts w:ascii="Times New Roman" w:eastAsia="Times New Roman"/>
          </w:rPr>
          <w:t>http://sd.citics.com</w:t>
        </w:r>
      </w:hyperlink>
    </w:p>
    <w:p>
      <w:pPr>
        <w:spacing w:after="0"/>
        <w:rPr>
          <w:rFonts w:ascii="Times New Roman" w:eastAsia="Times New Roman"/>
        </w:rPr>
        <w:sectPr>
          <w:pgSz w:w="11910" w:h="16840"/>
          <w:pgMar w:header="877" w:footer="995" w:top="1420" w:bottom="1180" w:left="1580" w:right="1200"/>
        </w:sectPr>
      </w:pPr>
    </w:p>
    <w:p>
      <w:pPr>
        <w:pStyle w:val="BodyText"/>
        <w:spacing w:before="110"/>
        <w:ind w:left="640"/>
        <w:rPr>
          <w:rFonts w:ascii="Times New Roman" w:eastAsia="Times New Roman"/>
        </w:rPr>
      </w:pPr>
      <w:r>
        <w:rPr/>
        <w:t>客户服务电话：</w:t>
      </w:r>
      <w:r>
        <w:rPr>
          <w:rFonts w:ascii="Times New Roman" w:eastAsia="Times New Roman"/>
        </w:rPr>
        <w:t>95548</w:t>
      </w:r>
    </w:p>
    <w:p>
      <w:pPr>
        <w:pStyle w:val="BodyText"/>
        <w:spacing w:before="3"/>
        <w:rPr>
          <w:rFonts w:ascii="Times New Roman"/>
          <w:sz w:val="17"/>
        </w:rPr>
      </w:pPr>
    </w:p>
    <w:p>
      <w:pPr>
        <w:pStyle w:val="ListParagraph"/>
        <w:numPr>
          <w:ilvl w:val="0"/>
          <w:numId w:val="7"/>
        </w:numPr>
        <w:tabs>
          <w:tab w:pos="1275" w:val="left" w:leader="none"/>
        </w:tabs>
        <w:spacing w:line="417" w:lineRule="auto" w:before="0" w:after="0"/>
        <w:ind w:left="640" w:right="5435" w:firstLine="0"/>
        <w:jc w:val="left"/>
        <w:rPr>
          <w:sz w:val="21"/>
        </w:rPr>
      </w:pPr>
      <w:r>
        <w:rPr>
          <w:spacing w:val="-3"/>
          <w:sz w:val="21"/>
        </w:rPr>
        <w:t>东吴证券股份有限公司  住所：苏州工业园区翠园路</w:t>
      </w:r>
      <w:r>
        <w:rPr>
          <w:rFonts w:ascii="Times New Roman" w:eastAsia="Times New Roman"/>
          <w:sz w:val="21"/>
        </w:rPr>
        <w:t>181</w:t>
      </w:r>
      <w:r>
        <w:rPr>
          <w:spacing w:val="-13"/>
          <w:sz w:val="21"/>
        </w:rPr>
        <w:t>号</w:t>
      </w:r>
    </w:p>
    <w:p>
      <w:pPr>
        <w:pStyle w:val="BodyText"/>
        <w:spacing w:line="417" w:lineRule="auto"/>
        <w:ind w:left="640" w:right="5224"/>
      </w:pPr>
      <w:r>
        <w:rPr/>
        <w:t>办公地址：苏州工业园区星阳街</w:t>
      </w:r>
      <w:r>
        <w:rPr>
          <w:rFonts w:ascii="Times New Roman" w:eastAsia="Times New Roman"/>
        </w:rPr>
        <w:t>5</w:t>
      </w:r>
      <w:r>
        <w:rPr/>
        <w:t>号法定代表人：范力</w:t>
      </w:r>
    </w:p>
    <w:p>
      <w:pPr>
        <w:pStyle w:val="BodyText"/>
        <w:spacing w:line="417" w:lineRule="auto"/>
        <w:ind w:left="640" w:right="652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ind w:left="640"/>
      </w:pPr>
      <w:r>
        <w:rPr/>
        <w:t>联系人：方晓丹</w:t>
      </w:r>
    </w:p>
    <w:p>
      <w:pPr>
        <w:pStyle w:val="BodyText"/>
        <w:spacing w:before="6"/>
        <w:rPr>
          <w:sz w:val="15"/>
        </w:rPr>
      </w:pPr>
    </w:p>
    <w:p>
      <w:pPr>
        <w:pStyle w:val="BodyText"/>
        <w:spacing w:line="417" w:lineRule="auto"/>
        <w:ind w:left="640" w:right="6195"/>
        <w:rPr>
          <w:rFonts w:ascii="Times New Roman" w:eastAsia="Times New Roman"/>
        </w:rPr>
      </w:pPr>
      <w:r>
        <w:rPr/>
        <w:t>网址：</w:t>
      </w:r>
      <w:hyperlink r:id="rId81">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信达证券股份有限公司</w:t>
      </w:r>
    </w:p>
    <w:p>
      <w:pPr>
        <w:pStyle w:val="BodyText"/>
        <w:spacing w:before="7"/>
        <w:rPr>
          <w:sz w:val="15"/>
        </w:rPr>
      </w:pPr>
    </w:p>
    <w:p>
      <w:pPr>
        <w:pStyle w:val="BodyText"/>
        <w:ind w:left="640"/>
      </w:pPr>
      <w:r>
        <w:rPr>
          <w:spacing w:val="-3"/>
        </w:rPr>
        <w:t>住所：北京市西城区闹市口大街</w:t>
      </w:r>
      <w:r>
        <w:rPr>
          <w:rFonts w:ascii="Times New Roman" w:eastAsia="Times New Roman"/>
        </w:rPr>
        <w:t>9</w:t>
      </w:r>
      <w:r>
        <w:rPr>
          <w:spacing w:val="-2"/>
        </w:rPr>
        <w:t>号院</w:t>
      </w:r>
      <w:r>
        <w:rPr>
          <w:rFonts w:ascii="Times New Roman" w:eastAsia="Times New Roman"/>
        </w:rPr>
        <w:t>1</w:t>
      </w:r>
      <w:r>
        <w:rPr>
          <w:spacing w:val="-3"/>
        </w:rPr>
        <w:t>号楼</w:t>
      </w:r>
    </w:p>
    <w:p>
      <w:pPr>
        <w:pStyle w:val="BodyText"/>
        <w:spacing w:before="7"/>
        <w:rPr>
          <w:sz w:val="15"/>
        </w:rPr>
      </w:pPr>
    </w:p>
    <w:p>
      <w:pPr>
        <w:pStyle w:val="BodyText"/>
        <w:spacing w:line="417" w:lineRule="auto"/>
        <w:ind w:left="640" w:right="4072"/>
      </w:pPr>
      <w:r>
        <w:rPr/>
        <w:t>办公地址：北京市西城区闹市口大街</w:t>
      </w:r>
      <w:r>
        <w:rPr>
          <w:rFonts w:ascii="Times New Roman" w:eastAsia="Times New Roman"/>
        </w:rPr>
        <w:t>9</w:t>
      </w:r>
      <w:r>
        <w:rPr/>
        <w:t>号院</w:t>
      </w:r>
      <w:r>
        <w:rPr>
          <w:rFonts w:ascii="Times New Roman" w:eastAsia="Times New Roman"/>
        </w:rPr>
        <w:t>1</w:t>
      </w:r>
      <w:r>
        <w:rPr/>
        <w:t>号楼法定代表人：肖林</w:t>
      </w:r>
    </w:p>
    <w:p>
      <w:pPr>
        <w:pStyle w:val="BodyText"/>
        <w:spacing w:line="417" w:lineRule="auto"/>
        <w:ind w:left="640" w:right="662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spacing w:line="269" w:lineRule="exact"/>
        <w:ind w:left="640"/>
      </w:pPr>
      <w:r>
        <w:rPr/>
        <w:t>联系人：付婷</w:t>
      </w:r>
    </w:p>
    <w:p>
      <w:pPr>
        <w:pStyle w:val="BodyText"/>
        <w:spacing w:before="7"/>
        <w:rPr>
          <w:sz w:val="15"/>
        </w:rPr>
      </w:pPr>
    </w:p>
    <w:p>
      <w:pPr>
        <w:pStyle w:val="BodyText"/>
        <w:spacing w:line="417" w:lineRule="auto"/>
        <w:ind w:left="640" w:right="6270"/>
        <w:rPr>
          <w:rFonts w:ascii="Times New Roman" w:eastAsia="Times New Roman"/>
        </w:rPr>
      </w:pPr>
      <w:r>
        <w:rPr/>
        <w:t>网址：</w:t>
      </w:r>
      <w:hyperlink r:id="rId82">
        <w:r>
          <w:rPr>
            <w:rFonts w:ascii="Times New Roman" w:eastAsia="Times New Roman"/>
          </w:rPr>
          <w:t>www.cindasc.com </w:t>
        </w:r>
      </w:hyperlink>
      <w:r>
        <w:rPr/>
        <w:t>客户服务电话：</w:t>
      </w:r>
      <w:r>
        <w:rPr>
          <w:rFonts w:ascii="Times New Roman" w:eastAsia="Times New Roman"/>
        </w:rPr>
        <w:t>95321</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长城证券股份有限公司</w:t>
      </w:r>
    </w:p>
    <w:p>
      <w:pPr>
        <w:pStyle w:val="BodyText"/>
        <w:spacing w:before="6"/>
        <w:rPr>
          <w:sz w:val="15"/>
        </w:rPr>
      </w:pPr>
    </w:p>
    <w:p>
      <w:pPr>
        <w:pStyle w:val="BodyText"/>
        <w:spacing w:before="1"/>
        <w:ind w:left="640"/>
      </w:pPr>
      <w:r>
        <w:rPr/>
        <w:t>住所：深圳市福田区福田街道金田路</w:t>
      </w:r>
      <w:r>
        <w:rPr>
          <w:rFonts w:ascii="Times New Roman" w:eastAsia="Times New Roman"/>
        </w:rPr>
        <w:t>2026</w:t>
      </w:r>
      <w:r>
        <w:rPr/>
        <w:t>号能源大厦南塔楼</w:t>
      </w:r>
      <w:r>
        <w:rPr>
          <w:rFonts w:ascii="Times New Roman" w:eastAsia="Times New Roman"/>
        </w:rPr>
        <w:t>10-19</w:t>
      </w:r>
      <w:r>
        <w:rPr/>
        <w:t>层</w:t>
      </w:r>
    </w:p>
    <w:p>
      <w:pPr>
        <w:pStyle w:val="BodyText"/>
        <w:spacing w:before="7"/>
        <w:rPr>
          <w:sz w:val="15"/>
        </w:rPr>
      </w:pPr>
    </w:p>
    <w:p>
      <w:pPr>
        <w:pStyle w:val="BodyText"/>
        <w:spacing w:line="417" w:lineRule="auto"/>
        <w:ind w:left="640" w:right="1897"/>
      </w:pPr>
      <w:r>
        <w:rPr/>
        <w:t>办公地址：深圳市福田区福田街道金田路</w:t>
      </w:r>
      <w:r>
        <w:rPr>
          <w:rFonts w:ascii="Times New Roman" w:eastAsia="Times New Roman"/>
        </w:rPr>
        <w:t>2026</w:t>
      </w:r>
      <w:r>
        <w:rPr/>
        <w:t>号能源大厦南塔楼</w:t>
      </w:r>
      <w:r>
        <w:rPr>
          <w:rFonts w:ascii="Times New Roman" w:eastAsia="Times New Roman"/>
        </w:rPr>
        <w:t>10-19</w:t>
      </w:r>
      <w:r>
        <w:rPr/>
        <w:t>层法定代表人：曹宏</w:t>
      </w:r>
    </w:p>
    <w:p>
      <w:pPr>
        <w:pStyle w:val="BodyText"/>
        <w:spacing w:line="417" w:lineRule="auto"/>
        <w:ind w:left="640" w:right="6520"/>
        <w:rPr>
          <w:rFonts w:ascii="Times New Roman" w:eastAsia="Times New Roman"/>
        </w:rPr>
      </w:pPr>
      <w:r>
        <w:rPr/>
        <w:t>电话：</w:t>
      </w:r>
      <w:r>
        <w:rPr>
          <w:rFonts w:ascii="Times New Roman" w:eastAsia="Times New Roman"/>
        </w:rPr>
        <w:t>0755-83530715 </w:t>
      </w:r>
      <w:r>
        <w:rPr/>
        <w:t>传真：</w:t>
      </w:r>
      <w:r>
        <w:rPr>
          <w:rFonts w:ascii="Times New Roman" w:eastAsia="Times New Roman"/>
        </w:rPr>
        <w:t>0755-83515567</w:t>
      </w:r>
    </w:p>
    <w:p>
      <w:pPr>
        <w:pStyle w:val="BodyText"/>
        <w:spacing w:line="269" w:lineRule="exact"/>
        <w:ind w:left="640"/>
      </w:pPr>
      <w:r>
        <w:rPr/>
        <w:t>联系人：梁浩</w:t>
      </w:r>
    </w:p>
    <w:p>
      <w:pPr>
        <w:pStyle w:val="BodyText"/>
        <w:spacing w:before="6"/>
        <w:rPr>
          <w:sz w:val="15"/>
        </w:rPr>
      </w:pPr>
    </w:p>
    <w:p>
      <w:pPr>
        <w:pStyle w:val="BodyText"/>
        <w:spacing w:line="417" w:lineRule="auto"/>
        <w:ind w:left="640" w:right="6487"/>
        <w:rPr>
          <w:rFonts w:ascii="Times New Roman" w:eastAsia="Times New Roman"/>
        </w:rPr>
      </w:pPr>
      <w:r>
        <w:rPr/>
        <w:t>网址：</w:t>
      </w:r>
      <w:hyperlink r:id="rId83">
        <w:r>
          <w:rPr>
            <w:rFonts w:ascii="Times New Roman" w:eastAsia="Times New Roman"/>
          </w:rPr>
          <w:t>www.cgws.com </w:t>
        </w:r>
      </w:hyperlink>
      <w:r>
        <w:rPr/>
        <w:t>客户服务电话：</w:t>
      </w:r>
      <w:r>
        <w:rPr>
          <w:rFonts w:ascii="Times New Roman" w:eastAsia="Times New Roman"/>
        </w:rPr>
        <w:t>95514</w:t>
      </w: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光大证券股份有限公司</w:t>
      </w:r>
    </w:p>
    <w:p>
      <w:pPr>
        <w:pStyle w:val="BodyText"/>
        <w:spacing w:before="7"/>
        <w:rPr>
          <w:sz w:val="15"/>
        </w:rPr>
      </w:pPr>
    </w:p>
    <w:p>
      <w:pPr>
        <w:pStyle w:val="BodyText"/>
        <w:ind w:left="640"/>
      </w:pPr>
      <w:r>
        <w:rPr/>
        <w:t>住所：上海市静安区新闸路</w:t>
      </w:r>
      <w:r>
        <w:rPr>
          <w:rFonts w:ascii="Times New Roman" w:eastAsia="Times New Roman"/>
        </w:rPr>
        <w:t>1508</w:t>
      </w:r>
      <w:r>
        <w:rPr/>
        <w:t>号</w:t>
      </w:r>
    </w:p>
    <w:p>
      <w:pPr>
        <w:spacing w:after="0"/>
        <w:sectPr>
          <w:pgSz w:w="11910" w:h="16840"/>
          <w:pgMar w:header="877" w:footer="995" w:top="1420" w:bottom="1180" w:left="1580" w:right="1200"/>
        </w:sectPr>
      </w:pPr>
    </w:p>
    <w:p>
      <w:pPr>
        <w:pStyle w:val="BodyText"/>
        <w:spacing w:line="417" w:lineRule="auto" w:before="110"/>
        <w:ind w:left="640" w:right="4909"/>
      </w:pPr>
      <w:r>
        <w:rPr/>
        <w:t>办公地址：上海市静安区新闸路</w:t>
      </w:r>
      <w:r>
        <w:rPr>
          <w:rFonts w:ascii="Times New Roman" w:eastAsia="Times New Roman"/>
        </w:rPr>
        <w:t>1508</w:t>
      </w:r>
      <w:r>
        <w:rPr/>
        <w:t>号法定代表人：薛峰</w:t>
      </w:r>
    </w:p>
    <w:p>
      <w:pPr>
        <w:pStyle w:val="BodyText"/>
        <w:spacing w:line="417" w:lineRule="auto"/>
        <w:ind w:left="640" w:right="662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spacing w:line="269" w:lineRule="exact"/>
        <w:ind w:left="640"/>
      </w:pPr>
      <w:r>
        <w:rPr/>
        <w:t>联系人：刘晨</w:t>
      </w:r>
    </w:p>
    <w:p>
      <w:pPr>
        <w:pStyle w:val="BodyText"/>
        <w:spacing w:before="6"/>
        <w:rPr>
          <w:sz w:val="15"/>
        </w:rPr>
      </w:pPr>
    </w:p>
    <w:p>
      <w:pPr>
        <w:pStyle w:val="BodyText"/>
        <w:ind w:left="640"/>
        <w:rPr>
          <w:rFonts w:ascii="Times New Roman" w:eastAsia="Times New Roman"/>
        </w:rPr>
      </w:pPr>
      <w:r>
        <w:rPr/>
        <w:t>网址：</w:t>
      </w:r>
      <w:hyperlink r:id="rId84">
        <w:r>
          <w:rPr>
            <w:rFonts w:ascii="Times New Roman" w:eastAsia="Times New Roman"/>
          </w:rPr>
          <w:t>www.ebscn.com</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中信证券华南股份有限公司</w:t>
      </w:r>
    </w:p>
    <w:p>
      <w:pPr>
        <w:pStyle w:val="BodyText"/>
        <w:spacing w:before="6"/>
        <w:rPr>
          <w:sz w:val="15"/>
        </w:rPr>
      </w:pPr>
    </w:p>
    <w:p>
      <w:pPr>
        <w:pStyle w:val="BodyText"/>
        <w:ind w:left="640"/>
      </w:pPr>
      <w:r>
        <w:rPr/>
        <w:t>住所：广州市天河区珠江西路</w:t>
      </w:r>
      <w:r>
        <w:rPr>
          <w:rFonts w:ascii="Times New Roman" w:eastAsia="Times New Roman"/>
        </w:rPr>
        <w:t>5</w:t>
      </w:r>
      <w:r>
        <w:rPr/>
        <w:t>号广州国际金融中心主塔</w:t>
      </w:r>
      <w:r>
        <w:rPr>
          <w:rFonts w:ascii="Times New Roman" w:eastAsia="Times New Roman"/>
        </w:rPr>
        <w:t>19</w:t>
      </w:r>
      <w:r>
        <w:rPr/>
        <w:t>层、</w:t>
      </w:r>
      <w:r>
        <w:rPr>
          <w:rFonts w:ascii="Times New Roman" w:eastAsia="Times New Roman"/>
        </w:rPr>
        <w:t>20</w:t>
      </w:r>
      <w:r>
        <w:rPr/>
        <w:t>层</w:t>
      </w:r>
    </w:p>
    <w:p>
      <w:pPr>
        <w:pStyle w:val="BodyText"/>
        <w:spacing w:before="7"/>
        <w:rPr>
          <w:sz w:val="15"/>
        </w:rPr>
      </w:pPr>
    </w:p>
    <w:p>
      <w:pPr>
        <w:pStyle w:val="BodyText"/>
        <w:spacing w:line="417" w:lineRule="auto"/>
        <w:ind w:left="640" w:right="1863"/>
      </w:pPr>
      <w:r>
        <w:rPr/>
        <w:t>办公地址：广州市天河区珠江西路</w:t>
      </w:r>
      <w:r>
        <w:rPr>
          <w:rFonts w:ascii="Times New Roman" w:eastAsia="Times New Roman"/>
        </w:rPr>
        <w:t>5</w:t>
      </w:r>
      <w:r>
        <w:rPr/>
        <w:t>号广州国际金融中心主塔</w:t>
      </w:r>
      <w:r>
        <w:rPr>
          <w:rFonts w:ascii="Times New Roman" w:eastAsia="Times New Roman"/>
        </w:rPr>
        <w:t>19</w:t>
      </w:r>
      <w:r>
        <w:rPr/>
        <w:t>层、</w:t>
      </w:r>
      <w:r>
        <w:rPr>
          <w:rFonts w:ascii="Times New Roman" w:eastAsia="Times New Roman"/>
        </w:rPr>
        <w:t>20</w:t>
      </w:r>
      <w:r>
        <w:rPr/>
        <w:t>层法定代表人：胡伏云</w:t>
      </w:r>
    </w:p>
    <w:p>
      <w:pPr>
        <w:pStyle w:val="BodyText"/>
        <w:spacing w:line="417" w:lineRule="auto"/>
        <w:ind w:left="640" w:right="662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9" w:lineRule="exact"/>
        <w:ind w:left="640"/>
      </w:pPr>
      <w:r>
        <w:rPr/>
        <w:t>联系人：陈靖</w:t>
      </w:r>
    </w:p>
    <w:p>
      <w:pPr>
        <w:pStyle w:val="BodyText"/>
        <w:spacing w:before="7"/>
        <w:rPr>
          <w:sz w:val="15"/>
        </w:rPr>
      </w:pPr>
    </w:p>
    <w:p>
      <w:pPr>
        <w:pStyle w:val="BodyText"/>
        <w:spacing w:line="417" w:lineRule="auto"/>
        <w:ind w:left="640" w:right="6371"/>
        <w:rPr>
          <w:rFonts w:ascii="Times New Roman" w:eastAsia="Times New Roman"/>
        </w:rPr>
      </w:pPr>
      <w:r>
        <w:rPr/>
        <w:t>网址：</w:t>
      </w:r>
      <w:hyperlink r:id="rId85">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7"/>
        </w:numPr>
        <w:tabs>
          <w:tab w:pos="1275" w:val="left" w:leader="none"/>
        </w:tabs>
        <w:spacing w:line="417" w:lineRule="auto" w:before="0" w:after="0"/>
        <w:ind w:left="640" w:right="5750" w:firstLine="0"/>
        <w:jc w:val="left"/>
        <w:rPr>
          <w:sz w:val="21"/>
        </w:rPr>
      </w:pPr>
      <w:r>
        <w:rPr>
          <w:spacing w:val="-5"/>
          <w:sz w:val="21"/>
        </w:rPr>
        <w:t>东北证券股份有限公司</w:t>
      </w:r>
      <w:r>
        <w:rPr>
          <w:spacing w:val="-3"/>
          <w:sz w:val="21"/>
        </w:rPr>
        <w:t>住所：长春市生态大街</w:t>
      </w:r>
      <w:r>
        <w:rPr>
          <w:rFonts w:ascii="Times New Roman" w:eastAsia="Times New Roman"/>
          <w:sz w:val="21"/>
        </w:rPr>
        <w:t>6666</w:t>
      </w:r>
      <w:r>
        <w:rPr>
          <w:spacing w:val="-11"/>
          <w:sz w:val="21"/>
        </w:rPr>
        <w:t>号</w:t>
      </w:r>
    </w:p>
    <w:p>
      <w:pPr>
        <w:pStyle w:val="BodyText"/>
        <w:spacing w:line="417" w:lineRule="auto"/>
        <w:ind w:left="640" w:right="5329"/>
      </w:pPr>
      <w:r>
        <w:rPr/>
        <w:t>办公地址：长春市生态大街</w:t>
      </w:r>
      <w:r>
        <w:rPr>
          <w:rFonts w:ascii="Times New Roman" w:eastAsia="Times New Roman"/>
        </w:rPr>
        <w:t>6666</w:t>
      </w:r>
      <w:r>
        <w:rPr/>
        <w:t>号法定代表人：李福春</w:t>
      </w:r>
    </w:p>
    <w:p>
      <w:pPr>
        <w:pStyle w:val="BodyText"/>
        <w:spacing w:line="417" w:lineRule="auto"/>
        <w:ind w:left="640" w:right="652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pStyle w:val="BodyText"/>
        <w:spacing w:line="417" w:lineRule="auto"/>
        <w:ind w:left="640" w:right="6734"/>
        <w:rPr>
          <w:rFonts w:ascii="Times New Roman" w:eastAsia="Times New Roman"/>
        </w:rPr>
      </w:pPr>
      <w:r>
        <w:rPr>
          <w:spacing w:val="-2"/>
        </w:rPr>
        <w:t>联系人：安岩岩 </w:t>
      </w:r>
      <w:r>
        <w:rPr>
          <w:spacing w:val="-3"/>
        </w:rPr>
        <w:t>网址：</w:t>
      </w:r>
      <w:hyperlink r:id="rId86">
        <w:r>
          <w:rPr>
            <w:rFonts w:ascii="Times New Roman" w:eastAsia="Times New Roman"/>
            <w:spacing w:val="-4"/>
          </w:rPr>
          <w:t>www.nesc.cn</w:t>
        </w:r>
      </w:hyperlink>
    </w:p>
    <w:p>
      <w:pPr>
        <w:pStyle w:val="BodyText"/>
        <w:spacing w:line="269" w:lineRule="exact"/>
        <w:ind w:left="640"/>
        <w:rPr>
          <w:rFonts w:ascii="Times New Roman" w:eastAsia="Times New Roman"/>
        </w:rPr>
      </w:pPr>
      <w:r>
        <w:rPr/>
        <w:t>客户服务电话：</w:t>
      </w:r>
      <w:r>
        <w:rPr>
          <w:rFonts w:ascii="Times New Roman" w:eastAsia="Times New Roman"/>
        </w:rPr>
        <w:t>95360</w:t>
      </w:r>
    </w:p>
    <w:p>
      <w:pPr>
        <w:pStyle w:val="BodyText"/>
        <w:spacing w:before="2"/>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南京证券股份有限公司</w:t>
      </w:r>
    </w:p>
    <w:p>
      <w:pPr>
        <w:pStyle w:val="BodyText"/>
        <w:spacing w:before="6"/>
        <w:rPr>
          <w:sz w:val="15"/>
        </w:rPr>
      </w:pPr>
    </w:p>
    <w:p>
      <w:pPr>
        <w:pStyle w:val="BodyText"/>
        <w:ind w:left="640"/>
      </w:pPr>
      <w:r>
        <w:rPr/>
        <w:t>住所：江苏省南京市江东中路</w:t>
      </w:r>
      <w:r>
        <w:rPr>
          <w:rFonts w:ascii="Times New Roman" w:eastAsia="Times New Roman"/>
        </w:rPr>
        <w:t>389</w:t>
      </w:r>
      <w:r>
        <w:rPr/>
        <w:t>号</w:t>
      </w:r>
    </w:p>
    <w:p>
      <w:pPr>
        <w:pStyle w:val="BodyText"/>
        <w:spacing w:before="7"/>
        <w:rPr>
          <w:sz w:val="15"/>
        </w:rPr>
      </w:pPr>
    </w:p>
    <w:p>
      <w:pPr>
        <w:pStyle w:val="BodyText"/>
        <w:spacing w:line="417" w:lineRule="auto"/>
        <w:ind w:left="640" w:right="4804"/>
      </w:pPr>
      <w:r>
        <w:rPr>
          <w:spacing w:val="-3"/>
        </w:rPr>
        <w:t>办公地址：江苏省南京市江东中路</w:t>
      </w:r>
      <w:r>
        <w:rPr>
          <w:rFonts w:ascii="Times New Roman" w:eastAsia="Times New Roman"/>
        </w:rPr>
        <w:t>389</w:t>
      </w:r>
      <w:r>
        <w:rPr>
          <w:spacing w:val="-12"/>
        </w:rPr>
        <w:t>号</w:t>
      </w:r>
      <w:r>
        <w:rPr>
          <w:spacing w:val="-3"/>
        </w:rPr>
        <w:t>法定代表人：李剑锋</w:t>
      </w:r>
    </w:p>
    <w:p>
      <w:pPr>
        <w:pStyle w:val="BodyText"/>
        <w:ind w:left="640"/>
        <w:rPr>
          <w:rFonts w:ascii="Times New Roman" w:eastAsia="Times New Roman"/>
        </w:rPr>
      </w:pPr>
      <w:r>
        <w:rPr>
          <w:spacing w:val="-1"/>
        </w:rPr>
        <w:t>电话：</w:t>
      </w:r>
      <w:r>
        <w:rPr>
          <w:rFonts w:ascii="Times New Roman" w:eastAsia="Times New Roman"/>
          <w:spacing w:val="-1"/>
        </w:rPr>
        <w:t>025-58519523</w:t>
      </w:r>
    </w:p>
    <w:p>
      <w:pPr>
        <w:spacing w:after="0"/>
        <w:rPr>
          <w:rFonts w:ascii="Times New Roman" w:eastAsia="Times New Roman"/>
        </w:rPr>
        <w:sectPr>
          <w:pgSz w:w="11910" w:h="16840"/>
          <w:pgMar w:header="877" w:footer="995" w:top="1420" w:bottom="1180" w:left="1580" w:right="1200"/>
        </w:sectPr>
      </w:pPr>
    </w:p>
    <w:p>
      <w:pPr>
        <w:pStyle w:val="BodyText"/>
        <w:spacing w:before="110"/>
        <w:ind w:left="640"/>
        <w:rPr>
          <w:rFonts w:ascii="Times New Roman" w:eastAsia="Times New Roman"/>
        </w:rPr>
      </w:pPr>
      <w:r>
        <w:rPr/>
        <w:t>传真：</w:t>
      </w:r>
      <w:r>
        <w:rPr>
          <w:rFonts w:ascii="Times New Roman" w:eastAsia="Times New Roman"/>
        </w:rPr>
        <w:t>025-83369725</w:t>
      </w:r>
    </w:p>
    <w:p>
      <w:pPr>
        <w:pStyle w:val="BodyText"/>
        <w:spacing w:before="3"/>
        <w:rPr>
          <w:rFonts w:ascii="Times New Roman"/>
          <w:sz w:val="17"/>
        </w:rPr>
      </w:pPr>
    </w:p>
    <w:p>
      <w:pPr>
        <w:pStyle w:val="BodyText"/>
        <w:ind w:left="640"/>
      </w:pPr>
      <w:r>
        <w:rPr/>
        <w:t>联系人：王万君</w:t>
      </w:r>
    </w:p>
    <w:p>
      <w:pPr>
        <w:pStyle w:val="BodyText"/>
        <w:spacing w:before="7"/>
        <w:rPr>
          <w:sz w:val="15"/>
        </w:rPr>
      </w:pPr>
    </w:p>
    <w:p>
      <w:pPr>
        <w:pStyle w:val="BodyText"/>
        <w:spacing w:line="417" w:lineRule="auto"/>
        <w:ind w:left="640" w:right="6289"/>
        <w:rPr>
          <w:rFonts w:ascii="Times New Roman" w:eastAsia="Times New Roman"/>
        </w:rPr>
      </w:pPr>
      <w:r>
        <w:rPr/>
        <w:t>网址：</w:t>
      </w:r>
      <w:hyperlink r:id="rId87">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新时代证券股份有限公司</w:t>
      </w:r>
    </w:p>
    <w:p>
      <w:pPr>
        <w:pStyle w:val="BodyText"/>
        <w:spacing w:before="6"/>
        <w:rPr>
          <w:sz w:val="15"/>
        </w:rPr>
      </w:pPr>
    </w:p>
    <w:p>
      <w:pPr>
        <w:pStyle w:val="BodyText"/>
        <w:spacing w:before="1"/>
        <w:ind w:left="640"/>
        <w:rPr>
          <w:rFonts w:ascii="Times New Roman" w:eastAsia="Times New Roman"/>
        </w:rPr>
      </w:pPr>
      <w:r>
        <w:rPr/>
        <w:t>住所：北京市海淀区北三环西路</w:t>
      </w:r>
      <w:r>
        <w:rPr>
          <w:rFonts w:ascii="Times New Roman" w:eastAsia="Times New Roman"/>
        </w:rPr>
        <w:t>99</w:t>
      </w:r>
      <w:r>
        <w:rPr/>
        <w:t>号院</w:t>
      </w:r>
      <w:r>
        <w:rPr>
          <w:rFonts w:ascii="Times New Roman" w:eastAsia="Times New Roman"/>
        </w:rPr>
        <w:t>1</w:t>
      </w:r>
      <w:r>
        <w:rPr/>
        <w:t>号楼</w:t>
      </w:r>
      <w:r>
        <w:rPr>
          <w:rFonts w:ascii="Times New Roman" w:eastAsia="Times New Roman"/>
        </w:rPr>
        <w:t>15</w:t>
      </w:r>
      <w:r>
        <w:rPr/>
        <w:t>层</w:t>
      </w:r>
      <w:r>
        <w:rPr>
          <w:rFonts w:ascii="Times New Roman" w:eastAsia="Times New Roman"/>
        </w:rPr>
        <w:t>1501</w:t>
      </w:r>
    </w:p>
    <w:p>
      <w:pPr>
        <w:pStyle w:val="BodyText"/>
        <w:spacing w:before="3"/>
        <w:rPr>
          <w:rFonts w:ascii="Times New Roman"/>
          <w:sz w:val="17"/>
        </w:rPr>
      </w:pPr>
    </w:p>
    <w:p>
      <w:pPr>
        <w:pStyle w:val="BodyText"/>
        <w:spacing w:line="417" w:lineRule="auto"/>
        <w:ind w:left="640" w:right="3123"/>
      </w:pPr>
      <w:r>
        <w:rPr/>
        <w:t>办公地址：北京市海淀区北三环西路</w:t>
      </w:r>
      <w:r>
        <w:rPr>
          <w:rFonts w:ascii="Times New Roman" w:eastAsia="Times New Roman"/>
        </w:rPr>
        <w:t>99</w:t>
      </w:r>
      <w:r>
        <w:rPr/>
        <w:t>号院</w:t>
      </w:r>
      <w:r>
        <w:rPr>
          <w:rFonts w:ascii="Times New Roman" w:eastAsia="Times New Roman"/>
        </w:rPr>
        <w:t>1</w:t>
      </w:r>
      <w:r>
        <w:rPr/>
        <w:t>号楼</w:t>
      </w:r>
      <w:r>
        <w:rPr>
          <w:rFonts w:ascii="Times New Roman" w:eastAsia="Times New Roman"/>
        </w:rPr>
        <w:t>15</w:t>
      </w:r>
      <w:r>
        <w:rPr/>
        <w:t>层</w:t>
      </w:r>
      <w:r>
        <w:rPr>
          <w:rFonts w:ascii="Times New Roman" w:eastAsia="Times New Roman"/>
        </w:rPr>
        <w:t>1501 </w:t>
      </w:r>
      <w:r>
        <w:rPr/>
        <w:t>法定代表人：林雯</w:t>
      </w:r>
    </w:p>
    <w:p>
      <w:pPr>
        <w:pStyle w:val="BodyText"/>
        <w:spacing w:line="417" w:lineRule="auto"/>
        <w:ind w:left="640" w:right="6626"/>
        <w:rPr>
          <w:rFonts w:ascii="Times New Roman" w:eastAsia="Times New Roman"/>
        </w:rPr>
      </w:pPr>
      <w:r>
        <w:rPr/>
        <w:t>电话：</w:t>
      </w:r>
      <w:r>
        <w:rPr>
          <w:rFonts w:ascii="Times New Roman" w:eastAsia="Times New Roman"/>
        </w:rPr>
        <w:t>010-83561146 </w:t>
      </w:r>
      <w:r>
        <w:rPr/>
        <w:t>传真：</w:t>
      </w:r>
      <w:r>
        <w:rPr>
          <w:rFonts w:ascii="Times New Roman" w:eastAsia="Times New Roman"/>
        </w:rPr>
        <w:t>010-83561094</w:t>
      </w:r>
    </w:p>
    <w:p>
      <w:pPr>
        <w:pStyle w:val="BodyText"/>
        <w:spacing w:line="269" w:lineRule="exact"/>
        <w:ind w:left="640"/>
      </w:pPr>
      <w:r>
        <w:rPr/>
        <w:t>联系人：田芳芳</w:t>
      </w:r>
    </w:p>
    <w:p>
      <w:pPr>
        <w:pStyle w:val="BodyText"/>
        <w:spacing w:before="7"/>
        <w:rPr>
          <w:sz w:val="15"/>
        </w:rPr>
      </w:pPr>
    </w:p>
    <w:p>
      <w:pPr>
        <w:pStyle w:val="BodyText"/>
        <w:spacing w:line="417" w:lineRule="auto"/>
        <w:ind w:left="640" w:right="6487"/>
        <w:rPr>
          <w:rFonts w:ascii="Times New Roman" w:eastAsia="Times New Roman"/>
        </w:rPr>
      </w:pPr>
      <w:r>
        <w:rPr/>
        <w:t>网址：</w:t>
      </w:r>
      <w:hyperlink r:id="rId88">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大同证券有限责任公司</w:t>
      </w:r>
    </w:p>
    <w:p>
      <w:pPr>
        <w:pStyle w:val="BodyText"/>
        <w:spacing w:before="7"/>
        <w:rPr>
          <w:sz w:val="15"/>
        </w:rPr>
      </w:pPr>
    </w:p>
    <w:p>
      <w:pPr>
        <w:pStyle w:val="BodyText"/>
        <w:ind w:left="640"/>
      </w:pPr>
      <w:r>
        <w:rPr>
          <w:spacing w:val="-3"/>
        </w:rPr>
        <w:t>住所：大同市城区迎宾街</w:t>
      </w:r>
      <w:r>
        <w:rPr>
          <w:rFonts w:ascii="Times New Roman" w:eastAsia="Times New Roman"/>
          <w:spacing w:val="-1"/>
        </w:rPr>
        <w:t>15</w:t>
      </w:r>
      <w:r>
        <w:rPr>
          <w:spacing w:val="-3"/>
        </w:rPr>
        <w:t>号桐城中央</w:t>
      </w:r>
      <w:r>
        <w:rPr>
          <w:rFonts w:ascii="Times New Roman" w:eastAsia="Times New Roman"/>
        </w:rPr>
        <w:t>21</w:t>
      </w:r>
      <w:r>
        <w:rPr/>
        <w:t>层</w:t>
      </w:r>
    </w:p>
    <w:p>
      <w:pPr>
        <w:pStyle w:val="BodyText"/>
        <w:spacing w:before="7"/>
        <w:rPr>
          <w:sz w:val="15"/>
        </w:rPr>
      </w:pPr>
    </w:p>
    <w:p>
      <w:pPr>
        <w:pStyle w:val="BodyText"/>
        <w:spacing w:line="417" w:lineRule="auto"/>
        <w:ind w:left="640" w:right="2503"/>
      </w:pPr>
      <w:r>
        <w:rPr/>
        <w:t>办公地址：山西省太原市长治路</w:t>
      </w:r>
      <w:r>
        <w:rPr>
          <w:rFonts w:ascii="Times New Roman" w:eastAsia="Times New Roman"/>
        </w:rPr>
        <w:t>111</w:t>
      </w:r>
      <w:r>
        <w:rPr/>
        <w:t>号山西世贸中心</w:t>
      </w:r>
      <w:r>
        <w:rPr>
          <w:rFonts w:ascii="Times New Roman" w:eastAsia="Times New Roman"/>
        </w:rPr>
        <w:t>A</w:t>
      </w:r>
      <w:r>
        <w:rPr/>
        <w:t>座</w:t>
      </w:r>
      <w:r>
        <w:rPr>
          <w:rFonts w:ascii="Times New Roman" w:eastAsia="Times New Roman"/>
        </w:rPr>
        <w:t>F12</w:t>
      </w:r>
      <w:r>
        <w:rPr/>
        <w:t>、</w:t>
      </w:r>
      <w:r>
        <w:rPr>
          <w:rFonts w:ascii="Times New Roman" w:eastAsia="Times New Roman"/>
        </w:rPr>
        <w:t>F13 </w:t>
      </w:r>
      <w:r>
        <w:rPr/>
        <w:t>法定代表人：董祥</w:t>
      </w:r>
    </w:p>
    <w:p>
      <w:pPr>
        <w:pStyle w:val="BodyText"/>
        <w:spacing w:line="417" w:lineRule="auto"/>
        <w:ind w:left="640" w:right="6626"/>
        <w:rPr>
          <w:rFonts w:ascii="Times New Roman" w:eastAsia="Times New Roman"/>
        </w:rPr>
      </w:pPr>
      <w:r>
        <w:rPr/>
        <w:t>电话：</w:t>
      </w:r>
      <w:r>
        <w:rPr>
          <w:rFonts w:ascii="Times New Roman" w:eastAsia="Times New Roman"/>
        </w:rPr>
        <w:t>0351-4130322 </w:t>
      </w:r>
      <w:r>
        <w:rPr/>
        <w:t>传真：</w:t>
      </w:r>
      <w:r>
        <w:rPr>
          <w:rFonts w:ascii="Times New Roman" w:eastAsia="Times New Roman"/>
        </w:rPr>
        <w:t>0351-4192803</w:t>
      </w:r>
    </w:p>
    <w:p>
      <w:pPr>
        <w:pStyle w:val="BodyText"/>
        <w:spacing w:line="269" w:lineRule="exact"/>
        <w:ind w:left="640"/>
      </w:pPr>
      <w:r>
        <w:rPr/>
        <w:t>联系人：薛津</w:t>
      </w:r>
    </w:p>
    <w:p>
      <w:pPr>
        <w:pStyle w:val="BodyText"/>
        <w:spacing w:before="6"/>
        <w:rPr>
          <w:sz w:val="15"/>
        </w:rPr>
      </w:pPr>
    </w:p>
    <w:p>
      <w:pPr>
        <w:pStyle w:val="BodyText"/>
        <w:ind w:left="640"/>
        <w:rPr>
          <w:rFonts w:ascii="Times New Roman" w:eastAsia="Times New Roman"/>
        </w:rPr>
      </w:pPr>
      <w:r>
        <w:rPr/>
        <w:t>网址：</w:t>
      </w:r>
      <w:hyperlink r:id="rId89">
        <w:r>
          <w:rPr>
            <w:rFonts w:ascii="Times New Roman" w:eastAsia="Times New Roman"/>
          </w:rPr>
          <w:t>www.dtsbc.com.cn</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400-712-1212</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国联证券股份有限公司</w:t>
      </w:r>
    </w:p>
    <w:p>
      <w:pPr>
        <w:pStyle w:val="BodyText"/>
        <w:spacing w:before="7"/>
        <w:rPr>
          <w:sz w:val="15"/>
        </w:rPr>
      </w:pPr>
    </w:p>
    <w:p>
      <w:pPr>
        <w:pStyle w:val="BodyText"/>
        <w:ind w:left="640"/>
      </w:pPr>
      <w:r>
        <w:rPr/>
        <w:t>住所：无锡市太湖新城金融一街</w:t>
      </w:r>
      <w:r>
        <w:rPr>
          <w:rFonts w:ascii="Times New Roman" w:eastAsia="Times New Roman"/>
        </w:rPr>
        <w:t>8</w:t>
      </w:r>
      <w:r>
        <w:rPr/>
        <w:t>号国联金融大厦</w:t>
      </w:r>
    </w:p>
    <w:p>
      <w:pPr>
        <w:pStyle w:val="BodyText"/>
        <w:spacing w:before="6"/>
        <w:rPr>
          <w:sz w:val="15"/>
        </w:rPr>
      </w:pPr>
    </w:p>
    <w:p>
      <w:pPr>
        <w:pStyle w:val="BodyText"/>
        <w:spacing w:line="417" w:lineRule="auto"/>
        <w:ind w:left="640" w:right="3546"/>
      </w:pPr>
      <w:r>
        <w:rPr/>
        <w:t>办公地址：无锡市太湖新城金融一街</w:t>
      </w:r>
      <w:r>
        <w:rPr>
          <w:rFonts w:ascii="Times New Roman" w:eastAsia="Times New Roman"/>
        </w:rPr>
        <w:t>8</w:t>
      </w:r>
      <w:r>
        <w:rPr/>
        <w:t>号国联金融大厦法定代表人：姚志勇</w:t>
      </w:r>
    </w:p>
    <w:p>
      <w:pPr>
        <w:pStyle w:val="BodyText"/>
        <w:spacing w:line="417" w:lineRule="auto"/>
        <w:ind w:left="640" w:right="652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pStyle w:val="BodyText"/>
        <w:ind w:left="640"/>
      </w:pPr>
      <w:r>
        <w:rPr/>
        <w:t>联系人：祁昊</w:t>
      </w:r>
    </w:p>
    <w:p>
      <w:pPr>
        <w:pStyle w:val="BodyText"/>
        <w:spacing w:before="7"/>
        <w:rPr>
          <w:sz w:val="15"/>
        </w:rPr>
      </w:pPr>
    </w:p>
    <w:p>
      <w:pPr>
        <w:pStyle w:val="BodyText"/>
        <w:ind w:left="640"/>
        <w:rPr>
          <w:rFonts w:ascii="Times New Roman" w:eastAsia="Times New Roman"/>
        </w:rPr>
      </w:pPr>
      <w:r>
        <w:rPr/>
        <w:t>网址：</w:t>
      </w:r>
      <w:hyperlink r:id="rId90">
        <w:r>
          <w:rPr>
            <w:rFonts w:ascii="Times New Roman" w:eastAsia="Times New Roman"/>
          </w:rPr>
          <w:t>www.glsc.com.cn</w:t>
        </w:r>
      </w:hyperlink>
    </w:p>
    <w:p>
      <w:pPr>
        <w:spacing w:after="0"/>
        <w:rPr>
          <w:rFonts w:ascii="Times New Roman" w:eastAsia="Times New Roman"/>
        </w:rPr>
        <w:sectPr>
          <w:pgSz w:w="11910" w:h="16840"/>
          <w:pgMar w:header="877" w:footer="995" w:top="1420" w:bottom="1180" w:left="1580" w:right="1200"/>
        </w:sectPr>
      </w:pPr>
    </w:p>
    <w:p>
      <w:pPr>
        <w:pStyle w:val="BodyText"/>
        <w:spacing w:before="110"/>
        <w:ind w:left="640"/>
        <w:rPr>
          <w:rFonts w:ascii="Times New Roman" w:eastAsia="Times New Roman"/>
        </w:rPr>
      </w:pPr>
      <w:r>
        <w:rPr/>
        <w:t>客户服务电话：</w:t>
      </w:r>
      <w:r>
        <w:rPr>
          <w:rFonts w:ascii="Times New Roman" w:eastAsia="Times New Roman"/>
        </w:rPr>
        <w:t>95570</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平安证券股份有限公司</w:t>
      </w:r>
    </w:p>
    <w:p>
      <w:pPr>
        <w:pStyle w:val="BodyText"/>
        <w:spacing w:before="7"/>
        <w:rPr>
          <w:sz w:val="15"/>
        </w:rPr>
      </w:pPr>
    </w:p>
    <w:p>
      <w:pPr>
        <w:pStyle w:val="BodyText"/>
        <w:spacing w:line="417" w:lineRule="auto"/>
        <w:ind w:left="640" w:right="1969"/>
      </w:pPr>
      <w:r>
        <w:rPr/>
        <w:t>住所：深圳市福田区福田街道益田路</w:t>
      </w:r>
      <w:r>
        <w:rPr>
          <w:rFonts w:ascii="Times New Roman" w:eastAsia="Times New Roman"/>
        </w:rPr>
        <w:t>5023</w:t>
      </w:r>
      <w:r>
        <w:rPr/>
        <w:t>号平安金融中心</w:t>
      </w:r>
      <w:r>
        <w:rPr>
          <w:rFonts w:ascii="Times New Roman" w:eastAsia="Times New Roman"/>
        </w:rPr>
        <w:t>B</w:t>
      </w:r>
      <w:r>
        <w:rPr/>
        <w:t>座第</w:t>
      </w:r>
      <w:r>
        <w:rPr>
          <w:rFonts w:ascii="Times New Roman" w:eastAsia="Times New Roman"/>
        </w:rPr>
        <w:t>22-25</w:t>
      </w:r>
      <w:r>
        <w:rPr/>
        <w:t>层办公地址：深圳市福田中心区金田路</w:t>
      </w:r>
      <w:r>
        <w:rPr>
          <w:rFonts w:ascii="Times New Roman" w:eastAsia="Times New Roman"/>
        </w:rPr>
        <w:t>4036</w:t>
      </w:r>
      <w:r>
        <w:rPr/>
        <w:t>号荣超大厦</w:t>
      </w:r>
      <w:r>
        <w:rPr>
          <w:rFonts w:ascii="Times New Roman" w:eastAsia="Times New Roman"/>
        </w:rPr>
        <w:t>16-20</w:t>
      </w:r>
      <w:r>
        <w:rPr/>
        <w:t>层</w:t>
      </w:r>
    </w:p>
    <w:p>
      <w:pPr>
        <w:pStyle w:val="BodyText"/>
        <w:spacing w:line="417" w:lineRule="auto"/>
        <w:ind w:left="640" w:right="659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pStyle w:val="BodyText"/>
        <w:ind w:left="640"/>
      </w:pPr>
      <w:r>
        <w:rPr/>
        <w:t>联系人：王阳</w:t>
      </w:r>
    </w:p>
    <w:p>
      <w:pPr>
        <w:pStyle w:val="BodyText"/>
        <w:spacing w:before="6"/>
        <w:rPr>
          <w:sz w:val="15"/>
        </w:rPr>
      </w:pPr>
    </w:p>
    <w:p>
      <w:pPr>
        <w:pStyle w:val="BodyText"/>
        <w:spacing w:line="417" w:lineRule="auto"/>
        <w:ind w:left="640" w:right="6280"/>
        <w:rPr>
          <w:rFonts w:ascii="Times New Roman" w:eastAsia="Times New Roman"/>
        </w:rPr>
      </w:pPr>
      <w:r>
        <w:rPr/>
        <w:t>网址：</w:t>
      </w:r>
      <w:hyperlink r:id="rId91">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华安证券股份有限公司</w:t>
      </w:r>
    </w:p>
    <w:p>
      <w:pPr>
        <w:pStyle w:val="BodyText"/>
        <w:spacing w:before="7"/>
        <w:rPr>
          <w:sz w:val="15"/>
        </w:rPr>
      </w:pPr>
    </w:p>
    <w:p>
      <w:pPr>
        <w:pStyle w:val="BodyText"/>
        <w:ind w:left="640"/>
      </w:pPr>
      <w:r>
        <w:rPr/>
        <w:t>住所：安徽省合肥市政务文化新区天鹅湖路</w:t>
      </w:r>
      <w:r>
        <w:rPr>
          <w:rFonts w:ascii="Times New Roman" w:eastAsia="Times New Roman"/>
        </w:rPr>
        <w:t>198</w:t>
      </w:r>
      <w:r>
        <w:rPr/>
        <w:t>号</w:t>
      </w:r>
    </w:p>
    <w:p>
      <w:pPr>
        <w:pStyle w:val="BodyText"/>
        <w:spacing w:before="7"/>
        <w:rPr>
          <w:sz w:val="15"/>
        </w:rPr>
      </w:pPr>
    </w:p>
    <w:p>
      <w:pPr>
        <w:pStyle w:val="BodyText"/>
        <w:spacing w:line="417" w:lineRule="auto"/>
        <w:ind w:left="640" w:right="2250"/>
      </w:pPr>
      <w:r>
        <w:rPr/>
        <w:t>办公地址：安徽省合肥市政务文化新区天鹅湖路</w:t>
      </w:r>
      <w:r>
        <w:rPr>
          <w:rFonts w:ascii="Times New Roman" w:eastAsia="Times New Roman"/>
        </w:rPr>
        <w:t>198</w:t>
      </w:r>
      <w:r>
        <w:rPr/>
        <w:t>号财智中心</w:t>
      </w:r>
      <w:r>
        <w:rPr>
          <w:rFonts w:ascii="Times New Roman" w:eastAsia="Times New Roman"/>
        </w:rPr>
        <w:t>B1</w:t>
      </w:r>
      <w:r>
        <w:rPr/>
        <w:t>座法定代表人：章宏韬</w:t>
      </w:r>
    </w:p>
    <w:p>
      <w:pPr>
        <w:pStyle w:val="BodyText"/>
        <w:spacing w:line="417" w:lineRule="auto"/>
        <w:ind w:left="640" w:right="652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spacing w:line="269" w:lineRule="exact"/>
        <w:ind w:left="640"/>
      </w:pPr>
      <w:r>
        <w:rPr/>
        <w:t>联系人：范超</w:t>
      </w:r>
    </w:p>
    <w:p>
      <w:pPr>
        <w:pStyle w:val="BodyText"/>
        <w:spacing w:before="7"/>
        <w:rPr>
          <w:sz w:val="15"/>
        </w:rPr>
      </w:pPr>
    </w:p>
    <w:p>
      <w:pPr>
        <w:pStyle w:val="BodyText"/>
        <w:spacing w:line="417" w:lineRule="auto"/>
        <w:ind w:left="640" w:right="6487"/>
        <w:rPr>
          <w:rFonts w:ascii="Times New Roman" w:eastAsia="Times New Roman"/>
        </w:rPr>
      </w:pPr>
      <w:r>
        <w:rPr/>
        <w:t>网址：</w:t>
      </w:r>
      <w:hyperlink r:id="rId92">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国都证券股份有限公司</w:t>
      </w:r>
    </w:p>
    <w:p>
      <w:pPr>
        <w:pStyle w:val="BodyText"/>
        <w:spacing w:before="6"/>
        <w:rPr>
          <w:sz w:val="15"/>
        </w:rPr>
      </w:pPr>
    </w:p>
    <w:p>
      <w:pPr>
        <w:pStyle w:val="BodyText"/>
        <w:ind w:left="640"/>
      </w:pPr>
      <w:r>
        <w:rPr/>
        <w:t>住所：北京市东城区东直门南大街</w:t>
      </w:r>
      <w:r>
        <w:rPr>
          <w:rFonts w:ascii="Times New Roman" w:eastAsia="Times New Roman"/>
        </w:rPr>
        <w:t>3</w:t>
      </w:r>
      <w:r>
        <w:rPr/>
        <w:t>号国华投资大厦</w:t>
      </w:r>
      <w:r>
        <w:rPr>
          <w:rFonts w:ascii="Times New Roman" w:eastAsia="Times New Roman"/>
        </w:rPr>
        <w:t>9</w:t>
      </w:r>
      <w:r>
        <w:rPr/>
        <w:t>层、</w:t>
      </w:r>
      <w:r>
        <w:rPr>
          <w:rFonts w:ascii="Times New Roman" w:eastAsia="Times New Roman"/>
        </w:rPr>
        <w:t>10</w:t>
      </w:r>
      <w:r>
        <w:rPr/>
        <w:t>层</w:t>
      </w:r>
    </w:p>
    <w:p>
      <w:pPr>
        <w:pStyle w:val="BodyText"/>
        <w:spacing w:before="8"/>
        <w:rPr>
          <w:sz w:val="15"/>
        </w:rPr>
      </w:pPr>
    </w:p>
    <w:p>
      <w:pPr>
        <w:pStyle w:val="BodyText"/>
        <w:spacing w:line="417" w:lineRule="auto"/>
        <w:ind w:left="640" w:right="2389"/>
      </w:pPr>
      <w:r>
        <w:rPr>
          <w:spacing w:val="-3"/>
        </w:rPr>
        <w:t>办公地址：北京市东城区东直门南大街</w:t>
      </w:r>
      <w:r>
        <w:rPr>
          <w:rFonts w:ascii="Times New Roman" w:eastAsia="Times New Roman"/>
          <w:spacing w:val="-3"/>
        </w:rPr>
        <w:t>3</w:t>
      </w:r>
      <w:r>
        <w:rPr>
          <w:spacing w:val="-3"/>
        </w:rPr>
        <w:t>号国华投资大厦</w:t>
      </w:r>
      <w:r>
        <w:rPr>
          <w:rFonts w:ascii="Times New Roman" w:eastAsia="Times New Roman"/>
          <w:spacing w:val="-3"/>
        </w:rPr>
        <w:t>9</w:t>
      </w:r>
      <w:r>
        <w:rPr/>
        <w:t>层、</w:t>
      </w:r>
      <w:r>
        <w:rPr>
          <w:rFonts w:ascii="Times New Roman" w:eastAsia="Times New Roman"/>
        </w:rPr>
        <w:t>10</w:t>
      </w:r>
      <w:r>
        <w:rPr/>
        <w:t>层</w:t>
      </w:r>
      <w:r>
        <w:rPr>
          <w:spacing w:val="-3"/>
        </w:rPr>
        <w:t>法定代表人：翁振杰</w:t>
      </w:r>
    </w:p>
    <w:p>
      <w:pPr>
        <w:pStyle w:val="BodyText"/>
        <w:spacing w:line="269" w:lineRule="exact"/>
        <w:ind w:left="640"/>
        <w:rPr>
          <w:rFonts w:ascii="Times New Roman" w:eastAsia="Times New Roman"/>
        </w:rPr>
      </w:pPr>
      <w:r>
        <w:rPr>
          <w:spacing w:val="-1"/>
        </w:rPr>
        <w:t>电话：</w:t>
      </w:r>
      <w:r>
        <w:rPr>
          <w:rFonts w:ascii="Times New Roman" w:eastAsia="Times New Roman"/>
          <w:spacing w:val="-1"/>
        </w:rPr>
        <w:t>010-84183389</w:t>
      </w:r>
    </w:p>
    <w:p>
      <w:pPr>
        <w:pStyle w:val="BodyText"/>
        <w:spacing w:before="3"/>
        <w:rPr>
          <w:rFonts w:ascii="Times New Roman"/>
          <w:sz w:val="17"/>
        </w:rPr>
      </w:pPr>
    </w:p>
    <w:p>
      <w:pPr>
        <w:pStyle w:val="BodyText"/>
        <w:ind w:left="640"/>
        <w:rPr>
          <w:rFonts w:ascii="Times New Roman" w:eastAsia="Times New Roman"/>
        </w:rPr>
      </w:pPr>
      <w:r>
        <w:rPr/>
        <w:t>传真：</w:t>
      </w:r>
      <w:r>
        <w:rPr>
          <w:rFonts w:ascii="Times New Roman" w:eastAsia="Times New Roman"/>
        </w:rPr>
        <w:t>010-84183311-3389</w:t>
      </w:r>
    </w:p>
    <w:p>
      <w:pPr>
        <w:pStyle w:val="BodyText"/>
        <w:spacing w:before="4"/>
        <w:rPr>
          <w:rFonts w:ascii="Times New Roman"/>
          <w:sz w:val="17"/>
        </w:rPr>
      </w:pPr>
    </w:p>
    <w:p>
      <w:pPr>
        <w:pStyle w:val="BodyText"/>
        <w:ind w:left="640"/>
      </w:pPr>
      <w:r>
        <w:rPr/>
        <w:t>联系人：黄静</w:t>
      </w:r>
    </w:p>
    <w:p>
      <w:pPr>
        <w:pStyle w:val="BodyText"/>
        <w:spacing w:before="6"/>
        <w:rPr>
          <w:sz w:val="15"/>
        </w:rPr>
      </w:pPr>
    </w:p>
    <w:p>
      <w:pPr>
        <w:pStyle w:val="BodyText"/>
        <w:ind w:left="640"/>
        <w:rPr>
          <w:rFonts w:ascii="Times New Roman" w:eastAsia="Times New Roman"/>
        </w:rPr>
      </w:pPr>
      <w:r>
        <w:rPr/>
        <w:t>网址：</w:t>
      </w:r>
      <w:hyperlink r:id="rId93">
        <w:r>
          <w:rPr>
            <w:rFonts w:ascii="Times New Roman" w:eastAsia="Times New Roman"/>
          </w:rPr>
          <w:t>www.guodu.com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400-818-8118</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东海证券股份有限公司</w:t>
      </w:r>
    </w:p>
    <w:p>
      <w:pPr>
        <w:pStyle w:val="BodyText"/>
        <w:spacing w:before="6"/>
        <w:rPr>
          <w:sz w:val="15"/>
        </w:rPr>
      </w:pPr>
    </w:p>
    <w:p>
      <w:pPr>
        <w:pStyle w:val="BodyText"/>
        <w:spacing w:before="1"/>
        <w:ind w:left="640"/>
      </w:pPr>
      <w:r>
        <w:rPr/>
        <w:t>住所：江苏省常州延陵西路</w:t>
      </w:r>
      <w:r>
        <w:rPr>
          <w:rFonts w:ascii="Times New Roman" w:eastAsia="Times New Roman"/>
        </w:rPr>
        <w:t>23</w:t>
      </w:r>
      <w:r>
        <w:rPr/>
        <w:t>号投资广场</w:t>
      </w:r>
      <w:r>
        <w:rPr>
          <w:rFonts w:ascii="Times New Roman" w:eastAsia="Times New Roman"/>
        </w:rPr>
        <w:t>18</w:t>
      </w:r>
      <w:r>
        <w:rPr/>
        <w:t>层</w:t>
      </w:r>
    </w:p>
    <w:p>
      <w:pPr>
        <w:spacing w:after="0"/>
        <w:sectPr>
          <w:pgSz w:w="11910" w:h="16840"/>
          <w:pgMar w:header="877" w:footer="995" w:top="1420" w:bottom="1180" w:left="1580" w:right="1200"/>
        </w:sectPr>
      </w:pPr>
    </w:p>
    <w:p>
      <w:pPr>
        <w:pStyle w:val="BodyText"/>
        <w:spacing w:line="417" w:lineRule="auto" w:before="110"/>
        <w:ind w:left="640" w:right="3438"/>
      </w:pPr>
      <w:r>
        <w:rPr/>
        <w:t>办公地址：上海市浦东新区东方路</w:t>
      </w:r>
      <w:r>
        <w:rPr>
          <w:rFonts w:ascii="Times New Roman" w:eastAsia="Times New Roman"/>
        </w:rPr>
        <w:t>1928</w:t>
      </w:r>
      <w:r>
        <w:rPr/>
        <w:t>号东海证券大厦法定代表人：钱俊文</w:t>
      </w:r>
    </w:p>
    <w:p>
      <w:pPr>
        <w:pStyle w:val="BodyText"/>
        <w:spacing w:line="417" w:lineRule="auto"/>
        <w:ind w:left="640" w:right="662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spacing w:line="269" w:lineRule="exact"/>
        <w:ind w:left="640"/>
      </w:pPr>
      <w:r>
        <w:rPr/>
        <w:t>联系人：王一彦</w:t>
      </w:r>
    </w:p>
    <w:p>
      <w:pPr>
        <w:pStyle w:val="BodyText"/>
        <w:spacing w:before="6"/>
        <w:rPr>
          <w:sz w:val="15"/>
        </w:rPr>
      </w:pPr>
    </w:p>
    <w:p>
      <w:pPr>
        <w:pStyle w:val="BodyText"/>
        <w:ind w:left="640"/>
        <w:rPr>
          <w:rFonts w:ascii="Times New Roman" w:eastAsia="Times New Roman"/>
        </w:rPr>
      </w:pPr>
      <w:r>
        <w:rPr/>
        <w:t>网址：</w:t>
      </w:r>
      <w:hyperlink r:id="rId94">
        <w:r>
          <w:rPr>
            <w:rFonts w:ascii="Times New Roman" w:eastAsia="Times New Roman"/>
          </w:rPr>
          <w:t>www.longone.com.cn</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中银国际证券股份有限公司</w:t>
      </w:r>
    </w:p>
    <w:p>
      <w:pPr>
        <w:pStyle w:val="BodyText"/>
        <w:spacing w:before="6"/>
        <w:rPr>
          <w:sz w:val="15"/>
        </w:rPr>
      </w:pPr>
    </w:p>
    <w:p>
      <w:pPr>
        <w:pStyle w:val="BodyText"/>
        <w:ind w:left="640"/>
      </w:pPr>
      <w:r>
        <w:rPr/>
        <w:t>住所：上海浦东新区银城中路</w:t>
      </w:r>
      <w:r>
        <w:rPr>
          <w:rFonts w:ascii="Times New Roman" w:eastAsia="Times New Roman"/>
        </w:rPr>
        <w:t>200</w:t>
      </w:r>
      <w:r>
        <w:rPr/>
        <w:t>号中银大厦</w:t>
      </w:r>
      <w:r>
        <w:rPr>
          <w:rFonts w:ascii="Times New Roman" w:eastAsia="Times New Roman"/>
        </w:rPr>
        <w:t>39</w:t>
      </w:r>
      <w:r>
        <w:rPr/>
        <w:t>层</w:t>
      </w:r>
    </w:p>
    <w:p>
      <w:pPr>
        <w:pStyle w:val="BodyText"/>
        <w:spacing w:before="7"/>
        <w:rPr>
          <w:sz w:val="15"/>
        </w:rPr>
      </w:pPr>
    </w:p>
    <w:p>
      <w:pPr>
        <w:pStyle w:val="BodyText"/>
        <w:spacing w:line="417" w:lineRule="auto"/>
        <w:ind w:left="640" w:right="3546"/>
      </w:pPr>
      <w:r>
        <w:rPr/>
        <w:t>办公地址：上海浦东新区银城中路</w:t>
      </w:r>
      <w:r>
        <w:rPr>
          <w:rFonts w:ascii="Times New Roman" w:eastAsia="Times New Roman"/>
        </w:rPr>
        <w:t>200</w:t>
      </w:r>
      <w:r>
        <w:rPr/>
        <w:t>号中银大厦</w:t>
      </w:r>
      <w:r>
        <w:rPr>
          <w:rFonts w:ascii="Times New Roman" w:eastAsia="Times New Roman"/>
        </w:rPr>
        <w:t>39</w:t>
      </w:r>
      <w:r>
        <w:rPr/>
        <w:t>层法定代表人：宁敏</w:t>
      </w:r>
    </w:p>
    <w:p>
      <w:pPr>
        <w:pStyle w:val="BodyText"/>
        <w:spacing w:line="417" w:lineRule="auto"/>
        <w:ind w:left="640" w:right="662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pStyle w:val="BodyText"/>
        <w:spacing w:line="269" w:lineRule="exact"/>
        <w:ind w:left="640"/>
      </w:pPr>
      <w:r>
        <w:rPr/>
        <w:t>联系人：王炜哲</w:t>
      </w:r>
    </w:p>
    <w:p>
      <w:pPr>
        <w:pStyle w:val="BodyText"/>
        <w:spacing w:before="7"/>
        <w:rPr>
          <w:sz w:val="15"/>
        </w:rPr>
      </w:pPr>
    </w:p>
    <w:p>
      <w:pPr>
        <w:pStyle w:val="BodyText"/>
        <w:spacing w:line="417" w:lineRule="auto"/>
        <w:ind w:left="640" w:right="5821"/>
        <w:rPr>
          <w:rFonts w:ascii="Times New Roman" w:eastAsia="Times New Roman"/>
        </w:rPr>
      </w:pPr>
      <w:r>
        <w:rPr/>
        <w:t>网址：</w:t>
      </w:r>
      <w:hyperlink r:id="rId95">
        <w:r>
          <w:rPr>
            <w:rFonts w:ascii="Times New Roman" w:eastAsia="Times New Roman"/>
          </w:rPr>
          <w:t>www.bocichina.com.cn </w:t>
        </w:r>
      </w:hyperlink>
      <w:r>
        <w:rPr/>
        <w:t>客户服务电话：</w:t>
      </w:r>
      <w:r>
        <w:rPr>
          <w:rFonts w:ascii="Times New Roman" w:eastAsia="Times New Roman"/>
        </w:rPr>
        <w:t>400-620-8888</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恒泰证券股份有限公司</w:t>
      </w:r>
    </w:p>
    <w:p>
      <w:pPr>
        <w:pStyle w:val="BodyText"/>
        <w:spacing w:before="6"/>
        <w:rPr>
          <w:sz w:val="15"/>
        </w:rPr>
      </w:pPr>
    </w:p>
    <w:p>
      <w:pPr>
        <w:pStyle w:val="BodyText"/>
        <w:spacing w:before="1"/>
        <w:ind w:left="640"/>
      </w:pPr>
      <w:r>
        <w:rPr/>
        <w:t>住所：内蒙古呼和浩特市新城区新华东街</w:t>
      </w:r>
      <w:r>
        <w:rPr>
          <w:rFonts w:ascii="Times New Roman" w:eastAsia="Times New Roman"/>
        </w:rPr>
        <w:t>111</w:t>
      </w:r>
      <w:r>
        <w:rPr/>
        <w:t>号</w:t>
      </w:r>
    </w:p>
    <w:p>
      <w:pPr>
        <w:pStyle w:val="BodyText"/>
        <w:spacing w:before="6"/>
        <w:rPr>
          <w:sz w:val="15"/>
        </w:rPr>
      </w:pPr>
    </w:p>
    <w:p>
      <w:pPr>
        <w:pStyle w:val="BodyText"/>
        <w:spacing w:line="417" w:lineRule="auto"/>
        <w:ind w:left="640" w:right="3727"/>
      </w:pPr>
      <w:r>
        <w:rPr/>
        <w:t>办公地址：内蒙古呼和浩特市新城区新华东街</w:t>
      </w:r>
      <w:r>
        <w:rPr>
          <w:rFonts w:ascii="Times New Roman" w:eastAsia="Times New Roman"/>
        </w:rPr>
        <w:t>111</w:t>
      </w:r>
      <w:r>
        <w:rPr/>
        <w:t>号法定代表人：庞介民</w:t>
      </w:r>
    </w:p>
    <w:p>
      <w:pPr>
        <w:pStyle w:val="BodyText"/>
        <w:spacing w:line="417" w:lineRule="auto"/>
        <w:ind w:left="640" w:right="6626"/>
        <w:rPr>
          <w:rFonts w:ascii="Times New Roman" w:eastAsia="Times New Roman"/>
        </w:rPr>
      </w:pPr>
      <w:r>
        <w:rPr/>
        <w:t>电话：</w:t>
      </w:r>
      <w:r>
        <w:rPr>
          <w:rFonts w:ascii="Times New Roman" w:eastAsia="Times New Roman"/>
        </w:rPr>
        <w:t>021-68405273 </w:t>
      </w:r>
      <w:r>
        <w:rPr/>
        <w:t>传真：</w:t>
      </w:r>
      <w:r>
        <w:rPr>
          <w:rFonts w:ascii="Times New Roman" w:eastAsia="Times New Roman"/>
        </w:rPr>
        <w:t>021-68405181</w:t>
      </w:r>
    </w:p>
    <w:p>
      <w:pPr>
        <w:pStyle w:val="BodyText"/>
        <w:ind w:left="640"/>
      </w:pPr>
      <w:r>
        <w:rPr/>
        <w:t>联系人：张同亮</w:t>
      </w:r>
    </w:p>
    <w:p>
      <w:pPr>
        <w:pStyle w:val="BodyText"/>
        <w:spacing w:before="7"/>
        <w:rPr>
          <w:sz w:val="15"/>
        </w:rPr>
      </w:pPr>
    </w:p>
    <w:p>
      <w:pPr>
        <w:pStyle w:val="BodyText"/>
        <w:spacing w:line="417" w:lineRule="auto"/>
        <w:ind w:left="640" w:right="6289"/>
        <w:rPr>
          <w:rFonts w:ascii="Times New Roman" w:eastAsia="Times New Roman"/>
        </w:rPr>
      </w:pPr>
      <w:r>
        <w:rPr/>
        <w:t>网址：</w:t>
      </w:r>
      <w:hyperlink r:id="rId96">
        <w:r>
          <w:rPr>
            <w:rFonts w:ascii="Times New Roman" w:eastAsia="Times New Roman"/>
          </w:rPr>
          <w:t>www.cnht.com.cn </w:t>
        </w:r>
      </w:hyperlink>
      <w:r>
        <w:rPr/>
        <w:t>客户服务电话：</w:t>
      </w:r>
      <w:r>
        <w:rPr>
          <w:rFonts w:ascii="Times New Roman" w:eastAsia="Times New Roman"/>
        </w:rPr>
        <w:t>956088</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华西证券股份有限公司</w:t>
      </w:r>
    </w:p>
    <w:p>
      <w:pPr>
        <w:pStyle w:val="BodyText"/>
        <w:spacing w:before="7"/>
        <w:rPr>
          <w:sz w:val="15"/>
        </w:rPr>
      </w:pPr>
    </w:p>
    <w:p>
      <w:pPr>
        <w:pStyle w:val="BodyText"/>
        <w:ind w:left="640"/>
      </w:pPr>
      <w:r>
        <w:rPr/>
        <w:t>住所：四川省成都市高新区天府二街</w:t>
      </w:r>
      <w:r>
        <w:rPr>
          <w:rFonts w:ascii="Times New Roman" w:eastAsia="Times New Roman"/>
        </w:rPr>
        <w:t>198</w:t>
      </w:r>
      <w:r>
        <w:rPr/>
        <w:t>号</w:t>
      </w:r>
    </w:p>
    <w:p>
      <w:pPr>
        <w:pStyle w:val="BodyText"/>
        <w:spacing w:before="6"/>
        <w:rPr>
          <w:sz w:val="15"/>
        </w:rPr>
      </w:pPr>
    </w:p>
    <w:p>
      <w:pPr>
        <w:pStyle w:val="BodyText"/>
        <w:spacing w:line="417" w:lineRule="auto" w:before="1"/>
        <w:ind w:left="640" w:right="4175"/>
      </w:pPr>
      <w:r>
        <w:rPr>
          <w:spacing w:val="-3"/>
        </w:rPr>
        <w:t>办公地址：四川省成都市高新区天府二街</w:t>
      </w:r>
      <w:r>
        <w:rPr>
          <w:rFonts w:ascii="Times New Roman" w:eastAsia="Times New Roman"/>
        </w:rPr>
        <w:t>198</w:t>
      </w:r>
      <w:r>
        <w:rPr>
          <w:spacing w:val="-12"/>
        </w:rPr>
        <w:t>号</w:t>
      </w:r>
      <w:r>
        <w:rPr>
          <w:spacing w:val="-3"/>
        </w:rPr>
        <w:t>法定代表人：杨炯洋</w:t>
      </w:r>
    </w:p>
    <w:p>
      <w:pPr>
        <w:pStyle w:val="BodyText"/>
        <w:ind w:left="640"/>
        <w:rPr>
          <w:rFonts w:ascii="Times New Roman" w:eastAsia="Times New Roman"/>
        </w:rPr>
      </w:pPr>
      <w:r>
        <w:rPr>
          <w:spacing w:val="-1"/>
        </w:rPr>
        <w:t>电话：</w:t>
      </w:r>
      <w:r>
        <w:rPr>
          <w:rFonts w:ascii="Times New Roman" w:eastAsia="Times New Roman"/>
          <w:spacing w:val="-1"/>
        </w:rPr>
        <w:t>010-58124967</w:t>
      </w:r>
    </w:p>
    <w:p>
      <w:pPr>
        <w:spacing w:after="0"/>
        <w:rPr>
          <w:rFonts w:ascii="Times New Roman" w:eastAsia="Times New Roman"/>
        </w:rPr>
        <w:sectPr>
          <w:pgSz w:w="11910" w:h="16840"/>
          <w:pgMar w:header="877" w:footer="995" w:top="1420" w:bottom="1180" w:left="1580" w:right="1200"/>
        </w:sectPr>
      </w:pPr>
    </w:p>
    <w:p>
      <w:pPr>
        <w:pStyle w:val="BodyText"/>
        <w:spacing w:before="110"/>
        <w:ind w:left="640"/>
        <w:rPr>
          <w:rFonts w:ascii="Times New Roman" w:eastAsia="Times New Roman"/>
        </w:rPr>
      </w:pPr>
      <w:r>
        <w:rPr/>
        <w:t>传真：</w:t>
      </w:r>
      <w:r>
        <w:rPr>
          <w:rFonts w:ascii="Times New Roman" w:eastAsia="Times New Roman"/>
        </w:rPr>
        <w:t>028-86150040</w:t>
      </w:r>
    </w:p>
    <w:p>
      <w:pPr>
        <w:pStyle w:val="BodyText"/>
        <w:spacing w:before="3"/>
        <w:rPr>
          <w:rFonts w:ascii="Times New Roman"/>
          <w:sz w:val="17"/>
        </w:rPr>
      </w:pPr>
    </w:p>
    <w:p>
      <w:pPr>
        <w:pStyle w:val="BodyText"/>
        <w:ind w:left="640"/>
      </w:pPr>
      <w:r>
        <w:rPr/>
        <w:t>联系人：谢国梅</w:t>
      </w:r>
    </w:p>
    <w:p>
      <w:pPr>
        <w:pStyle w:val="BodyText"/>
        <w:spacing w:before="7"/>
        <w:rPr>
          <w:sz w:val="15"/>
        </w:rPr>
      </w:pPr>
    </w:p>
    <w:p>
      <w:pPr>
        <w:pStyle w:val="BodyText"/>
        <w:spacing w:line="417" w:lineRule="auto"/>
        <w:ind w:left="640" w:right="6124"/>
        <w:rPr>
          <w:rFonts w:ascii="Times New Roman" w:eastAsia="Times New Roman"/>
        </w:rPr>
      </w:pPr>
      <w:r>
        <w:rPr/>
        <w:t>网址：</w:t>
      </w:r>
      <w:hyperlink r:id="rId97">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申万宏源西部证券有限公司</w:t>
      </w:r>
    </w:p>
    <w:p>
      <w:pPr>
        <w:pStyle w:val="BodyText"/>
        <w:spacing w:before="6"/>
        <w:rPr>
          <w:sz w:val="15"/>
        </w:rPr>
      </w:pPr>
    </w:p>
    <w:p>
      <w:pPr>
        <w:pStyle w:val="BodyText"/>
        <w:spacing w:before="1"/>
        <w:ind w:left="640"/>
      </w:pPr>
      <w:r>
        <w:rPr/>
        <w:t>住所：新疆乌鲁木齐市高新区（新市区）北京南路</w:t>
      </w:r>
      <w:r>
        <w:rPr>
          <w:rFonts w:ascii="Times New Roman" w:eastAsia="Times New Roman"/>
        </w:rPr>
        <w:t>358</w:t>
      </w:r>
      <w:r>
        <w:rPr/>
        <w:t>号大成国际大厦</w:t>
      </w:r>
      <w:r>
        <w:rPr>
          <w:rFonts w:ascii="Times New Roman" w:eastAsia="Times New Roman"/>
        </w:rPr>
        <w:t>20</w:t>
      </w:r>
      <w:r>
        <w:rPr/>
        <w:t>楼</w:t>
      </w:r>
      <w:r>
        <w:rPr>
          <w:rFonts w:ascii="Times New Roman" w:eastAsia="Times New Roman"/>
        </w:rPr>
        <w:t>2005</w:t>
      </w:r>
      <w:r>
        <w:rPr/>
        <w:t>室</w:t>
      </w:r>
    </w:p>
    <w:p>
      <w:pPr>
        <w:pStyle w:val="BodyText"/>
        <w:spacing w:before="6"/>
        <w:rPr>
          <w:sz w:val="15"/>
        </w:rPr>
      </w:pPr>
    </w:p>
    <w:p>
      <w:pPr>
        <w:pStyle w:val="BodyText"/>
        <w:ind w:left="640"/>
      </w:pPr>
      <w:r>
        <w:rPr/>
        <w:t>办公地址：新疆乌鲁木齐市高新区（新市区）北京南路</w:t>
      </w:r>
      <w:r>
        <w:rPr>
          <w:rFonts w:ascii="Times New Roman" w:eastAsia="Times New Roman"/>
        </w:rPr>
        <w:t>358</w:t>
      </w:r>
      <w:r>
        <w:rPr/>
        <w:t>号大成国际大厦</w:t>
      </w:r>
      <w:r>
        <w:rPr>
          <w:rFonts w:ascii="Times New Roman" w:eastAsia="Times New Roman"/>
        </w:rPr>
        <w:t>20</w:t>
      </w:r>
      <w:r>
        <w:rPr/>
        <w:t>楼</w:t>
      </w:r>
      <w:r>
        <w:rPr>
          <w:rFonts w:ascii="Times New Roman" w:eastAsia="Times New Roman"/>
        </w:rPr>
        <w:t>2005</w:t>
      </w:r>
      <w:r>
        <w:rPr/>
        <w:t>室</w:t>
      </w:r>
    </w:p>
    <w:p>
      <w:pPr>
        <w:pStyle w:val="BodyText"/>
        <w:spacing w:before="8"/>
        <w:rPr>
          <w:sz w:val="15"/>
        </w:rPr>
      </w:pPr>
    </w:p>
    <w:p>
      <w:pPr>
        <w:pStyle w:val="BodyText"/>
        <w:ind w:left="220"/>
      </w:pPr>
      <w:r>
        <w:rPr/>
        <w:t>（</w:t>
      </w:r>
      <w:r>
        <w:rPr>
          <w:rFonts w:ascii="Times New Roman" w:eastAsia="Times New Roman"/>
        </w:rPr>
        <w:t>830002</w:t>
      </w:r>
      <w:r>
        <w:rPr/>
        <w:t>）</w:t>
      </w:r>
    </w:p>
    <w:p>
      <w:pPr>
        <w:pStyle w:val="BodyText"/>
        <w:spacing w:before="6"/>
        <w:rPr>
          <w:sz w:val="15"/>
        </w:rPr>
      </w:pPr>
    </w:p>
    <w:p>
      <w:pPr>
        <w:pStyle w:val="BodyText"/>
        <w:spacing w:line="417" w:lineRule="auto" w:before="1"/>
        <w:ind w:left="640" w:right="659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spacing w:line="269" w:lineRule="exact"/>
        <w:ind w:left="640"/>
      </w:pPr>
      <w:r>
        <w:rPr/>
        <w:t>联系人：王怀春</w:t>
      </w:r>
    </w:p>
    <w:p>
      <w:pPr>
        <w:pStyle w:val="BodyText"/>
        <w:spacing w:before="6"/>
        <w:rPr>
          <w:sz w:val="15"/>
        </w:rPr>
      </w:pPr>
    </w:p>
    <w:p>
      <w:pPr>
        <w:pStyle w:val="BodyText"/>
        <w:ind w:left="640"/>
        <w:rPr>
          <w:rFonts w:ascii="Times New Roman" w:eastAsia="Times New Roman"/>
        </w:rPr>
      </w:pPr>
      <w:r>
        <w:rPr/>
        <w:t>网址：</w:t>
      </w:r>
      <w:hyperlink r:id="rId98">
        <w:r>
          <w:rPr>
            <w:rFonts w:ascii="Times New Roman" w:eastAsia="Times New Roman"/>
          </w:rPr>
          <w:t>www.hysec.com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400-800-0562</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世纪证券有限责任公司</w:t>
      </w:r>
    </w:p>
    <w:p>
      <w:pPr>
        <w:pStyle w:val="BodyText"/>
        <w:spacing w:before="5"/>
        <w:rPr>
          <w:sz w:val="9"/>
        </w:rPr>
      </w:pPr>
    </w:p>
    <w:p>
      <w:pPr>
        <w:pStyle w:val="BodyText"/>
        <w:spacing w:before="78"/>
        <w:ind w:left="640"/>
      </w:pPr>
      <w:r>
        <w:rPr/>
        <w:t>住所：深圳市前海深港合作区南山街道桂湾五路</w:t>
      </w:r>
      <w:r>
        <w:rPr>
          <w:rFonts w:ascii="Times New Roman" w:eastAsia="Times New Roman"/>
        </w:rPr>
        <w:t>128</w:t>
      </w:r>
      <w:r>
        <w:rPr/>
        <w:t>号前海深港基金小镇对冲基金中心</w:t>
      </w:r>
    </w:p>
    <w:p>
      <w:pPr>
        <w:pStyle w:val="BodyText"/>
        <w:spacing w:before="5"/>
        <w:rPr>
          <w:sz w:val="16"/>
        </w:rPr>
      </w:pPr>
    </w:p>
    <w:p>
      <w:pPr>
        <w:pStyle w:val="BodyText"/>
        <w:spacing w:before="1"/>
        <w:ind w:left="220"/>
        <w:rPr>
          <w:rFonts w:ascii="Times New Roman"/>
        </w:rPr>
      </w:pPr>
      <w:r>
        <w:rPr>
          <w:rFonts w:ascii="Times New Roman"/>
        </w:rPr>
        <w:t>406</w:t>
      </w:r>
    </w:p>
    <w:p>
      <w:pPr>
        <w:pStyle w:val="BodyText"/>
        <w:spacing w:before="10"/>
        <w:rPr>
          <w:rFonts w:ascii="Times New Roman"/>
          <w:sz w:val="11"/>
        </w:rPr>
      </w:pPr>
    </w:p>
    <w:p>
      <w:pPr>
        <w:pStyle w:val="BodyText"/>
        <w:spacing w:line="417" w:lineRule="auto" w:before="78"/>
        <w:ind w:left="640" w:right="3368"/>
      </w:pPr>
      <w:r>
        <w:rPr/>
        <w:t>办公地址：深圳市福田区深南大道招商银行大厦</w:t>
      </w:r>
      <w:r>
        <w:rPr>
          <w:rFonts w:ascii="Times New Roman" w:eastAsia="Times New Roman"/>
        </w:rPr>
        <w:t>40-42</w:t>
      </w:r>
      <w:r>
        <w:rPr/>
        <w:t>层法定代表人：李强</w:t>
      </w:r>
    </w:p>
    <w:p>
      <w:pPr>
        <w:pStyle w:val="BodyText"/>
        <w:spacing w:line="417" w:lineRule="auto"/>
        <w:ind w:left="640" w:right="5821"/>
        <w:rPr>
          <w:rFonts w:ascii="Times New Roman" w:eastAsia="Times New Roman"/>
        </w:rPr>
      </w:pPr>
      <w:r>
        <w:rPr/>
        <w:t>客户服务电话：</w:t>
      </w:r>
      <w:r>
        <w:rPr>
          <w:rFonts w:ascii="Times New Roman" w:eastAsia="Times New Roman"/>
        </w:rPr>
        <w:t>400-832-3000 </w:t>
      </w:r>
      <w:r>
        <w:rPr/>
        <w:t>传真：</w:t>
      </w:r>
      <w:r>
        <w:rPr>
          <w:rFonts w:ascii="Times New Roman" w:eastAsia="Times New Roman"/>
        </w:rPr>
        <w:t>0755-83199511</w:t>
      </w:r>
    </w:p>
    <w:p>
      <w:pPr>
        <w:pStyle w:val="BodyText"/>
        <w:ind w:left="640"/>
      </w:pPr>
      <w:r>
        <w:rPr/>
        <w:t>联系人：王雯</w:t>
      </w:r>
    </w:p>
    <w:p>
      <w:pPr>
        <w:pStyle w:val="BodyText"/>
        <w:spacing w:before="7"/>
        <w:rPr>
          <w:sz w:val="15"/>
        </w:rPr>
      </w:pPr>
    </w:p>
    <w:p>
      <w:pPr>
        <w:pStyle w:val="BodyText"/>
        <w:ind w:left="640"/>
        <w:rPr>
          <w:rFonts w:ascii="Times New Roman" w:eastAsia="Times New Roman"/>
        </w:rPr>
      </w:pPr>
      <w:r>
        <w:rPr/>
        <w:t>网址：</w:t>
      </w:r>
      <w:hyperlink r:id="rId99">
        <w:r>
          <w:rPr>
            <w:rFonts w:ascii="Times New Roman" w:eastAsia="Times New Roman"/>
          </w:rPr>
          <w:t>www.csco.com.cn</w:t>
        </w:r>
      </w:hyperlink>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第一创业证券股份有限公司</w:t>
      </w:r>
    </w:p>
    <w:p>
      <w:pPr>
        <w:pStyle w:val="BodyText"/>
        <w:spacing w:before="7"/>
        <w:rPr>
          <w:sz w:val="15"/>
        </w:rPr>
      </w:pPr>
    </w:p>
    <w:p>
      <w:pPr>
        <w:pStyle w:val="BodyText"/>
        <w:ind w:left="640"/>
      </w:pPr>
      <w:r>
        <w:rPr/>
        <w:t>住所：深圳市福田区福华一路</w:t>
      </w:r>
      <w:r>
        <w:rPr>
          <w:rFonts w:ascii="Times New Roman" w:eastAsia="Times New Roman"/>
        </w:rPr>
        <w:t>115</w:t>
      </w:r>
      <w:r>
        <w:rPr/>
        <w:t>号投行大厦</w:t>
      </w:r>
      <w:r>
        <w:rPr>
          <w:rFonts w:ascii="Times New Roman" w:eastAsia="Times New Roman"/>
        </w:rPr>
        <w:t>20</w:t>
      </w:r>
      <w:r>
        <w:rPr/>
        <w:t>楼</w:t>
      </w:r>
    </w:p>
    <w:p>
      <w:pPr>
        <w:pStyle w:val="BodyText"/>
        <w:spacing w:before="7"/>
        <w:rPr>
          <w:sz w:val="15"/>
        </w:rPr>
      </w:pPr>
    </w:p>
    <w:p>
      <w:pPr>
        <w:pStyle w:val="BodyText"/>
        <w:spacing w:line="417" w:lineRule="auto"/>
        <w:ind w:left="640" w:right="3553"/>
      </w:pPr>
      <w:r>
        <w:rPr/>
        <w:t>办公地址：深圳市福田区福华一路</w:t>
      </w:r>
      <w:r>
        <w:rPr>
          <w:rFonts w:ascii="Times New Roman" w:eastAsia="Times New Roman"/>
        </w:rPr>
        <w:t>115</w:t>
      </w:r>
      <w:r>
        <w:rPr/>
        <w:t>号投行大厦</w:t>
      </w:r>
      <w:r>
        <w:rPr>
          <w:rFonts w:ascii="Times New Roman" w:eastAsia="Times New Roman"/>
        </w:rPr>
        <w:t>18</w:t>
      </w:r>
      <w:r>
        <w:rPr/>
        <w:t>楼法定代表人：刘学民</w:t>
      </w:r>
    </w:p>
    <w:p>
      <w:pPr>
        <w:pStyle w:val="BodyText"/>
        <w:spacing w:line="417" w:lineRule="auto"/>
        <w:ind w:left="640" w:right="652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ind w:left="640"/>
      </w:pPr>
      <w:r>
        <w:rPr/>
        <w:t>联系人：单晶</w:t>
      </w:r>
    </w:p>
    <w:p>
      <w:pPr>
        <w:spacing w:after="0"/>
        <w:sectPr>
          <w:pgSz w:w="11910" w:h="16840"/>
          <w:pgMar w:header="877" w:footer="995" w:top="1420" w:bottom="1180" w:left="1580" w:right="1200"/>
        </w:sectPr>
      </w:pPr>
    </w:p>
    <w:p>
      <w:pPr>
        <w:pStyle w:val="BodyText"/>
        <w:spacing w:line="417" w:lineRule="auto" w:before="110"/>
        <w:ind w:left="640" w:right="5752"/>
        <w:rPr>
          <w:rFonts w:ascii="Times New Roman" w:eastAsia="Times New Roman"/>
        </w:rPr>
      </w:pPr>
      <w:r>
        <w:rPr/>
        <w:t>网址：</w:t>
      </w:r>
      <w:hyperlink r:id="rId100">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金元证券股份有限公司</w:t>
      </w:r>
    </w:p>
    <w:p>
      <w:pPr>
        <w:pStyle w:val="BodyText"/>
        <w:spacing w:before="6"/>
        <w:rPr>
          <w:sz w:val="15"/>
        </w:rPr>
      </w:pPr>
    </w:p>
    <w:p>
      <w:pPr>
        <w:pStyle w:val="BodyText"/>
        <w:ind w:left="640"/>
      </w:pPr>
      <w:r>
        <w:rPr/>
        <w:t>住所：海口市南宝路</w:t>
      </w:r>
      <w:r>
        <w:rPr>
          <w:rFonts w:ascii="Times New Roman" w:eastAsia="Times New Roman"/>
        </w:rPr>
        <w:t>36</w:t>
      </w:r>
      <w:r>
        <w:rPr/>
        <w:t>号证券大厦</w:t>
      </w:r>
      <w:r>
        <w:rPr>
          <w:rFonts w:ascii="Times New Roman" w:eastAsia="Times New Roman"/>
        </w:rPr>
        <w:t>4</w:t>
      </w:r>
      <w:r>
        <w:rPr/>
        <w:t>楼</w:t>
      </w:r>
    </w:p>
    <w:p>
      <w:pPr>
        <w:pStyle w:val="BodyText"/>
        <w:spacing w:before="7"/>
        <w:rPr>
          <w:sz w:val="15"/>
        </w:rPr>
      </w:pPr>
    </w:p>
    <w:p>
      <w:pPr>
        <w:pStyle w:val="BodyText"/>
        <w:spacing w:line="417" w:lineRule="auto"/>
        <w:ind w:left="640" w:right="3649"/>
      </w:pPr>
      <w:r>
        <w:rPr/>
        <w:t>办公地址：深圳市深南大道</w:t>
      </w:r>
      <w:r>
        <w:rPr>
          <w:rFonts w:ascii="Times New Roman" w:eastAsia="Times New Roman"/>
        </w:rPr>
        <w:t>4001</w:t>
      </w:r>
      <w:r>
        <w:rPr/>
        <w:t>号时代金融中心</w:t>
      </w:r>
      <w:r>
        <w:rPr>
          <w:rFonts w:ascii="Times New Roman" w:eastAsia="Times New Roman"/>
        </w:rPr>
        <w:t>17</w:t>
      </w:r>
      <w:r>
        <w:rPr/>
        <w:t>层法定代表人：陆涛</w:t>
      </w:r>
    </w:p>
    <w:p>
      <w:pPr>
        <w:pStyle w:val="BodyText"/>
        <w:spacing w:line="417" w:lineRule="auto"/>
        <w:ind w:left="640" w:right="6520"/>
        <w:rPr>
          <w:rFonts w:ascii="Times New Roman" w:eastAsia="Times New Roman"/>
        </w:rPr>
      </w:pPr>
      <w:r>
        <w:rPr/>
        <w:t>电话：</w:t>
      </w:r>
      <w:r>
        <w:rPr>
          <w:rFonts w:ascii="Times New Roman" w:eastAsia="Times New Roman"/>
        </w:rPr>
        <w:t>0755-83025022 </w:t>
      </w:r>
      <w:r>
        <w:rPr/>
        <w:t>传真：</w:t>
      </w:r>
      <w:r>
        <w:rPr>
          <w:rFonts w:ascii="Times New Roman" w:eastAsia="Times New Roman"/>
        </w:rPr>
        <w:t>0755-83025625</w:t>
      </w:r>
    </w:p>
    <w:p>
      <w:pPr>
        <w:pStyle w:val="BodyText"/>
        <w:spacing w:line="417" w:lineRule="auto"/>
        <w:ind w:left="640" w:right="6748"/>
        <w:rPr>
          <w:rFonts w:ascii="Times New Roman" w:eastAsia="Times New Roman"/>
        </w:rPr>
      </w:pPr>
      <w:r>
        <w:rPr>
          <w:spacing w:val="-2"/>
        </w:rPr>
        <w:t>联系人：马贤清 </w:t>
      </w:r>
      <w:r>
        <w:rPr>
          <w:spacing w:val="-4"/>
        </w:rPr>
        <w:t>网址：</w:t>
      </w:r>
      <w:hyperlink r:id="rId101">
        <w:r>
          <w:rPr>
            <w:rFonts w:ascii="Times New Roman" w:eastAsia="Times New Roman"/>
            <w:spacing w:val="-5"/>
          </w:rPr>
          <w:t>www.jyzq.cn</w:t>
        </w:r>
      </w:hyperlink>
    </w:p>
    <w:p>
      <w:pPr>
        <w:pStyle w:val="BodyText"/>
        <w:spacing w:line="269" w:lineRule="exact"/>
        <w:ind w:left="640"/>
        <w:rPr>
          <w:rFonts w:ascii="Times New Roman" w:eastAsia="Times New Roman"/>
        </w:rPr>
      </w:pPr>
      <w:r>
        <w:rPr/>
        <w:t>客户服务电话：</w:t>
      </w:r>
      <w:r>
        <w:rPr>
          <w:rFonts w:ascii="Times New Roman" w:eastAsia="Times New Roman"/>
        </w:rPr>
        <w:t>95372</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华福证券有限责任公司</w:t>
      </w:r>
    </w:p>
    <w:p>
      <w:pPr>
        <w:pStyle w:val="BodyText"/>
        <w:spacing w:before="6"/>
        <w:rPr>
          <w:sz w:val="15"/>
        </w:rPr>
      </w:pPr>
    </w:p>
    <w:p>
      <w:pPr>
        <w:pStyle w:val="BodyText"/>
        <w:ind w:left="640"/>
      </w:pPr>
      <w:r>
        <w:rPr/>
        <w:t>住所：福州市五四路</w:t>
      </w:r>
      <w:r>
        <w:rPr>
          <w:rFonts w:ascii="Times New Roman" w:eastAsia="Times New Roman"/>
        </w:rPr>
        <w:t>157</w:t>
      </w:r>
      <w:r>
        <w:rPr/>
        <w:t>号新天地大厦</w:t>
      </w:r>
      <w:r>
        <w:rPr>
          <w:rFonts w:ascii="Times New Roman" w:eastAsia="Times New Roman"/>
        </w:rPr>
        <w:t>7</w:t>
      </w:r>
      <w:r>
        <w:rPr/>
        <w:t>、</w:t>
      </w:r>
      <w:r>
        <w:rPr>
          <w:rFonts w:ascii="Times New Roman" w:eastAsia="Times New Roman"/>
        </w:rPr>
        <w:t>8</w:t>
      </w:r>
      <w:r>
        <w:rPr/>
        <w:t>层</w:t>
      </w:r>
    </w:p>
    <w:p>
      <w:pPr>
        <w:pStyle w:val="BodyText"/>
        <w:spacing w:before="7"/>
        <w:rPr>
          <w:sz w:val="15"/>
        </w:rPr>
      </w:pPr>
    </w:p>
    <w:p>
      <w:pPr>
        <w:pStyle w:val="BodyText"/>
        <w:spacing w:line="417" w:lineRule="auto"/>
        <w:ind w:left="640" w:right="3860"/>
      </w:pPr>
      <w:r>
        <w:rPr/>
        <w:t>办公地址：福州市五四路</w:t>
      </w:r>
      <w:r>
        <w:rPr>
          <w:rFonts w:ascii="Times New Roman" w:eastAsia="Times New Roman"/>
        </w:rPr>
        <w:t>157</w:t>
      </w:r>
      <w:r>
        <w:rPr/>
        <w:t>号新天地大厦</w:t>
      </w:r>
      <w:r>
        <w:rPr>
          <w:rFonts w:ascii="Times New Roman" w:eastAsia="Times New Roman"/>
        </w:rPr>
        <w:t>7</w:t>
      </w:r>
      <w:r>
        <w:rPr/>
        <w:t>至</w:t>
      </w:r>
      <w:r>
        <w:rPr>
          <w:rFonts w:ascii="Times New Roman" w:eastAsia="Times New Roman"/>
        </w:rPr>
        <w:t>10</w:t>
      </w:r>
      <w:r>
        <w:rPr/>
        <w:t>层法定代表人：黄金琳</w:t>
      </w:r>
    </w:p>
    <w:p>
      <w:pPr>
        <w:pStyle w:val="BodyText"/>
        <w:spacing w:line="417" w:lineRule="auto"/>
        <w:ind w:left="640" w:right="6520"/>
        <w:rPr>
          <w:rFonts w:ascii="Times New Roman" w:eastAsia="Times New Roman"/>
        </w:rPr>
      </w:pPr>
      <w:r>
        <w:rPr/>
        <w:t>电话：</w:t>
      </w:r>
      <w:r>
        <w:rPr>
          <w:rFonts w:ascii="Times New Roman" w:eastAsia="Times New Roman"/>
        </w:rPr>
        <w:t>0591-87383623 </w:t>
      </w:r>
      <w:r>
        <w:rPr/>
        <w:t>传真：</w:t>
      </w:r>
      <w:r>
        <w:rPr>
          <w:rFonts w:ascii="Times New Roman" w:eastAsia="Times New Roman"/>
        </w:rPr>
        <w:t>0591-87383610</w:t>
      </w:r>
    </w:p>
    <w:p>
      <w:pPr>
        <w:pStyle w:val="BodyText"/>
        <w:spacing w:line="269" w:lineRule="exact"/>
        <w:ind w:left="640"/>
      </w:pPr>
      <w:r>
        <w:rPr/>
        <w:t>联系人：张腾</w:t>
      </w:r>
    </w:p>
    <w:p>
      <w:pPr>
        <w:pStyle w:val="BodyText"/>
        <w:spacing w:before="7"/>
        <w:rPr>
          <w:sz w:val="15"/>
        </w:rPr>
      </w:pPr>
    </w:p>
    <w:p>
      <w:pPr>
        <w:pStyle w:val="BodyText"/>
        <w:spacing w:line="417" w:lineRule="auto"/>
        <w:ind w:left="640" w:right="6277"/>
        <w:rPr>
          <w:rFonts w:ascii="Times New Roman" w:eastAsia="Times New Roman"/>
        </w:rPr>
      </w:pPr>
      <w:r>
        <w:rPr/>
        <w:t>网址：</w:t>
      </w:r>
      <w:hyperlink r:id="rId102">
        <w:r>
          <w:rPr>
            <w:rFonts w:ascii="Times New Roman" w:eastAsia="Times New Roman"/>
          </w:rPr>
          <w:t>www.hfzq.com.cn </w:t>
        </w:r>
      </w:hyperlink>
      <w:r>
        <w:rPr/>
        <w:t>客户服务电话：</w:t>
      </w:r>
      <w:r>
        <w:rPr>
          <w:rFonts w:ascii="Times New Roman" w:eastAsia="Times New Roman"/>
        </w:rPr>
        <w:t>95547</w:t>
      </w:r>
    </w:p>
    <w:p>
      <w:pPr>
        <w:pStyle w:val="ListParagraph"/>
        <w:numPr>
          <w:ilvl w:val="0"/>
          <w:numId w:val="7"/>
        </w:numPr>
        <w:tabs>
          <w:tab w:pos="1275" w:val="left" w:leader="none"/>
        </w:tabs>
        <w:spacing w:line="417" w:lineRule="auto" w:before="0" w:after="0"/>
        <w:ind w:left="640" w:right="5435" w:firstLine="0"/>
        <w:jc w:val="left"/>
        <w:rPr>
          <w:sz w:val="21"/>
        </w:rPr>
      </w:pPr>
      <w:r>
        <w:rPr>
          <w:spacing w:val="-3"/>
          <w:sz w:val="21"/>
        </w:rPr>
        <w:t>华龙证券股份有限公司  住所：甘肃省兰州市静宁路</w:t>
      </w:r>
      <w:r>
        <w:rPr>
          <w:rFonts w:ascii="Times New Roman" w:eastAsia="Times New Roman"/>
          <w:sz w:val="21"/>
        </w:rPr>
        <w:t>308</w:t>
      </w:r>
      <w:r>
        <w:rPr>
          <w:spacing w:val="-13"/>
          <w:sz w:val="21"/>
        </w:rPr>
        <w:t>号</w:t>
      </w:r>
    </w:p>
    <w:p>
      <w:pPr>
        <w:pStyle w:val="BodyText"/>
        <w:spacing w:line="417" w:lineRule="auto"/>
        <w:ind w:left="640" w:right="5015"/>
      </w:pPr>
      <w:r>
        <w:rPr>
          <w:spacing w:val="-3"/>
        </w:rPr>
        <w:t>办公地址：甘肃省兰州市静宁路</w:t>
      </w:r>
      <w:r>
        <w:rPr>
          <w:rFonts w:ascii="Times New Roman" w:eastAsia="Times New Roman"/>
        </w:rPr>
        <w:t>308</w:t>
      </w:r>
      <w:r>
        <w:rPr>
          <w:spacing w:val="-13"/>
        </w:rPr>
        <w:t>号</w:t>
      </w:r>
      <w:r>
        <w:rPr>
          <w:spacing w:val="-3"/>
        </w:rPr>
        <w:t>法定代表人：李晓安</w:t>
      </w:r>
    </w:p>
    <w:p>
      <w:pPr>
        <w:pStyle w:val="BodyText"/>
        <w:spacing w:line="269" w:lineRule="exact"/>
        <w:ind w:left="640"/>
        <w:rPr>
          <w:rFonts w:ascii="Times New Roman" w:eastAsia="Times New Roman"/>
        </w:rPr>
      </w:pPr>
      <w:r>
        <w:rPr>
          <w:spacing w:val="-1"/>
        </w:rPr>
        <w:t>电话：</w:t>
      </w:r>
      <w:r>
        <w:rPr>
          <w:rFonts w:ascii="Times New Roman" w:eastAsia="Times New Roman"/>
          <w:spacing w:val="-1"/>
        </w:rPr>
        <w:t>0931-4890100</w:t>
      </w:r>
    </w:p>
    <w:p>
      <w:pPr>
        <w:pStyle w:val="BodyText"/>
        <w:spacing w:before="3"/>
        <w:rPr>
          <w:rFonts w:ascii="Times New Roman"/>
          <w:sz w:val="17"/>
        </w:rPr>
      </w:pPr>
    </w:p>
    <w:p>
      <w:pPr>
        <w:pStyle w:val="BodyText"/>
        <w:ind w:left="640"/>
      </w:pPr>
      <w:r>
        <w:rPr/>
        <w:t>联系人：李昕田</w:t>
      </w:r>
    </w:p>
    <w:p>
      <w:pPr>
        <w:pStyle w:val="BodyText"/>
        <w:spacing w:before="7"/>
        <w:rPr>
          <w:sz w:val="15"/>
        </w:rPr>
      </w:pPr>
    </w:p>
    <w:p>
      <w:pPr>
        <w:pStyle w:val="BodyText"/>
        <w:ind w:left="640"/>
        <w:rPr>
          <w:rFonts w:ascii="Times New Roman" w:eastAsia="Times New Roman"/>
        </w:rPr>
      </w:pPr>
      <w:r>
        <w:rPr/>
        <w:t>网址：</w:t>
      </w:r>
      <w:hyperlink r:id="rId103">
        <w:r>
          <w:rPr>
            <w:rFonts w:ascii="Times New Roman" w:eastAsia="Times New Roman"/>
          </w:rPr>
          <w:t>www.hlzqgs.com</w:t>
        </w:r>
      </w:hyperlink>
    </w:p>
    <w:p>
      <w:pPr>
        <w:pStyle w:val="BodyText"/>
        <w:spacing w:before="3"/>
        <w:rPr>
          <w:rFonts w:ascii="Times New Roman"/>
          <w:sz w:val="17"/>
        </w:rPr>
      </w:pPr>
    </w:p>
    <w:p>
      <w:pPr>
        <w:pStyle w:val="BodyText"/>
        <w:ind w:left="640"/>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7"/>
        <w:rPr>
          <w:sz w:val="15"/>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财通证券股份有限公司</w:t>
      </w:r>
    </w:p>
    <w:p>
      <w:pPr>
        <w:pStyle w:val="BodyText"/>
        <w:spacing w:before="6"/>
        <w:rPr>
          <w:sz w:val="15"/>
        </w:rPr>
      </w:pPr>
    </w:p>
    <w:p>
      <w:pPr>
        <w:pStyle w:val="BodyText"/>
        <w:ind w:left="640"/>
      </w:pPr>
      <w:r>
        <w:rPr>
          <w:spacing w:val="-3"/>
        </w:rPr>
        <w:t>住所：杭州市杭大路</w:t>
      </w:r>
      <w:r>
        <w:rPr>
          <w:rFonts w:ascii="Times New Roman" w:eastAsia="Times New Roman"/>
        </w:rPr>
        <w:t>15</w:t>
      </w:r>
      <w:r>
        <w:rPr>
          <w:spacing w:val="-3"/>
        </w:rPr>
        <w:t>号嘉华国际商务中心</w:t>
      </w:r>
    </w:p>
    <w:p>
      <w:pPr>
        <w:spacing w:after="0"/>
        <w:sectPr>
          <w:pgSz w:w="11910" w:h="16840"/>
          <w:pgMar w:header="877" w:footer="995" w:top="1420" w:bottom="1180" w:left="1580" w:right="1200"/>
        </w:sectPr>
      </w:pPr>
    </w:p>
    <w:p>
      <w:pPr>
        <w:pStyle w:val="BodyText"/>
        <w:spacing w:line="417" w:lineRule="auto" w:before="110"/>
        <w:ind w:left="640" w:right="4071"/>
      </w:pPr>
      <w:r>
        <w:rPr/>
        <w:t>办公地址：杭州市杭大路</w:t>
      </w:r>
      <w:r>
        <w:rPr>
          <w:rFonts w:ascii="Times New Roman" w:eastAsia="Times New Roman"/>
        </w:rPr>
        <w:t>15</w:t>
      </w:r>
      <w:r>
        <w:rPr/>
        <w:t>号嘉华国际商务中心法定代表人：沈继宁</w:t>
      </w:r>
    </w:p>
    <w:p>
      <w:pPr>
        <w:pStyle w:val="BodyText"/>
        <w:spacing w:line="417" w:lineRule="auto"/>
        <w:ind w:left="640" w:right="6520"/>
        <w:rPr>
          <w:rFonts w:ascii="Times New Roman" w:eastAsia="Times New Roman"/>
        </w:rPr>
      </w:pPr>
      <w:r>
        <w:rPr/>
        <w:t>电话：</w:t>
      </w:r>
      <w:r>
        <w:rPr>
          <w:rFonts w:ascii="Times New Roman" w:eastAsia="Times New Roman"/>
        </w:rPr>
        <w:t>0571-87925129 </w:t>
      </w:r>
      <w:r>
        <w:rPr/>
        <w:t>传真：</w:t>
      </w:r>
      <w:r>
        <w:rPr>
          <w:rFonts w:ascii="Times New Roman" w:eastAsia="Times New Roman"/>
        </w:rPr>
        <w:t>0571-87818329</w:t>
      </w:r>
    </w:p>
    <w:p>
      <w:pPr>
        <w:pStyle w:val="BodyText"/>
        <w:spacing w:line="269" w:lineRule="exact"/>
        <w:ind w:left="640"/>
      </w:pPr>
      <w:r>
        <w:rPr/>
        <w:t>联系人：夏吉慧</w:t>
      </w:r>
    </w:p>
    <w:p>
      <w:pPr>
        <w:pStyle w:val="BodyText"/>
        <w:spacing w:before="6"/>
        <w:rPr>
          <w:sz w:val="15"/>
        </w:rPr>
      </w:pPr>
    </w:p>
    <w:p>
      <w:pPr>
        <w:pStyle w:val="BodyText"/>
        <w:spacing w:line="417" w:lineRule="auto"/>
        <w:ind w:left="640" w:right="6487"/>
        <w:rPr>
          <w:rFonts w:ascii="Times New Roman" w:eastAsia="Times New Roman"/>
        </w:rPr>
      </w:pPr>
      <w:r>
        <w:rPr/>
        <w:t>网址：</w:t>
      </w:r>
      <w:hyperlink r:id="rId104">
        <w:r>
          <w:rPr>
            <w:rFonts w:ascii="Times New Roman" w:eastAsia="Times New Roman"/>
          </w:rPr>
          <w:t>www.ctsec.com </w:t>
        </w:r>
      </w:hyperlink>
      <w:r>
        <w:rPr/>
        <w:t>客户服务电话：</w:t>
      </w:r>
      <w:r>
        <w:rPr>
          <w:rFonts w:ascii="Times New Roman" w:eastAsia="Times New Roman"/>
        </w:rPr>
        <w:t>95336</w:t>
      </w: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华鑫证券有限责任公司</w:t>
      </w:r>
    </w:p>
    <w:p>
      <w:pPr>
        <w:pStyle w:val="BodyText"/>
        <w:spacing w:before="7"/>
        <w:rPr>
          <w:sz w:val="15"/>
        </w:rPr>
      </w:pPr>
    </w:p>
    <w:p>
      <w:pPr>
        <w:pStyle w:val="BodyText"/>
        <w:spacing w:line="417" w:lineRule="auto"/>
        <w:ind w:left="640" w:right="1131"/>
      </w:pPr>
      <w:r>
        <w:rPr/>
        <w:t>住所：深圳市福田区莲花街道福中社区深南大道</w:t>
      </w:r>
      <w:r>
        <w:rPr>
          <w:rFonts w:ascii="Times New Roman" w:eastAsia="Times New Roman"/>
        </w:rPr>
        <w:t>2008</w:t>
      </w:r>
      <w:r>
        <w:rPr/>
        <w:t>号中国凤凰大厦</w:t>
      </w:r>
      <w:r>
        <w:rPr>
          <w:rFonts w:ascii="Times New Roman" w:eastAsia="Times New Roman"/>
        </w:rPr>
        <w:t>1</w:t>
      </w:r>
      <w:r>
        <w:rPr/>
        <w:t>栋</w:t>
      </w:r>
      <w:r>
        <w:rPr>
          <w:rFonts w:ascii="Times New Roman" w:eastAsia="Times New Roman"/>
        </w:rPr>
        <w:t>20C-1</w:t>
      </w:r>
      <w:r>
        <w:rPr/>
        <w:t>房办公地址：上海市徐汇区宛平南路</w:t>
      </w:r>
      <w:r>
        <w:rPr>
          <w:rFonts w:ascii="Times New Roman" w:eastAsia="Times New Roman"/>
        </w:rPr>
        <w:t>8</w:t>
      </w:r>
      <w:r>
        <w:rPr/>
        <w:t>号</w:t>
      </w:r>
    </w:p>
    <w:p>
      <w:pPr>
        <w:pStyle w:val="BodyText"/>
        <w:spacing w:line="417" w:lineRule="auto"/>
        <w:ind w:left="640" w:right="656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spacing w:line="269" w:lineRule="exact"/>
        <w:ind w:left="640"/>
      </w:pPr>
      <w:r>
        <w:rPr/>
        <w:t>联系人：杨莉娟</w:t>
      </w:r>
    </w:p>
    <w:p>
      <w:pPr>
        <w:pStyle w:val="BodyText"/>
        <w:spacing w:before="7"/>
        <w:rPr>
          <w:sz w:val="15"/>
        </w:rPr>
      </w:pPr>
    </w:p>
    <w:p>
      <w:pPr>
        <w:pStyle w:val="BodyText"/>
        <w:ind w:left="640"/>
        <w:rPr>
          <w:rFonts w:ascii="Times New Roman" w:eastAsia="Times New Roman"/>
        </w:rPr>
      </w:pPr>
      <w:r>
        <w:rPr/>
        <w:t>网址：</w:t>
      </w:r>
      <w:hyperlink r:id="rId105">
        <w:r>
          <w:rPr>
            <w:rFonts w:ascii="Times New Roman" w:eastAsia="Times New Roman"/>
          </w:rPr>
          <w:t>www.cfsc.com.cn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中山证券有限责任公司</w:t>
      </w:r>
    </w:p>
    <w:p>
      <w:pPr>
        <w:pStyle w:val="BodyText"/>
        <w:spacing w:before="6"/>
        <w:rPr>
          <w:sz w:val="15"/>
        </w:rPr>
      </w:pPr>
    </w:p>
    <w:p>
      <w:pPr>
        <w:pStyle w:val="BodyText"/>
        <w:spacing w:before="1"/>
        <w:ind w:left="640"/>
      </w:pPr>
      <w:r>
        <w:rPr/>
        <w:t>住所：深圳市南山区创业路</w:t>
      </w:r>
      <w:r>
        <w:rPr>
          <w:rFonts w:ascii="Times New Roman" w:eastAsia="Times New Roman"/>
        </w:rPr>
        <w:t>1777</w:t>
      </w:r>
      <w:r>
        <w:rPr/>
        <w:t>号海信南方大厦</w:t>
      </w:r>
      <w:r>
        <w:rPr>
          <w:rFonts w:ascii="Times New Roman" w:eastAsia="Times New Roman"/>
        </w:rPr>
        <w:t>21</w:t>
      </w:r>
      <w:r>
        <w:rPr/>
        <w:t>、</w:t>
      </w:r>
      <w:r>
        <w:rPr>
          <w:rFonts w:ascii="Times New Roman" w:eastAsia="Times New Roman"/>
        </w:rPr>
        <w:t>22</w:t>
      </w:r>
      <w:r>
        <w:rPr/>
        <w:t>层</w:t>
      </w:r>
    </w:p>
    <w:p>
      <w:pPr>
        <w:pStyle w:val="BodyText"/>
        <w:spacing w:before="6"/>
        <w:rPr>
          <w:sz w:val="15"/>
        </w:rPr>
      </w:pPr>
    </w:p>
    <w:p>
      <w:pPr>
        <w:pStyle w:val="BodyText"/>
        <w:spacing w:line="417" w:lineRule="auto"/>
        <w:ind w:left="640" w:right="2807"/>
      </w:pPr>
      <w:r>
        <w:rPr/>
        <w:t>办公地址：深圳市南山区创业路</w:t>
      </w:r>
      <w:r>
        <w:rPr>
          <w:rFonts w:ascii="Times New Roman" w:eastAsia="Times New Roman"/>
        </w:rPr>
        <w:t>1777</w:t>
      </w:r>
      <w:r>
        <w:rPr/>
        <w:t>号海信南方大厦</w:t>
      </w:r>
      <w:r>
        <w:rPr>
          <w:rFonts w:ascii="Times New Roman" w:eastAsia="Times New Roman"/>
        </w:rPr>
        <w:t>21</w:t>
      </w:r>
      <w:r>
        <w:rPr/>
        <w:t>、</w:t>
      </w:r>
      <w:r>
        <w:rPr>
          <w:rFonts w:ascii="Times New Roman" w:eastAsia="Times New Roman"/>
        </w:rPr>
        <w:t>22</w:t>
      </w:r>
      <w:r>
        <w:rPr/>
        <w:t>层法定代表人：林炳城</w:t>
      </w:r>
    </w:p>
    <w:p>
      <w:pPr>
        <w:pStyle w:val="BodyText"/>
        <w:spacing w:line="417" w:lineRule="auto"/>
        <w:ind w:left="640" w:right="652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pStyle w:val="BodyText"/>
        <w:ind w:left="640"/>
      </w:pPr>
      <w:r>
        <w:rPr/>
        <w:t>联系人：罗艺琳</w:t>
      </w:r>
    </w:p>
    <w:p>
      <w:pPr>
        <w:pStyle w:val="BodyText"/>
        <w:spacing w:before="7"/>
        <w:rPr>
          <w:sz w:val="15"/>
        </w:rPr>
      </w:pPr>
    </w:p>
    <w:p>
      <w:pPr>
        <w:pStyle w:val="BodyText"/>
        <w:spacing w:line="417" w:lineRule="auto"/>
        <w:ind w:left="640" w:right="6487"/>
        <w:rPr>
          <w:rFonts w:ascii="Times New Roman" w:eastAsia="Times New Roman"/>
        </w:rPr>
      </w:pPr>
      <w:r>
        <w:rPr/>
        <w:t>网址：</w:t>
      </w:r>
      <w:hyperlink r:id="rId106">
        <w:r>
          <w:rPr>
            <w:rFonts w:ascii="Times New Roman" w:eastAsia="Times New Roman"/>
          </w:rPr>
          <w:t>www.zszq.com </w:t>
        </w:r>
      </w:hyperlink>
      <w:r>
        <w:rPr/>
        <w:t>客户服务电话：</w:t>
      </w:r>
      <w:r>
        <w:rPr>
          <w:rFonts w:ascii="Times New Roman" w:eastAsia="Times New Roman"/>
        </w:rPr>
        <w:t>95329</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粤开证券股份有限公司</w:t>
      </w:r>
    </w:p>
    <w:p>
      <w:pPr>
        <w:pStyle w:val="BodyText"/>
        <w:spacing w:before="7"/>
        <w:rPr>
          <w:sz w:val="15"/>
        </w:rPr>
      </w:pPr>
    </w:p>
    <w:p>
      <w:pPr>
        <w:pStyle w:val="BodyText"/>
        <w:spacing w:line="417" w:lineRule="auto"/>
        <w:ind w:left="640" w:right="1967"/>
      </w:pPr>
      <w:r>
        <w:rPr/>
        <w:t>住所：广州经济技术开发区科学大道</w:t>
      </w:r>
      <w:r>
        <w:rPr>
          <w:rFonts w:ascii="Times New Roman" w:eastAsia="Times New Roman"/>
        </w:rPr>
        <w:t>60</w:t>
      </w:r>
      <w:r>
        <w:rPr/>
        <w:t>号开发区金控中心</w:t>
      </w:r>
      <w:r>
        <w:rPr>
          <w:rFonts w:ascii="Times New Roman" w:eastAsia="Times New Roman"/>
        </w:rPr>
        <w:t>21</w:t>
      </w:r>
      <w:r>
        <w:rPr/>
        <w:t>、</w:t>
      </w:r>
      <w:r>
        <w:rPr>
          <w:rFonts w:ascii="Times New Roman" w:eastAsia="Times New Roman"/>
        </w:rPr>
        <w:t>22</w:t>
      </w:r>
      <w:r>
        <w:rPr/>
        <w:t>、</w:t>
      </w:r>
      <w:r>
        <w:rPr>
          <w:rFonts w:ascii="Times New Roman" w:eastAsia="Times New Roman"/>
        </w:rPr>
        <w:t>23</w:t>
      </w:r>
      <w:r>
        <w:rPr/>
        <w:t>层办公地址：深圳市福田区深南中路</w:t>
      </w:r>
      <w:r>
        <w:rPr>
          <w:rFonts w:ascii="Times New Roman" w:eastAsia="Times New Roman"/>
        </w:rPr>
        <w:t>2002</w:t>
      </w:r>
      <w:r>
        <w:rPr/>
        <w:t>号中广核大厦北楼</w:t>
      </w:r>
      <w:r>
        <w:rPr>
          <w:rFonts w:ascii="Times New Roman" w:eastAsia="Times New Roman"/>
        </w:rPr>
        <w:t>10</w:t>
      </w:r>
      <w:r>
        <w:rPr/>
        <w:t>层</w:t>
      </w:r>
    </w:p>
    <w:p>
      <w:pPr>
        <w:pStyle w:val="BodyText"/>
        <w:spacing w:line="417" w:lineRule="auto"/>
        <w:ind w:left="640" w:right="6530"/>
        <w:rPr>
          <w:rFonts w:ascii="Times New Roman" w:eastAsia="Times New Roman"/>
        </w:rPr>
      </w:pPr>
      <w:r>
        <w:rPr/>
        <w:t>法定代表人：严亦斌电话：</w:t>
      </w:r>
      <w:r>
        <w:rPr>
          <w:rFonts w:ascii="Times New Roman" w:eastAsia="Times New Roman"/>
        </w:rPr>
        <w:t>0755-83331195</w:t>
      </w:r>
    </w:p>
    <w:p>
      <w:pPr>
        <w:spacing w:after="0" w:line="417" w:lineRule="auto"/>
        <w:rPr>
          <w:rFonts w:ascii="Times New Roman" w:eastAsia="Times New Roman"/>
        </w:rPr>
        <w:sectPr>
          <w:pgSz w:w="11910" w:h="16840"/>
          <w:pgMar w:header="877" w:footer="995" w:top="1420" w:bottom="1180" w:left="1580" w:right="1200"/>
        </w:sectPr>
      </w:pPr>
    </w:p>
    <w:p>
      <w:pPr>
        <w:pStyle w:val="BodyText"/>
        <w:spacing w:before="110"/>
        <w:ind w:left="640"/>
      </w:pPr>
      <w:r>
        <w:rPr/>
        <w:t>联系人：彭莲</w:t>
      </w:r>
    </w:p>
    <w:p>
      <w:pPr>
        <w:pStyle w:val="BodyText"/>
        <w:spacing w:before="6"/>
        <w:rPr>
          <w:sz w:val="15"/>
        </w:rPr>
      </w:pPr>
    </w:p>
    <w:p>
      <w:pPr>
        <w:pStyle w:val="BodyText"/>
        <w:spacing w:line="417" w:lineRule="auto"/>
        <w:ind w:left="640" w:right="5991"/>
        <w:rPr>
          <w:rFonts w:ascii="Times New Roman" w:eastAsia="Times New Roman"/>
        </w:rPr>
      </w:pPr>
      <w:r>
        <w:rPr/>
        <w:t>网址：</w:t>
      </w:r>
      <w:hyperlink r:id="rId107">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国金证券股份有限公司</w:t>
      </w:r>
    </w:p>
    <w:p>
      <w:pPr>
        <w:pStyle w:val="BodyText"/>
        <w:spacing w:before="7"/>
        <w:rPr>
          <w:sz w:val="15"/>
        </w:rPr>
      </w:pPr>
    </w:p>
    <w:p>
      <w:pPr>
        <w:pStyle w:val="BodyText"/>
        <w:ind w:left="640"/>
      </w:pPr>
      <w:r>
        <w:rPr/>
        <w:t>住所：成都市青羊区东城根上街</w:t>
      </w:r>
      <w:r>
        <w:rPr>
          <w:rFonts w:ascii="Times New Roman" w:eastAsia="Times New Roman"/>
        </w:rPr>
        <w:t>95</w:t>
      </w:r>
      <w:r>
        <w:rPr/>
        <w:t>号</w:t>
      </w:r>
    </w:p>
    <w:p>
      <w:pPr>
        <w:pStyle w:val="BodyText"/>
        <w:spacing w:before="7"/>
        <w:rPr>
          <w:sz w:val="15"/>
        </w:rPr>
      </w:pPr>
    </w:p>
    <w:p>
      <w:pPr>
        <w:pStyle w:val="BodyText"/>
        <w:spacing w:line="417" w:lineRule="auto"/>
        <w:ind w:left="640" w:right="4698"/>
      </w:pPr>
      <w:r>
        <w:rPr/>
        <w:t>办公地址：成都市青羊区东城根上街</w:t>
      </w:r>
      <w:r>
        <w:rPr>
          <w:rFonts w:ascii="Times New Roman" w:eastAsia="Times New Roman"/>
        </w:rPr>
        <w:t>95</w:t>
      </w:r>
      <w:r>
        <w:rPr/>
        <w:t>号法定代表人：冉云</w:t>
      </w:r>
    </w:p>
    <w:p>
      <w:pPr>
        <w:pStyle w:val="BodyText"/>
        <w:spacing w:line="417" w:lineRule="auto"/>
        <w:ind w:left="640" w:right="519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left="640" w:right="6333"/>
        <w:jc w:val="both"/>
        <w:rPr>
          <w:rFonts w:ascii="Times New Roman" w:eastAsia="Times New Roman"/>
        </w:rPr>
      </w:pPr>
      <w:r>
        <w:rPr>
          <w:spacing w:val="-3"/>
        </w:rPr>
        <w:t>联系人：刘婧漪、贾鹏网址：</w:t>
      </w:r>
      <w:hyperlink r:id="rId108">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长城国瑞证券有限公司</w:t>
      </w:r>
    </w:p>
    <w:p>
      <w:pPr>
        <w:pStyle w:val="BodyText"/>
        <w:spacing w:before="6"/>
        <w:rPr>
          <w:sz w:val="15"/>
        </w:rPr>
      </w:pPr>
    </w:p>
    <w:p>
      <w:pPr>
        <w:pStyle w:val="BodyText"/>
        <w:spacing w:before="1"/>
        <w:ind w:left="640"/>
      </w:pPr>
      <w:r>
        <w:rPr/>
        <w:t>住所：福建省厦门市莲前西路</w:t>
      </w:r>
      <w:r>
        <w:rPr>
          <w:rFonts w:ascii="Times New Roman" w:eastAsia="Times New Roman"/>
        </w:rPr>
        <w:t>2</w:t>
      </w:r>
      <w:r>
        <w:rPr/>
        <w:t>号莲富大厦十七层</w:t>
      </w:r>
    </w:p>
    <w:p>
      <w:pPr>
        <w:pStyle w:val="BodyText"/>
        <w:spacing w:before="7"/>
        <w:rPr>
          <w:sz w:val="15"/>
        </w:rPr>
      </w:pPr>
    </w:p>
    <w:p>
      <w:pPr>
        <w:pStyle w:val="BodyText"/>
        <w:spacing w:line="417" w:lineRule="auto"/>
        <w:ind w:left="640" w:right="3162"/>
      </w:pPr>
      <w:r>
        <w:rPr/>
        <w:t>办公地址：福建省厦门市深田路</w:t>
      </w:r>
      <w:r>
        <w:rPr>
          <w:rFonts w:ascii="Times New Roman" w:eastAsia="Times New Roman"/>
        </w:rPr>
        <w:t>46</w:t>
      </w:r>
      <w:r>
        <w:rPr/>
        <w:t>号深田国际大厦</w:t>
      </w:r>
      <w:r>
        <w:rPr>
          <w:rFonts w:ascii="Times New Roman" w:eastAsia="Times New Roman"/>
        </w:rPr>
        <w:t>19-20</w:t>
      </w:r>
      <w:r>
        <w:rPr/>
        <w:t>楼法定代表人：王勇</w:t>
      </w:r>
    </w:p>
    <w:p>
      <w:pPr>
        <w:pStyle w:val="BodyText"/>
        <w:spacing w:line="417" w:lineRule="auto"/>
        <w:ind w:left="640" w:right="6626"/>
        <w:rPr>
          <w:rFonts w:ascii="Times New Roman" w:eastAsia="Times New Roman"/>
        </w:rPr>
      </w:pPr>
      <w:r>
        <w:rPr/>
        <w:t>电话：</w:t>
      </w:r>
      <w:r>
        <w:rPr>
          <w:rFonts w:ascii="Times New Roman" w:eastAsia="Times New Roman"/>
        </w:rPr>
        <w:t>0592-2079259 </w:t>
      </w:r>
      <w:r>
        <w:rPr/>
        <w:t>传真：</w:t>
      </w:r>
      <w:r>
        <w:rPr>
          <w:rFonts w:ascii="Times New Roman" w:eastAsia="Times New Roman"/>
        </w:rPr>
        <w:t>0592-2079602</w:t>
      </w:r>
    </w:p>
    <w:p>
      <w:pPr>
        <w:pStyle w:val="BodyText"/>
        <w:spacing w:line="269" w:lineRule="exact"/>
        <w:ind w:left="640"/>
      </w:pPr>
      <w:r>
        <w:rPr/>
        <w:t>联系人：邱震</w:t>
      </w:r>
    </w:p>
    <w:p>
      <w:pPr>
        <w:pStyle w:val="BodyText"/>
        <w:spacing w:before="6"/>
        <w:rPr>
          <w:sz w:val="15"/>
        </w:rPr>
      </w:pPr>
    </w:p>
    <w:p>
      <w:pPr>
        <w:pStyle w:val="BodyText"/>
        <w:ind w:left="640"/>
        <w:rPr>
          <w:rFonts w:ascii="Times New Roman" w:eastAsia="Times New Roman"/>
        </w:rPr>
      </w:pPr>
      <w:r>
        <w:rPr/>
        <w:t>网址：</w:t>
      </w:r>
      <w:hyperlink r:id="rId109">
        <w:r>
          <w:rPr>
            <w:rFonts w:ascii="Times New Roman" w:eastAsia="Times New Roman"/>
          </w:rPr>
          <w:t>www.gwgsc.com</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400-0099-886</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爱建证券有限责任公司</w:t>
      </w:r>
    </w:p>
    <w:p>
      <w:pPr>
        <w:pStyle w:val="BodyText"/>
        <w:spacing w:before="6"/>
        <w:rPr>
          <w:sz w:val="15"/>
        </w:rPr>
      </w:pPr>
    </w:p>
    <w:p>
      <w:pPr>
        <w:pStyle w:val="BodyText"/>
        <w:ind w:left="640"/>
      </w:pPr>
      <w:r>
        <w:rPr/>
        <w:t>住所：中国（上海）自由贸易试验区世纪大道</w:t>
      </w:r>
      <w:r>
        <w:rPr>
          <w:rFonts w:ascii="Times New Roman" w:eastAsia="Times New Roman"/>
        </w:rPr>
        <w:t>1600</w:t>
      </w:r>
      <w:r>
        <w:rPr/>
        <w:t>号</w:t>
      </w:r>
      <w:r>
        <w:rPr>
          <w:rFonts w:ascii="Times New Roman" w:eastAsia="Times New Roman"/>
        </w:rPr>
        <w:t>1</w:t>
      </w:r>
      <w:r>
        <w:rPr/>
        <w:t>幢</w:t>
      </w:r>
      <w:r>
        <w:rPr>
          <w:rFonts w:ascii="Times New Roman" w:eastAsia="Times New Roman"/>
        </w:rPr>
        <w:t>32</w:t>
      </w:r>
      <w:r>
        <w:rPr/>
        <w:t>楼</w:t>
      </w:r>
    </w:p>
    <w:p>
      <w:pPr>
        <w:pStyle w:val="BodyText"/>
        <w:spacing w:before="7"/>
        <w:rPr>
          <w:sz w:val="15"/>
        </w:rPr>
      </w:pPr>
    </w:p>
    <w:p>
      <w:pPr>
        <w:pStyle w:val="BodyText"/>
        <w:spacing w:line="417" w:lineRule="auto"/>
        <w:ind w:left="640" w:right="2495"/>
      </w:pPr>
      <w:r>
        <w:rPr/>
        <w:t>办公地址：中国（上海）自由贸易试验区世纪大道</w:t>
      </w:r>
      <w:r>
        <w:rPr>
          <w:rFonts w:ascii="Times New Roman" w:eastAsia="Times New Roman"/>
        </w:rPr>
        <w:t>1600</w:t>
      </w:r>
      <w:r>
        <w:rPr/>
        <w:t>号</w:t>
      </w:r>
      <w:r>
        <w:rPr>
          <w:rFonts w:ascii="Times New Roman" w:eastAsia="Times New Roman"/>
        </w:rPr>
        <w:t>1</w:t>
      </w:r>
      <w:r>
        <w:rPr/>
        <w:t>幢</w:t>
      </w:r>
      <w:r>
        <w:rPr>
          <w:rFonts w:ascii="Times New Roman" w:eastAsia="Times New Roman"/>
        </w:rPr>
        <w:t>32</w:t>
      </w:r>
      <w:r>
        <w:rPr/>
        <w:t>楼法定代表人：祝健</w:t>
      </w:r>
    </w:p>
    <w:p>
      <w:pPr>
        <w:pStyle w:val="BodyText"/>
        <w:spacing w:line="417" w:lineRule="auto"/>
        <w:ind w:left="640" w:right="662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pStyle w:val="BodyText"/>
        <w:spacing w:line="269" w:lineRule="exact"/>
        <w:ind w:left="640"/>
      </w:pPr>
      <w:r>
        <w:rPr/>
        <w:t>联系人：庄丽珍</w:t>
      </w:r>
    </w:p>
    <w:p>
      <w:pPr>
        <w:pStyle w:val="BodyText"/>
        <w:spacing w:before="7"/>
        <w:rPr>
          <w:sz w:val="15"/>
        </w:rPr>
      </w:pPr>
    </w:p>
    <w:p>
      <w:pPr>
        <w:pStyle w:val="BodyText"/>
        <w:ind w:left="640"/>
        <w:rPr>
          <w:rFonts w:ascii="Times New Roman" w:eastAsia="Times New Roman"/>
        </w:rPr>
      </w:pPr>
      <w:r>
        <w:rPr/>
        <w:t>网址：</w:t>
      </w:r>
      <w:hyperlink r:id="rId110">
        <w:r>
          <w:rPr>
            <w:rFonts w:ascii="Times New Roman" w:eastAsia="Times New Roman"/>
          </w:rPr>
          <w:t>www.ajzq.com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400-196-2502</w:t>
      </w:r>
    </w:p>
    <w:p>
      <w:pPr>
        <w:spacing w:after="0"/>
        <w:rPr>
          <w:rFonts w:ascii="Times New Roman" w:eastAsia="Times New Roman"/>
        </w:rPr>
        <w:sectPr>
          <w:pgSz w:w="11910" w:h="16840"/>
          <w:pgMar w:header="877" w:footer="995" w:top="1420" w:bottom="1180" w:left="1580" w:right="1200"/>
        </w:sectPr>
      </w:pPr>
    </w:p>
    <w:p>
      <w:pPr>
        <w:pStyle w:val="ListParagraph"/>
        <w:numPr>
          <w:ilvl w:val="0"/>
          <w:numId w:val="7"/>
        </w:numPr>
        <w:tabs>
          <w:tab w:pos="1379" w:val="left" w:leader="none"/>
        </w:tabs>
        <w:spacing w:line="417" w:lineRule="auto" w:before="110" w:after="0"/>
        <w:ind w:left="640" w:right="5435" w:firstLine="0"/>
        <w:jc w:val="left"/>
        <w:rPr>
          <w:sz w:val="21"/>
        </w:rPr>
      </w:pPr>
      <w:r>
        <w:rPr>
          <w:spacing w:val="-3"/>
          <w:sz w:val="21"/>
        </w:rPr>
        <w:t>华融证券股份有限公司 住所：北京市西城区金融大街</w:t>
      </w:r>
      <w:r>
        <w:rPr>
          <w:rFonts w:ascii="Times New Roman" w:eastAsia="Times New Roman"/>
          <w:spacing w:val="-3"/>
          <w:sz w:val="21"/>
        </w:rPr>
        <w:t>8</w:t>
      </w:r>
      <w:r>
        <w:rPr>
          <w:spacing w:val="-13"/>
          <w:sz w:val="21"/>
        </w:rPr>
        <w:t>号</w:t>
      </w:r>
    </w:p>
    <w:p>
      <w:pPr>
        <w:pStyle w:val="BodyText"/>
        <w:spacing w:line="417" w:lineRule="auto"/>
        <w:ind w:left="640" w:right="2807"/>
      </w:pPr>
      <w:r>
        <w:rPr/>
        <w:t>办公地址：北京市朝阳区朝阳门北大街</w:t>
      </w:r>
      <w:r>
        <w:rPr>
          <w:rFonts w:ascii="Times New Roman" w:eastAsia="Times New Roman"/>
        </w:rPr>
        <w:t>18</w:t>
      </w:r>
      <w:r>
        <w:rPr/>
        <w:t>号中国人保寿险大厦法定代表人：祝献忠</w:t>
      </w:r>
    </w:p>
    <w:p>
      <w:pPr>
        <w:pStyle w:val="BodyText"/>
        <w:spacing w:line="417" w:lineRule="auto"/>
        <w:ind w:left="640" w:right="662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spacing w:line="269" w:lineRule="exact"/>
        <w:ind w:left="640"/>
      </w:pPr>
      <w:r>
        <w:rPr/>
        <w:t>联系人：孙燕波</w:t>
      </w:r>
    </w:p>
    <w:p>
      <w:pPr>
        <w:pStyle w:val="BodyText"/>
        <w:spacing w:before="6"/>
        <w:rPr>
          <w:sz w:val="15"/>
        </w:rPr>
      </w:pPr>
    </w:p>
    <w:p>
      <w:pPr>
        <w:pStyle w:val="BodyText"/>
        <w:spacing w:line="417" w:lineRule="auto"/>
        <w:ind w:left="640" w:right="6207"/>
        <w:rPr>
          <w:rFonts w:ascii="Times New Roman" w:eastAsia="Times New Roman"/>
        </w:rPr>
      </w:pPr>
      <w:r>
        <w:rPr/>
        <w:t>网址：</w:t>
      </w:r>
      <w:hyperlink r:id="rId111">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天风证券股份有限公司</w:t>
      </w:r>
    </w:p>
    <w:p>
      <w:pPr>
        <w:pStyle w:val="BodyText"/>
        <w:spacing w:before="7"/>
        <w:rPr>
          <w:sz w:val="15"/>
        </w:rPr>
      </w:pPr>
    </w:p>
    <w:p>
      <w:pPr>
        <w:pStyle w:val="BodyText"/>
        <w:ind w:left="640"/>
      </w:pPr>
      <w:r>
        <w:rPr/>
        <w:t>住所：湖北省武汉市东湖新技术开发区关东园路</w:t>
      </w:r>
      <w:r>
        <w:rPr>
          <w:rFonts w:ascii="Times New Roman" w:eastAsia="Times New Roman"/>
        </w:rPr>
        <w:t>2</w:t>
      </w:r>
      <w:r>
        <w:rPr/>
        <w:t>号高科大厦四楼</w:t>
      </w:r>
    </w:p>
    <w:p>
      <w:pPr>
        <w:pStyle w:val="BodyText"/>
        <w:spacing w:before="7"/>
        <w:rPr>
          <w:sz w:val="15"/>
        </w:rPr>
      </w:pPr>
    </w:p>
    <w:p>
      <w:pPr>
        <w:pStyle w:val="BodyText"/>
        <w:spacing w:line="417" w:lineRule="auto"/>
        <w:ind w:left="640" w:right="2072"/>
      </w:pPr>
      <w:r>
        <w:rPr/>
        <w:t>办公地址：湖北省武汉市东湖新技术开发区关东园路</w:t>
      </w:r>
      <w:r>
        <w:rPr>
          <w:rFonts w:ascii="Times New Roman" w:eastAsia="Times New Roman"/>
        </w:rPr>
        <w:t>2</w:t>
      </w:r>
      <w:r>
        <w:rPr/>
        <w:t>号高科大厦四楼法定代表人：余磊</w:t>
      </w:r>
    </w:p>
    <w:p>
      <w:pPr>
        <w:pStyle w:val="BodyText"/>
        <w:spacing w:line="417" w:lineRule="auto"/>
        <w:ind w:left="640" w:right="662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ind w:left="640"/>
      </w:pPr>
      <w:r>
        <w:rPr/>
        <w:t>联系人：翟璟</w:t>
      </w:r>
    </w:p>
    <w:p>
      <w:pPr>
        <w:pStyle w:val="BodyText"/>
        <w:spacing w:before="6"/>
        <w:rPr>
          <w:sz w:val="15"/>
        </w:rPr>
      </w:pPr>
    </w:p>
    <w:p>
      <w:pPr>
        <w:pStyle w:val="BodyText"/>
        <w:ind w:left="640"/>
        <w:rPr>
          <w:rFonts w:ascii="Times New Roman" w:eastAsia="Times New Roman"/>
        </w:rPr>
      </w:pPr>
      <w:r>
        <w:rPr/>
        <w:t>网址：</w:t>
      </w:r>
      <w:hyperlink r:id="rId112">
        <w:r>
          <w:rPr>
            <w:rFonts w:ascii="Times New Roman" w:eastAsia="Times New Roman"/>
          </w:rPr>
          <w:t>www.tfzq.com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400-800-5000</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万和证券股份有限公司</w:t>
      </w:r>
    </w:p>
    <w:p>
      <w:pPr>
        <w:pStyle w:val="BodyText"/>
        <w:spacing w:before="7"/>
        <w:rPr>
          <w:sz w:val="15"/>
        </w:rPr>
      </w:pPr>
    </w:p>
    <w:p>
      <w:pPr>
        <w:pStyle w:val="BodyText"/>
        <w:ind w:left="640"/>
      </w:pPr>
      <w:r>
        <w:rPr/>
        <w:t>住所：海口市南沙路</w:t>
      </w:r>
      <w:r>
        <w:rPr>
          <w:rFonts w:ascii="Times New Roman" w:eastAsia="Times New Roman"/>
        </w:rPr>
        <w:t>49</w:t>
      </w:r>
      <w:r>
        <w:rPr/>
        <w:t>号通信广场二楼</w:t>
      </w:r>
    </w:p>
    <w:p>
      <w:pPr>
        <w:pStyle w:val="BodyText"/>
        <w:spacing w:before="7"/>
        <w:rPr>
          <w:sz w:val="15"/>
        </w:rPr>
      </w:pPr>
    </w:p>
    <w:p>
      <w:pPr>
        <w:pStyle w:val="BodyText"/>
        <w:spacing w:line="417" w:lineRule="auto"/>
        <w:ind w:left="640" w:right="2598"/>
      </w:pPr>
      <w:r>
        <w:rPr/>
        <w:t>办公地址：深圳市福田区深南大道</w:t>
      </w:r>
      <w:r>
        <w:rPr>
          <w:rFonts w:ascii="Times New Roman" w:eastAsia="Times New Roman"/>
        </w:rPr>
        <w:t>7028</w:t>
      </w:r>
      <w:r>
        <w:rPr/>
        <w:t>号时代科技大厦</w:t>
      </w:r>
      <w:r>
        <w:rPr>
          <w:rFonts w:ascii="Times New Roman" w:eastAsia="Times New Roman"/>
        </w:rPr>
        <w:t>20</w:t>
      </w:r>
      <w:r>
        <w:rPr/>
        <w:t>层西厅法定代表人：冯周让</w:t>
      </w:r>
    </w:p>
    <w:p>
      <w:pPr>
        <w:pStyle w:val="BodyText"/>
        <w:spacing w:line="417" w:lineRule="auto"/>
        <w:ind w:left="640" w:right="652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spacing w:line="269" w:lineRule="exact"/>
        <w:ind w:left="640"/>
      </w:pPr>
      <w:r>
        <w:rPr/>
        <w:t>联系人：王少峰</w:t>
      </w:r>
    </w:p>
    <w:p>
      <w:pPr>
        <w:pStyle w:val="BodyText"/>
        <w:spacing w:before="7"/>
        <w:rPr>
          <w:sz w:val="15"/>
        </w:rPr>
      </w:pPr>
    </w:p>
    <w:p>
      <w:pPr>
        <w:pStyle w:val="BodyText"/>
        <w:spacing w:line="417" w:lineRule="auto"/>
        <w:ind w:left="640" w:right="5333"/>
        <w:rPr>
          <w:rFonts w:ascii="Times New Roman" w:eastAsia="Times New Roman"/>
        </w:rPr>
      </w:pPr>
      <w:r>
        <w:rPr/>
        <w:t>网址：</w:t>
      </w:r>
      <w:hyperlink r:id="rId113">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宏信证券有限责任公司</w:t>
      </w:r>
    </w:p>
    <w:p>
      <w:pPr>
        <w:pStyle w:val="BodyText"/>
        <w:spacing w:before="7"/>
        <w:rPr>
          <w:sz w:val="15"/>
        </w:rPr>
      </w:pPr>
    </w:p>
    <w:p>
      <w:pPr>
        <w:pStyle w:val="BodyText"/>
        <w:ind w:left="640"/>
      </w:pPr>
      <w:r>
        <w:rPr/>
        <w:t>住所：四川省成都市锦江区人民南路二段</w:t>
      </w:r>
      <w:r>
        <w:rPr>
          <w:rFonts w:ascii="Times New Roman" w:eastAsia="Times New Roman"/>
        </w:rPr>
        <w:t>18</w:t>
      </w:r>
      <w:r>
        <w:rPr/>
        <w:t>号川信大厦</w:t>
      </w:r>
      <w:r>
        <w:rPr>
          <w:rFonts w:ascii="Times New Roman" w:eastAsia="Times New Roman"/>
        </w:rPr>
        <w:t>10</w:t>
      </w:r>
      <w:r>
        <w:rPr/>
        <w:t>楼</w:t>
      </w:r>
    </w:p>
    <w:p>
      <w:pPr>
        <w:pStyle w:val="BodyText"/>
        <w:spacing w:before="6"/>
        <w:rPr>
          <w:sz w:val="15"/>
        </w:rPr>
      </w:pPr>
    </w:p>
    <w:p>
      <w:pPr>
        <w:pStyle w:val="BodyText"/>
        <w:spacing w:before="1"/>
        <w:ind w:left="640"/>
      </w:pPr>
      <w:r>
        <w:rPr/>
        <w:t>办公地址：四川省成都市锦江区人民南路二段</w:t>
      </w:r>
      <w:r>
        <w:rPr>
          <w:rFonts w:ascii="Times New Roman" w:eastAsia="Times New Roman"/>
        </w:rPr>
        <w:t>18</w:t>
      </w:r>
      <w:r>
        <w:rPr/>
        <w:t>号川信大厦</w:t>
      </w:r>
      <w:r>
        <w:rPr>
          <w:rFonts w:ascii="Times New Roman" w:eastAsia="Times New Roman"/>
        </w:rPr>
        <w:t>10</w:t>
      </w:r>
      <w:r>
        <w:rPr/>
        <w:t>楼</w:t>
      </w:r>
    </w:p>
    <w:p>
      <w:pPr>
        <w:spacing w:after="0"/>
        <w:sectPr>
          <w:pgSz w:w="11910" w:h="16840"/>
          <w:pgMar w:header="877" w:footer="995" w:top="1420" w:bottom="1180" w:left="1580" w:right="1200"/>
        </w:sectPr>
      </w:pPr>
    </w:p>
    <w:p>
      <w:pPr>
        <w:pStyle w:val="BodyText"/>
        <w:spacing w:line="417" w:lineRule="auto" w:before="110"/>
        <w:ind w:left="640" w:right="6590"/>
        <w:jc w:val="both"/>
        <w:rPr>
          <w:rFonts w:ascii="Times New Roman" w:eastAsia="Times New Roman"/>
        </w:rPr>
      </w:pPr>
      <w:r>
        <w:rPr/>
        <w:t>法定代表人：吴玉明电话：</w:t>
      </w:r>
      <w:r>
        <w:rPr>
          <w:rFonts w:ascii="Times New Roman" w:eastAsia="Times New Roman"/>
        </w:rPr>
        <w:t>028-86199278 </w:t>
      </w:r>
      <w:r>
        <w:rPr/>
        <w:t>传真：</w:t>
      </w:r>
      <w:r>
        <w:rPr>
          <w:rFonts w:ascii="Times New Roman" w:eastAsia="Times New Roman"/>
        </w:rPr>
        <w:t>028-86199382</w:t>
      </w:r>
    </w:p>
    <w:p>
      <w:pPr>
        <w:pStyle w:val="BodyText"/>
        <w:spacing w:line="417" w:lineRule="auto"/>
        <w:ind w:left="640" w:right="6698"/>
        <w:rPr>
          <w:rFonts w:ascii="Times New Roman" w:eastAsia="Times New Roman"/>
        </w:rPr>
      </w:pPr>
      <w:r>
        <w:rPr>
          <w:spacing w:val="-2"/>
        </w:rPr>
        <w:t>联系人：郝俊杰  </w:t>
      </w:r>
      <w:r>
        <w:rPr>
          <w:spacing w:val="-3"/>
        </w:rPr>
        <w:t>网址：</w:t>
      </w:r>
      <w:hyperlink r:id="rId114">
        <w:r>
          <w:rPr>
            <w:rFonts w:ascii="Times New Roman" w:eastAsia="Times New Roman"/>
            <w:spacing w:val="-4"/>
          </w:rPr>
          <w:t>www.hxzq.cn</w:t>
        </w:r>
      </w:hyperlink>
    </w:p>
    <w:p>
      <w:pPr>
        <w:pStyle w:val="BodyText"/>
        <w:spacing w:line="269" w:lineRule="exact"/>
        <w:ind w:left="640"/>
        <w:rPr>
          <w:rFonts w:ascii="Times New Roman" w:eastAsia="Times New Roman"/>
        </w:rPr>
      </w:pPr>
      <w:r>
        <w:rPr/>
        <w:t>客户服务电话：</w:t>
      </w:r>
      <w:r>
        <w:rPr>
          <w:rFonts w:ascii="Times New Roman" w:eastAsia="Times New Roman"/>
        </w:rPr>
        <w:t>400-836-6366</w:t>
      </w:r>
    </w:p>
    <w:p>
      <w:pPr>
        <w:pStyle w:val="BodyText"/>
        <w:spacing w:before="2"/>
        <w:rPr>
          <w:rFonts w:ascii="Times New Roman"/>
          <w:sz w:val="17"/>
        </w:rPr>
      </w:pPr>
    </w:p>
    <w:p>
      <w:pPr>
        <w:pStyle w:val="ListParagraph"/>
        <w:numPr>
          <w:ilvl w:val="0"/>
          <w:numId w:val="7"/>
        </w:numPr>
        <w:tabs>
          <w:tab w:pos="1379" w:val="left" w:leader="none"/>
        </w:tabs>
        <w:spacing w:line="240" w:lineRule="auto" w:before="1" w:after="0"/>
        <w:ind w:left="1378" w:right="0" w:hanging="739"/>
        <w:jc w:val="left"/>
        <w:rPr>
          <w:sz w:val="21"/>
        </w:rPr>
      </w:pPr>
      <w:r>
        <w:rPr>
          <w:spacing w:val="-3"/>
          <w:sz w:val="21"/>
        </w:rPr>
        <w:t>开源证券股份有限公司</w:t>
      </w:r>
    </w:p>
    <w:p>
      <w:pPr>
        <w:pStyle w:val="BodyText"/>
        <w:spacing w:before="7"/>
        <w:rPr>
          <w:sz w:val="15"/>
        </w:rPr>
      </w:pPr>
    </w:p>
    <w:p>
      <w:pPr>
        <w:pStyle w:val="BodyText"/>
        <w:ind w:left="640"/>
      </w:pPr>
      <w:r>
        <w:rPr/>
        <w:t>住所：陕西省西安市高新区锦业路</w:t>
      </w:r>
      <w:r>
        <w:rPr>
          <w:rFonts w:ascii="Times New Roman" w:eastAsia="Times New Roman"/>
        </w:rPr>
        <w:t>1</w:t>
      </w:r>
      <w:r>
        <w:rPr/>
        <w:t>号都市之门</w:t>
      </w:r>
      <w:r>
        <w:rPr>
          <w:rFonts w:ascii="Times New Roman" w:eastAsia="Times New Roman"/>
        </w:rPr>
        <w:t>B</w:t>
      </w:r>
      <w:r>
        <w:rPr/>
        <w:t>座</w:t>
      </w:r>
      <w:r>
        <w:rPr>
          <w:rFonts w:ascii="Times New Roman" w:eastAsia="Times New Roman"/>
        </w:rPr>
        <w:t>5</w:t>
      </w:r>
      <w:r>
        <w:rPr/>
        <w:t>层</w:t>
      </w:r>
    </w:p>
    <w:p>
      <w:pPr>
        <w:pStyle w:val="BodyText"/>
        <w:spacing w:before="7"/>
        <w:rPr>
          <w:sz w:val="15"/>
        </w:rPr>
      </w:pPr>
    </w:p>
    <w:p>
      <w:pPr>
        <w:pStyle w:val="BodyText"/>
        <w:spacing w:line="417" w:lineRule="auto"/>
        <w:ind w:left="640" w:right="3090"/>
      </w:pPr>
      <w:r>
        <w:rPr/>
        <w:t>办公地址：陕西省西安市高新区锦业路</w:t>
      </w:r>
      <w:r>
        <w:rPr>
          <w:rFonts w:ascii="Times New Roman" w:eastAsia="Times New Roman"/>
        </w:rPr>
        <w:t>1</w:t>
      </w:r>
      <w:r>
        <w:rPr/>
        <w:t>号都市之门</w:t>
      </w:r>
      <w:r>
        <w:rPr>
          <w:rFonts w:ascii="Times New Roman" w:eastAsia="Times New Roman"/>
        </w:rPr>
        <w:t>B</w:t>
      </w:r>
      <w:r>
        <w:rPr/>
        <w:t>座</w:t>
      </w:r>
      <w:r>
        <w:rPr>
          <w:rFonts w:ascii="Times New Roman" w:eastAsia="Times New Roman"/>
        </w:rPr>
        <w:t>5</w:t>
      </w:r>
      <w:r>
        <w:rPr/>
        <w:t>层法定代表人：李刚</w:t>
      </w:r>
    </w:p>
    <w:p>
      <w:pPr>
        <w:pStyle w:val="BodyText"/>
        <w:spacing w:line="417" w:lineRule="auto"/>
        <w:ind w:left="640" w:right="6633"/>
        <w:rPr>
          <w:rFonts w:ascii="Times New Roman" w:eastAsia="Times New Roman"/>
        </w:rPr>
      </w:pPr>
      <w:r>
        <w:rPr/>
        <w:t>电话：</w:t>
      </w:r>
      <w:r>
        <w:rPr>
          <w:rFonts w:ascii="Times New Roman" w:eastAsia="Times New Roman"/>
        </w:rPr>
        <w:t>029-88447611 </w:t>
      </w:r>
      <w:r>
        <w:rPr/>
        <w:t>传真：</w:t>
      </w:r>
      <w:r>
        <w:rPr>
          <w:rFonts w:ascii="Times New Roman" w:eastAsia="Times New Roman"/>
        </w:rPr>
        <w:t>029-88447611</w:t>
      </w:r>
    </w:p>
    <w:p>
      <w:pPr>
        <w:pStyle w:val="BodyText"/>
        <w:spacing w:line="269" w:lineRule="exact"/>
        <w:ind w:left="640"/>
      </w:pPr>
      <w:r>
        <w:rPr/>
        <w:t>联系人：曹欣</w:t>
      </w:r>
    </w:p>
    <w:p>
      <w:pPr>
        <w:pStyle w:val="BodyText"/>
        <w:spacing w:before="6"/>
        <w:rPr>
          <w:sz w:val="15"/>
        </w:rPr>
      </w:pPr>
    </w:p>
    <w:p>
      <w:pPr>
        <w:pStyle w:val="BodyText"/>
        <w:ind w:left="640"/>
        <w:rPr>
          <w:rFonts w:ascii="Times New Roman" w:eastAsia="Times New Roman"/>
        </w:rPr>
      </w:pPr>
      <w:r>
        <w:rPr/>
        <w:t>网址：</w:t>
      </w:r>
      <w:hyperlink r:id="rId115">
        <w:r>
          <w:rPr>
            <w:rFonts w:ascii="Times New Roman" w:eastAsia="Times New Roman"/>
          </w:rPr>
          <w:t>www.kysec.cn</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联储证券有限责任公司</w:t>
      </w:r>
    </w:p>
    <w:p>
      <w:pPr>
        <w:pStyle w:val="BodyText"/>
        <w:spacing w:before="7"/>
        <w:rPr>
          <w:sz w:val="15"/>
        </w:rPr>
      </w:pPr>
    </w:p>
    <w:p>
      <w:pPr>
        <w:pStyle w:val="BodyText"/>
        <w:spacing w:line="417" w:lineRule="auto"/>
        <w:ind w:left="640" w:right="2072"/>
      </w:pPr>
      <w:r>
        <w:rPr>
          <w:spacing w:val="-3"/>
        </w:rPr>
        <w:t>住所：深圳市福田区福田街道岗厦社区深南大道南侧金地中心大厦</w:t>
      </w:r>
      <w:r>
        <w:rPr>
          <w:rFonts w:ascii="Times New Roman" w:eastAsia="Times New Roman"/>
        </w:rPr>
        <w:t>9</w:t>
      </w:r>
      <w:r>
        <w:rPr/>
        <w:t>楼</w:t>
      </w:r>
      <w:r>
        <w:rPr>
          <w:spacing w:val="-3"/>
        </w:rPr>
        <w:t>办公地址：北京市朝阳区安定路</w:t>
      </w:r>
      <w:r>
        <w:rPr>
          <w:rFonts w:ascii="Times New Roman" w:eastAsia="Times New Roman"/>
        </w:rPr>
        <w:t>5</w:t>
      </w:r>
      <w:r>
        <w:rPr>
          <w:spacing w:val="-2"/>
        </w:rPr>
        <w:t>号院</w:t>
      </w:r>
      <w:r>
        <w:rPr>
          <w:rFonts w:ascii="Times New Roman" w:eastAsia="Times New Roman"/>
        </w:rPr>
        <w:t>3</w:t>
      </w:r>
      <w:r>
        <w:rPr>
          <w:spacing w:val="-3"/>
        </w:rPr>
        <w:t>号楼中建财富国际中心</w:t>
      </w:r>
      <w:r>
        <w:rPr>
          <w:rFonts w:ascii="Times New Roman" w:eastAsia="Times New Roman"/>
        </w:rPr>
        <w:t>27</w:t>
      </w:r>
      <w:r>
        <w:rPr/>
        <w:t>层  </w:t>
      </w:r>
      <w:r>
        <w:rPr>
          <w:spacing w:val="-3"/>
        </w:rPr>
        <w:t>法定代表人：吕春卫</w:t>
      </w:r>
    </w:p>
    <w:p>
      <w:pPr>
        <w:pStyle w:val="BodyText"/>
        <w:spacing w:line="417" w:lineRule="auto"/>
        <w:ind w:left="640" w:right="6626"/>
        <w:rPr>
          <w:rFonts w:ascii="Times New Roman" w:eastAsia="Times New Roman"/>
        </w:rPr>
      </w:pPr>
      <w:r>
        <w:rPr/>
        <w:t>电话：</w:t>
      </w:r>
      <w:r>
        <w:rPr>
          <w:rFonts w:ascii="Times New Roman" w:eastAsia="Times New Roman"/>
        </w:rPr>
        <w:t>010-86499427 </w:t>
      </w:r>
      <w:r>
        <w:rPr/>
        <w:t>传真：</w:t>
      </w:r>
      <w:r>
        <w:rPr>
          <w:rFonts w:ascii="Times New Roman" w:eastAsia="Times New Roman"/>
        </w:rPr>
        <w:t>010-86499401</w:t>
      </w:r>
    </w:p>
    <w:p>
      <w:pPr>
        <w:pStyle w:val="BodyText"/>
        <w:ind w:left="640"/>
      </w:pPr>
      <w:r>
        <w:rPr/>
        <w:t>联系人：丁倩云</w:t>
      </w:r>
    </w:p>
    <w:p>
      <w:pPr>
        <w:pStyle w:val="BodyText"/>
        <w:spacing w:before="7"/>
        <w:rPr>
          <w:sz w:val="15"/>
        </w:rPr>
      </w:pPr>
    </w:p>
    <w:p>
      <w:pPr>
        <w:pStyle w:val="BodyText"/>
        <w:ind w:left="640"/>
        <w:rPr>
          <w:rFonts w:ascii="Times New Roman" w:eastAsia="Times New Roman"/>
        </w:rPr>
      </w:pPr>
      <w:r>
        <w:rPr/>
        <w:t>网址：</w:t>
      </w:r>
      <w:hyperlink r:id="rId116">
        <w:r>
          <w:rPr>
            <w:rFonts w:ascii="Times New Roman" w:eastAsia="Times New Roman"/>
          </w:rPr>
          <w:t>www.lczq.com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400-620-6868</w:t>
      </w:r>
    </w:p>
    <w:p>
      <w:pPr>
        <w:pStyle w:val="BodyText"/>
        <w:spacing w:before="3"/>
        <w:rPr>
          <w:rFonts w:ascii="Times New Roman"/>
          <w:sz w:val="17"/>
        </w:rPr>
      </w:pPr>
    </w:p>
    <w:p>
      <w:pPr>
        <w:pStyle w:val="ListParagraph"/>
        <w:numPr>
          <w:ilvl w:val="0"/>
          <w:numId w:val="7"/>
        </w:numPr>
        <w:tabs>
          <w:tab w:pos="1379" w:val="left" w:leader="none"/>
        </w:tabs>
        <w:spacing w:line="240" w:lineRule="auto" w:before="1" w:after="0"/>
        <w:ind w:left="1378" w:right="0" w:hanging="739"/>
        <w:jc w:val="left"/>
        <w:rPr>
          <w:sz w:val="21"/>
        </w:rPr>
      </w:pPr>
      <w:r>
        <w:rPr>
          <w:spacing w:val="-3"/>
          <w:sz w:val="21"/>
        </w:rPr>
        <w:t>阳光人寿保险股份有限公司</w:t>
      </w:r>
    </w:p>
    <w:p>
      <w:pPr>
        <w:pStyle w:val="BodyText"/>
        <w:spacing w:before="6"/>
        <w:rPr>
          <w:sz w:val="15"/>
        </w:rPr>
      </w:pPr>
    </w:p>
    <w:p>
      <w:pPr>
        <w:pStyle w:val="BodyText"/>
        <w:ind w:left="640"/>
      </w:pPr>
      <w:r>
        <w:rPr/>
        <w:t>住所：海南省三亚市迎宾路</w:t>
      </w:r>
      <w:r>
        <w:rPr>
          <w:rFonts w:ascii="Times New Roman" w:eastAsia="Times New Roman"/>
        </w:rPr>
        <w:t>360-1</w:t>
      </w:r>
      <w:r>
        <w:rPr/>
        <w:t>号三亚阳光金融广场</w:t>
      </w:r>
      <w:r>
        <w:rPr>
          <w:rFonts w:ascii="Times New Roman" w:eastAsia="Times New Roman"/>
        </w:rPr>
        <w:t>16</w:t>
      </w:r>
      <w:r>
        <w:rPr/>
        <w:t>层</w:t>
      </w:r>
    </w:p>
    <w:p>
      <w:pPr>
        <w:pStyle w:val="BodyText"/>
        <w:spacing w:before="7"/>
        <w:rPr>
          <w:sz w:val="15"/>
        </w:rPr>
      </w:pPr>
    </w:p>
    <w:p>
      <w:pPr>
        <w:pStyle w:val="BodyText"/>
        <w:spacing w:line="417" w:lineRule="auto"/>
        <w:ind w:left="640" w:right="2075"/>
      </w:pPr>
      <w:r>
        <w:rPr/>
        <w:t>办公地址：北京市朝阳区朝阳门外大街乙</w:t>
      </w:r>
      <w:r>
        <w:rPr>
          <w:rFonts w:ascii="Times New Roman" w:eastAsia="Times New Roman"/>
        </w:rPr>
        <w:t>12</w:t>
      </w:r>
      <w:r>
        <w:rPr/>
        <w:t>号院</w:t>
      </w:r>
      <w:r>
        <w:rPr>
          <w:rFonts w:ascii="Times New Roman" w:eastAsia="Times New Roman"/>
        </w:rPr>
        <w:t>1</w:t>
      </w:r>
      <w:r>
        <w:rPr/>
        <w:t>号昆泰国际大厦</w:t>
      </w:r>
      <w:r>
        <w:rPr>
          <w:rFonts w:ascii="Times New Roman" w:eastAsia="Times New Roman"/>
        </w:rPr>
        <w:t>12</w:t>
      </w:r>
      <w:r>
        <w:rPr/>
        <w:t>层法定代表人：李科</w:t>
      </w:r>
    </w:p>
    <w:p>
      <w:pPr>
        <w:pStyle w:val="BodyText"/>
        <w:spacing w:line="417" w:lineRule="auto"/>
        <w:ind w:left="640" w:right="662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spacing w:after="0" w:line="417" w:lineRule="auto"/>
        <w:rPr>
          <w:rFonts w:ascii="Times New Roman" w:eastAsia="Times New Roman"/>
        </w:rPr>
        <w:sectPr>
          <w:pgSz w:w="11910" w:h="16840"/>
          <w:pgMar w:header="877" w:footer="995" w:top="1420" w:bottom="1180" w:left="1580" w:right="1200"/>
        </w:sectPr>
      </w:pPr>
    </w:p>
    <w:p>
      <w:pPr>
        <w:pStyle w:val="BodyText"/>
        <w:spacing w:before="110"/>
        <w:ind w:left="640"/>
      </w:pPr>
      <w:r>
        <w:rPr/>
        <w:t>联系人：王超</w:t>
      </w:r>
    </w:p>
    <w:p>
      <w:pPr>
        <w:pStyle w:val="BodyText"/>
        <w:spacing w:before="6"/>
        <w:rPr>
          <w:sz w:val="15"/>
        </w:rPr>
      </w:pPr>
    </w:p>
    <w:p>
      <w:pPr>
        <w:pStyle w:val="BodyText"/>
        <w:spacing w:line="417" w:lineRule="auto"/>
        <w:ind w:left="640" w:right="5850"/>
        <w:rPr>
          <w:rFonts w:ascii="Times New Roman" w:eastAsia="Times New Roman"/>
        </w:rPr>
      </w:pPr>
      <w:r>
        <w:rPr/>
        <w:t>网址：</w:t>
      </w:r>
      <w:hyperlink r:id="rId117">
        <w:r>
          <w:rPr>
            <w:rFonts w:ascii="Times New Roman" w:eastAsia="Times New Roman"/>
          </w:rPr>
          <w:t>http://fund.sinosig.com/ </w:t>
        </w:r>
      </w:hyperlink>
      <w:r>
        <w:rPr/>
        <w:t>客户服务电话：</w:t>
      </w:r>
      <w:r>
        <w:rPr>
          <w:rFonts w:ascii="Times New Roman" w:eastAsia="Times New Roman"/>
        </w:rPr>
        <w:t>95510</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中国人寿保险股份有限公司</w:t>
      </w:r>
    </w:p>
    <w:p>
      <w:pPr>
        <w:pStyle w:val="BodyText"/>
        <w:spacing w:before="7"/>
        <w:rPr>
          <w:sz w:val="15"/>
        </w:rPr>
      </w:pPr>
    </w:p>
    <w:p>
      <w:pPr>
        <w:pStyle w:val="BodyText"/>
        <w:ind w:left="640"/>
      </w:pPr>
      <w:r>
        <w:rPr/>
        <w:t>住所：中国北京市西城区金融大街</w:t>
      </w:r>
      <w:r>
        <w:rPr>
          <w:rFonts w:ascii="Times New Roman" w:eastAsia="Times New Roman"/>
        </w:rPr>
        <w:t>16</w:t>
      </w:r>
      <w:r>
        <w:rPr/>
        <w:t>号</w:t>
      </w:r>
    </w:p>
    <w:p>
      <w:pPr>
        <w:pStyle w:val="BodyText"/>
        <w:spacing w:before="7"/>
        <w:rPr>
          <w:sz w:val="15"/>
        </w:rPr>
      </w:pPr>
    </w:p>
    <w:p>
      <w:pPr>
        <w:pStyle w:val="BodyText"/>
        <w:spacing w:line="417" w:lineRule="auto"/>
        <w:ind w:left="640" w:right="4489"/>
      </w:pPr>
      <w:r>
        <w:rPr/>
        <w:t>办公地址：中国北京市西城区金融大街</w:t>
      </w:r>
      <w:r>
        <w:rPr>
          <w:rFonts w:ascii="Times New Roman" w:eastAsia="Times New Roman"/>
        </w:rPr>
        <w:t>16</w:t>
      </w:r>
      <w:r>
        <w:rPr/>
        <w:t>号法定代表人：王滨</w:t>
      </w:r>
    </w:p>
    <w:p>
      <w:pPr>
        <w:pStyle w:val="BodyText"/>
        <w:spacing w:line="417" w:lineRule="auto"/>
        <w:ind w:left="640" w:right="6626"/>
        <w:rPr>
          <w:rFonts w:ascii="Times New Roman" w:eastAsia="Times New Roman"/>
        </w:rPr>
      </w:pPr>
      <w:r>
        <w:rPr/>
        <w:t>电话：</w:t>
      </w:r>
      <w:r>
        <w:rPr>
          <w:rFonts w:ascii="Times New Roman" w:eastAsia="Times New Roman"/>
        </w:rPr>
        <w:t>010-63631536 </w:t>
      </w:r>
      <w:r>
        <w:rPr/>
        <w:t>传真：</w:t>
      </w:r>
      <w:r>
        <w:rPr>
          <w:rFonts w:ascii="Times New Roman" w:eastAsia="Times New Roman"/>
        </w:rPr>
        <w:t>010-66222276</w:t>
      </w:r>
    </w:p>
    <w:p>
      <w:pPr>
        <w:pStyle w:val="BodyText"/>
        <w:spacing w:line="269" w:lineRule="exact"/>
        <w:ind w:left="640"/>
      </w:pPr>
      <w:r>
        <w:rPr/>
        <w:t>联系人：柳亚卿</w:t>
      </w:r>
    </w:p>
    <w:p>
      <w:pPr>
        <w:pStyle w:val="BodyText"/>
        <w:spacing w:before="7"/>
        <w:rPr>
          <w:sz w:val="15"/>
        </w:rPr>
      </w:pPr>
    </w:p>
    <w:p>
      <w:pPr>
        <w:pStyle w:val="BodyText"/>
        <w:spacing w:line="417" w:lineRule="auto"/>
        <w:ind w:left="640" w:right="6003"/>
        <w:rPr>
          <w:rFonts w:ascii="Times New Roman" w:eastAsia="Times New Roman"/>
        </w:rPr>
      </w:pPr>
      <w:r>
        <w:rPr/>
        <w:t>网址：</w:t>
      </w:r>
      <w:hyperlink r:id="rId118">
        <w:r>
          <w:rPr>
            <w:rFonts w:ascii="Times New Roman" w:eastAsia="Times New Roman"/>
          </w:rPr>
          <w:t>www.e-chinalife.com </w:t>
        </w:r>
      </w:hyperlink>
      <w:r>
        <w:rPr/>
        <w:t>客户服务电话：</w:t>
      </w:r>
      <w:r>
        <w:rPr>
          <w:rFonts w:ascii="Times New Roman" w:eastAsia="Times New Roman"/>
        </w:rPr>
        <w:t>95519</w:t>
      </w:r>
    </w:p>
    <w:p>
      <w:pPr>
        <w:pStyle w:val="BodyText"/>
        <w:spacing w:line="417" w:lineRule="auto"/>
        <w:ind w:left="220" w:right="593" w:firstLine="419"/>
      </w:pPr>
      <w:r>
        <w:rPr>
          <w:rFonts w:ascii="Times New Roman" w:eastAsia="Times New Roman"/>
        </w:rPr>
        <w:t>3</w:t>
      </w:r>
      <w:r>
        <w:rPr/>
        <w:t>、基金管理人可根据情况变化增加或者减少基金销售机构。基金销售机构可以根据情况增加或者减少其销售城市、网点。</w:t>
      </w:r>
    </w:p>
    <w:p>
      <w:pPr>
        <w:pStyle w:val="BodyText"/>
        <w:ind w:left="640"/>
      </w:pPr>
      <w:r>
        <w:rPr/>
        <w:t>（二）登记机构</w:t>
      </w:r>
    </w:p>
    <w:p>
      <w:pPr>
        <w:pStyle w:val="BodyText"/>
        <w:spacing w:before="6"/>
        <w:rPr>
          <w:sz w:val="15"/>
        </w:rPr>
      </w:pPr>
    </w:p>
    <w:p>
      <w:pPr>
        <w:pStyle w:val="BodyText"/>
        <w:ind w:left="640"/>
      </w:pPr>
      <w:r>
        <w:rPr/>
        <w:t>名称：华夏基金管理有限公司</w:t>
      </w:r>
    </w:p>
    <w:p>
      <w:pPr>
        <w:pStyle w:val="BodyText"/>
        <w:spacing w:before="7"/>
        <w:rPr>
          <w:sz w:val="15"/>
        </w:rPr>
      </w:pPr>
    </w:p>
    <w:p>
      <w:pPr>
        <w:pStyle w:val="BodyText"/>
        <w:ind w:left="640"/>
      </w:pPr>
      <w:r>
        <w:rPr/>
        <w:t>住所：北京市顺义区安庆大街甲</w:t>
      </w:r>
      <w:r>
        <w:rPr>
          <w:rFonts w:ascii="Times New Roman" w:eastAsia="Times New Roman"/>
        </w:rPr>
        <w:t>3</w:t>
      </w:r>
      <w:r>
        <w:rPr/>
        <w:t>号院</w:t>
      </w:r>
    </w:p>
    <w:p>
      <w:pPr>
        <w:pStyle w:val="BodyText"/>
        <w:spacing w:before="7"/>
        <w:rPr>
          <w:sz w:val="15"/>
        </w:rPr>
      </w:pPr>
    </w:p>
    <w:p>
      <w:pPr>
        <w:pStyle w:val="BodyText"/>
        <w:spacing w:line="417" w:lineRule="auto"/>
        <w:ind w:left="640" w:right="340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left="640" w:right="582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ind w:left="640"/>
      </w:pPr>
      <w:r>
        <w:rPr/>
        <w:t>联系人：朱威</w:t>
      </w:r>
    </w:p>
    <w:p>
      <w:pPr>
        <w:pStyle w:val="BodyText"/>
        <w:spacing w:before="6"/>
        <w:rPr>
          <w:sz w:val="15"/>
        </w:rPr>
      </w:pPr>
    </w:p>
    <w:p>
      <w:pPr>
        <w:pStyle w:val="BodyText"/>
        <w:spacing w:before="1"/>
        <w:ind w:left="640"/>
      </w:pPr>
      <w:r>
        <w:rPr/>
        <w:t>（三）律师事务所</w:t>
      </w:r>
    </w:p>
    <w:p>
      <w:pPr>
        <w:pStyle w:val="BodyText"/>
        <w:spacing w:before="6"/>
        <w:rPr>
          <w:sz w:val="15"/>
        </w:rPr>
      </w:pPr>
    </w:p>
    <w:p>
      <w:pPr>
        <w:pStyle w:val="BodyText"/>
        <w:ind w:left="640"/>
      </w:pPr>
      <w:r>
        <w:rPr/>
        <w:t>名称：北京市天元律师事务所</w:t>
      </w:r>
    </w:p>
    <w:p>
      <w:pPr>
        <w:pStyle w:val="BodyText"/>
        <w:spacing w:before="7"/>
        <w:rPr>
          <w:sz w:val="15"/>
        </w:rPr>
      </w:pPr>
    </w:p>
    <w:p>
      <w:pPr>
        <w:pStyle w:val="BodyText"/>
        <w:ind w:left="64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7"/>
        <w:rPr>
          <w:sz w:val="15"/>
        </w:rPr>
      </w:pPr>
    </w:p>
    <w:p>
      <w:pPr>
        <w:pStyle w:val="BodyText"/>
        <w:spacing w:line="417" w:lineRule="auto"/>
        <w:ind w:left="640" w:right="280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640" w:right="620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ind w:left="640"/>
      </w:pPr>
      <w:r>
        <w:rPr/>
        <w:t>联系人：李晗</w:t>
      </w:r>
    </w:p>
    <w:p>
      <w:pPr>
        <w:spacing w:after="0"/>
        <w:sectPr>
          <w:pgSz w:w="11910" w:h="16840"/>
          <w:pgMar w:header="877" w:footer="995" w:top="1420" w:bottom="1180" w:left="1580" w:right="1200"/>
        </w:sectPr>
      </w:pPr>
    </w:p>
    <w:p>
      <w:pPr>
        <w:pStyle w:val="BodyText"/>
        <w:spacing w:before="110"/>
        <w:ind w:left="640"/>
      </w:pPr>
      <w:r>
        <w:rPr/>
        <w:t>经办律师：吴冠雄、李晗</w:t>
      </w:r>
    </w:p>
    <w:p>
      <w:pPr>
        <w:pStyle w:val="BodyText"/>
        <w:spacing w:before="6"/>
        <w:rPr>
          <w:sz w:val="15"/>
        </w:rPr>
      </w:pPr>
    </w:p>
    <w:p>
      <w:pPr>
        <w:pStyle w:val="BodyText"/>
        <w:ind w:left="640"/>
      </w:pPr>
      <w:r>
        <w:rPr/>
        <w:t>（四）会计师事务所</w:t>
      </w:r>
    </w:p>
    <w:p>
      <w:pPr>
        <w:pStyle w:val="BodyText"/>
        <w:spacing w:before="7"/>
        <w:rPr>
          <w:sz w:val="15"/>
        </w:rPr>
      </w:pPr>
    </w:p>
    <w:p>
      <w:pPr>
        <w:pStyle w:val="BodyText"/>
        <w:ind w:left="640"/>
      </w:pPr>
      <w:r>
        <w:rPr/>
        <w:t>名称：普华永道中天会计师事务所（特殊普通合伙）</w:t>
      </w:r>
    </w:p>
    <w:p>
      <w:pPr>
        <w:pStyle w:val="BodyText"/>
        <w:spacing w:before="7"/>
        <w:rPr>
          <w:sz w:val="15"/>
        </w:rPr>
      </w:pPr>
    </w:p>
    <w:p>
      <w:pPr>
        <w:pStyle w:val="BodyText"/>
        <w:ind w:left="640"/>
      </w:pPr>
      <w:r>
        <w:rPr/>
        <w:t>住所：上海市浦东新区陆家嘴环路</w:t>
      </w:r>
      <w:r>
        <w:rPr>
          <w:rFonts w:ascii="Times New Roman" w:eastAsia="Times New Roman"/>
        </w:rPr>
        <w:t>1318</w:t>
      </w:r>
      <w:r>
        <w:rPr/>
        <w:t>号星展银行大厦</w:t>
      </w:r>
      <w:r>
        <w:rPr>
          <w:rFonts w:ascii="Times New Roman" w:eastAsia="Times New Roman"/>
        </w:rPr>
        <w:t>6</w:t>
      </w:r>
      <w:r>
        <w:rPr/>
        <w:t>楼</w:t>
      </w:r>
    </w:p>
    <w:p>
      <w:pPr>
        <w:pStyle w:val="BodyText"/>
        <w:spacing w:before="7"/>
        <w:rPr>
          <w:sz w:val="15"/>
        </w:rPr>
      </w:pPr>
    </w:p>
    <w:p>
      <w:pPr>
        <w:pStyle w:val="BodyText"/>
        <w:spacing w:line="417" w:lineRule="auto"/>
        <w:ind w:left="640" w:right="1662"/>
      </w:pPr>
      <w:r>
        <w:rPr/>
        <w:t>办公地址：上海市黄浦区湖滨路</w:t>
      </w:r>
      <w:r>
        <w:rPr>
          <w:rFonts w:ascii="Times New Roman" w:eastAsia="Times New Roman"/>
        </w:rPr>
        <w:t>202</w:t>
      </w:r>
      <w:r>
        <w:rPr/>
        <w:t>号领展企业广场二座普华永道中心</w:t>
      </w:r>
      <w:r>
        <w:rPr>
          <w:rFonts w:ascii="Times New Roman" w:eastAsia="Times New Roman"/>
        </w:rPr>
        <w:t>11</w:t>
      </w:r>
      <w:r>
        <w:rPr/>
        <w:t>楼执行事务合伙人：李丹</w:t>
      </w:r>
    </w:p>
    <w:p>
      <w:pPr>
        <w:pStyle w:val="BodyText"/>
        <w:spacing w:line="417" w:lineRule="auto"/>
        <w:ind w:left="640" w:right="6206"/>
        <w:rPr>
          <w:rFonts w:ascii="Times New Roman" w:eastAsia="Times New Roman"/>
        </w:rPr>
      </w:pPr>
      <w:r>
        <w:rPr/>
        <w:t>联系电话：</w:t>
      </w:r>
      <w:r>
        <w:rPr>
          <w:rFonts w:ascii="Times New Roman" w:eastAsia="Times New Roman"/>
        </w:rPr>
        <w:t>021-23238888 </w:t>
      </w:r>
      <w:r>
        <w:rPr/>
        <w:t>传真：</w:t>
      </w:r>
      <w:r>
        <w:rPr>
          <w:rFonts w:ascii="Times New Roman" w:eastAsia="Times New Roman"/>
        </w:rPr>
        <w:t>021-23238800</w:t>
      </w:r>
    </w:p>
    <w:p>
      <w:pPr>
        <w:pStyle w:val="BodyText"/>
        <w:ind w:left="640"/>
      </w:pPr>
      <w:r>
        <w:rPr/>
        <w:t>联系人：单峰、程红粤</w:t>
      </w:r>
    </w:p>
    <w:p>
      <w:pPr>
        <w:pStyle w:val="BodyText"/>
        <w:spacing w:before="6"/>
        <w:rPr>
          <w:sz w:val="15"/>
        </w:rPr>
      </w:pPr>
    </w:p>
    <w:p>
      <w:pPr>
        <w:pStyle w:val="BodyText"/>
        <w:ind w:left="640"/>
      </w:pPr>
      <w:r>
        <w:rPr/>
        <w:t>经办注册会计师：单峰、程红粤</w:t>
      </w:r>
    </w:p>
    <w:p>
      <w:pPr>
        <w:pStyle w:val="BodyText"/>
        <w:rPr>
          <w:sz w:val="20"/>
        </w:rPr>
      </w:pPr>
    </w:p>
    <w:p>
      <w:pPr>
        <w:pStyle w:val="BodyText"/>
        <w:spacing w:before="2"/>
        <w:rPr>
          <w:sz w:val="22"/>
        </w:rPr>
      </w:pPr>
    </w:p>
    <w:p>
      <w:pPr>
        <w:pStyle w:val="Heading1"/>
      </w:pPr>
      <w:bookmarkStart w:name="_bookmark5" w:id="6"/>
      <w:bookmarkEnd w:id="6"/>
      <w:r>
        <w:rPr>
          <w:b w:val="0"/>
        </w:rPr>
      </w:r>
      <w:r>
        <w:rPr/>
        <w:t>六、基金的募集</w:t>
      </w:r>
    </w:p>
    <w:p>
      <w:pPr>
        <w:pStyle w:val="BodyText"/>
        <w:rPr>
          <w:b/>
          <w:sz w:val="20"/>
        </w:rPr>
      </w:pPr>
    </w:p>
    <w:p>
      <w:pPr>
        <w:pStyle w:val="BodyText"/>
        <w:spacing w:before="2"/>
        <w:rPr>
          <w:b/>
        </w:rPr>
      </w:pPr>
    </w:p>
    <w:p>
      <w:pPr>
        <w:pStyle w:val="BodyText"/>
        <w:spacing w:line="417" w:lineRule="auto"/>
        <w:ind w:left="220" w:right="593" w:firstLine="419"/>
        <w:jc w:val="both"/>
      </w:pPr>
      <w:r>
        <w:rPr>
          <w:spacing w:val="-27"/>
        </w:rPr>
        <w:t>本基金由基金管理人依照《基金法》、《运作办法》、《销售办法》、基金合同及其他有关</w:t>
      </w:r>
      <w:r>
        <w:rPr>
          <w:spacing w:val="-11"/>
        </w:rPr>
        <w:t>规定募集。本基金的募集申请已经中国证监会 </w:t>
      </w:r>
      <w:r>
        <w:rPr>
          <w:rFonts w:ascii="Times New Roman" w:eastAsia="Times New Roman"/>
        </w:rPr>
        <w:t>2018 </w:t>
      </w:r>
      <w:r>
        <w:rPr>
          <w:spacing w:val="-23"/>
        </w:rPr>
        <w:t>年 </w:t>
      </w:r>
      <w:r>
        <w:rPr>
          <w:rFonts w:ascii="Times New Roman" w:eastAsia="Times New Roman"/>
        </w:rPr>
        <w:t>12 </w:t>
      </w:r>
      <w:r>
        <w:rPr>
          <w:spacing w:val="-22"/>
        </w:rPr>
        <w:t>月 </w:t>
      </w:r>
      <w:r>
        <w:rPr>
          <w:rFonts w:ascii="Times New Roman" w:eastAsia="Times New Roman"/>
        </w:rPr>
        <w:t>14 </w:t>
      </w:r>
      <w:r>
        <w:rPr>
          <w:spacing w:val="-3"/>
        </w:rPr>
        <w:t>日证监许可</w:t>
      </w:r>
      <w:r>
        <w:rPr>
          <w:rFonts w:ascii="Times New Roman" w:eastAsia="Times New Roman"/>
        </w:rPr>
        <w:t>[2018]2080 </w:t>
      </w:r>
      <w:r>
        <w:rPr>
          <w:spacing w:val="-3"/>
        </w:rPr>
        <w:t>号文</w:t>
      </w:r>
      <w:r>
        <w:rPr>
          <w:spacing w:val="-1"/>
        </w:rPr>
        <w:t>准予注册。</w:t>
      </w:r>
    </w:p>
    <w:p>
      <w:pPr>
        <w:pStyle w:val="BodyText"/>
        <w:ind w:left="640"/>
      </w:pPr>
      <w:r>
        <w:rPr/>
        <w:t>本基金为契约型开放式基金，基金存续期间为不定期。</w:t>
      </w:r>
    </w:p>
    <w:p>
      <w:pPr>
        <w:pStyle w:val="BodyText"/>
        <w:spacing w:before="7"/>
        <w:rPr>
          <w:sz w:val="15"/>
        </w:rPr>
      </w:pPr>
    </w:p>
    <w:p>
      <w:pPr>
        <w:pStyle w:val="BodyText"/>
        <w:ind w:left="640"/>
      </w:pPr>
      <w:r>
        <w:rPr/>
        <w:t>本基金自 </w:t>
      </w:r>
      <w:r>
        <w:rPr>
          <w:rFonts w:ascii="Times New Roman" w:eastAsia="Times New Roman"/>
        </w:rPr>
        <w:t>2019 </w:t>
      </w:r>
      <w:r>
        <w:rPr/>
        <w:t>年 </w:t>
      </w:r>
      <w:r>
        <w:rPr>
          <w:rFonts w:ascii="Times New Roman" w:eastAsia="Times New Roman"/>
        </w:rPr>
        <w:t>2 </w:t>
      </w:r>
      <w:r>
        <w:rPr/>
        <w:t>月 </w:t>
      </w:r>
      <w:r>
        <w:rPr>
          <w:rFonts w:ascii="Times New Roman" w:eastAsia="Times New Roman"/>
        </w:rPr>
        <w:t>25 </w:t>
      </w:r>
      <w:r>
        <w:rPr/>
        <w:t>日至 </w:t>
      </w:r>
      <w:r>
        <w:rPr>
          <w:rFonts w:ascii="Times New Roman" w:eastAsia="Times New Roman"/>
        </w:rPr>
        <w:t>2019 </w:t>
      </w:r>
      <w:r>
        <w:rPr/>
        <w:t>年 </w:t>
      </w:r>
      <w:r>
        <w:rPr>
          <w:rFonts w:ascii="Times New Roman" w:eastAsia="Times New Roman"/>
        </w:rPr>
        <w:t>3 </w:t>
      </w:r>
      <w:r>
        <w:rPr/>
        <w:t>月 </w:t>
      </w:r>
      <w:r>
        <w:rPr>
          <w:rFonts w:ascii="Times New Roman" w:eastAsia="Times New Roman"/>
        </w:rPr>
        <w:t>1 </w:t>
      </w:r>
      <w:r>
        <w:rPr/>
        <w:t>日期间进行发售。募集期间，本基金共募</w:t>
      </w:r>
    </w:p>
    <w:p>
      <w:pPr>
        <w:pStyle w:val="BodyText"/>
        <w:spacing w:before="7"/>
        <w:rPr>
          <w:sz w:val="15"/>
        </w:rPr>
      </w:pPr>
    </w:p>
    <w:p>
      <w:pPr>
        <w:pStyle w:val="BodyText"/>
        <w:ind w:left="220"/>
        <w:jc w:val="both"/>
      </w:pPr>
      <w:r>
        <w:rPr/>
        <w:t>集 </w:t>
      </w:r>
      <w:r>
        <w:rPr>
          <w:rFonts w:ascii="Times New Roman" w:eastAsia="Times New Roman"/>
        </w:rPr>
        <w:t>1,384,180,128.62 </w:t>
      </w:r>
      <w:r>
        <w:rPr/>
        <w:t>份基金份额，有效认购户数为 </w:t>
      </w:r>
      <w:r>
        <w:rPr>
          <w:rFonts w:ascii="Times New Roman" w:eastAsia="Times New Roman"/>
        </w:rPr>
        <w:t>18,584 </w:t>
      </w:r>
      <w:r>
        <w:rPr/>
        <w:t>户。</w:t>
      </w:r>
    </w:p>
    <w:p>
      <w:pPr>
        <w:pStyle w:val="BodyText"/>
        <w:rPr>
          <w:sz w:val="22"/>
        </w:rPr>
      </w:pPr>
    </w:p>
    <w:p>
      <w:pPr>
        <w:pStyle w:val="BodyText"/>
        <w:spacing w:before="1"/>
        <w:rPr>
          <w:sz w:val="20"/>
        </w:rPr>
      </w:pPr>
    </w:p>
    <w:p>
      <w:pPr>
        <w:pStyle w:val="Heading1"/>
      </w:pPr>
      <w:bookmarkStart w:name="_bookmark6" w:id="7"/>
      <w:bookmarkEnd w:id="7"/>
      <w:r>
        <w:rPr>
          <w:b w:val="0"/>
        </w:rPr>
      </w:r>
      <w:r>
        <w:rPr/>
        <w:t>七、基金合同的生效</w:t>
      </w:r>
    </w:p>
    <w:p>
      <w:pPr>
        <w:pStyle w:val="BodyText"/>
        <w:rPr>
          <w:b/>
          <w:sz w:val="20"/>
        </w:rPr>
      </w:pPr>
    </w:p>
    <w:p>
      <w:pPr>
        <w:pStyle w:val="BodyText"/>
        <w:spacing w:before="3"/>
        <w:rPr>
          <w:b/>
        </w:rPr>
      </w:pPr>
    </w:p>
    <w:p>
      <w:pPr>
        <w:pStyle w:val="BodyText"/>
        <w:spacing w:line="417" w:lineRule="auto"/>
        <w:ind w:left="220" w:right="591" w:firstLine="419"/>
        <w:jc w:val="both"/>
      </w:pPr>
      <w:r>
        <w:rPr>
          <w:spacing w:val="-19"/>
        </w:rPr>
        <w:t>根据有关规定，本基金满足基金合同生效条件，基金合同于 </w:t>
      </w:r>
      <w:r>
        <w:rPr>
          <w:rFonts w:ascii="Times New Roman" w:eastAsia="Times New Roman"/>
        </w:rPr>
        <w:t>2019 </w:t>
      </w:r>
      <w:r>
        <w:rPr>
          <w:spacing w:val="-23"/>
        </w:rPr>
        <w:t>年 </w:t>
      </w:r>
      <w:r>
        <w:rPr>
          <w:rFonts w:ascii="Times New Roman" w:eastAsia="Times New Roman"/>
        </w:rPr>
        <w:t>3 </w:t>
      </w:r>
      <w:r>
        <w:rPr>
          <w:spacing w:val="-23"/>
        </w:rPr>
        <w:t>月 </w:t>
      </w:r>
      <w:r>
        <w:rPr>
          <w:rFonts w:ascii="Times New Roman" w:eastAsia="Times New Roman"/>
        </w:rPr>
        <w:t>5 </w:t>
      </w:r>
      <w:r>
        <w:rPr>
          <w:spacing w:val="-3"/>
        </w:rPr>
        <w:t>日正式生效。自基金合同生效日起，本基金管理人正式开始管理本基金。</w:t>
      </w:r>
    </w:p>
    <w:p>
      <w:pPr>
        <w:pStyle w:val="BodyText"/>
        <w:spacing w:line="269" w:lineRule="exact"/>
        <w:ind w:left="640"/>
        <w:jc w:val="both"/>
      </w:pPr>
      <w:r>
        <w:rPr/>
        <w:t>《基金合同》生效后，连续 </w:t>
      </w:r>
      <w:r>
        <w:rPr>
          <w:rFonts w:ascii="Times New Roman" w:eastAsia="Times New Roman"/>
        </w:rPr>
        <w:t>20 </w:t>
      </w:r>
      <w:r>
        <w:rPr/>
        <w:t>个工作日出现基金份额持有人数量不满 </w:t>
      </w:r>
      <w:r>
        <w:rPr>
          <w:rFonts w:ascii="Times New Roman" w:eastAsia="Times New Roman"/>
        </w:rPr>
        <w:t>200 </w:t>
      </w:r>
      <w:r>
        <w:rPr/>
        <w:t>人或者基金</w:t>
      </w:r>
    </w:p>
    <w:p>
      <w:pPr>
        <w:pStyle w:val="BodyText"/>
        <w:spacing w:before="7"/>
        <w:rPr>
          <w:sz w:val="15"/>
        </w:rPr>
      </w:pPr>
    </w:p>
    <w:p>
      <w:pPr>
        <w:pStyle w:val="BodyText"/>
        <w:spacing w:line="417" w:lineRule="auto"/>
        <w:ind w:left="220" w:right="591"/>
        <w:jc w:val="both"/>
      </w:pPr>
      <w:r>
        <w:rPr>
          <w:spacing w:val="-8"/>
        </w:rPr>
        <w:t>资产净值低于 </w:t>
      </w:r>
      <w:r>
        <w:rPr>
          <w:rFonts w:ascii="Times New Roman" w:eastAsia="Times New Roman"/>
        </w:rPr>
        <w:t>5000 </w:t>
      </w:r>
      <w:r>
        <w:rPr>
          <w:spacing w:val="-13"/>
        </w:rPr>
        <w:t>万元情形的，基金管理人应当在定期报告中予以披露；连续 </w:t>
      </w:r>
      <w:r>
        <w:rPr>
          <w:rFonts w:ascii="Times New Roman" w:eastAsia="Times New Roman"/>
        </w:rPr>
        <w:t>60 </w:t>
      </w:r>
      <w:r>
        <w:rPr>
          <w:spacing w:val="-2"/>
        </w:rPr>
        <w:t>个工作日</w:t>
      </w:r>
      <w:r>
        <w:rPr>
          <w:spacing w:val="-9"/>
        </w:rPr>
        <w:t>出现前述情形的，基金管理人应当向中国证监会报告并提出解决方案，如转换运作方式、与</w:t>
      </w:r>
      <w:r>
        <w:rPr>
          <w:spacing w:val="-5"/>
        </w:rPr>
        <w:t>其他基金合并或终止基金合同等，并召开基金份额持有人大会进行表决。</w:t>
      </w:r>
    </w:p>
    <w:p>
      <w:pPr>
        <w:pStyle w:val="BodyText"/>
        <w:spacing w:line="269" w:lineRule="exact"/>
        <w:ind w:left="640"/>
      </w:pPr>
      <w:r>
        <w:rPr/>
        <w:t>法律法规另有规定时，从其规定。</w:t>
      </w:r>
    </w:p>
    <w:p>
      <w:pPr>
        <w:spacing w:after="0" w:line="269" w:lineRule="exact"/>
        <w:sectPr>
          <w:pgSz w:w="11910" w:h="16840"/>
          <w:pgMar w:header="877" w:footer="995" w:top="1420" w:bottom="1180" w:left="1580" w:right="1200"/>
        </w:sectPr>
      </w:pPr>
    </w:p>
    <w:p>
      <w:pPr>
        <w:pStyle w:val="Heading1"/>
        <w:spacing w:before="110"/>
      </w:pPr>
      <w:bookmarkStart w:name="_bookmark7" w:id="8"/>
      <w:bookmarkEnd w:id="8"/>
      <w:r>
        <w:rPr>
          <w:b w:val="0"/>
        </w:rPr>
      </w:r>
      <w:r>
        <w:rPr/>
        <w:t>八、基金份额的申购、赎回与转换</w:t>
      </w:r>
    </w:p>
    <w:p>
      <w:pPr>
        <w:pStyle w:val="BodyText"/>
        <w:rPr>
          <w:b/>
          <w:sz w:val="20"/>
        </w:rPr>
      </w:pPr>
    </w:p>
    <w:p>
      <w:pPr>
        <w:pStyle w:val="BodyText"/>
        <w:spacing w:before="7"/>
        <w:rPr>
          <w:b/>
          <w:sz w:val="15"/>
        </w:rPr>
      </w:pPr>
    </w:p>
    <w:p>
      <w:pPr>
        <w:pStyle w:val="BodyText"/>
        <w:spacing w:before="72"/>
        <w:ind w:left="640"/>
      </w:pPr>
      <w:r>
        <w:rPr/>
        <w:t>（一）申购和赎回场所</w:t>
      </w:r>
    </w:p>
    <w:p>
      <w:pPr>
        <w:pStyle w:val="BodyText"/>
        <w:spacing w:before="7"/>
        <w:rPr>
          <w:sz w:val="15"/>
        </w:rPr>
      </w:pPr>
    </w:p>
    <w:p>
      <w:pPr>
        <w:pStyle w:val="BodyText"/>
        <w:spacing w:line="417" w:lineRule="auto"/>
        <w:ind w:left="220" w:right="591" w:firstLine="419"/>
        <w:jc w:val="both"/>
      </w:pPr>
      <w:r>
        <w:rPr>
          <w:spacing w:val="-8"/>
        </w:rPr>
        <w:t>本基金的申购与赎回将通过销售机构进行。具体的销售网点将由基金管理人在招募说明</w:t>
      </w:r>
      <w:r>
        <w:rPr>
          <w:spacing w:val="-10"/>
        </w:rPr>
        <w:t>书或其他相关公告中列明。基金管理人可根据情况变更或增减销售机构，并予以公告。基金投资者应当在销售机构办理基金销售业务的营业场所或按销售机构提供的其他方式办理基</w:t>
      </w:r>
      <w:r>
        <w:rPr>
          <w:spacing w:val="-5"/>
        </w:rPr>
        <w:t>金份额的申购与赎回。</w:t>
      </w:r>
    </w:p>
    <w:p>
      <w:pPr>
        <w:pStyle w:val="BodyText"/>
        <w:spacing w:line="268" w:lineRule="exact"/>
        <w:ind w:left="640"/>
      </w:pPr>
      <w:r>
        <w:rPr>
          <w:rFonts w:ascii="Times New Roman" w:eastAsia="Times New Roman"/>
        </w:rPr>
        <w:t>1</w:t>
      </w:r>
      <w:r>
        <w:rPr/>
        <w:t>、直销机构</w:t>
      </w:r>
    </w:p>
    <w:p>
      <w:pPr>
        <w:pStyle w:val="BodyText"/>
        <w:spacing w:before="7"/>
        <w:rPr>
          <w:sz w:val="15"/>
        </w:rPr>
      </w:pPr>
    </w:p>
    <w:p>
      <w:pPr>
        <w:pStyle w:val="BodyText"/>
        <w:spacing w:line="417" w:lineRule="auto"/>
        <w:ind w:left="220" w:right="59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8"/>
        </w:numPr>
        <w:tabs>
          <w:tab w:pos="1170" w:val="left" w:leader="none"/>
        </w:tabs>
        <w:spacing w:line="269" w:lineRule="exact" w:before="0" w:after="0"/>
        <w:ind w:left="1169" w:right="0" w:hanging="530"/>
        <w:jc w:val="left"/>
        <w:rPr>
          <w:sz w:val="21"/>
        </w:rPr>
      </w:pPr>
      <w:r>
        <w:rPr>
          <w:spacing w:val="-3"/>
          <w:sz w:val="21"/>
        </w:rPr>
        <w:t>北京分公司</w:t>
      </w:r>
    </w:p>
    <w:p>
      <w:pPr>
        <w:pStyle w:val="BodyText"/>
        <w:spacing w:before="7"/>
        <w:rPr>
          <w:sz w:val="15"/>
        </w:rPr>
      </w:pPr>
    </w:p>
    <w:p>
      <w:pPr>
        <w:pStyle w:val="BodyText"/>
        <w:spacing w:line="417" w:lineRule="auto"/>
        <w:ind w:left="640" w:right="2459"/>
        <w:rPr>
          <w:rFonts w:ascii="Times New Roman" w:eastAsia="Times New Roman"/>
        </w:rPr>
      </w:pPr>
      <w:r>
        <w:rPr>
          <w:spacing w:val="-7"/>
        </w:rPr>
        <w:t>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2"/>
        </w:rPr>
        <w:t> </w:t>
      </w:r>
      <w:r>
        <w:rPr>
          <w:spacing w:val="-25"/>
        </w:rPr>
        <w:t>座 </w:t>
      </w:r>
      <w:r>
        <w:rPr>
          <w:rFonts w:ascii="Times New Roman" w:eastAsia="Times New Roman"/>
        </w:rPr>
        <w:t>1</w:t>
      </w:r>
      <w:r>
        <w:rPr>
          <w:rFonts w:ascii="Times New Roman" w:eastAsia="Times New Roman"/>
          <w:spacing w:val="2"/>
        </w:rPr>
        <w:t> </w:t>
      </w:r>
      <w:r>
        <w:rPr/>
        <w:t>层（</w:t>
      </w:r>
      <w:r>
        <w:rPr>
          <w:rFonts w:ascii="Times New Roman" w:eastAsia="Times New Roman"/>
        </w:rPr>
        <w:t>100033</w:t>
      </w:r>
      <w:r>
        <w:rPr/>
        <w:t>） 电话：</w:t>
      </w:r>
      <w:r>
        <w:rPr>
          <w:rFonts w:ascii="Times New Roman" w:eastAsia="Times New Roman"/>
        </w:rPr>
        <w:t>010-88087226</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010-88066028</w:t>
      </w:r>
    </w:p>
    <w:p>
      <w:pPr>
        <w:pStyle w:val="BodyText"/>
        <w:spacing w:before="3"/>
        <w:rPr>
          <w:rFonts w:ascii="Times New Roman"/>
          <w:sz w:val="17"/>
        </w:rPr>
      </w:pPr>
    </w:p>
    <w:p>
      <w:pPr>
        <w:pStyle w:val="ListParagraph"/>
        <w:numPr>
          <w:ilvl w:val="0"/>
          <w:numId w:val="8"/>
        </w:numPr>
        <w:tabs>
          <w:tab w:pos="1170" w:val="left" w:leader="none"/>
        </w:tabs>
        <w:spacing w:line="240" w:lineRule="auto" w:before="0" w:after="0"/>
        <w:ind w:left="1169" w:right="0" w:hanging="530"/>
        <w:jc w:val="left"/>
        <w:rPr>
          <w:sz w:val="21"/>
        </w:rPr>
      </w:pPr>
      <w:r>
        <w:rPr>
          <w:spacing w:val="-3"/>
          <w:sz w:val="21"/>
        </w:rPr>
        <w:t>北京东中街投资理财中心</w:t>
      </w:r>
    </w:p>
    <w:p>
      <w:pPr>
        <w:pStyle w:val="BodyText"/>
        <w:spacing w:before="7"/>
        <w:rPr>
          <w:sz w:val="15"/>
        </w:rPr>
      </w:pPr>
    </w:p>
    <w:p>
      <w:pPr>
        <w:pStyle w:val="BodyText"/>
        <w:spacing w:line="417" w:lineRule="auto"/>
        <w:ind w:left="640" w:right="266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010-64185180</w:t>
      </w:r>
    </w:p>
    <w:p>
      <w:pPr>
        <w:pStyle w:val="BodyText"/>
        <w:spacing w:before="4"/>
        <w:rPr>
          <w:rFonts w:ascii="Times New Roman"/>
          <w:sz w:val="17"/>
        </w:rPr>
      </w:pPr>
    </w:p>
    <w:p>
      <w:pPr>
        <w:pStyle w:val="ListParagraph"/>
        <w:numPr>
          <w:ilvl w:val="0"/>
          <w:numId w:val="8"/>
        </w:numPr>
        <w:tabs>
          <w:tab w:pos="1170" w:val="left" w:leader="none"/>
        </w:tabs>
        <w:spacing w:line="240" w:lineRule="auto" w:before="0" w:after="0"/>
        <w:ind w:left="1169" w:right="0" w:hanging="530"/>
        <w:jc w:val="left"/>
        <w:rPr>
          <w:sz w:val="21"/>
        </w:rPr>
      </w:pPr>
      <w:r>
        <w:rPr>
          <w:spacing w:val="-3"/>
          <w:sz w:val="21"/>
        </w:rPr>
        <w:t>北京科学院南路投资理财中心</w:t>
      </w:r>
    </w:p>
    <w:p>
      <w:pPr>
        <w:pStyle w:val="BodyText"/>
        <w:spacing w:before="6"/>
        <w:rPr>
          <w:sz w:val="15"/>
        </w:rPr>
      </w:pPr>
    </w:p>
    <w:p>
      <w:pPr>
        <w:pStyle w:val="BodyText"/>
        <w:spacing w:line="417" w:lineRule="auto" w:before="1"/>
        <w:ind w:left="640" w:right="812"/>
        <w:rPr>
          <w:rFonts w:ascii="Times New Roman" w:eastAsia="Times New Roman"/>
        </w:rPr>
      </w:pPr>
      <w:r>
        <w:rPr>
          <w:spacing w:val="-3"/>
          <w:w w:val="100"/>
        </w:rPr>
        <w:t>地址：北京市海淀区中关村科学院南路</w:t>
      </w:r>
      <w:r>
        <w:rPr>
          <w:spacing w:val="-53"/>
        </w:rPr>
        <w:t> </w:t>
      </w:r>
      <w:r>
        <w:rPr>
          <w:rFonts w:ascii="Times New Roman" w:eastAsia="Times New Roman"/>
          <w:w w:val="100"/>
        </w:rPr>
        <w:t>9</w:t>
      </w:r>
      <w:r>
        <w:rPr>
          <w:rFonts w:ascii="Times New Roman" w:eastAsia="Times New Roman"/>
          <w:spacing w:val="-3"/>
        </w:rPr>
        <w:t> </w:t>
      </w:r>
      <w:r>
        <w:rPr>
          <w:w w:val="100"/>
        </w:rPr>
        <w:t>号</w:t>
      </w:r>
      <w:r>
        <w:rPr>
          <w:spacing w:val="-3"/>
          <w:w w:val="100"/>
        </w:rPr>
        <w:t>（新科祥园小区大门口一层</w:t>
      </w:r>
      <w:r>
        <w:rPr>
          <w:spacing w:val="-106"/>
          <w:w w:val="100"/>
        </w:rPr>
        <w:t>）</w:t>
      </w:r>
      <w:r>
        <w:rPr>
          <w:w w:val="100"/>
        </w:rPr>
        <w:t>（</w:t>
      </w:r>
      <w:r>
        <w:rPr>
          <w:rFonts w:ascii="Times New Roman" w:eastAsia="Times New Roman"/>
          <w:spacing w:val="-3"/>
          <w:w w:val="100"/>
        </w:rPr>
        <w:t>10</w:t>
      </w:r>
      <w:r>
        <w:rPr>
          <w:rFonts w:ascii="Times New Roman" w:eastAsia="Times New Roman"/>
          <w:w w:val="100"/>
        </w:rPr>
        <w:t>019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010-82523196</w:t>
      </w:r>
    </w:p>
    <w:p>
      <w:pPr>
        <w:pStyle w:val="BodyText"/>
        <w:spacing w:before="4"/>
        <w:rPr>
          <w:rFonts w:ascii="Times New Roman"/>
          <w:sz w:val="17"/>
        </w:rPr>
      </w:pPr>
    </w:p>
    <w:p>
      <w:pPr>
        <w:pStyle w:val="ListParagraph"/>
        <w:numPr>
          <w:ilvl w:val="0"/>
          <w:numId w:val="8"/>
        </w:numPr>
        <w:tabs>
          <w:tab w:pos="1170" w:val="left" w:leader="none"/>
        </w:tabs>
        <w:spacing w:line="240" w:lineRule="auto" w:before="0" w:after="0"/>
        <w:ind w:left="1169" w:right="0" w:hanging="530"/>
        <w:jc w:val="left"/>
        <w:rPr>
          <w:sz w:val="21"/>
        </w:rPr>
      </w:pPr>
      <w:r>
        <w:rPr>
          <w:spacing w:val="-3"/>
          <w:sz w:val="21"/>
        </w:rPr>
        <w:t>北京东四环投资理财中心</w:t>
      </w:r>
    </w:p>
    <w:p>
      <w:pPr>
        <w:pStyle w:val="BodyText"/>
        <w:spacing w:before="6"/>
        <w:rPr>
          <w:sz w:val="15"/>
        </w:rPr>
      </w:pPr>
    </w:p>
    <w:p>
      <w:pPr>
        <w:pStyle w:val="BodyText"/>
        <w:spacing w:line="417" w:lineRule="auto"/>
        <w:ind w:left="640" w:right="1025"/>
        <w:rPr>
          <w:rFonts w:ascii="Times New Roman" w:eastAsia="Times New Roman"/>
        </w:rPr>
      </w:pPr>
      <w:r>
        <w:rPr>
          <w:spacing w:val="-7"/>
        </w:rPr>
        <w:t>地址：北京市朝阳区八里庄西里 </w:t>
      </w:r>
      <w:r>
        <w:rPr>
          <w:rFonts w:ascii="Times New Roman" w:eastAsia="Times New Roman"/>
        </w:rPr>
        <w:t>100</w:t>
      </w:r>
      <w:r>
        <w:rPr>
          <w:rFonts w:ascii="Times New Roman" w:eastAsia="Times New Roman"/>
          <w:spacing w:val="1"/>
        </w:rPr>
        <w:t> </w:t>
      </w:r>
      <w:r>
        <w:rPr>
          <w:spacing w:val="-14"/>
        </w:rPr>
        <w:t>号住邦 </w:t>
      </w:r>
      <w:r>
        <w:rPr>
          <w:rFonts w:ascii="Times New Roman" w:eastAsia="Times New Roman"/>
        </w:rPr>
        <w:t>2000</w:t>
      </w:r>
      <w:r>
        <w:rPr>
          <w:rFonts w:ascii="Times New Roman" w:eastAsia="Times New Roman"/>
          <w:spacing w:val="2"/>
        </w:rPr>
        <w:t> </w:t>
      </w:r>
      <w:r>
        <w:rPr>
          <w:spacing w:val="-12"/>
        </w:rPr>
        <w:t>商务中心 </w:t>
      </w:r>
      <w:r>
        <w:rPr>
          <w:rFonts w:ascii="Times New Roman" w:eastAsia="Times New Roman"/>
        </w:rPr>
        <w:t>1</w:t>
      </w:r>
      <w:r>
        <w:rPr>
          <w:rFonts w:ascii="Times New Roman" w:eastAsia="Times New Roman"/>
          <w:spacing w:val="4"/>
        </w:rPr>
        <w:t> </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010-85869575</w:t>
      </w:r>
    </w:p>
    <w:p>
      <w:pPr>
        <w:pStyle w:val="BodyText"/>
        <w:spacing w:before="4"/>
        <w:rPr>
          <w:rFonts w:ascii="Times New Roman"/>
          <w:sz w:val="17"/>
        </w:rPr>
      </w:pPr>
    </w:p>
    <w:p>
      <w:pPr>
        <w:pStyle w:val="ListParagraph"/>
        <w:numPr>
          <w:ilvl w:val="0"/>
          <w:numId w:val="8"/>
        </w:numPr>
        <w:tabs>
          <w:tab w:pos="1170" w:val="left" w:leader="none"/>
        </w:tabs>
        <w:spacing w:line="240" w:lineRule="auto" w:before="0" w:after="0"/>
        <w:ind w:left="1169" w:right="0" w:hanging="530"/>
        <w:jc w:val="left"/>
        <w:rPr>
          <w:sz w:val="21"/>
        </w:rPr>
      </w:pPr>
      <w:r>
        <w:rPr>
          <w:spacing w:val="-3"/>
          <w:sz w:val="21"/>
        </w:rPr>
        <w:t>北京望京投资理财中心</w:t>
      </w:r>
    </w:p>
    <w:p>
      <w:pPr>
        <w:pStyle w:val="BodyText"/>
        <w:spacing w:before="6"/>
        <w:rPr>
          <w:sz w:val="15"/>
        </w:rPr>
      </w:pPr>
    </w:p>
    <w:p>
      <w:pPr>
        <w:pStyle w:val="BodyText"/>
        <w:spacing w:line="417" w:lineRule="auto" w:before="1"/>
        <w:ind w:left="640" w:right="285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ind w:left="64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spacing w:after="0"/>
        <w:rPr>
          <w:rFonts w:ascii="Times New Roman" w:eastAsia="Times New Roman"/>
        </w:rPr>
        <w:sectPr>
          <w:pgSz w:w="11910" w:h="16840"/>
          <w:pgMar w:header="877" w:footer="995" w:top="1420" w:bottom="1180" w:left="1580" w:right="1200"/>
        </w:sectPr>
      </w:pPr>
    </w:p>
    <w:p>
      <w:pPr>
        <w:pStyle w:val="ListParagraph"/>
        <w:numPr>
          <w:ilvl w:val="0"/>
          <w:numId w:val="8"/>
        </w:numPr>
        <w:tabs>
          <w:tab w:pos="1170" w:val="left" w:leader="none"/>
        </w:tabs>
        <w:spacing w:line="240" w:lineRule="auto" w:before="110" w:after="0"/>
        <w:ind w:left="1169" w:right="0" w:hanging="530"/>
        <w:jc w:val="left"/>
        <w:rPr>
          <w:sz w:val="21"/>
        </w:rPr>
      </w:pPr>
      <w:r>
        <w:rPr>
          <w:spacing w:val="-3"/>
          <w:sz w:val="21"/>
        </w:rPr>
        <w:t>上海分公司</w:t>
      </w:r>
    </w:p>
    <w:p>
      <w:pPr>
        <w:pStyle w:val="BodyText"/>
        <w:spacing w:before="6"/>
        <w:rPr>
          <w:sz w:val="15"/>
        </w:rPr>
      </w:pPr>
    </w:p>
    <w:p>
      <w:pPr>
        <w:pStyle w:val="BodyText"/>
        <w:spacing w:line="417" w:lineRule="auto"/>
        <w:ind w:left="640" w:right="1548"/>
        <w:rPr>
          <w:rFonts w:ascii="Times New Roman" w:eastAsia="Times New Roman"/>
        </w:rPr>
      </w:pPr>
      <w:r>
        <w:rPr>
          <w:spacing w:val="-2"/>
        </w:rPr>
        <w:t>地址：中国</w:t>
      </w:r>
      <w:r>
        <w:rPr/>
        <w:t>（</w:t>
      </w:r>
      <w:r>
        <w:rPr>
          <w:spacing w:val="-2"/>
        </w:rPr>
        <w:t>上海</w:t>
      </w:r>
      <w:r>
        <w:rPr>
          <w:spacing w:val="-3"/>
        </w:rPr>
        <w:t>）</w:t>
      </w:r>
      <w:r>
        <w:rPr>
          <w:spacing w:val="-7"/>
        </w:rPr>
        <w:t>自由贸易试验区陆家嘴环路 </w:t>
      </w:r>
      <w:r>
        <w:rPr>
          <w:rFonts w:ascii="Times New Roman" w:eastAsia="Times New Roman"/>
        </w:rPr>
        <w:t>1318</w:t>
      </w:r>
      <w:r>
        <w:rPr>
          <w:rFonts w:ascii="Times New Roman" w:eastAsia="Times New Roman"/>
          <w:spacing w:val="5"/>
        </w:rPr>
        <w:t> </w:t>
      </w:r>
      <w:r>
        <w:rPr>
          <w:spacing w:val="-24"/>
        </w:rPr>
        <w:t>号 </w:t>
      </w:r>
      <w:r>
        <w:rPr>
          <w:rFonts w:ascii="Times New Roman" w:eastAsia="Times New Roman"/>
        </w:rPr>
        <w:t>1902</w:t>
      </w:r>
      <w:r>
        <w:rPr>
          <w:rFonts w:ascii="Times New Roman" w:eastAsia="Times New Roman"/>
          <w:spacing w:val="2"/>
        </w:rPr>
        <w:t> </w:t>
      </w:r>
      <w:r>
        <w:rPr/>
        <w:t>室（</w:t>
      </w:r>
      <w:r>
        <w:rPr>
          <w:rFonts w:ascii="Times New Roman" w:eastAsia="Times New Roman"/>
        </w:rPr>
        <w:t>200120</w:t>
      </w:r>
      <w:r>
        <w:rPr/>
        <w:t>） 电话：</w:t>
      </w:r>
      <w:r>
        <w:rPr>
          <w:rFonts w:ascii="Times New Roman" w:eastAsia="Times New Roman"/>
        </w:rPr>
        <w:t>021-58771599</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021-58771998</w:t>
      </w:r>
    </w:p>
    <w:p>
      <w:pPr>
        <w:pStyle w:val="BodyText"/>
        <w:spacing w:before="4"/>
        <w:rPr>
          <w:rFonts w:ascii="Times New Roman"/>
          <w:sz w:val="17"/>
        </w:rPr>
      </w:pPr>
    </w:p>
    <w:p>
      <w:pPr>
        <w:pStyle w:val="ListParagraph"/>
        <w:numPr>
          <w:ilvl w:val="0"/>
          <w:numId w:val="8"/>
        </w:numPr>
        <w:tabs>
          <w:tab w:pos="1170" w:val="left" w:leader="none"/>
        </w:tabs>
        <w:spacing w:line="240" w:lineRule="auto" w:before="0" w:after="0"/>
        <w:ind w:left="1169" w:right="0" w:hanging="530"/>
        <w:jc w:val="left"/>
        <w:rPr>
          <w:sz w:val="21"/>
        </w:rPr>
      </w:pPr>
      <w:r>
        <w:rPr>
          <w:spacing w:val="-3"/>
          <w:sz w:val="21"/>
        </w:rPr>
        <w:t>深圳分公司</w:t>
      </w:r>
    </w:p>
    <w:p>
      <w:pPr>
        <w:pStyle w:val="BodyText"/>
        <w:spacing w:before="6"/>
        <w:rPr>
          <w:sz w:val="15"/>
        </w:rPr>
      </w:pPr>
    </w:p>
    <w:p>
      <w:pPr>
        <w:pStyle w:val="BodyText"/>
        <w:spacing w:line="417" w:lineRule="auto" w:before="1"/>
        <w:ind w:left="640" w:right="1025"/>
        <w:rPr>
          <w:rFonts w:ascii="Times New Roman" w:eastAsia="Times New Roman"/>
        </w:rPr>
      </w:pPr>
      <w:r>
        <w:rPr>
          <w:spacing w:val="-6"/>
        </w:rPr>
        <w:t>地址：深圳市福田区莲花街道益田路 </w:t>
      </w:r>
      <w:r>
        <w:rPr>
          <w:rFonts w:ascii="Times New Roman" w:eastAsia="Times New Roman"/>
        </w:rPr>
        <w:t>6001</w:t>
      </w:r>
      <w:r>
        <w:rPr>
          <w:rFonts w:ascii="Times New Roman" w:eastAsia="Times New Roman"/>
          <w:spacing w:val="5"/>
        </w:rPr>
        <w:t> </w:t>
      </w:r>
      <w:r>
        <w:rPr>
          <w:spacing w:val="-9"/>
        </w:rPr>
        <w:t>号太平金融大厦 </w:t>
      </w:r>
      <w:r>
        <w:rPr>
          <w:rFonts w:ascii="Times New Roman" w:eastAsia="Times New Roman"/>
        </w:rPr>
        <w:t>40</w:t>
      </w:r>
      <w:r>
        <w:rPr>
          <w:rFonts w:ascii="Times New Roman" w:eastAsia="Times New Roman"/>
          <w:spacing w:val="2"/>
        </w:rPr>
        <w:t> </w:t>
      </w:r>
      <w:r>
        <w:rPr>
          <w:spacing w:val="-25"/>
        </w:rPr>
        <w:t>层 </w:t>
      </w:r>
      <w:r>
        <w:rPr>
          <w:rFonts w:ascii="Times New Roman" w:eastAsia="Times New Roman"/>
        </w:rPr>
        <w:t>02</w:t>
      </w:r>
      <w:r>
        <w:rPr>
          <w:rFonts w:ascii="Times New Roman" w:eastAsia="Times New Roman"/>
          <w:spacing w:val="1"/>
        </w:rPr>
        <w:t> </w:t>
      </w:r>
      <w:r>
        <w:rPr/>
        <w:t>室（</w:t>
      </w:r>
      <w:r>
        <w:rPr>
          <w:rFonts w:ascii="Times New Roman" w:eastAsia="Times New Roman"/>
        </w:rPr>
        <w:t>518038</w:t>
      </w:r>
      <w:r>
        <w:rPr/>
        <w:t>） 电话：</w:t>
      </w:r>
      <w:r>
        <w:rPr>
          <w:rFonts w:ascii="Times New Roman" w:eastAsia="Times New Roman"/>
        </w:rPr>
        <w:t>0755-82033033</w:t>
      </w:r>
    </w:p>
    <w:p>
      <w:pPr>
        <w:pStyle w:val="BodyText"/>
        <w:ind w:left="640"/>
        <w:rPr>
          <w:rFonts w:ascii="Times New Roman" w:eastAsia="Times New Roman"/>
        </w:rPr>
      </w:pPr>
      <w:r>
        <w:rPr>
          <w:spacing w:val="-1"/>
        </w:rPr>
        <w:t>传真：</w:t>
      </w:r>
      <w:r>
        <w:rPr>
          <w:rFonts w:ascii="Times New Roman" w:eastAsia="Times New Roman"/>
          <w:spacing w:val="-1"/>
        </w:rPr>
        <w:t>0755-82031949</w:t>
      </w:r>
    </w:p>
    <w:p>
      <w:pPr>
        <w:pStyle w:val="BodyText"/>
        <w:spacing w:before="3"/>
        <w:rPr>
          <w:rFonts w:ascii="Times New Roman"/>
          <w:sz w:val="17"/>
        </w:rPr>
      </w:pPr>
    </w:p>
    <w:p>
      <w:pPr>
        <w:pStyle w:val="ListParagraph"/>
        <w:numPr>
          <w:ilvl w:val="0"/>
          <w:numId w:val="8"/>
        </w:numPr>
        <w:tabs>
          <w:tab w:pos="1170" w:val="left" w:leader="none"/>
        </w:tabs>
        <w:spacing w:line="240" w:lineRule="auto" w:before="0" w:after="0"/>
        <w:ind w:left="1169" w:right="0" w:hanging="530"/>
        <w:jc w:val="left"/>
        <w:rPr>
          <w:sz w:val="21"/>
        </w:rPr>
      </w:pPr>
      <w:r>
        <w:rPr>
          <w:spacing w:val="-3"/>
          <w:sz w:val="21"/>
        </w:rPr>
        <w:t>南京分公司</w:t>
      </w:r>
    </w:p>
    <w:p>
      <w:pPr>
        <w:pStyle w:val="BodyText"/>
        <w:spacing w:before="7"/>
        <w:rPr>
          <w:sz w:val="15"/>
        </w:rPr>
      </w:pPr>
    </w:p>
    <w:p>
      <w:pPr>
        <w:pStyle w:val="BodyText"/>
        <w:spacing w:line="417" w:lineRule="auto"/>
        <w:ind w:left="640" w:right="1619"/>
        <w:rPr>
          <w:rFonts w:ascii="Times New Roman" w:eastAsia="Times New Roman"/>
        </w:rPr>
      </w:pPr>
      <w:r>
        <w:rPr>
          <w:spacing w:val="-7"/>
        </w:rPr>
        <w:t>地址：南京市鼓楼区汉中路 </w:t>
      </w:r>
      <w:r>
        <w:rPr>
          <w:rFonts w:ascii="Times New Roman" w:eastAsia="Times New Roman"/>
        </w:rPr>
        <w:t>2</w:t>
      </w:r>
      <w:r>
        <w:rPr>
          <w:rFonts w:ascii="Times New Roman" w:eastAsia="Times New Roman"/>
          <w:spacing w:val="5"/>
        </w:rPr>
        <w:t> </w:t>
      </w:r>
      <w:r>
        <w:rPr>
          <w:spacing w:val="-7"/>
        </w:rPr>
        <w:t>号金陵饭店亚太商务楼 </w:t>
      </w:r>
      <w:r>
        <w:rPr>
          <w:rFonts w:ascii="Times New Roman" w:eastAsia="Times New Roman"/>
        </w:rPr>
        <w:t>30</w:t>
      </w:r>
      <w:r>
        <w:rPr>
          <w:rFonts w:ascii="Times New Roman" w:eastAsia="Times New Roman"/>
          <w:spacing w:val="3"/>
        </w:rPr>
        <w:t> </w:t>
      </w:r>
      <w:r>
        <w:rPr>
          <w:spacing w:val="50"/>
        </w:rPr>
        <w:t>层</w:t>
      </w:r>
      <w:r>
        <w:rPr>
          <w:rFonts w:ascii="Times New Roman" w:eastAsia="Times New Roman"/>
        </w:rPr>
        <w:t>B</w:t>
      </w:r>
      <w:r>
        <w:rPr>
          <w:rFonts w:ascii="Times New Roman" w:eastAsia="Times New Roman"/>
          <w:spacing w:val="7"/>
        </w:rPr>
        <w:t> </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025-84733928</w:t>
      </w:r>
    </w:p>
    <w:p>
      <w:pPr>
        <w:pStyle w:val="BodyText"/>
        <w:spacing w:before="3"/>
        <w:rPr>
          <w:rFonts w:ascii="Times New Roman"/>
          <w:sz w:val="17"/>
        </w:rPr>
      </w:pPr>
    </w:p>
    <w:p>
      <w:pPr>
        <w:pStyle w:val="ListParagraph"/>
        <w:numPr>
          <w:ilvl w:val="0"/>
          <w:numId w:val="8"/>
        </w:numPr>
        <w:tabs>
          <w:tab w:pos="1170" w:val="left" w:leader="none"/>
        </w:tabs>
        <w:spacing w:line="240" w:lineRule="auto" w:before="1" w:after="0"/>
        <w:ind w:left="1169" w:right="0" w:hanging="530"/>
        <w:jc w:val="left"/>
        <w:rPr>
          <w:sz w:val="21"/>
        </w:rPr>
      </w:pPr>
      <w:r>
        <w:rPr>
          <w:spacing w:val="-3"/>
          <w:sz w:val="21"/>
        </w:rPr>
        <w:t>杭州分公司</w:t>
      </w:r>
    </w:p>
    <w:p>
      <w:pPr>
        <w:pStyle w:val="BodyText"/>
        <w:spacing w:before="6"/>
        <w:rPr>
          <w:sz w:val="15"/>
        </w:rPr>
      </w:pPr>
    </w:p>
    <w:p>
      <w:pPr>
        <w:pStyle w:val="BodyText"/>
        <w:spacing w:line="417" w:lineRule="auto"/>
        <w:ind w:left="640" w:right="59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ind w:left="640"/>
        <w:rPr>
          <w:rFonts w:ascii="Times New Roman" w:eastAsia="Times New Roman"/>
        </w:rPr>
      </w:pPr>
      <w:r>
        <w:rPr>
          <w:spacing w:val="-2"/>
        </w:rPr>
        <w:t>传真：</w:t>
      </w:r>
      <w:r>
        <w:rPr>
          <w:rFonts w:ascii="Times New Roman" w:eastAsia="Times New Roman"/>
          <w:spacing w:val="-2"/>
        </w:rPr>
        <w:t>0571-89716611</w:t>
      </w:r>
    </w:p>
    <w:p>
      <w:pPr>
        <w:pStyle w:val="BodyText"/>
        <w:spacing w:before="4"/>
        <w:rPr>
          <w:rFonts w:ascii="Times New Roman"/>
          <w:sz w:val="17"/>
        </w:rPr>
      </w:pPr>
    </w:p>
    <w:p>
      <w:pPr>
        <w:pStyle w:val="ListParagraph"/>
        <w:numPr>
          <w:ilvl w:val="0"/>
          <w:numId w:val="8"/>
        </w:numPr>
        <w:tabs>
          <w:tab w:pos="1275" w:val="left" w:leader="none"/>
        </w:tabs>
        <w:spacing w:line="240" w:lineRule="auto" w:before="0" w:after="0"/>
        <w:ind w:left="1275" w:right="0" w:hanging="635"/>
        <w:jc w:val="left"/>
        <w:rPr>
          <w:sz w:val="21"/>
        </w:rPr>
      </w:pPr>
      <w:r>
        <w:rPr>
          <w:spacing w:val="-3"/>
          <w:sz w:val="21"/>
        </w:rPr>
        <w:t>广州分公司</w:t>
      </w:r>
    </w:p>
    <w:p>
      <w:pPr>
        <w:pStyle w:val="BodyText"/>
        <w:spacing w:before="6"/>
        <w:rPr>
          <w:sz w:val="15"/>
        </w:rPr>
      </w:pPr>
    </w:p>
    <w:p>
      <w:pPr>
        <w:pStyle w:val="BodyText"/>
        <w:spacing w:line="417" w:lineRule="auto" w:before="1"/>
        <w:ind w:left="640" w:right="81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8"/>
        </w:numPr>
        <w:tabs>
          <w:tab w:pos="1266" w:val="left" w:leader="none"/>
        </w:tabs>
        <w:spacing w:line="240" w:lineRule="auto" w:before="0" w:after="0"/>
        <w:ind w:left="1265" w:right="0" w:hanging="626"/>
        <w:jc w:val="left"/>
        <w:rPr>
          <w:sz w:val="21"/>
        </w:rPr>
      </w:pPr>
      <w:r>
        <w:rPr>
          <w:spacing w:val="-3"/>
          <w:sz w:val="21"/>
        </w:rPr>
        <w:t>广州天河投资理财中心</w:t>
      </w:r>
    </w:p>
    <w:p>
      <w:pPr>
        <w:pStyle w:val="BodyText"/>
        <w:spacing w:before="7"/>
        <w:rPr>
          <w:sz w:val="15"/>
        </w:rPr>
      </w:pPr>
    </w:p>
    <w:p>
      <w:pPr>
        <w:pStyle w:val="BodyText"/>
        <w:spacing w:line="417" w:lineRule="auto"/>
        <w:ind w:left="640" w:right="354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020-38067182</w:t>
      </w:r>
    </w:p>
    <w:p>
      <w:pPr>
        <w:pStyle w:val="BodyText"/>
        <w:spacing w:before="4"/>
        <w:rPr>
          <w:rFonts w:ascii="Times New Roman"/>
          <w:sz w:val="17"/>
        </w:rPr>
      </w:pPr>
    </w:p>
    <w:p>
      <w:pPr>
        <w:pStyle w:val="ListParagraph"/>
        <w:numPr>
          <w:ilvl w:val="0"/>
          <w:numId w:val="8"/>
        </w:numPr>
        <w:tabs>
          <w:tab w:pos="1275" w:val="left" w:leader="none"/>
        </w:tabs>
        <w:spacing w:line="240" w:lineRule="auto" w:before="0" w:after="0"/>
        <w:ind w:left="1275" w:right="0" w:hanging="635"/>
        <w:jc w:val="left"/>
        <w:rPr>
          <w:sz w:val="21"/>
        </w:rPr>
      </w:pPr>
      <w:r>
        <w:rPr>
          <w:spacing w:val="-3"/>
          <w:sz w:val="21"/>
        </w:rPr>
        <w:t>成都分公司</w:t>
      </w:r>
    </w:p>
    <w:p>
      <w:pPr>
        <w:pStyle w:val="BodyText"/>
        <w:spacing w:before="6"/>
        <w:rPr>
          <w:sz w:val="15"/>
        </w:rPr>
      </w:pPr>
    </w:p>
    <w:p>
      <w:pPr>
        <w:pStyle w:val="BodyText"/>
        <w:spacing w:before="1"/>
        <w:ind w:left="64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6"/>
        <w:rPr>
          <w:sz w:val="15"/>
        </w:rPr>
      </w:pPr>
    </w:p>
    <w:p>
      <w:pPr>
        <w:pStyle w:val="BodyText"/>
        <w:ind w:left="220"/>
      </w:pPr>
      <w:r>
        <w:rPr/>
        <w:t>（</w:t>
      </w:r>
      <w:r>
        <w:rPr>
          <w:rFonts w:ascii="Times New Roman" w:eastAsia="Times New Roman"/>
        </w:rPr>
        <w:t>610000</w:t>
      </w:r>
      <w:r>
        <w:rPr/>
        <w:t>）</w:t>
      </w:r>
    </w:p>
    <w:p>
      <w:pPr>
        <w:pStyle w:val="BodyText"/>
        <w:spacing w:before="7"/>
        <w:rPr>
          <w:sz w:val="15"/>
        </w:rPr>
      </w:pPr>
    </w:p>
    <w:p>
      <w:pPr>
        <w:pStyle w:val="BodyText"/>
        <w:spacing w:line="417" w:lineRule="auto"/>
        <w:ind w:left="640" w:right="662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8"/>
        </w:numPr>
        <w:tabs>
          <w:tab w:pos="1275" w:val="left" w:leader="none"/>
        </w:tabs>
        <w:spacing w:line="240" w:lineRule="auto" w:before="0" w:after="0"/>
        <w:ind w:left="1275" w:right="0" w:hanging="635"/>
        <w:jc w:val="left"/>
        <w:rPr>
          <w:sz w:val="21"/>
        </w:rPr>
      </w:pPr>
      <w:r>
        <w:rPr>
          <w:spacing w:val="-2"/>
          <w:sz w:val="21"/>
        </w:rPr>
        <w:t>电子交易</w:t>
      </w:r>
    </w:p>
    <w:p>
      <w:pPr>
        <w:spacing w:after="0" w:line="240" w:lineRule="auto"/>
        <w:jc w:val="left"/>
        <w:rPr>
          <w:sz w:val="21"/>
        </w:rPr>
        <w:sectPr>
          <w:pgSz w:w="11910" w:h="16840"/>
          <w:pgMar w:header="877" w:footer="995" w:top="1420" w:bottom="1180" w:left="1580" w:right="1200"/>
        </w:sectPr>
      </w:pPr>
    </w:p>
    <w:p>
      <w:pPr>
        <w:pStyle w:val="BodyText"/>
        <w:spacing w:line="417" w:lineRule="auto" w:before="110"/>
        <w:ind w:left="220" w:right="59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19">
        <w:r>
          <w:rPr>
            <w:rFonts w:ascii="Times New Roman" w:eastAsia="Times New Roman"/>
          </w:rPr>
          <w:t>www.ChinaAMC.com</w:t>
        </w:r>
      </w:hyperlink>
      <w:r>
        <w:rPr/>
        <w:t>。</w:t>
      </w:r>
    </w:p>
    <w:p>
      <w:pPr>
        <w:pStyle w:val="BodyText"/>
        <w:spacing w:line="269" w:lineRule="exact"/>
        <w:ind w:left="640"/>
      </w:pPr>
      <w:r>
        <w:rPr>
          <w:rFonts w:ascii="Times New Roman" w:eastAsia="Times New Roman"/>
        </w:rPr>
        <w:t>2</w:t>
      </w:r>
      <w:r>
        <w:rPr/>
        <w:t>、代销机构</w:t>
      </w:r>
    </w:p>
    <w:p>
      <w:pPr>
        <w:pStyle w:val="BodyText"/>
        <w:spacing w:before="6"/>
        <w:rPr>
          <w:sz w:val="15"/>
        </w:rPr>
      </w:pPr>
    </w:p>
    <w:p>
      <w:pPr>
        <w:pStyle w:val="BodyText"/>
        <w:spacing w:line="417" w:lineRule="auto"/>
        <w:ind w:left="220" w:right="591" w:firstLine="419"/>
      </w:pPr>
      <w:r>
        <w:rPr>
          <w:spacing w:val="-24"/>
          <w:w w:val="100"/>
        </w:rPr>
        <w:t>本基金代销机构的名称、住所等信息请详见本招募说明书“五、相关服务机构”中“</w:t>
      </w:r>
      <w:r>
        <w:rPr>
          <w:spacing w:val="-3"/>
          <w:w w:val="100"/>
        </w:rPr>
        <w:t>（</w:t>
      </w:r>
      <w:r>
        <w:rPr>
          <w:w w:val="100"/>
        </w:rPr>
        <w:t>一）</w:t>
      </w:r>
      <w:r>
        <w:rPr>
          <w:spacing w:val="-3"/>
        </w:rPr>
        <w:t>销售机构”的相关描述。</w:t>
      </w:r>
    </w:p>
    <w:p>
      <w:pPr>
        <w:pStyle w:val="BodyText"/>
        <w:spacing w:line="417" w:lineRule="auto"/>
        <w:ind w:left="220" w:right="591" w:firstLine="419"/>
      </w:pPr>
      <w:r>
        <w:rPr>
          <w:spacing w:val="-7"/>
        </w:rPr>
        <w:t>基金管理人可根据情况变更或增减申购赎回的销售机构，并在基金管理人网站公示。销</w:t>
      </w:r>
      <w:r>
        <w:rPr>
          <w:spacing w:val="-5"/>
        </w:rPr>
        <w:t>售机构可以根据情况增加或者减少其销售城市、网点。</w:t>
      </w:r>
    </w:p>
    <w:p>
      <w:pPr>
        <w:pStyle w:val="BodyText"/>
        <w:ind w:left="640"/>
      </w:pPr>
      <w:r>
        <w:rPr/>
        <w:t>（二）申购和赎回的开放日及时间</w:t>
      </w:r>
    </w:p>
    <w:p>
      <w:pPr>
        <w:pStyle w:val="BodyText"/>
        <w:spacing w:before="7"/>
        <w:rPr>
          <w:sz w:val="15"/>
        </w:rPr>
      </w:pPr>
    </w:p>
    <w:p>
      <w:pPr>
        <w:pStyle w:val="BodyText"/>
        <w:ind w:left="640"/>
      </w:pPr>
      <w:r>
        <w:rPr>
          <w:rFonts w:ascii="Times New Roman" w:eastAsia="Times New Roman"/>
        </w:rPr>
        <w:t>1</w:t>
      </w:r>
      <w:r>
        <w:rPr/>
        <w:t>、开放日及开放时间</w:t>
      </w:r>
    </w:p>
    <w:p>
      <w:pPr>
        <w:pStyle w:val="BodyText"/>
        <w:spacing w:before="7"/>
        <w:rPr>
          <w:sz w:val="15"/>
        </w:rPr>
      </w:pPr>
    </w:p>
    <w:p>
      <w:pPr>
        <w:pStyle w:val="BodyText"/>
        <w:spacing w:line="417" w:lineRule="auto"/>
        <w:ind w:left="220" w:right="59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pPr>
        <w:pStyle w:val="BodyText"/>
        <w:spacing w:line="417" w:lineRule="auto"/>
        <w:ind w:left="220" w:right="591" w:firstLine="419"/>
        <w:jc w:val="both"/>
      </w:pPr>
      <w:r>
        <w:rPr>
          <w:spacing w:val="-3"/>
        </w:rPr>
        <w:t>基金合同生效后，若出现新的证券</w:t>
      </w:r>
      <w:r>
        <w:rPr>
          <w:rFonts w:ascii="Times New Roman" w:eastAsia="Times New Roman"/>
        </w:rPr>
        <w:t>/</w:t>
      </w:r>
      <w:r>
        <w:rPr>
          <w:spacing w:val="-3"/>
        </w:rPr>
        <w:t>期货交易市场、证券</w:t>
      </w:r>
      <w:r>
        <w:rPr>
          <w:rFonts w:ascii="Times New Roman" w:eastAsia="Times New Roman"/>
        </w:rPr>
        <w:t>/</w:t>
      </w:r>
      <w:r>
        <w:rPr>
          <w:spacing w:val="-3"/>
        </w:rPr>
        <w:t>期货交易所交易时间变更或其</w:t>
      </w:r>
      <w:r>
        <w:rPr>
          <w:spacing w:val="-11"/>
        </w:rPr>
        <w:t>他特殊情况，基金管理人将视情况对前述开放日及开放时间进行相应的调整，但应在实施日</w:t>
      </w:r>
      <w:r>
        <w:rPr>
          <w:spacing w:val="-6"/>
        </w:rPr>
        <w:t>前依照《信息披露办法》的有关规定在指定媒介上公告。</w:t>
      </w:r>
    </w:p>
    <w:p>
      <w:pPr>
        <w:pStyle w:val="BodyText"/>
        <w:ind w:left="640"/>
      </w:pPr>
      <w:r>
        <w:rPr>
          <w:rFonts w:ascii="Times New Roman" w:eastAsia="Times New Roman"/>
        </w:rPr>
        <w:t>2</w:t>
      </w:r>
      <w:r>
        <w:rPr/>
        <w:t>、申购、赎回开始日及业务办理时间</w:t>
      </w:r>
    </w:p>
    <w:p>
      <w:pPr>
        <w:pStyle w:val="BodyText"/>
        <w:spacing w:before="6"/>
        <w:rPr>
          <w:sz w:val="15"/>
        </w:rPr>
      </w:pPr>
    </w:p>
    <w:p>
      <w:pPr>
        <w:pStyle w:val="BodyText"/>
        <w:spacing w:line="417" w:lineRule="auto"/>
        <w:ind w:left="640" w:right="491"/>
      </w:pPr>
      <w:r>
        <w:rPr>
          <w:spacing w:val="-10"/>
        </w:rPr>
        <w:t>本基金已自 </w:t>
      </w:r>
      <w:r>
        <w:rPr>
          <w:rFonts w:ascii="Times New Roman" w:eastAsia="Times New Roman"/>
        </w:rPr>
        <w:t>2019 </w:t>
      </w:r>
      <w:r>
        <w:rPr>
          <w:spacing w:val="-24"/>
        </w:rPr>
        <w:t>年 </w:t>
      </w:r>
      <w:r>
        <w:rPr>
          <w:rFonts w:ascii="Times New Roman" w:eastAsia="Times New Roman"/>
        </w:rPr>
        <w:t>4 </w:t>
      </w:r>
      <w:r>
        <w:rPr>
          <w:spacing w:val="-25"/>
        </w:rPr>
        <w:t>月 </w:t>
      </w:r>
      <w:r>
        <w:rPr>
          <w:rFonts w:ascii="Times New Roman" w:eastAsia="Times New Roman"/>
        </w:rPr>
        <w:t>10 </w:t>
      </w:r>
      <w:r>
        <w:rPr>
          <w:spacing w:val="-3"/>
        </w:rPr>
        <w:t>日起开始办理日常申购、赎回、转换、定期定额申购业务。基金管理人不得在基金合同约定之外的日期或者时间办理基金份额的申购或者赎回或</w:t>
      </w:r>
    </w:p>
    <w:p>
      <w:pPr>
        <w:pStyle w:val="BodyText"/>
        <w:spacing w:line="417" w:lineRule="auto"/>
        <w:ind w:left="220" w:right="591"/>
      </w:pPr>
      <w:r>
        <w:rPr>
          <w:spacing w:val="-10"/>
        </w:rPr>
        <w:t>者转换。投资人在基金合同约定之外的日期和时间提出申购、赎回或转换申请且登记机构确</w:t>
      </w:r>
      <w:r>
        <w:rPr>
          <w:spacing w:val="-5"/>
        </w:rPr>
        <w:t>认接受的，其基金份额申购、赎回价格为下一开放日基金份额申购、赎回的价格。</w:t>
      </w:r>
    </w:p>
    <w:p>
      <w:pPr>
        <w:pStyle w:val="BodyText"/>
        <w:ind w:left="640"/>
      </w:pPr>
      <w:r>
        <w:rPr/>
        <w:t>（三）申购和赎回的原则</w:t>
      </w:r>
    </w:p>
    <w:p>
      <w:pPr>
        <w:pStyle w:val="BodyText"/>
        <w:spacing w:before="6"/>
        <w:rPr>
          <w:sz w:val="15"/>
        </w:rPr>
      </w:pPr>
    </w:p>
    <w:p>
      <w:pPr>
        <w:pStyle w:val="BodyText"/>
        <w:spacing w:line="417" w:lineRule="auto" w:before="1"/>
        <w:ind w:left="220" w:right="594" w:firstLine="419"/>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pStyle w:val="BodyText"/>
        <w:spacing w:line="269" w:lineRule="exact"/>
        <w:ind w:left="64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6"/>
        <w:rPr>
          <w:sz w:val="15"/>
        </w:rPr>
      </w:pPr>
    </w:p>
    <w:p>
      <w:pPr>
        <w:pStyle w:val="BodyText"/>
        <w:ind w:left="640"/>
      </w:pPr>
      <w:r>
        <w:rPr>
          <w:rFonts w:ascii="Times New Roman" w:eastAsia="Times New Roman"/>
        </w:rPr>
        <w:t>3</w:t>
      </w:r>
      <w:r>
        <w:rPr/>
        <w:t>、当日的申购与赎回申请可以在基金管理人规定的时间以内撤销。</w:t>
      </w:r>
    </w:p>
    <w:p>
      <w:pPr>
        <w:pStyle w:val="BodyText"/>
        <w:spacing w:before="7"/>
        <w:rPr>
          <w:sz w:val="15"/>
        </w:rPr>
      </w:pPr>
    </w:p>
    <w:p>
      <w:pPr>
        <w:pStyle w:val="BodyText"/>
        <w:ind w:left="640"/>
      </w:pPr>
      <w:r>
        <w:rPr>
          <w:rFonts w:ascii="Times New Roman" w:hAnsi="Times New Roman" w:eastAsia="Times New Roman"/>
        </w:rPr>
        <w:t>4</w:t>
      </w:r>
      <w:r>
        <w:rPr/>
        <w:t>、赎回遵循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w:t>
      </w:r>
    </w:p>
    <w:p>
      <w:pPr>
        <w:pStyle w:val="BodyText"/>
        <w:spacing w:before="7"/>
        <w:rPr>
          <w:sz w:val="15"/>
        </w:rPr>
      </w:pPr>
    </w:p>
    <w:p>
      <w:pPr>
        <w:pStyle w:val="BodyText"/>
        <w:spacing w:line="417" w:lineRule="auto"/>
        <w:ind w:left="220" w:right="594" w:firstLine="419"/>
      </w:pPr>
      <w:r>
        <w:rPr>
          <w:rFonts w:ascii="Times New Roman" w:eastAsia="Times New Roman"/>
        </w:rPr>
        <w:t>5</w:t>
      </w:r>
      <w:r>
        <w:rPr/>
        <w:t>、投资者办理申购、赎回等业务时应提交的文件和办理手续、办理时间、处理规则等在遵守基金合同和招募说明书规定的前提下，以各销售机构的具体规定为准。</w:t>
      </w:r>
    </w:p>
    <w:p>
      <w:pPr>
        <w:pStyle w:val="BodyText"/>
        <w:ind w:left="640"/>
      </w:pPr>
      <w:r>
        <w:rPr/>
        <w:t>基金管理人可在法律法规允许的情况下，对上述原则进行调整。基金管理人必须在新规</w:t>
      </w:r>
    </w:p>
    <w:p>
      <w:pPr>
        <w:spacing w:after="0"/>
        <w:sectPr>
          <w:pgSz w:w="11910" w:h="16840"/>
          <w:pgMar w:header="877" w:footer="995" w:top="1420" w:bottom="1180" w:left="1580" w:right="1200"/>
        </w:sectPr>
      </w:pPr>
    </w:p>
    <w:p>
      <w:pPr>
        <w:pStyle w:val="BodyText"/>
        <w:spacing w:before="110"/>
        <w:ind w:left="220"/>
      </w:pPr>
      <w:r>
        <w:rPr/>
        <w:t>则开始实施前依照《信息披露办法》的有关规定在指定媒介上公告。</w:t>
      </w:r>
    </w:p>
    <w:p>
      <w:pPr>
        <w:pStyle w:val="BodyText"/>
        <w:spacing w:before="6"/>
        <w:rPr>
          <w:sz w:val="15"/>
        </w:rPr>
      </w:pPr>
    </w:p>
    <w:p>
      <w:pPr>
        <w:pStyle w:val="BodyText"/>
        <w:ind w:left="640"/>
      </w:pPr>
      <w:r>
        <w:rPr/>
        <w:t>（四）申购和赎回的数额限制</w:t>
      </w:r>
    </w:p>
    <w:p>
      <w:pPr>
        <w:pStyle w:val="BodyText"/>
        <w:spacing w:before="7"/>
        <w:rPr>
          <w:sz w:val="15"/>
        </w:rPr>
      </w:pPr>
    </w:p>
    <w:p>
      <w:pPr>
        <w:pStyle w:val="BodyText"/>
        <w:spacing w:line="417" w:lineRule="auto"/>
        <w:ind w:left="220" w:right="489" w:firstLine="419"/>
      </w:pPr>
      <w:r>
        <w:rPr>
          <w:rFonts w:ascii="Times New Roman" w:eastAsia="Times New Roman"/>
        </w:rPr>
        <w:t>1</w:t>
      </w:r>
      <w:r>
        <w:rPr>
          <w:spacing w:val="-3"/>
        </w:rPr>
        <w:t>、投资者通过直销机构或华夏财富办理本基金的申购及赎回业务，每次最低申购金额为</w:t>
      </w:r>
      <w:r>
        <w:rPr>
          <w:rFonts w:ascii="Times New Roman" w:eastAsia="Times New Roman"/>
          <w:spacing w:val="-3"/>
        </w:rPr>
        <w:t>1.00</w:t>
      </w:r>
      <w:r>
        <w:rPr>
          <w:spacing w:val="-32"/>
        </w:rPr>
        <w:t>元</w:t>
      </w:r>
      <w:r>
        <w:rPr>
          <w:spacing w:val="-3"/>
        </w:rPr>
        <w:t>（含申购费</w:t>
      </w:r>
      <w:r>
        <w:rPr>
          <w:spacing w:val="-70"/>
        </w:rPr>
        <w:t>）</w:t>
      </w:r>
      <w:r>
        <w:rPr>
          <w:spacing w:val="-10"/>
        </w:rPr>
        <w:t>，每次赎回申请不得低于</w:t>
      </w:r>
      <w:r>
        <w:rPr>
          <w:rFonts w:ascii="Times New Roman" w:eastAsia="Times New Roman"/>
        </w:rPr>
        <w:t>1.00</w:t>
      </w:r>
      <w:r>
        <w:rPr>
          <w:spacing w:val="-7"/>
        </w:rPr>
        <w:t>份基金份额。基金份额持有人赎回时或赎回后在直销机构或华夏财富保留的基金份额余额不足</w:t>
      </w:r>
      <w:r>
        <w:rPr>
          <w:rFonts w:ascii="Times New Roman" w:eastAsia="Times New Roman"/>
        </w:rPr>
        <w:t>1.00</w:t>
      </w:r>
      <w:r>
        <w:rPr>
          <w:spacing w:val="-1"/>
        </w:rPr>
        <w:t>份的，在赎回时需一次全部赎回。</w:t>
      </w:r>
      <w:r>
        <w:rPr>
          <w:spacing w:val="-3"/>
        </w:rPr>
        <w:t>具体业务办理请遵循基金管理人直销机构及华夏财富的相关规定。</w:t>
      </w:r>
    </w:p>
    <w:p>
      <w:pPr>
        <w:pStyle w:val="BodyText"/>
        <w:spacing w:line="417" w:lineRule="auto"/>
        <w:ind w:left="220" w:right="591" w:firstLine="419"/>
        <w:jc w:val="both"/>
      </w:pPr>
      <w:r>
        <w:rPr>
          <w:rFonts w:ascii="Times New Roman" w:eastAsia="Times New Roman"/>
        </w:rPr>
        <w:t>2</w:t>
      </w:r>
      <w:r>
        <w:rPr>
          <w:spacing w:val="-3"/>
        </w:rPr>
        <w:t>、投资者通过其他代销机构办理本基金的申购及赎回业务，每次最低申购金额、每次</w:t>
      </w:r>
      <w:r>
        <w:rPr>
          <w:spacing w:val="-9"/>
        </w:rPr>
        <w:t>最低赎回份额、赎回时或赎回后在该代销机构</w:t>
      </w:r>
      <w:r>
        <w:rPr/>
        <w:t>（</w:t>
      </w:r>
      <w:r>
        <w:rPr>
          <w:spacing w:val="-2"/>
        </w:rPr>
        <w:t>网点</w:t>
      </w:r>
      <w:r>
        <w:rPr>
          <w:spacing w:val="-34"/>
        </w:rPr>
        <w:t>）</w:t>
      </w:r>
      <w:r>
        <w:rPr>
          <w:spacing w:val="-3"/>
        </w:rPr>
        <w:t>保留的最低基金份额余额以各代销机构的规定为准。具体业务办理请遵循各代销机构的相关规定。</w:t>
      </w:r>
    </w:p>
    <w:p>
      <w:pPr>
        <w:pStyle w:val="BodyText"/>
        <w:spacing w:line="417" w:lineRule="auto"/>
        <w:ind w:left="220" w:right="59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417" w:lineRule="auto"/>
        <w:ind w:left="220" w:right="594" w:firstLine="419"/>
      </w:pPr>
      <w:r>
        <w:rPr>
          <w:rFonts w:ascii="Times New Roman" w:eastAsia="Times New Roman"/>
        </w:rPr>
        <w:t>4</w:t>
      </w:r>
      <w:r>
        <w:rPr/>
        <w:t>、基金管理人可在法律法规允许的情况下，调整上述规定申购金额和赎回份额的数量限制。基金管理人必须在调整前依照《信息披露办法》的有关规定在指定媒介上公告。</w:t>
      </w:r>
    </w:p>
    <w:p>
      <w:pPr>
        <w:pStyle w:val="BodyText"/>
        <w:ind w:left="640"/>
      </w:pPr>
      <w:r>
        <w:rPr/>
        <w:t>（五）申购和赎回的程序</w:t>
      </w:r>
    </w:p>
    <w:p>
      <w:pPr>
        <w:pStyle w:val="BodyText"/>
        <w:spacing w:before="6"/>
        <w:rPr>
          <w:sz w:val="15"/>
        </w:rPr>
      </w:pPr>
    </w:p>
    <w:p>
      <w:pPr>
        <w:pStyle w:val="BodyText"/>
        <w:ind w:left="640"/>
      </w:pPr>
      <w:r>
        <w:rPr>
          <w:rFonts w:ascii="Times New Roman" w:eastAsia="Times New Roman"/>
        </w:rPr>
        <w:t>1</w:t>
      </w:r>
      <w:r>
        <w:rPr/>
        <w:t>、申购和赎回的申请方式</w:t>
      </w:r>
    </w:p>
    <w:p>
      <w:pPr>
        <w:pStyle w:val="BodyText"/>
        <w:spacing w:before="6"/>
        <w:rPr>
          <w:sz w:val="15"/>
        </w:rPr>
      </w:pPr>
    </w:p>
    <w:p>
      <w:pPr>
        <w:pStyle w:val="BodyText"/>
        <w:spacing w:line="417" w:lineRule="auto" w:before="1"/>
        <w:ind w:left="220" w:right="591" w:firstLine="419"/>
      </w:pPr>
      <w:r>
        <w:rPr>
          <w:spacing w:val="-9"/>
        </w:rPr>
        <w:t>投资人必须根据销售机构规定的程序，在开放日的具体业务办理时间内提出申购或赎回</w:t>
      </w:r>
      <w:r>
        <w:rPr>
          <w:spacing w:val="-6"/>
        </w:rPr>
        <w:t>的申请。</w:t>
      </w:r>
    </w:p>
    <w:p>
      <w:pPr>
        <w:pStyle w:val="BodyText"/>
        <w:spacing w:line="269" w:lineRule="exact"/>
        <w:ind w:left="640"/>
      </w:pPr>
      <w:r>
        <w:rPr>
          <w:rFonts w:ascii="Times New Roman" w:eastAsia="Times New Roman"/>
        </w:rPr>
        <w:t>2</w:t>
      </w:r>
      <w:r>
        <w:rPr/>
        <w:t>、申购和赎回的款项支付</w:t>
      </w:r>
    </w:p>
    <w:p>
      <w:pPr>
        <w:pStyle w:val="BodyText"/>
        <w:spacing w:before="6"/>
        <w:rPr>
          <w:sz w:val="15"/>
        </w:rPr>
      </w:pPr>
    </w:p>
    <w:p>
      <w:pPr>
        <w:pStyle w:val="BodyText"/>
        <w:spacing w:line="417" w:lineRule="auto"/>
        <w:ind w:left="220" w:right="591" w:firstLine="419"/>
      </w:pPr>
      <w:r>
        <w:rPr>
          <w:spacing w:val="-9"/>
        </w:rPr>
        <w:t>投资人申购基金份额时，必须全额交付申购款项，投资人交付款项，申购成立，申购是</w:t>
      </w:r>
      <w:r>
        <w:rPr>
          <w:spacing w:val="-5"/>
        </w:rPr>
        <w:t>否生效以基金登记机构确认为准。</w:t>
      </w:r>
    </w:p>
    <w:p>
      <w:pPr>
        <w:pStyle w:val="BodyText"/>
        <w:spacing w:line="417" w:lineRule="auto" w:before="1"/>
        <w:ind w:left="220" w:right="593" w:firstLine="419"/>
        <w:jc w:val="both"/>
      </w:pPr>
      <w:r>
        <w:rPr>
          <w:spacing w:val="-9"/>
        </w:rPr>
        <w:t>基金份额持有人递交赎回申请，赎回成立，赎回是否生效以基金登记机构确认为准。基</w:t>
      </w:r>
      <w:r>
        <w:rPr>
          <w:spacing w:val="-3"/>
        </w:rPr>
        <w:t>金份额持有人赎回申请成功后，基金管理人将在</w:t>
      </w:r>
      <w:r>
        <w:rPr>
          <w:rFonts w:ascii="Times New Roman" w:eastAsia="Times New Roman"/>
        </w:rPr>
        <w:t>T</w:t>
      </w:r>
      <w:r>
        <w:rPr/>
        <w:t>＋</w:t>
      </w:r>
      <w:r>
        <w:rPr>
          <w:rFonts w:ascii="Times New Roman" w:eastAsia="Times New Roman"/>
        </w:rPr>
        <w:t>7 </w:t>
      </w:r>
      <w:r>
        <w:rPr>
          <w:spacing w:val="-5"/>
        </w:rPr>
        <w:t>日</w:t>
      </w:r>
      <w:r>
        <w:rPr>
          <w:spacing w:val="-3"/>
        </w:rPr>
        <w:t>（包括该日）</w:t>
      </w:r>
      <w:r>
        <w:rPr>
          <w:spacing w:val="-4"/>
        </w:rPr>
        <w:t>内支付赎回款项。在</w:t>
      </w:r>
      <w:r>
        <w:rPr>
          <w:spacing w:val="-3"/>
        </w:rPr>
        <w:t>发生巨额赎回时，款项的支付办法参照基金合同有关条款处理。</w:t>
      </w:r>
    </w:p>
    <w:p>
      <w:pPr>
        <w:pStyle w:val="BodyText"/>
        <w:spacing w:line="269" w:lineRule="exact"/>
        <w:ind w:left="640"/>
      </w:pPr>
      <w:r>
        <w:rPr>
          <w:rFonts w:ascii="Times New Roman" w:eastAsia="Times New Roman"/>
        </w:rPr>
        <w:t>3</w:t>
      </w:r>
      <w:r>
        <w:rPr/>
        <w:t>、申购和赎回申请的确认</w:t>
      </w:r>
    </w:p>
    <w:p>
      <w:pPr>
        <w:pStyle w:val="BodyText"/>
        <w:spacing w:before="6"/>
        <w:rPr>
          <w:sz w:val="15"/>
        </w:rPr>
      </w:pPr>
    </w:p>
    <w:p>
      <w:pPr>
        <w:pStyle w:val="BodyText"/>
        <w:spacing w:line="417" w:lineRule="auto"/>
        <w:ind w:left="220" w:right="591" w:firstLine="419"/>
        <w:jc w:val="both"/>
      </w:pPr>
      <w:r>
        <w:rPr/>
        <w:t>基金管理人应以交易时间结束前受理有效申购和赎回申请的当天作为申购或赎回申请</w:t>
      </w:r>
      <w:r>
        <w:rPr>
          <w:spacing w:val="-1"/>
          <w:w w:val="100"/>
        </w:rPr>
        <w:t>日</w:t>
      </w:r>
      <w:r>
        <w:rPr>
          <w:w w:val="100"/>
        </w:rPr>
        <w:t>（</w:t>
      </w:r>
      <w:r>
        <w:rPr>
          <w:rFonts w:ascii="Times New Roman" w:eastAsia="Times New Roman"/>
          <w:w w:val="100"/>
        </w:rPr>
        <w:t>T</w:t>
      </w:r>
      <w:r>
        <w:rPr>
          <w:rFonts w:ascii="Times New Roman" w:eastAsia="Times New Roman"/>
        </w:rPr>
        <w:t> </w:t>
      </w:r>
      <w:r>
        <w:rPr>
          <w:w w:val="100"/>
        </w:rPr>
        <w:t>日</w:t>
      </w:r>
      <w:r>
        <w:rPr>
          <w:spacing w:val="-106"/>
          <w:w w:val="100"/>
        </w:rPr>
        <w:t>）</w:t>
      </w:r>
      <w:r>
        <w:rPr>
          <w:spacing w:val="-3"/>
          <w:w w:val="100"/>
        </w:rPr>
        <w:t>，在正常情况下，本基金登记机构在</w:t>
      </w:r>
      <w:r>
        <w:rPr>
          <w:spacing w:val="-3"/>
        </w:rPr>
        <w:t> </w:t>
      </w:r>
      <w:r>
        <w:rPr>
          <w:rFonts w:ascii="Times New Roman" w:eastAsia="Times New Roman"/>
          <w:w w:val="100"/>
        </w:rPr>
        <w:t>T</w:t>
      </w:r>
      <w:r>
        <w:rPr>
          <w:rFonts w:ascii="Times New Roman" w:eastAsia="Times New Roman"/>
          <w:spacing w:val="1"/>
          <w:w w:val="100"/>
        </w:rPr>
        <w:t>+</w:t>
      </w:r>
      <w:r>
        <w:rPr>
          <w:rFonts w:ascii="Times New Roman" w:eastAsia="Times New Roman"/>
          <w:w w:val="100"/>
        </w:rPr>
        <w:t>1</w:t>
      </w:r>
      <w:r>
        <w:rPr>
          <w:rFonts w:ascii="Times New Roman" w:eastAsia="Times New Roman"/>
        </w:rPr>
        <w:t> </w:t>
      </w:r>
      <w:r>
        <w:rPr>
          <w:spacing w:val="-3"/>
          <w:w w:val="100"/>
        </w:rPr>
        <w:t>日内对该交易的有效性进行确认。</w:t>
      </w:r>
      <w:r>
        <w:rPr>
          <w:rFonts w:ascii="Times New Roman" w:eastAsia="Times New Roman"/>
          <w:w w:val="100"/>
        </w:rPr>
        <w:t>T</w:t>
      </w:r>
      <w:r>
        <w:rPr>
          <w:rFonts w:ascii="Times New Roman" w:eastAsia="Times New Roman"/>
        </w:rPr>
        <w:t> </w:t>
      </w:r>
      <w:r>
        <w:rPr>
          <w:w w:val="100"/>
        </w:rPr>
        <w:t>日</w:t>
      </w:r>
      <w:r>
        <w:rPr>
          <w:spacing w:val="-3"/>
        </w:rPr>
        <w:t>提交的有效申请，投资人可在 </w:t>
      </w:r>
      <w:r>
        <w:rPr>
          <w:rFonts w:ascii="Times New Roman" w:eastAsia="Times New Roman"/>
        </w:rPr>
        <w:t>T+2 </w:t>
      </w:r>
      <w:r>
        <w:rPr>
          <w:spacing w:val="-2"/>
        </w:rPr>
        <w:t>日后</w:t>
      </w:r>
      <w:r>
        <w:rPr>
          <w:spacing w:val="-3"/>
        </w:rPr>
        <w:t>（包括该日</w:t>
      </w:r>
      <w:r>
        <w:rPr/>
        <w:t>）</w:t>
      </w:r>
      <w:r>
        <w:rPr>
          <w:spacing w:val="-3"/>
        </w:rPr>
        <w:t>到销售网点柜台或以销售机构规定的其他方式查询申请的确认情况。若申购不成功，则申购款项退还给投资人。</w:t>
      </w:r>
    </w:p>
    <w:p>
      <w:pPr>
        <w:pStyle w:val="BodyText"/>
        <w:spacing w:line="269" w:lineRule="exact"/>
        <w:ind w:left="640"/>
      </w:pPr>
      <w:r>
        <w:rPr/>
        <w:t>基金销售机构对申购、赎回申请的受理并不代表申请一定成功，而仅代表销售机构确实</w:t>
      </w:r>
    </w:p>
    <w:p>
      <w:pPr>
        <w:spacing w:after="0" w:line="269" w:lineRule="exact"/>
        <w:sectPr>
          <w:pgSz w:w="11910" w:h="16840"/>
          <w:pgMar w:header="877" w:footer="995" w:top="1420" w:bottom="1180" w:left="1580" w:right="1200"/>
        </w:sectPr>
      </w:pPr>
    </w:p>
    <w:p>
      <w:pPr>
        <w:pStyle w:val="BodyText"/>
        <w:spacing w:line="417" w:lineRule="auto" w:before="110"/>
        <w:ind w:left="220" w:right="488"/>
      </w:pPr>
      <w:r>
        <w:rPr/>
        <w:t>接收到申请。申请的确认以登记机构或基金管理人的确认结果为准。对于申请的确认情况， 投资者应及时查询。</w:t>
      </w:r>
    </w:p>
    <w:p>
      <w:pPr>
        <w:pStyle w:val="BodyText"/>
        <w:spacing w:line="417" w:lineRule="auto"/>
        <w:ind w:left="220" w:right="594" w:firstLine="419"/>
      </w:pPr>
      <w:r>
        <w:rPr>
          <w:rFonts w:ascii="Times New Roman" w:eastAsia="Times New Roman"/>
        </w:rPr>
        <w:t>4</w:t>
      </w:r>
      <w:r>
        <w:rPr/>
        <w:t>、基金管理人可以在不违反法律法规的前提下，对上述业务办理时间进行调整，并提前公告。</w:t>
      </w:r>
    </w:p>
    <w:p>
      <w:pPr>
        <w:pStyle w:val="BodyText"/>
        <w:spacing w:line="269" w:lineRule="exact"/>
        <w:ind w:left="640"/>
      </w:pPr>
      <w:r>
        <w:rPr/>
        <w:t>（六）申购费与赎回费</w:t>
      </w:r>
    </w:p>
    <w:p>
      <w:pPr>
        <w:pStyle w:val="BodyText"/>
        <w:spacing w:before="6"/>
        <w:rPr>
          <w:sz w:val="15"/>
        </w:rPr>
      </w:pPr>
    </w:p>
    <w:p>
      <w:pPr>
        <w:pStyle w:val="BodyText"/>
        <w:spacing w:line="417" w:lineRule="auto"/>
        <w:ind w:left="220" w:right="593" w:firstLine="419"/>
      </w:pPr>
      <w:r>
        <w:rPr/>
        <w:pict>
          <v:group style="position:absolute;margin-left:153.139999pt;margin-top:41.819984pt;width:288.45pt;height:115.25pt;mso-position-horizontal-relative:page;mso-position-vertical-relative:paragraph;z-index:-259833856" coordorigin="3063,836" coordsize="5769,2305">
            <v:line style="position:absolute" from="3077,851" to="7245,851" stroked="true" strokeweight="1.44pt" strokecolor="#000000">
              <v:stroke dashstyle="solid"/>
            </v:line>
            <v:shape style="position:absolute;left:7244;top:865;width:10;height:3" type="#_x0000_t75" stroked="false">
              <v:imagedata r:id="rId120" o:title=""/>
            </v:shape>
            <v:rect style="position:absolute;left:7244;top:836;width:29;height:29" filled="true" fillcolor="#000000" stroked="false">
              <v:fill type="solid"/>
            </v:rect>
            <v:line style="position:absolute" from="7273,851" to="8831,851" stroked="true" strokeweight="1.44pt" strokecolor="#000000">
              <v:stroke dashstyle="solid"/>
            </v:line>
            <v:shape style="position:absolute;left:7244;top:867;width:10;height:241" coordorigin="7245,868" coordsize="10,241" path="m7254,1012l7245,1012,7245,1060,7245,1108,7254,1108,7254,1060,7254,1012m7254,868l7245,868,7245,916,7245,964,7245,1012,7254,1012,7254,964,7254,916,7254,868e" filled="true" fillcolor="#000000" stroked="false">
              <v:path arrowok="t"/>
              <v:fill type="solid"/>
            </v:shape>
            <v:shape style="position:absolute;left:7249;top:867;width:2;height:311" coordorigin="7249,868" coordsize="0,311" path="m7249,1178l7249,868,7249,1178xe" filled="true" fillcolor="#000000" stroked="false">
              <v:path arrowok="t"/>
              <v:fill type="solid"/>
            </v:shape>
            <v:line style="position:absolute" from="3077,1192" to="7245,1192" stroked="true" strokeweight="1.44pt" strokecolor="#000000">
              <v:stroke dashstyle="solid"/>
            </v:line>
            <v:shape style="position:absolute;left:7244;top:1177;width:10;height:32" type="#_x0000_t75" stroked="false">
              <v:imagedata r:id="rId121" o:title=""/>
            </v:shape>
            <v:line style="position:absolute" from="7254,1192" to="8831,1192" stroked="true" strokeweight="1.44pt" strokecolor="#000000">
              <v:stroke dashstyle="solid"/>
            </v:line>
            <v:shape style="position:absolute;left:3077;top:1209;width:4177;height:478" type="#_x0000_t75" stroked="false">
              <v:imagedata r:id="rId122" o:title=""/>
            </v:shape>
            <v:shape style="position:absolute;left:7244;top:1677;width:1587;height:10" type="#_x0000_t75" stroked="false">
              <v:imagedata r:id="rId123" o:title=""/>
            </v:shape>
            <v:shape style="position:absolute;left:7244;top:1686;width:10;height:432" coordorigin="7245,1687" coordsize="10,432" path="m7254,1975l7245,1975,7245,2023,7245,2071,7245,2119,7254,2119,7254,2071,7254,2023,7254,1975m7254,1735l7245,1735,7245,1783,7245,1831,7245,1879,7245,1927,7245,1975,7254,1975,7254,1927,7254,1879,7254,1831,7254,1783,7254,1735m7254,1687l7245,1687,7245,1735,7254,1735,7254,1687e" filled="true" fillcolor="#000000" stroked="false">
              <v:path arrowok="t"/>
              <v:fill type="solid"/>
            </v:shape>
            <v:shape style="position:absolute;left:3077;top:2154;width:4168;height:10" type="#_x0000_t75" stroked="false">
              <v:imagedata r:id="rId124" o:title=""/>
            </v:shape>
            <v:shape style="position:absolute;left:7244;top:2154;width:1587;height:10" type="#_x0000_t75" stroked="false">
              <v:imagedata r:id="rId125" o:title=""/>
            </v:shape>
            <v:shape style="position:absolute;left:7244;top:2164;width:10;height:384" coordorigin="7245,2164" coordsize="10,384" path="m7254,2404l7245,2404,7245,2452,7245,2500,7245,2548,7254,2548,7254,2500,7254,2452,7254,2404m7254,2164l7245,2164,7245,2212,7245,2260,7245,2308,7245,2356,7245,2404,7254,2404,7254,2356,7254,2308,7254,2260,7254,2212,7254,2164e" filled="true" fillcolor="#000000" stroked="false">
              <v:path arrowok="t"/>
              <v:fill type="solid"/>
            </v:shape>
            <v:shape style="position:absolute;left:7249;top:1686;width:2;height:946" coordorigin="7249,1687" coordsize="0,946" path="m7249,2632l7249,1687,7249,2632xe" filled="true" fillcolor="#000000" stroked="false">
              <v:path arrowok="t"/>
              <v:fill type="solid"/>
            </v:shape>
            <v:shape style="position:absolute;left:3077;top:2632;width:4168;height:10" type="#_x0000_t75" stroked="false">
              <v:imagedata r:id="rId124" o:title=""/>
            </v:shape>
            <v:rect style="position:absolute;left:7244;top:2632;width:10;height:10" filled="true" fillcolor="#000000" stroked="false">
              <v:fill type="solid"/>
            </v:rect>
            <v:shape style="position:absolute;left:7244;top:2632;width:1587;height:480" type="#_x0000_t75" stroked="false">
              <v:imagedata r:id="rId126" o:title=""/>
            </v:shape>
            <v:line style="position:absolute" from="3063,3127" to="7245,3127" stroked="true" strokeweight="1.44pt" strokecolor="#000000">
              <v:stroke dashstyle="solid"/>
            </v:line>
            <v:rect style="position:absolute;left:7244;top:3112;width:29;height:29" filled="true" fillcolor="#000000" stroked="false">
              <v:fill type="solid"/>
            </v:rect>
            <v:line style="position:absolute" from="7273,3127" to="8831,3127" stroked="true" strokeweight="1.44pt" strokecolor="#000000">
              <v:stroke dashstyle="solid"/>
            </v:line>
            <v:shape style="position:absolute;left:4109;top:917;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7407;top:917;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4611;top:1330;width:1125;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 </w:t>
                    </w:r>
                    <w:r>
                      <w:rPr>
                        <w:sz w:val="21"/>
                      </w:rPr>
                      <w:t>万元以下</w:t>
                    </w:r>
                  </w:p>
                </w:txbxContent>
              </v:textbox>
              <w10:wrap type="none"/>
            </v:shape>
            <v:shape style="position:absolute;left:7820;top:1328;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3288;top:1808;width:377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 </w:t>
                    </w:r>
                    <w:r>
                      <w:rPr>
                        <w:spacing w:val="-3"/>
                        <w:sz w:val="21"/>
                      </w:rPr>
                      <w:t>万元以上（</w:t>
                    </w:r>
                    <w:r>
                      <w:rPr>
                        <w:spacing w:val="-25"/>
                        <w:sz w:val="21"/>
                      </w:rPr>
                      <w:t>含 </w:t>
                    </w:r>
                    <w:r>
                      <w:rPr>
                        <w:rFonts w:ascii="Times New Roman" w:eastAsia="Times New Roman"/>
                        <w:sz w:val="21"/>
                      </w:rPr>
                      <w:t>50 </w:t>
                    </w:r>
                    <w:r>
                      <w:rPr>
                        <w:spacing w:val="-2"/>
                        <w:sz w:val="21"/>
                      </w:rPr>
                      <w:t>万元</w:t>
                    </w:r>
                    <w:r>
                      <w:rPr>
                        <w:sz w:val="21"/>
                      </w:rPr>
                      <w:t>）</w:t>
                    </w:r>
                    <w:r>
                      <w:rPr>
                        <w:rFonts w:ascii="Times New Roman" w:eastAsia="Times New Roman"/>
                        <w:sz w:val="21"/>
                      </w:rPr>
                      <w:t>-200 </w:t>
                    </w:r>
                    <w:r>
                      <w:rPr>
                        <w:spacing w:val="-2"/>
                        <w:sz w:val="21"/>
                      </w:rPr>
                      <w:t>万元以下</w:t>
                    </w:r>
                  </w:p>
                </w:txbxContent>
              </v:textbox>
              <w10:wrap type="none"/>
            </v:shape>
            <v:shape style="position:absolute;left:7820;top:180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w:t>
                    </w:r>
                  </w:p>
                </w:txbxContent>
              </v:textbox>
              <w10:wrap type="none"/>
            </v:shape>
            <v:shape style="position:absolute;left:3185;top:2285;width:397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200 </w:t>
                    </w:r>
                    <w:r>
                      <w:rPr>
                        <w:spacing w:val="-3"/>
                        <w:sz w:val="21"/>
                      </w:rPr>
                      <w:t>万元以上（</w:t>
                    </w:r>
                    <w:r>
                      <w:rPr>
                        <w:spacing w:val="-25"/>
                        <w:sz w:val="21"/>
                      </w:rPr>
                      <w:t>含 </w:t>
                    </w:r>
                    <w:r>
                      <w:rPr>
                        <w:rFonts w:ascii="Times New Roman" w:eastAsia="Times New Roman"/>
                        <w:sz w:val="21"/>
                      </w:rPr>
                      <w:t>200 </w:t>
                    </w:r>
                    <w:r>
                      <w:rPr>
                        <w:spacing w:val="-2"/>
                        <w:sz w:val="21"/>
                      </w:rPr>
                      <w:t>万元</w:t>
                    </w:r>
                    <w:r>
                      <w:rPr>
                        <w:sz w:val="21"/>
                      </w:rPr>
                      <w:t>）</w:t>
                    </w:r>
                    <w:r>
                      <w:rPr>
                        <w:rFonts w:ascii="Times New Roman" w:eastAsia="Times New Roman"/>
                        <w:sz w:val="21"/>
                      </w:rPr>
                      <w:t>-500 </w:t>
                    </w:r>
                    <w:r>
                      <w:rPr>
                        <w:spacing w:val="-3"/>
                        <w:sz w:val="21"/>
                      </w:rPr>
                      <w:t>万元以下</w:t>
                    </w:r>
                  </w:p>
                </w:txbxContent>
              </v:textbox>
              <w10:wrap type="none"/>
            </v:shape>
            <v:shape style="position:absolute;left:7820;top:2283;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0.8%</w:t>
                    </w:r>
                  </w:p>
                </w:txbxContent>
              </v:textbox>
              <w10:wrap type="none"/>
            </v:shape>
            <v:shape style="position:absolute;left:3824;top:2763;width:270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500 </w:t>
                    </w:r>
                    <w:r>
                      <w:rPr>
                        <w:spacing w:val="-3"/>
                        <w:sz w:val="21"/>
                      </w:rPr>
                      <w:t>万元以上（</w:t>
                    </w:r>
                    <w:r>
                      <w:rPr>
                        <w:spacing w:val="-25"/>
                        <w:sz w:val="21"/>
                      </w:rPr>
                      <w:t>含 </w:t>
                    </w:r>
                    <w:r>
                      <w:rPr>
                        <w:rFonts w:ascii="Times New Roman" w:eastAsia="Times New Roman"/>
                        <w:sz w:val="21"/>
                      </w:rPr>
                      <w:t>500 </w:t>
                    </w:r>
                    <w:r>
                      <w:rPr>
                        <w:spacing w:val="-2"/>
                        <w:sz w:val="21"/>
                      </w:rPr>
                      <w:t>万元</w:t>
                    </w:r>
                    <w:r>
                      <w:rPr>
                        <w:sz w:val="21"/>
                      </w:rPr>
                      <w:t>）</w:t>
                    </w:r>
                  </w:p>
                </w:txbxContent>
              </v:textbox>
              <w10:wrap type="none"/>
            </v:shape>
            <v:shape style="position:absolute;left:7357;top:2763;width:1388;height:234" type="#_x0000_t202" filled="false" stroked="false">
              <v:textbox inset="0,0,0,0">
                <w:txbxContent>
                  <w:p>
                    <w:pPr>
                      <w:spacing w:line="234" w:lineRule="exact" w:before="0"/>
                      <w:ind w:left="0" w:right="0" w:firstLine="0"/>
                      <w:jc w:val="left"/>
                      <w:rPr>
                        <w:sz w:val="21"/>
                      </w:rPr>
                    </w:pPr>
                    <w:r>
                      <w:rPr>
                        <w:sz w:val="21"/>
                      </w:rPr>
                      <w:t>每笔</w:t>
                    </w:r>
                    <w:r>
                      <w:rPr>
                        <w:rFonts w:ascii="Times New Roman" w:eastAsia="Times New Roman"/>
                        <w:sz w:val="21"/>
                      </w:rPr>
                      <w:t>1,000.00</w:t>
                    </w:r>
                    <w:r>
                      <w:rPr>
                        <w:sz w:val="21"/>
                      </w:rPr>
                      <w:t>元</w:t>
                    </w:r>
                  </w:p>
                </w:txbxContent>
              </v:textbox>
              <w10:wrap type="none"/>
            </v:shape>
            <w10:wrap type="none"/>
          </v:group>
        </w:pict>
      </w:r>
      <w:r>
        <w:rPr>
          <w:rFonts w:ascii="Times New Roman" w:eastAsia="Times New Roman"/>
        </w:rPr>
        <w:t>1</w:t>
      </w:r>
      <w:r>
        <w:rPr/>
        <w:t>、本基金申购费由申购人承担，用于市场推广、销售、登记结算等各项费用。投资者在申购本基金时需交纳前端申购费，费率按申购金额递减，具体如下：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417" w:lineRule="auto"/>
        <w:ind w:left="220" w:right="594" w:firstLine="419"/>
      </w:pPr>
      <w:r>
        <w:rPr/>
        <w:pict>
          <v:group style="position:absolute;margin-left:160.220001pt;margin-top:41.820015pt;width:274.25pt;height:123.05pt;mso-position-horizontal-relative:page;mso-position-vertical-relative:paragraph;z-index:-259822592" coordorigin="3204,836" coordsize="5485,2461">
            <v:line style="position:absolute" from="3219,851" to="7624,851" stroked="true" strokeweight="1.44pt" strokecolor="#000000">
              <v:stroke dashstyle="solid"/>
            </v:line>
            <v:shape style="position:absolute;left:7623;top:865;width:10;height:3" type="#_x0000_t75" stroked="false">
              <v:imagedata r:id="rId127" o:title=""/>
            </v:shape>
            <v:rect style="position:absolute;left:7623;top:836;width:29;height:29" filled="true" fillcolor="#000000" stroked="false">
              <v:fill type="solid"/>
            </v:rect>
            <v:line style="position:absolute" from="7653,851" to="8689,851" stroked="true" strokeweight="1.44pt" strokecolor="#000000">
              <v:stroke dashstyle="solid"/>
            </v:line>
            <v:shape style="position:absolute;left:7623;top:867;width:10;height:466" type="#_x0000_t75" stroked="false">
              <v:imagedata r:id="rId128" o:title=""/>
            </v:shape>
            <v:line style="position:absolute" from="3219,1348" to="7624,1348" stroked="true" strokeweight="1.44pt" strokecolor="#000000">
              <v:stroke dashstyle="solid"/>
            </v:line>
            <v:shape style="position:absolute;left:7623;top:1333;width:10;height:32" type="#_x0000_t75" stroked="false">
              <v:imagedata r:id="rId121" o:title=""/>
            </v:shape>
            <v:line style="position:absolute" from="7633,1348" to="8689,1348" stroked="true" strokeweight="1.44pt" strokecolor="#000000">
              <v:stroke dashstyle="solid"/>
            </v:line>
            <v:shape style="position:absolute;left:3218;top:1364;width:5471;height:956" type="#_x0000_t75" stroked="false">
              <v:imagedata r:id="rId129" o:title=""/>
            </v:shape>
            <v:shape style="position:absolute;left:7623;top:2310;width:1066;height:10" type="#_x0000_t75" stroked="false">
              <v:imagedata r:id="rId130" o:title=""/>
            </v:shape>
            <v:shape style="position:absolute;left:7623;top:2320;width:10;height:432" coordorigin="7624,2320" coordsize="10,432" path="m7633,2608l7624,2608,7624,2656,7624,2704,7624,2752,7633,2752,7633,2704,7633,2656,7633,2608m7633,2512l7624,2512,7624,2560,7624,2608,7633,2608,7633,2560,7633,2512m7633,2368l7624,2368,7624,2416,7624,2464,7624,2512,7633,2512,7633,2464,7633,2416,7633,2368m7633,2320l7624,2320,7624,2368,7633,2368,7633,2320e" filled="true" fillcolor="#000000" stroked="false">
              <v:path arrowok="t"/>
              <v:fill type="solid"/>
            </v:shape>
            <v:shape style="position:absolute;left:3218;top:2788;width:4405;height:10" type="#_x0000_t75" stroked="false">
              <v:imagedata r:id="rId131" o:title=""/>
            </v:shape>
            <v:shape style="position:absolute;left:7623;top:2788;width:1066;height:10" type="#_x0000_t75" stroked="false">
              <v:imagedata r:id="rId132" o:title=""/>
            </v:shape>
            <v:shape style="position:absolute;left:7623;top:2797;width:10;height:384" coordorigin="7624,2798" coordsize="10,384" path="m7633,3086l7624,3086,7624,3134,7624,3182,7633,3182,7633,3134,7633,3086m7633,2990l7624,2990,7624,3038,7624,3086,7633,3086,7633,3038,7633,2990m7633,2846l7624,2846,7624,2894,7624,2942,7624,2990,7633,2990,7633,2942,7633,2894,7633,2846m7633,2798l7624,2798,7624,2846,7633,2846,7633,2798e" filled="true" fillcolor="#000000" stroked="false">
              <v:path arrowok="t"/>
              <v:fill type="solid"/>
            </v:shape>
            <v:line style="position:absolute" from="3204,3282" to="7624,3282" stroked="true" strokeweight="1.44pt" strokecolor="#000000">
              <v:stroke dashstyle="solid"/>
            </v:line>
            <v:shape style="position:absolute;left:7628;top:2320;width:2;height:948" coordorigin="7629,2320" coordsize="0,948" path="m7629,3268l7629,2320,7629,3268xe" filled="true" fillcolor="#000000" stroked="false">
              <v:path arrowok="t"/>
              <v:fill type="solid"/>
            </v:shape>
            <v:rect style="position:absolute;left:7623;top:3268;width:29;height:29" filled="true" fillcolor="#000000" stroked="false">
              <v:fill type="solid"/>
            </v:rect>
            <v:line style="position:absolute" from="7653,3282" to="8689,3282" stroked="true" strokeweight="1.44pt" strokecolor="#000000">
              <v:stroke dashstyle="solid"/>
            </v:line>
            <v:shape style="position:absolute;left:5002;top:993;width:865;height:212" type="#_x0000_t202" filled="false" stroked="false">
              <v:textbox inset="0,0,0,0">
                <w:txbxContent>
                  <w:p>
                    <w:pPr>
                      <w:spacing w:line="211" w:lineRule="exact" w:before="0"/>
                      <w:ind w:left="0" w:right="0" w:firstLine="0"/>
                      <w:jc w:val="left"/>
                      <w:rPr>
                        <w:b/>
                        <w:sz w:val="21"/>
                      </w:rPr>
                    </w:pPr>
                    <w:r>
                      <w:rPr>
                        <w:b/>
                        <w:sz w:val="21"/>
                      </w:rPr>
                      <w:t>持有期限</w:t>
                    </w:r>
                  </w:p>
                </w:txbxContent>
              </v:textbox>
              <w10:wrap type="none"/>
            </v:shape>
            <v:shape style="position:absolute;left:7736;top:993;width:865;height:212" type="#_x0000_t202" filled="false" stroked="false">
              <v:textbox inset="0,0,0,0">
                <w:txbxContent>
                  <w:p>
                    <w:pPr>
                      <w:spacing w:line="211" w:lineRule="exact" w:before="0"/>
                      <w:ind w:left="0" w:right="0" w:firstLine="0"/>
                      <w:jc w:val="left"/>
                      <w:rPr>
                        <w:b/>
                        <w:sz w:val="21"/>
                      </w:rPr>
                    </w:pPr>
                    <w:r>
                      <w:rPr>
                        <w:b/>
                        <w:sz w:val="21"/>
                      </w:rPr>
                      <w:t>赎回费率</w:t>
                    </w:r>
                  </w:p>
                </w:txbxContent>
              </v:textbox>
              <w10:wrap type="none"/>
            </v:shape>
            <v:shape style="position:absolute;left:5029;top:1486;width:81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z w:val="21"/>
                      </w:rPr>
                      <w:t>天以内</w:t>
                    </w:r>
                  </w:p>
                </w:txbxContent>
              </v:textbox>
              <w10:wrap type="none"/>
            </v:shape>
            <v:shape style="position:absolute;left:7940;top:1483;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4023;top:1963;width:282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pacing w:val="-2"/>
                        <w:sz w:val="21"/>
                      </w:rPr>
                      <w:t>天以上</w:t>
                    </w:r>
                    <w:r>
                      <w:rPr>
                        <w:spacing w:val="-3"/>
                        <w:sz w:val="21"/>
                      </w:rPr>
                      <w:t>（</w:t>
                    </w:r>
                    <w:r>
                      <w:rPr>
                        <w:spacing w:val="-26"/>
                        <w:sz w:val="21"/>
                      </w:rPr>
                      <w:t>含 </w:t>
                    </w:r>
                    <w:r>
                      <w:rPr>
                        <w:rFonts w:ascii="Times New Roman" w:eastAsia="Times New Roman"/>
                        <w:sz w:val="21"/>
                      </w:rPr>
                      <w:t>7 </w:t>
                    </w:r>
                    <w:r>
                      <w:rPr>
                        <w:sz w:val="21"/>
                      </w:rPr>
                      <w:t>天）</w:t>
                    </w:r>
                    <w:r>
                      <w:rPr>
                        <w:rFonts w:ascii="Times New Roman" w:eastAsia="Times New Roman"/>
                        <w:sz w:val="21"/>
                      </w:rPr>
                      <w:t>-30 </w:t>
                    </w:r>
                    <w:r>
                      <w:rPr>
                        <w:spacing w:val="-2"/>
                        <w:sz w:val="21"/>
                      </w:rPr>
                      <w:t>天以内</w:t>
                    </w:r>
                  </w:p>
                </w:txbxContent>
              </v:textbox>
              <w10:wrap type="none"/>
            </v:shape>
            <v:shape style="position:absolute;left:7887;top:1961;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0.75%</w:t>
                    </w:r>
                  </w:p>
                </w:txbxContent>
              </v:textbox>
              <w10:wrap type="none"/>
            </v:shape>
            <v:shape style="position:absolute;left:3970;top:2441;width:292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30</w:t>
                    </w:r>
                    <w:r>
                      <w:rPr>
                        <w:sz w:val="21"/>
                      </w:rPr>
                      <w:t>天以上（含</w:t>
                    </w:r>
                    <w:r>
                      <w:rPr>
                        <w:rFonts w:ascii="Times New Roman" w:eastAsia="Times New Roman"/>
                        <w:sz w:val="21"/>
                      </w:rPr>
                      <w:t>30</w:t>
                    </w:r>
                    <w:r>
                      <w:rPr>
                        <w:sz w:val="21"/>
                      </w:rPr>
                      <w:t>天）</w:t>
                    </w:r>
                    <w:r>
                      <w:rPr>
                        <w:rFonts w:ascii="Times New Roman" w:eastAsia="Times New Roman"/>
                        <w:sz w:val="21"/>
                      </w:rPr>
                      <w:t>-365</w:t>
                    </w:r>
                    <w:r>
                      <w:rPr>
                        <w:sz w:val="21"/>
                      </w:rPr>
                      <w:t>天以内</w:t>
                    </w:r>
                  </w:p>
                </w:txbxContent>
              </v:textbox>
              <w10:wrap type="none"/>
            </v:shape>
            <v:shape style="position:absolute;left:7940;top:2439;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0.5%</w:t>
                    </w:r>
                  </w:p>
                </w:txbxContent>
              </v:textbox>
              <w10:wrap type="none"/>
            </v:shape>
            <v:shape style="position:absolute;left:4294;top:2919;width:228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365 </w:t>
                    </w:r>
                    <w:r>
                      <w:rPr>
                        <w:spacing w:val="-3"/>
                        <w:sz w:val="21"/>
                      </w:rPr>
                      <w:t>天以上</w:t>
                    </w:r>
                    <w:r>
                      <w:rPr>
                        <w:sz w:val="21"/>
                      </w:rPr>
                      <w:t>（</w:t>
                    </w:r>
                    <w:r>
                      <w:rPr>
                        <w:spacing w:val="-26"/>
                        <w:sz w:val="21"/>
                      </w:rPr>
                      <w:t>含 </w:t>
                    </w:r>
                    <w:r>
                      <w:rPr>
                        <w:rFonts w:ascii="Times New Roman" w:eastAsia="Times New Roman"/>
                        <w:sz w:val="21"/>
                      </w:rPr>
                      <w:t>365 </w:t>
                    </w:r>
                    <w:r>
                      <w:rPr>
                        <w:sz w:val="21"/>
                      </w:rPr>
                      <w:t>天）</w:t>
                    </w:r>
                  </w:p>
                </w:txbxContent>
              </v:textbox>
              <w10:wrap type="none"/>
            </v:shape>
            <v:shape style="position:absolute;left:8106;top:2916;width:126;height:234" type="#_x0000_t202" filled="false" stroked="false">
              <v:textbox inset="0,0,0,0">
                <w:txbxContent>
                  <w:p>
                    <w:pPr>
                      <w:spacing w:line="234" w:lineRule="exact" w:before="0"/>
                      <w:ind w:left="0" w:right="0" w:firstLine="0"/>
                      <w:jc w:val="left"/>
                      <w:rPr>
                        <w:rFonts w:ascii="Times New Roman"/>
                        <w:sz w:val="21"/>
                      </w:rPr>
                    </w:pPr>
                    <w:r>
                      <w:rPr>
                        <w:rFonts w:ascii="Times New Roman"/>
                        <w:w w:val="100"/>
                        <w:sz w:val="21"/>
                      </w:rPr>
                      <w:t>0</w:t>
                    </w:r>
                  </w:p>
                </w:txbxContent>
              </v:textbox>
              <w10:wrap type="none"/>
            </v:shape>
            <w10:wrap type="none"/>
          </v:group>
        </w:pict>
      </w:r>
      <w:r>
        <w:rPr>
          <w:rFonts w:ascii="Times New Roman" w:eastAsia="Times New Roman"/>
        </w:rPr>
        <w:t>2</w:t>
      </w:r>
      <w:r>
        <w:rPr/>
        <w:t>、本基金赎回费由赎回人承担，在投资者赎回基金份额时收取。费率随基金份额的持有期限的增加而递减，具体如下：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5"/>
        </w:rPr>
      </w:pPr>
    </w:p>
    <w:p>
      <w:pPr>
        <w:pStyle w:val="BodyText"/>
        <w:spacing w:before="79"/>
        <w:ind w:right="591"/>
        <w:jc w:val="right"/>
      </w:pPr>
      <w:r>
        <w:rPr>
          <w:spacing w:val="-6"/>
        </w:rPr>
        <w:t>对于赎回时份额持有不满 </w:t>
      </w:r>
      <w:r>
        <w:rPr>
          <w:rFonts w:ascii="Times New Roman" w:eastAsia="Times New Roman"/>
        </w:rPr>
        <w:t>30</w:t>
      </w:r>
      <w:r>
        <w:rPr>
          <w:rFonts w:ascii="Times New Roman" w:eastAsia="Times New Roman"/>
          <w:spacing w:val="28"/>
        </w:rPr>
        <w:t> </w:t>
      </w:r>
      <w:r>
        <w:rPr>
          <w:spacing w:val="-3"/>
        </w:rPr>
        <w:t>天的，收取的赎回费全额计入基金财产；对于赎回时份额</w:t>
      </w:r>
    </w:p>
    <w:p>
      <w:pPr>
        <w:pStyle w:val="BodyText"/>
        <w:spacing w:before="6"/>
        <w:rPr>
          <w:sz w:val="15"/>
        </w:rPr>
      </w:pPr>
    </w:p>
    <w:p>
      <w:pPr>
        <w:pStyle w:val="BodyText"/>
        <w:ind w:right="593"/>
        <w:jc w:val="right"/>
      </w:pPr>
      <w:r>
        <w:rPr>
          <w:spacing w:val="-7"/>
        </w:rPr>
        <w:t>持有满 </w:t>
      </w:r>
      <w:r>
        <w:rPr>
          <w:rFonts w:ascii="Times New Roman" w:eastAsia="Times New Roman"/>
        </w:rPr>
        <w:t>30</w:t>
      </w:r>
      <w:r>
        <w:rPr>
          <w:rFonts w:ascii="Times New Roman" w:eastAsia="Times New Roman"/>
          <w:spacing w:val="27"/>
        </w:rPr>
        <w:t> </w:t>
      </w:r>
      <w:r>
        <w:rPr>
          <w:spacing w:val="-8"/>
        </w:rPr>
        <w:t>天不满 </w:t>
      </w:r>
      <w:r>
        <w:rPr>
          <w:rFonts w:ascii="Times New Roman" w:eastAsia="Times New Roman"/>
        </w:rPr>
        <w:t>90</w:t>
      </w:r>
      <w:r>
        <w:rPr>
          <w:rFonts w:ascii="Times New Roman" w:eastAsia="Times New Roman"/>
          <w:spacing w:val="28"/>
        </w:rPr>
        <w:t> </w:t>
      </w:r>
      <w:r>
        <w:rPr>
          <w:spacing w:val="-5"/>
        </w:rPr>
        <w:t>天收取的赎回费，将不低于赎回费总额的 </w:t>
      </w:r>
      <w:r>
        <w:rPr>
          <w:rFonts w:ascii="Times New Roman" w:eastAsia="Times New Roman"/>
        </w:rPr>
        <w:t>75%</w:t>
      </w:r>
      <w:r>
        <w:rPr>
          <w:spacing w:val="-3"/>
        </w:rPr>
        <w:t>计入基金财产；对于赎</w:t>
      </w:r>
    </w:p>
    <w:p>
      <w:pPr>
        <w:pStyle w:val="BodyText"/>
        <w:spacing w:before="8"/>
        <w:rPr>
          <w:sz w:val="15"/>
        </w:rPr>
      </w:pPr>
    </w:p>
    <w:p>
      <w:pPr>
        <w:pStyle w:val="BodyText"/>
        <w:ind w:right="593"/>
        <w:jc w:val="right"/>
      </w:pPr>
      <w:r>
        <w:rPr>
          <w:spacing w:val="1"/>
        </w:rPr>
        <w:t>回时份额持有满</w:t>
      </w:r>
      <w:r>
        <w:rPr>
          <w:rFonts w:ascii="Times New Roman" w:eastAsia="Times New Roman"/>
        </w:rPr>
        <w:t>90 </w:t>
      </w:r>
      <w:r>
        <w:rPr>
          <w:spacing w:val="7"/>
        </w:rPr>
        <w:t>天不满</w:t>
      </w:r>
      <w:r>
        <w:rPr>
          <w:rFonts w:ascii="Times New Roman" w:eastAsia="Times New Roman"/>
        </w:rPr>
        <w:t>180</w:t>
      </w:r>
      <w:r>
        <w:rPr>
          <w:rFonts w:ascii="Times New Roman" w:eastAsia="Times New Roman"/>
          <w:spacing w:val="-3"/>
        </w:rPr>
        <w:t> </w:t>
      </w:r>
      <w:r>
        <w:rPr>
          <w:spacing w:val="-10"/>
        </w:rPr>
        <w:t>天收取的赎回费，将不低于赎回费总额的</w:t>
      </w:r>
      <w:r>
        <w:rPr>
          <w:rFonts w:ascii="Times New Roman" w:eastAsia="Times New Roman"/>
        </w:rPr>
        <w:t>50%</w:t>
      </w:r>
      <w:r>
        <w:rPr>
          <w:spacing w:val="-3"/>
        </w:rPr>
        <w:t>计入基金财产；</w:t>
      </w:r>
    </w:p>
    <w:p>
      <w:pPr>
        <w:pStyle w:val="BodyText"/>
        <w:spacing w:before="6"/>
        <w:rPr>
          <w:sz w:val="15"/>
        </w:rPr>
      </w:pPr>
    </w:p>
    <w:p>
      <w:pPr>
        <w:pStyle w:val="BodyText"/>
        <w:spacing w:before="1"/>
        <w:ind w:right="590"/>
        <w:jc w:val="right"/>
        <w:rPr>
          <w:rFonts w:ascii="Times New Roman" w:eastAsia="Times New Roman"/>
        </w:rPr>
      </w:pPr>
      <w:r>
        <w:rPr>
          <w:spacing w:val="-6"/>
        </w:rPr>
        <w:t>对赎回时份额持有期长于 </w:t>
      </w:r>
      <w:r>
        <w:rPr>
          <w:rFonts w:ascii="Times New Roman" w:eastAsia="Times New Roman"/>
        </w:rPr>
        <w:t>180</w:t>
      </w:r>
      <w:r>
        <w:rPr>
          <w:rFonts w:ascii="Times New Roman" w:eastAsia="Times New Roman"/>
          <w:spacing w:val="27"/>
        </w:rPr>
        <w:t> </w:t>
      </w:r>
      <w:r>
        <w:rPr>
          <w:spacing w:val="-3"/>
        </w:rPr>
        <w:t>天</w:t>
      </w:r>
      <w:r>
        <w:rPr/>
        <w:t>（</w:t>
      </w:r>
      <w:r>
        <w:rPr>
          <w:spacing w:val="-13"/>
        </w:rPr>
        <w:t>含 </w:t>
      </w:r>
      <w:r>
        <w:rPr>
          <w:rFonts w:ascii="Times New Roman" w:eastAsia="Times New Roman"/>
        </w:rPr>
        <w:t>180</w:t>
      </w:r>
      <w:r>
        <w:rPr>
          <w:rFonts w:ascii="Times New Roman" w:eastAsia="Times New Roman"/>
          <w:spacing w:val="27"/>
        </w:rPr>
        <w:t> </w:t>
      </w:r>
      <w:r>
        <w:rPr>
          <w:spacing w:val="-3"/>
        </w:rPr>
        <w:t>天</w:t>
      </w:r>
      <w:r>
        <w:rPr/>
        <w:t>）</w:t>
      </w:r>
      <w:r>
        <w:rPr>
          <w:spacing w:val="-5"/>
        </w:rPr>
        <w:t>收取的赎回费，将不低于赎回费总额的 </w:t>
      </w:r>
      <w:r>
        <w:rPr>
          <w:rFonts w:ascii="Times New Roman" w:eastAsia="Times New Roman"/>
        </w:rPr>
        <w:t>25%</w:t>
      </w:r>
    </w:p>
    <w:p>
      <w:pPr>
        <w:pStyle w:val="BodyText"/>
        <w:spacing w:before="3"/>
        <w:rPr>
          <w:rFonts w:ascii="Times New Roman"/>
          <w:sz w:val="17"/>
        </w:rPr>
      </w:pPr>
    </w:p>
    <w:p>
      <w:pPr>
        <w:pStyle w:val="BodyText"/>
        <w:ind w:left="220"/>
      </w:pPr>
      <w:r>
        <w:rPr/>
        <w:t>计入基金财产。</w:t>
      </w:r>
    </w:p>
    <w:p>
      <w:pPr>
        <w:pStyle w:val="BodyText"/>
        <w:spacing w:before="7"/>
        <w:rPr>
          <w:sz w:val="15"/>
        </w:rPr>
      </w:pPr>
    </w:p>
    <w:p>
      <w:pPr>
        <w:pStyle w:val="BodyText"/>
        <w:spacing w:line="417" w:lineRule="auto"/>
        <w:ind w:left="220" w:right="594" w:firstLine="419"/>
      </w:pPr>
      <w:r>
        <w:rPr>
          <w:rFonts w:ascii="Times New Roman" w:eastAsia="Times New Roman"/>
        </w:rPr>
        <w:t>3</w:t>
      </w:r>
      <w:r>
        <w:rPr/>
        <w:t>、基金管理人可以在基金合同约定的范围内调整费率或收费方式，并最迟应于新的费率或收费方式实施日前依照《信息披露办法》的有关规定在指定媒介上公告。</w:t>
      </w:r>
    </w:p>
    <w:p>
      <w:pPr>
        <w:pStyle w:val="BodyText"/>
        <w:spacing w:line="417" w:lineRule="auto"/>
        <w:ind w:left="220" w:right="488" w:firstLine="419"/>
        <w:jc w:val="both"/>
      </w:pPr>
      <w:r>
        <w:rPr>
          <w:rFonts w:ascii="Times New Roman" w:eastAsia="Times New Roman"/>
        </w:rPr>
        <w:t>4</w:t>
      </w:r>
      <w:r>
        <w:rPr>
          <w:spacing w:val="-3"/>
        </w:rPr>
        <w:t>、基金管理人可以在不违反法律法规规定及基金合同约定的情形下，对基金份额持有</w:t>
      </w:r>
      <w:r>
        <w:rPr>
          <w:spacing w:val="-17"/>
        </w:rPr>
        <w:t>人利益无实质不利影响的前提下，根据市场情况制定基金促销计划，针对以特定交易方式</w:t>
      </w:r>
      <w:r>
        <w:rPr/>
        <w:t>（如</w:t>
      </w:r>
      <w:r>
        <w:rPr>
          <w:spacing w:val="-3"/>
        </w:rPr>
        <w:t>网上交易、移动客户端交易</w:t>
      </w:r>
      <w:r>
        <w:rPr/>
        <w:t>）</w:t>
      </w:r>
      <w:r>
        <w:rPr>
          <w:spacing w:val="-3"/>
        </w:rPr>
        <w:t>等进行基金交易的投资者定期或不定期地开展基金促销活动。</w:t>
      </w:r>
    </w:p>
    <w:p>
      <w:pPr>
        <w:spacing w:after="0" w:line="417" w:lineRule="auto"/>
        <w:jc w:val="both"/>
        <w:sectPr>
          <w:pgSz w:w="11910" w:h="16840"/>
          <w:pgMar w:header="877" w:footer="995" w:top="1420" w:bottom="1180" w:left="1580" w:right="1200"/>
        </w:sectPr>
      </w:pPr>
    </w:p>
    <w:p>
      <w:pPr>
        <w:pStyle w:val="BodyText"/>
        <w:spacing w:line="417" w:lineRule="auto" w:before="110"/>
        <w:ind w:left="220" w:right="591"/>
      </w:pPr>
      <w:r>
        <w:rPr>
          <w:spacing w:val="-10"/>
        </w:rPr>
        <w:t>在基金促销活动期间，基金管理人可根据法律法规要求对基金申购费率、赎回费率等进行适</w:t>
      </w:r>
      <w:r>
        <w:rPr>
          <w:spacing w:val="-5"/>
        </w:rPr>
        <w:t>当费率优惠。</w:t>
      </w:r>
    </w:p>
    <w:p>
      <w:pPr>
        <w:pStyle w:val="BodyText"/>
        <w:spacing w:line="417" w:lineRule="auto"/>
        <w:ind w:left="220" w:right="490" w:firstLine="419"/>
      </w:pPr>
      <w:r>
        <w:rPr>
          <w:rFonts w:ascii="Times New Roman" w:eastAsia="Times New Roman"/>
        </w:rPr>
        <w:t>5</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spacing w:line="269" w:lineRule="exact"/>
        <w:ind w:left="640"/>
      </w:pPr>
      <w:r>
        <w:rPr/>
        <w:t>（七）申购份额与赎回金额的计算方式</w:t>
      </w:r>
    </w:p>
    <w:p>
      <w:pPr>
        <w:pStyle w:val="BodyText"/>
        <w:spacing w:before="6"/>
        <w:rPr>
          <w:sz w:val="15"/>
        </w:rPr>
      </w:pPr>
    </w:p>
    <w:p>
      <w:pPr>
        <w:pStyle w:val="BodyText"/>
        <w:ind w:left="640"/>
      </w:pPr>
      <w:r>
        <w:rPr>
          <w:rFonts w:ascii="Times New Roman" w:eastAsia="Times New Roman"/>
        </w:rPr>
        <w:t>1</w:t>
      </w:r>
      <w:r>
        <w:rPr/>
        <w:t>、申购份额的计算</w:t>
      </w:r>
    </w:p>
    <w:p>
      <w:pPr>
        <w:pStyle w:val="BodyText"/>
        <w:spacing w:before="7"/>
        <w:rPr>
          <w:sz w:val="15"/>
        </w:rPr>
      </w:pPr>
    </w:p>
    <w:p>
      <w:pPr>
        <w:pStyle w:val="BodyText"/>
        <w:spacing w:line="417" w:lineRule="auto"/>
        <w:ind w:left="1060" w:right="3438" w:hanging="420"/>
      </w:pPr>
      <w:r>
        <w:rPr/>
        <w:t>申购费用适用比例费率时，申购份额的计算方法如下： 净申购金额＝申购金额</w:t>
      </w:r>
      <w:r>
        <w:rPr>
          <w:rFonts w:ascii="Times New Roman" w:eastAsia="Times New Roman"/>
        </w:rPr>
        <w:t>/</w:t>
      </w:r>
      <w:r>
        <w:rPr/>
        <w:t>（</w:t>
      </w:r>
      <w:r>
        <w:rPr>
          <w:rFonts w:ascii="Times New Roman" w:eastAsia="Times New Roman"/>
        </w:rPr>
        <w:t>1</w:t>
      </w:r>
      <w:r>
        <w:rPr/>
        <w:t>＋前端申购费率）</w:t>
      </w:r>
    </w:p>
    <w:p>
      <w:pPr>
        <w:pStyle w:val="BodyText"/>
        <w:spacing w:line="417" w:lineRule="auto"/>
        <w:ind w:left="1060" w:right="4302"/>
      </w:pPr>
      <w:r>
        <w:rPr>
          <w:spacing w:val="-2"/>
        </w:rPr>
        <w:t>前端申购费用</w:t>
      </w:r>
      <w:r>
        <w:rPr>
          <w:spacing w:val="-3"/>
        </w:rPr>
        <w:t>＝申购金额－净申购金额 申购份额＝净申购金额</w:t>
      </w:r>
      <w:r>
        <w:rPr>
          <w:rFonts w:ascii="Times New Roman" w:eastAsia="Times New Roman"/>
        </w:rPr>
        <w:t>/T</w:t>
      </w:r>
      <w:r>
        <w:rPr>
          <w:spacing w:val="-4"/>
        </w:rPr>
        <w:t>日基金份额净值</w:t>
      </w:r>
    </w:p>
    <w:p>
      <w:pPr>
        <w:pStyle w:val="BodyText"/>
        <w:spacing w:line="417" w:lineRule="auto"/>
        <w:ind w:left="1060" w:right="3649" w:hanging="420"/>
      </w:pPr>
      <w:r>
        <w:rPr/>
        <w:t>申购费用为固定金额时，申购份额的计算方法如下： 前端申购费用＝固定金额</w:t>
      </w:r>
    </w:p>
    <w:p>
      <w:pPr>
        <w:pStyle w:val="BodyText"/>
        <w:spacing w:line="417" w:lineRule="auto"/>
        <w:ind w:left="1060" w:right="4302"/>
      </w:pPr>
      <w:r>
        <w:rPr>
          <w:spacing w:val="-2"/>
        </w:rPr>
        <w:t>净申购金额</w:t>
      </w:r>
      <w:r>
        <w:rPr/>
        <w:t>＝</w:t>
      </w:r>
      <w:r>
        <w:rPr>
          <w:spacing w:val="-3"/>
        </w:rPr>
        <w:t>申购金额－前端申购费用 申购份额＝净申购金额</w:t>
      </w:r>
      <w:r>
        <w:rPr>
          <w:rFonts w:ascii="Times New Roman" w:eastAsia="Times New Roman"/>
        </w:rPr>
        <w:t>/T</w:t>
      </w:r>
      <w:r>
        <w:rPr>
          <w:spacing w:val="-4"/>
        </w:rPr>
        <w:t>日基金份额净值</w:t>
      </w:r>
    </w:p>
    <w:p>
      <w:pPr>
        <w:pStyle w:val="BodyText"/>
        <w:spacing w:line="417" w:lineRule="auto"/>
        <w:ind w:left="220" w:right="485" w:firstLine="419"/>
      </w:pPr>
      <w:r>
        <w:rPr>
          <w:spacing w:val="-16"/>
        </w:rPr>
        <w:t>基金份额按照四舍五入方法，保留小数点后两位，由此误差产生的损失由基金财产承担， </w:t>
      </w:r>
      <w:r>
        <w:rPr>
          <w:spacing w:val="-7"/>
        </w:rPr>
        <w:t>产生的收益归基金财产所有。</w:t>
      </w:r>
    </w:p>
    <w:p>
      <w:pPr>
        <w:pStyle w:val="BodyText"/>
        <w:spacing w:line="269" w:lineRule="exact"/>
        <w:ind w:left="640"/>
      </w:pPr>
      <w:r>
        <w:rPr/>
        <w:t>例：假定</w:t>
      </w:r>
      <w:r>
        <w:rPr>
          <w:rFonts w:ascii="Times New Roman" w:eastAsia="Times New Roman"/>
        </w:rPr>
        <w:t>T</w:t>
      </w:r>
      <w:r>
        <w:rPr/>
        <w:t>日的基金份额净值为</w:t>
      </w:r>
      <w:r>
        <w:rPr>
          <w:rFonts w:ascii="Times New Roman" w:eastAsia="Times New Roman"/>
        </w:rPr>
        <w:t>1.2300</w:t>
      </w:r>
      <w:r>
        <w:rPr/>
        <w:t>元，四笔申购金额分别为</w:t>
      </w:r>
      <w:r>
        <w:rPr>
          <w:rFonts w:ascii="Times New Roman" w:eastAsia="Times New Roman"/>
        </w:rPr>
        <w:t>1,000.00</w:t>
      </w:r>
      <w:r>
        <w:rPr/>
        <w:t>元、</w:t>
      </w:r>
      <w:r>
        <w:rPr>
          <w:rFonts w:ascii="Times New Roman" w:eastAsia="Times New Roman"/>
        </w:rPr>
        <w:t>100</w:t>
      </w:r>
      <w:r>
        <w:rPr/>
        <w:t>万元、</w:t>
      </w:r>
    </w:p>
    <w:p>
      <w:pPr>
        <w:pStyle w:val="BodyText"/>
        <w:spacing w:before="6"/>
        <w:rPr>
          <w:sz w:val="15"/>
        </w:rPr>
      </w:pPr>
    </w:p>
    <w:p>
      <w:pPr>
        <w:pStyle w:val="BodyText"/>
        <w:ind w:left="220"/>
      </w:pPr>
      <w:r>
        <w:rPr/>
        <w:pict>
          <v:group style="position:absolute;margin-left:120.860001pt;margin-top:18.420008pt;width:352.9pt;height:52.45pt;mso-position-horizontal-relative:page;mso-position-vertical-relative:paragraph;z-index:-251623424;mso-wrap-distance-left:0;mso-wrap-distance-right:0" coordorigin="2417,368" coordsize="7058,1049">
            <v:line style="position:absolute" from="2432,383" to="5077,383" stroked="true" strokeweight="1.44pt" strokecolor="#000000">
              <v:stroke dashstyle="solid"/>
            </v:line>
            <v:shape style="position:absolute;left:5077;top:397;width:10;height:3" type="#_x0000_t75" stroked="false">
              <v:imagedata r:id="rId127" o:title=""/>
            </v:shape>
            <v:rect style="position:absolute;left:5077;top:368;width:29;height:29" filled="true" fillcolor="#000000" stroked="false">
              <v:fill type="solid"/>
            </v:rect>
            <v:line style="position:absolute" from="5106,383" to="6364,383" stroked="true" strokeweight="1.44pt" strokecolor="#000000">
              <v:stroke dashstyle="solid"/>
            </v:line>
            <v:shape style="position:absolute;left:6363;top:397;width:10;height:3" type="#_x0000_t75" stroked="false">
              <v:imagedata r:id="rId127" o:title=""/>
            </v:shape>
            <v:rect style="position:absolute;left:6363;top:368;width:29;height:29" filled="true" fillcolor="#000000" stroked="false">
              <v:fill type="solid"/>
            </v:rect>
            <v:line style="position:absolute" from="6393,383" to="7924,383" stroked="true" strokeweight="1.44pt" strokecolor="#000000">
              <v:stroke dashstyle="solid"/>
            </v:line>
            <v:shape style="position:absolute;left:7923;top:397;width:10;height:3" type="#_x0000_t75" stroked="false">
              <v:imagedata r:id="rId127" o:title=""/>
            </v:shape>
            <v:rect style="position:absolute;left:7923;top:368;width:29;height:29" filled="true" fillcolor="#000000" stroked="false">
              <v:fill type="solid"/>
            </v:rect>
            <v:line style="position:absolute" from="7953,383" to="9475,383" stroked="true" strokeweight="1.44pt" strokecolor="#000000">
              <v:stroke dashstyle="solid"/>
            </v:line>
            <v:line style="position:absolute" from="2417,1403" to="5077,1403" stroked="true" strokeweight="1.4399pt" strokecolor="#000000">
              <v:stroke dashstyle="solid"/>
            </v:line>
            <v:shape style="position:absolute;left:5077;top:399;width:10;height:989" type="#_x0000_t75" stroked="false">
              <v:imagedata r:id="rId133" o:title=""/>
            </v:shape>
            <v:rect style="position:absolute;left:5077;top:1388;width:29;height:29" filled="true" fillcolor="#000000" stroked="false">
              <v:fill type="solid"/>
            </v:rect>
            <v:line style="position:absolute" from="5106,1403" to="6364,1403" stroked="true" strokeweight="1.4399pt" strokecolor="#000000">
              <v:stroke dashstyle="solid"/>
            </v:line>
            <v:shape style="position:absolute;left:6363;top:399;width:10;height:989" type="#_x0000_t75" stroked="false">
              <v:imagedata r:id="rId133" o:title=""/>
            </v:shape>
            <v:rect style="position:absolute;left:6363;top:1388;width:29;height:29" filled="true" fillcolor="#000000" stroked="false">
              <v:fill type="solid"/>
            </v:rect>
            <v:line style="position:absolute" from="6393,1403" to="7924,1403" stroked="true" strokeweight="1.4399pt" strokecolor="#000000">
              <v:stroke dashstyle="solid"/>
            </v:line>
            <v:shape style="position:absolute;left:7923;top:399;width:10;height:989" type="#_x0000_t75" stroked="false">
              <v:imagedata r:id="rId133" o:title=""/>
            </v:shape>
            <v:rect style="position:absolute;left:7923;top:1388;width:29;height:29" filled="true" fillcolor="#000000" stroked="false">
              <v:fill type="solid"/>
            </v:rect>
            <v:line style="position:absolute" from="7953,1403" to="9475,1403" stroked="true" strokeweight="1.4399pt" strokecolor="#000000">
              <v:stroke dashstyle="solid"/>
            </v:line>
            <v:shape style="position:absolute;left:5461;top:518;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1</w:t>
                    </w:r>
                  </w:p>
                </w:txbxContent>
              </v:textbox>
              <w10:wrap type="none"/>
            </v:shape>
            <v:shape style="position:absolute;left:6884;top:518;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2</w:t>
                    </w:r>
                  </w:p>
                </w:txbxContent>
              </v:textbox>
              <w10:wrap type="none"/>
            </v:shape>
            <v:shape style="position:absolute;left:8437;top:780;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3</w:t>
                    </w:r>
                  </w:p>
                </w:txbxContent>
              </v:textbox>
              <w10:wrap type="none"/>
            </v:shape>
            <w10:wrap type="topAndBottom"/>
          </v:group>
        </w:pict>
      </w:r>
      <w:r>
        <w:rPr>
          <w:rFonts w:ascii="Times New Roman" w:eastAsia="Times New Roman"/>
        </w:rPr>
        <w:t>200</w:t>
      </w:r>
      <w:r>
        <w:rPr/>
        <w:t>万元和</w:t>
      </w:r>
      <w:r>
        <w:rPr>
          <w:rFonts w:ascii="Times New Roman" w:eastAsia="Times New Roman"/>
        </w:rPr>
        <w:t>500</w:t>
      </w:r>
      <w:r>
        <w:rPr/>
        <w:t>万元，则各笔申购负担的前端申购费用和获得的基金份额计算如下：</w:t>
      </w:r>
    </w:p>
    <w:p>
      <w:pPr>
        <w:spacing w:after="0"/>
        <w:sectPr>
          <w:pgSz w:w="11910" w:h="16840"/>
          <w:pgMar w:header="877" w:footer="995" w:top="1420" w:bottom="1180" w:left="1580" w:right="1200"/>
        </w:sectPr>
      </w:pPr>
    </w:p>
    <w:tbl>
      <w:tblPr>
        <w:tblW w:w="0" w:type="auto"/>
        <w:jc w:val="left"/>
        <w:tblInd w:w="8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50"/>
        <w:gridCol w:w="1287"/>
        <w:gridCol w:w="1560"/>
        <w:gridCol w:w="1546"/>
      </w:tblGrid>
      <w:tr>
        <w:trPr>
          <w:trHeight w:val="988" w:hRule="atLeast"/>
        </w:trPr>
        <w:tc>
          <w:tcPr>
            <w:tcW w:w="2650" w:type="dxa"/>
            <w:tcBorders>
              <w:left w:val="nil"/>
              <w:bottom w:val="nil"/>
              <w:right w:val="single" w:sz="4" w:space="0" w:color="000000"/>
            </w:tcBorders>
          </w:tcPr>
          <w:p>
            <w:pPr>
              <w:pStyle w:val="TableParagraph"/>
              <w:spacing w:before="4"/>
              <w:jc w:val="left"/>
              <w:rPr>
                <w:rFonts w:ascii="宋体"/>
                <w:sz w:val="28"/>
              </w:rPr>
            </w:pPr>
          </w:p>
          <w:p>
            <w:pPr>
              <w:pStyle w:val="TableParagraph"/>
              <w:spacing w:before="0"/>
              <w:ind w:left="451"/>
              <w:jc w:val="left"/>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287" w:type="dxa"/>
            <w:tcBorders>
              <w:left w:val="single" w:sz="4" w:space="0" w:color="000000"/>
              <w:bottom w:val="single" w:sz="4" w:space="0" w:color="000000"/>
              <w:right w:val="single" w:sz="4" w:space="0" w:color="000000"/>
            </w:tcBorders>
          </w:tcPr>
          <w:p>
            <w:pPr>
              <w:pStyle w:val="TableParagraph"/>
              <w:spacing w:before="3"/>
              <w:jc w:val="left"/>
              <w:rPr>
                <w:rFonts w:ascii="宋体"/>
                <w:sz w:val="29"/>
              </w:rPr>
            </w:pPr>
          </w:p>
          <w:p>
            <w:pPr>
              <w:pStyle w:val="TableParagraph"/>
              <w:spacing w:before="0"/>
              <w:ind w:left="453"/>
              <w:jc w:val="left"/>
              <w:rPr>
                <w:sz w:val="21"/>
              </w:rPr>
            </w:pPr>
            <w:r>
              <w:rPr>
                <w:sz w:val="21"/>
              </w:rPr>
              <w:t>1,000.00</w:t>
            </w:r>
          </w:p>
        </w:tc>
        <w:tc>
          <w:tcPr>
            <w:tcW w:w="1560" w:type="dxa"/>
            <w:tcBorders>
              <w:left w:val="single" w:sz="4" w:space="0" w:color="000000"/>
              <w:bottom w:val="nil"/>
              <w:right w:val="single" w:sz="4" w:space="0" w:color="000000"/>
            </w:tcBorders>
          </w:tcPr>
          <w:p>
            <w:pPr>
              <w:pStyle w:val="TableParagraph"/>
              <w:spacing w:before="3"/>
              <w:jc w:val="left"/>
              <w:rPr>
                <w:rFonts w:ascii="宋体"/>
                <w:sz w:val="29"/>
              </w:rPr>
            </w:pPr>
          </w:p>
          <w:p>
            <w:pPr>
              <w:pStyle w:val="TableParagraph"/>
              <w:spacing w:before="0"/>
              <w:ind w:left="359"/>
              <w:jc w:val="left"/>
              <w:rPr>
                <w:sz w:val="21"/>
              </w:rPr>
            </w:pPr>
            <w:r>
              <w:rPr>
                <w:sz w:val="21"/>
              </w:rPr>
              <w:t>1,000,000.00</w:t>
            </w:r>
          </w:p>
        </w:tc>
        <w:tc>
          <w:tcPr>
            <w:tcW w:w="1546" w:type="dxa"/>
            <w:tcBorders>
              <w:left w:val="single" w:sz="4" w:space="0" w:color="000000"/>
              <w:bottom w:val="single" w:sz="4" w:space="0" w:color="000000"/>
              <w:right w:val="nil"/>
            </w:tcBorders>
          </w:tcPr>
          <w:p>
            <w:pPr>
              <w:pStyle w:val="TableParagraph"/>
              <w:spacing w:before="3"/>
              <w:jc w:val="left"/>
              <w:rPr>
                <w:rFonts w:ascii="宋体"/>
                <w:sz w:val="29"/>
              </w:rPr>
            </w:pPr>
          </w:p>
          <w:p>
            <w:pPr>
              <w:pStyle w:val="TableParagraph"/>
              <w:spacing w:before="0"/>
              <w:ind w:left="345"/>
              <w:jc w:val="left"/>
              <w:rPr>
                <w:sz w:val="21"/>
              </w:rPr>
            </w:pPr>
            <w:r>
              <w:rPr>
                <w:sz w:val="21"/>
              </w:rPr>
              <w:t>2,000,000.00</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8"/>
        </w:rPr>
      </w:pPr>
    </w:p>
    <w:p>
      <w:pPr>
        <w:pStyle w:val="BodyText"/>
        <w:spacing w:line="417" w:lineRule="auto"/>
        <w:ind w:left="220" w:right="593" w:firstLine="419"/>
      </w:pPr>
      <w:r>
        <w:rPr/>
        <w:pict>
          <v:group style="position:absolute;margin-left:120.860001pt;margin-top:-256.049988pt;width:352.9pt;height:251.1pt;mso-position-horizontal-relative:page;mso-position-vertical-relative:paragraph;z-index:251721728" coordorigin="2417,-5121" coordsize="7058,5022">
            <v:shape style="position:absolute;left:2431;top:-5121;width:2641;height:10" type="#_x0000_t75" stroked="false">
              <v:imagedata r:id="rId134" o:title=""/>
            </v:shape>
            <v:shape style="position:absolute;left:2431;top:-5112;width:2655;height:999" type="#_x0000_t75" stroked="false">
              <v:imagedata r:id="rId135" o:title=""/>
            </v:shape>
            <v:shape style="position:absolute;left:5072;top:-4123;width:1215;height:10" coordorigin="5072,-4123" coordsize="1215,10" path="m5087,-4123l5077,-4123,5072,-4123,5072,-4113,5077,-4113,5087,-4113,5087,-4123m5279,-4123l5231,-4123,5183,-4123,5135,-4123,5087,-4123,5087,-4113,5135,-4113,5183,-4113,5231,-4113,5279,-4113,5279,-4123m5375,-4123l5327,-4123,5279,-4123,5279,-4113,5327,-4113,5375,-4113,5375,-4123m5519,-4123l5471,-4123,5423,-4123,5375,-4123,5375,-4113,5423,-4113,5471,-4113,5519,-4113,5519,-4123m5615,-4123l5567,-4123,5519,-4123,5519,-4113,5567,-4113,5615,-4113,5615,-4123m5759,-4123l5711,-4123,5663,-4123,5615,-4123,5615,-4113,5663,-4113,5711,-4113,5759,-4113,5759,-4123m5855,-4123l5807,-4123,5759,-4123,5759,-4113,5807,-4113,5855,-4113,5855,-4123m5999,-4123l5951,-4123,5903,-4123,5855,-4123,5855,-4113,5903,-4113,5951,-4113,5999,-4113,5999,-4123m6095,-4123l6047,-4123,5999,-4123,5999,-4113,6047,-4113,6095,-4113,6095,-4123m6239,-4123l6191,-4123,6143,-4123,6095,-4123,6095,-4113,6143,-4113,6191,-4113,6239,-4113,6239,-4123m6287,-4123l6239,-4123,6239,-4113,6287,-4113,6287,-4123e" filled="true" fillcolor="#000000" stroked="false">
              <v:path arrowok="t"/>
              <v:fill type="solid"/>
            </v:shape>
            <v:shape style="position:absolute;left:6363;top:-5121;width:1570;height:1008" type="#_x0000_t75" stroked="false">
              <v:imagedata r:id="rId136" o:title=""/>
            </v:shape>
            <v:shape style="position:absolute;left:6286;top:-4123;width:3189;height:10" coordorigin="6287,-4123" coordsize="3189,10" path="m6335,-4123l6287,-4123,6287,-4113,6335,-4113,6335,-4123m6373,-4123l6364,-4123,6364,-4123,6335,-4123,6335,-4113,6364,-4113,6364,-4113,6373,-4113,6373,-4123m8029,-4123l7981,-4123,7933,-4123,7924,-4123,7909,-4123,7909,-4113,7924,-4113,7933,-4113,7981,-4113,8029,-4113,8029,-4123m8173,-4123l8125,-4123,8077,-4123,8029,-4123,8029,-4113,8077,-4113,8125,-4113,8173,-4113,8173,-4123m8269,-4123l8221,-4123,8173,-4123,8173,-4113,8221,-4113,8269,-4113,8269,-4123m8413,-4123l8365,-4123,8317,-4123,8269,-4123,8269,-4113,8317,-4113,8365,-4113,8413,-4113,8413,-4123m8509,-4123l8461,-4123,8413,-4123,8413,-4113,8461,-4113,8509,-4113,8509,-4123m8653,-4123l8605,-4123,8557,-4123,8509,-4123,8509,-4113,8557,-4113,8605,-4113,8653,-4113,8653,-4123m8749,-4123l8701,-4123,8653,-4123,8653,-4113,8701,-4113,8749,-4113,8749,-4123m8894,-4123l8845,-4123,8797,-4123,8749,-4123,8749,-4113,8797,-4113,8845,-4113,8894,-4113,8894,-4123m8942,-4123l8894,-4123,8894,-4113,8942,-4113,8942,-4123m9086,-4123l9038,-4123,8990,-4123,8942,-4123,8942,-4113,8990,-4113,9038,-4113,9086,-4113,9086,-4123m9182,-4123l9134,-4123,9086,-4123,9086,-4113,9134,-4113,9182,-4113,9182,-4123m9326,-4123l9278,-4123,9230,-4123,9182,-4123,9182,-4113,9230,-4113,9278,-4113,9326,-4113,9326,-4123m9422,-4123l9374,-4123,9326,-4123,9326,-4113,9374,-4113,9422,-4113,9422,-4123m9475,-4123l9470,-4123,9422,-4123,9422,-4113,9470,-4113,9475,-4113,9475,-4123e" filled="true" fillcolor="#000000" stroked="false">
              <v:path arrowok="t"/>
              <v:fill type="solid"/>
            </v:shape>
            <v:shape style="position:absolute;left:2431;top:-4113;width:2655;height:999" type="#_x0000_t75" stroked="false">
              <v:imagedata r:id="rId137" o:title=""/>
            </v:shape>
            <v:shape style="position:absolute;left:6363;top:-4113;width:1570;height:999" type="#_x0000_t75" stroked="false">
              <v:imagedata r:id="rId138" o:title=""/>
            </v:shape>
            <v:shape style="position:absolute;left:5072;top:-3125;width:4403;height:10" coordorigin="5072,-3124" coordsize="4403,10" path="m5087,-3124l5077,-3124,5072,-3124,5072,-3115,5077,-3115,5087,-3115,5087,-3124m5279,-3124l5231,-3124,5183,-3124,5135,-3124,5087,-3124,5087,-3115,5135,-3115,5183,-3115,5231,-3115,5279,-3115,5279,-3124m5375,-3124l5327,-3124,5279,-3124,5279,-3115,5327,-3115,5375,-3115,5375,-3124m5519,-3124l5471,-3124,5423,-3124,5375,-3124,5375,-3115,5423,-3115,5471,-3115,5519,-3115,5519,-3124m5615,-3124l5567,-3124,5519,-3124,5519,-3115,5567,-3115,5615,-3115,5615,-3124m5759,-3124l5711,-3124,5663,-3124,5615,-3124,5615,-3115,5663,-3115,5711,-3115,5759,-3115,5759,-3124m5855,-3124l5807,-3124,5759,-3124,5759,-3115,5807,-3115,5855,-3115,5855,-3124m5999,-3124l5951,-3124,5903,-3124,5855,-3124,5855,-3115,5903,-3115,5951,-3115,5999,-3115,5999,-3124m6095,-3124l6047,-3124,5999,-3124,5999,-3115,6047,-3115,6095,-3115,6095,-3124m6239,-3124l6191,-3124,6143,-3124,6095,-3124,6095,-3115,6143,-3115,6191,-3115,6239,-3115,6239,-3124m6335,-3124l6287,-3124,6239,-3124,6239,-3115,6287,-3115,6335,-3115,6335,-3124m6373,-3124l6364,-3124,6364,-3124,6335,-3124,6335,-3115,6364,-3115,6364,-3115,6373,-3115,6373,-3124m8029,-3124l7981,-3124,7933,-3124,7924,-3124,7909,-3124,7909,-3115,7924,-3115,7933,-3115,7981,-3115,8029,-3115,8029,-3124m8173,-3124l8125,-3124,8077,-3124,8029,-3124,8029,-3115,8077,-3115,8125,-3115,8173,-3115,8173,-3124m8269,-3124l8221,-3124,8173,-3124,8173,-3115,8221,-3115,8269,-3115,8269,-3124m8413,-3124l8365,-3124,8317,-3124,8269,-3124,8269,-3115,8317,-3115,8365,-3115,8413,-3115,8413,-3124m8509,-3124l8461,-3124,8413,-3124,8413,-3115,8461,-3115,8509,-3115,8509,-3124m8653,-3124l8605,-3124,8557,-3124,8509,-3124,8509,-3115,8557,-3115,8605,-3115,8653,-3115,8653,-3124m8749,-3124l8701,-3124,8653,-3124,8653,-3115,8701,-3115,8749,-3115,8749,-3124m8894,-3124l8845,-3124,8797,-3124,8749,-3124,8749,-3115,8797,-3115,8845,-3115,8894,-3115,8894,-3124m8942,-3124l8894,-3124,8894,-3115,8942,-3115,8942,-3124m9086,-3124l9038,-3124,8990,-3124,8942,-3124,8942,-3115,8990,-3115,9038,-3115,9086,-3115,9086,-3124m9182,-3124l9134,-3124,9086,-3124,9086,-3115,9134,-3115,9182,-3115,9182,-3124m9326,-3124l9278,-3124,9230,-3124,9182,-3124,9182,-3115,9230,-3115,9278,-3115,9326,-3115,9326,-3124m9422,-3124l9374,-3124,9326,-3124,9326,-3115,9374,-3115,9422,-3115,9422,-3124m9475,-3124l9470,-3124,9422,-3124,9422,-3115,9470,-3115,9475,-3115,9475,-3124e" filled="true" fillcolor="#000000" stroked="false">
              <v:path arrowok="t"/>
              <v:fill type="solid"/>
            </v:shape>
            <v:shape style="position:absolute;left:6363;top:-3115;width:10;height:990" type="#_x0000_t75" stroked="false">
              <v:imagedata r:id="rId133" o:title=""/>
            </v:shape>
            <v:shape style="position:absolute;left:2431;top:-3115;width:2655;height:999" type="#_x0000_t75" stroked="false">
              <v:imagedata r:id="rId139" o:title=""/>
            </v:shape>
            <v:shape style="position:absolute;left:5077;top:-2126;width:346;height:10" coordorigin="5077,-2125" coordsize="346,10" path="m5087,-2125l5077,-2125,5077,-2116,5087,-2116,5087,-2125m5279,-2125l5231,-2125,5183,-2125,5135,-2125,5087,-2125,5087,-2116,5135,-2116,5183,-2116,5231,-2116,5279,-2116,5279,-2125m5375,-2125l5327,-2125,5279,-2125,5279,-2116,5327,-2116,5375,-2116,5375,-2125m5423,-2125l5375,-2125,5375,-2116,5423,-2116,5423,-2125e" filled="true" fillcolor="#000000" stroked="false">
              <v:path arrowok="t"/>
              <v:fill type="solid"/>
            </v:shape>
            <v:shape style="position:absolute;left:6373;top:-3115;width:1560;height:999" type="#_x0000_t75" stroked="false">
              <v:imagedata r:id="rId140" o:title=""/>
            </v:shape>
            <v:shape style="position:absolute;left:5422;top:-2126;width:4048;height:10" coordorigin="5423,-2125" coordsize="4048,10" path="m5519,-2125l5471,-2125,5423,-2125,5423,-2116,5471,-2116,5519,-2116,5519,-2125m5615,-2125l5567,-2125,5519,-2125,5519,-2116,5567,-2116,5615,-2116,5615,-2125m5759,-2125l5711,-2125,5663,-2125,5615,-2125,5615,-2116,5663,-2116,5711,-2116,5759,-2116,5759,-2125m5855,-2125l5807,-2125,5759,-2125,5759,-2116,5807,-2116,5855,-2116,5855,-2125m5999,-2125l5951,-2125,5903,-2125,5855,-2125,5855,-2116,5903,-2116,5951,-2116,5999,-2116,5999,-2125m6095,-2125l6047,-2125,5999,-2125,5999,-2116,6047,-2116,6095,-2116,6095,-2125m6239,-2125l6191,-2125,6143,-2125,6095,-2125,6095,-2116,6143,-2116,6191,-2116,6239,-2116,6239,-2125m6335,-2125l6287,-2125,6239,-2125,6239,-2116,6287,-2116,6335,-2116,6335,-2125m6373,-2125l6364,-2125,6364,-2125,6335,-2125,6335,-2116,6364,-2116,6364,-2116,6373,-2116,6373,-2125m8029,-2125l7981,-2125,7933,-2125,7924,-2125,7909,-2125,7909,-2116,7924,-2116,7933,-2116,7981,-2116,8029,-2116,8029,-2125m8173,-2125l8125,-2125,8077,-2125,8029,-2125,8029,-2116,8077,-2116,8125,-2116,8173,-2116,8173,-2125m8269,-2125l8221,-2125,8173,-2125,8173,-2116,8221,-2116,8269,-2116,8269,-2125m8413,-2125l8365,-2125,8317,-2125,8269,-2125,8269,-2116,8317,-2116,8365,-2116,8413,-2116,8413,-2125m8509,-2125l8461,-2125,8413,-2125,8413,-2116,8461,-2116,8509,-2116,8509,-2125m8653,-2125l8605,-2125,8557,-2125,8509,-2125,8509,-2116,8557,-2116,8605,-2116,8653,-2116,8653,-2125m8749,-2125l8701,-2125,8653,-2125,8653,-2116,8701,-2116,8749,-2116,8749,-2125m8894,-2125l8845,-2125,8797,-2125,8749,-2125,8749,-2116,8797,-2116,8845,-2116,8894,-2116,8894,-2125m8942,-2125l8894,-2125,8894,-2116,8942,-2116,8942,-2125m9086,-2125l9038,-2125,8990,-2125,8942,-2125,8942,-2116,8990,-2116,9038,-2116,9086,-2116,9086,-2125m9182,-2125l9134,-2125,9086,-2125,9086,-2116,9134,-2116,9182,-2116,9182,-2125m9326,-2125l9278,-2125,9230,-2125,9182,-2125,9182,-2116,9230,-2116,9278,-2116,9326,-2116,9326,-2125m9422,-2125l9374,-2125,9326,-2125,9326,-2116,9374,-2116,9422,-2116,9422,-2125m9470,-2125l9422,-2125,9422,-2116,9470,-2116,9470,-2125e" filled="true" fillcolor="#000000" stroked="false">
              <v:path arrowok="t"/>
              <v:fill type="solid"/>
            </v:shape>
            <v:shape style="position:absolute;left:9470;top:-2126;width:5;height:10" type="#_x0000_t75" stroked="false">
              <v:imagedata r:id="rId127" o:title=""/>
            </v:shape>
            <v:shape style="position:absolute;left:2431;top:-2116;width:2655;height:996" type="#_x0000_t75" stroked="false">
              <v:imagedata r:id="rId141" o:title=""/>
            </v:shape>
            <v:shape style="position:absolute;left:6363;top:-2116;width:1570;height:996" type="#_x0000_t75" stroked="false">
              <v:imagedata r:id="rId142" o:title=""/>
            </v:shape>
            <v:shape style="position:absolute;left:5072;top:-1130;width:4403;height:10" coordorigin="5072,-1129" coordsize="4403,10" path="m5087,-1129l5077,-1129,5072,-1129,5072,-1120,5077,-1120,5087,-1120,5087,-1129m5279,-1129l5231,-1129,5183,-1129,5135,-1129,5087,-1129,5087,-1120,5135,-1120,5183,-1120,5231,-1120,5279,-1120,5279,-1129m5375,-1129l5327,-1129,5279,-1129,5279,-1120,5327,-1120,5375,-1120,5375,-1129m5519,-1129l5471,-1129,5423,-1129,5375,-1129,5375,-1120,5423,-1120,5471,-1120,5519,-1120,5519,-1129m5615,-1129l5567,-1129,5519,-1129,5519,-1120,5567,-1120,5615,-1120,5615,-1129m5759,-1129l5711,-1129,5663,-1129,5615,-1129,5615,-1120,5663,-1120,5711,-1120,5759,-1120,5759,-1129m5855,-1129l5807,-1129,5759,-1129,5759,-1120,5807,-1120,5855,-1120,5855,-1129m5999,-1129l5951,-1129,5903,-1129,5855,-1129,5855,-1120,5903,-1120,5951,-1120,5999,-1120,5999,-1129m6095,-1129l6047,-1129,5999,-1129,5999,-1120,6047,-1120,6095,-1120,6095,-1129m6239,-1129l6191,-1129,6143,-1129,6095,-1129,6095,-1120,6143,-1120,6191,-1120,6239,-1120,6239,-1129m6335,-1129l6287,-1129,6239,-1129,6239,-1120,6287,-1120,6335,-1120,6335,-1129m6373,-1129l6364,-1129,6364,-1129,6335,-1129,6335,-1120,6364,-1120,6364,-1120,6373,-1120,6373,-1129m8029,-1129l7981,-1129,7933,-1129,7924,-1129,7909,-1129,7909,-1120,7924,-1120,7933,-1120,7981,-1120,8029,-1120,8029,-1129m8173,-1129l8125,-1129,8077,-1129,8029,-1129,8029,-1120,8077,-1120,8125,-1120,8173,-1120,8173,-1129m8269,-1129l8221,-1129,8173,-1129,8173,-1120,8221,-1120,8269,-1120,8269,-1129m8413,-1129l8365,-1129,8317,-1129,8269,-1129,8269,-1120,8317,-1120,8365,-1120,8413,-1120,8413,-1129m8509,-1129l8461,-1129,8413,-1129,8413,-1120,8461,-1120,8509,-1120,8509,-1129m8653,-1129l8605,-1129,8557,-1129,8509,-1129,8509,-1120,8557,-1120,8605,-1120,8653,-1120,8653,-1129m8749,-1129l8701,-1129,8653,-1129,8653,-1120,8701,-1120,8749,-1120,8749,-1129m8894,-1129l8845,-1129,8797,-1129,8749,-1129,8749,-1120,8797,-1120,8845,-1120,8894,-1120,8894,-1129m8942,-1129l8894,-1129,8894,-1120,8942,-1120,8942,-1129m9086,-1129l9038,-1129,8990,-1129,8942,-1129,8942,-1120,8990,-1120,9038,-1120,9086,-1120,9086,-1129m9182,-1129l9134,-1129,9086,-1129,9086,-1120,9134,-1120,9182,-1120,9182,-1129m9326,-1129l9278,-1129,9230,-1129,9182,-1129,9182,-1120,9230,-1120,9278,-1120,9326,-1120,9326,-1129m9422,-1129l9374,-1129,9326,-1129,9326,-1120,9374,-1120,9422,-1120,9422,-1129m9475,-1129l9470,-1129,9422,-1129,9422,-1120,9470,-1120,9475,-1120,9475,-1129e" filled="true" fillcolor="#000000" stroked="false">
              <v:path arrowok="t"/>
              <v:fill type="solid"/>
            </v:shape>
            <v:line style="position:absolute" from="2417,-114" to="5077,-114" stroked="true" strokeweight="1.44pt" strokecolor="#000000">
              <v:stroke dashstyle="solid"/>
            </v:line>
            <v:shape style="position:absolute;left:5077;top:-1120;width:10;height:992" type="#_x0000_t75" stroked="false">
              <v:imagedata r:id="rId143" o:title=""/>
            </v:shape>
            <v:rect style="position:absolute;left:5077;top:-129;width:29;height:29" filled="true" fillcolor="#000000" stroked="false">
              <v:fill type="solid"/>
            </v:rect>
            <v:line style="position:absolute" from="5106,-114" to="6364,-114" stroked="true" strokeweight="1.44pt" strokecolor="#000000">
              <v:stroke dashstyle="solid"/>
            </v:line>
            <v:shape style="position:absolute;left:6363;top:-1120;width:10;height:992" type="#_x0000_t75" stroked="false">
              <v:imagedata r:id="rId143" o:title=""/>
            </v:shape>
            <v:rect style="position:absolute;left:6363;top:-129;width:29;height:29" filled="true" fillcolor="#000000" stroked="false">
              <v:fill type="solid"/>
            </v:rect>
            <v:line style="position:absolute" from="6393,-114" to="7924,-114" stroked="true" strokeweight="1.44pt" strokecolor="#000000">
              <v:stroke dashstyle="solid"/>
            </v:line>
            <v:shape style="position:absolute;left:7923;top:-1120;width:10;height:992" type="#_x0000_t75" stroked="false">
              <v:imagedata r:id="rId143" o:title=""/>
            </v:shape>
            <v:rect style="position:absolute;left:7923;top:-129;width:29;height:29" filled="true" fillcolor="#000000" stroked="false">
              <v:fill type="solid"/>
            </v:rect>
            <v:line style="position:absolute" from="7953,-114" to="9475,-114" stroked="true" strokeweight="1.44pt" strokecolor="#000000">
              <v:stroke dashstyle="solid"/>
            </v:line>
            <v:shape style="position:absolute;left:2652;top:-4729;width:2229;height:234" type="#_x0000_t202" filled="false" stroked="false">
              <v:textbox inset="0,0,0,0">
                <w:txbxContent>
                  <w:p>
                    <w:pPr>
                      <w:spacing w:line="234" w:lineRule="exact" w:before="0"/>
                      <w:ind w:left="0" w:right="0" w:firstLine="0"/>
                      <w:jc w:val="left"/>
                      <w:rPr>
                        <w:sz w:val="21"/>
                      </w:rPr>
                    </w:pPr>
                    <w:r>
                      <w:rPr>
                        <w:sz w:val="21"/>
                      </w:rPr>
                      <w:t>适用前端申购费率（</w:t>
                    </w:r>
                    <w:r>
                      <w:rPr>
                        <w:rFonts w:ascii="Times New Roman" w:eastAsia="Times New Roman"/>
                        <w:sz w:val="21"/>
                      </w:rPr>
                      <w:t>b</w:t>
                    </w:r>
                    <w:r>
                      <w:rPr>
                        <w:sz w:val="21"/>
                      </w:rPr>
                      <w:t>）</w:t>
                    </w:r>
                  </w:p>
                </w:txbxContent>
              </v:textbox>
              <w10:wrap type="none"/>
            </v:shape>
            <v:shape style="position:absolute;left:5823;top:-4731;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7383;top:-4731;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w:t>
                    </w:r>
                  </w:p>
                </w:txbxContent>
              </v:textbox>
              <w10:wrap type="none"/>
            </v:shape>
            <v:shape style="position:absolute;left:8930;top:-4731;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0.8%</w:t>
                    </w:r>
                  </w:p>
                </w:txbxContent>
              </v:textbox>
              <w10:wrap type="none"/>
            </v:shape>
            <v:shape style="position:absolute;left:2539;top:-3730;width:2392;height:234" type="#_x0000_t202" filled="false" stroked="false">
              <v:textbox inset="0,0,0,0">
                <w:txbxContent>
                  <w:p>
                    <w:pPr>
                      <w:spacing w:line="234" w:lineRule="exact" w:before="0"/>
                      <w:ind w:left="0" w:right="0" w:firstLine="0"/>
                      <w:jc w:val="left"/>
                      <w:rPr>
                        <w:sz w:val="21"/>
                      </w:rPr>
                    </w:pPr>
                    <w:r>
                      <w:rPr>
                        <w:spacing w:val="-2"/>
                        <w:w w:val="100"/>
                        <w:sz w:val="21"/>
                      </w:rPr>
                      <w:t>净申购金额</w:t>
                    </w:r>
                    <w:r>
                      <w:rPr>
                        <w:spacing w:val="-1"/>
                        <w:w w:val="100"/>
                        <w:sz w:val="21"/>
                      </w:rPr>
                      <w:t>（</w:t>
                    </w:r>
                    <w:r>
                      <w:rPr>
                        <w:rFonts w:ascii="Times New Roman" w:eastAsia="Times New Roman"/>
                        <w:spacing w:val="-3"/>
                        <w:w w:val="100"/>
                        <w:sz w:val="21"/>
                      </w:rPr>
                      <w:t>c</w:t>
                    </w:r>
                    <w:r>
                      <w:rPr>
                        <w:rFonts w:ascii="Times New Roman" w:eastAsia="Times New Roman"/>
                        <w:w w:val="100"/>
                        <w:sz w:val="21"/>
                      </w:rPr>
                      <w:t>=a</w:t>
                    </w:r>
                    <w:r>
                      <w:rPr>
                        <w:rFonts w:ascii="Times New Roman" w:eastAsia="Times New Roman"/>
                        <w:spacing w:val="-1"/>
                        <w:w w:val="100"/>
                        <w:sz w:val="21"/>
                      </w:rPr>
                      <w:t>/</w:t>
                    </w:r>
                    <w:r>
                      <w:rPr>
                        <w:w w:val="100"/>
                        <w:sz w:val="21"/>
                      </w:rPr>
                      <w:t>（</w:t>
                    </w:r>
                    <w:r>
                      <w:rPr>
                        <w:rFonts w:ascii="Times New Roman" w:eastAsia="Times New Roman"/>
                        <w:spacing w:val="-3"/>
                        <w:w w:val="100"/>
                        <w:sz w:val="21"/>
                      </w:rPr>
                      <w:t>1</w:t>
                    </w:r>
                    <w:r>
                      <w:rPr>
                        <w:rFonts w:ascii="Times New Roman" w:eastAsia="Times New Roman"/>
                        <w:w w:val="100"/>
                        <w:sz w:val="21"/>
                      </w:rPr>
                      <w:t>+b</w:t>
                    </w:r>
                    <w:r>
                      <w:rPr>
                        <w:spacing w:val="-108"/>
                        <w:w w:val="100"/>
                        <w:sz w:val="21"/>
                      </w:rPr>
                      <w:t>））</w:t>
                    </w:r>
                  </w:p>
                </w:txbxContent>
              </v:textbox>
              <w10:wrap type="none"/>
            </v:shape>
            <v:shape style="position:absolute;left:5681;top:-3733;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985.22</w:t>
                    </w:r>
                  </w:p>
                </w:txbxContent>
              </v:textbox>
              <w10:wrap type="none"/>
            </v:shape>
            <v:shape style="position:absolute;left:6829;top:-3739;width:1014;height:245" type="#_x0000_t202" filled="false" stroked="false">
              <v:textbox inset="0,0,0,0">
                <w:txbxContent>
                  <w:p>
                    <w:pPr>
                      <w:spacing w:line="244" w:lineRule="exact" w:before="0"/>
                      <w:ind w:left="0" w:right="0" w:firstLine="0"/>
                      <w:jc w:val="left"/>
                      <w:rPr>
                        <w:rFonts w:ascii="Times New Roman"/>
                        <w:sz w:val="22"/>
                      </w:rPr>
                    </w:pPr>
                    <w:r>
                      <w:rPr>
                        <w:rFonts w:ascii="Times New Roman"/>
                        <w:sz w:val="22"/>
                      </w:rPr>
                      <w:t>988,142.29</w:t>
                    </w:r>
                  </w:p>
                </w:txbxContent>
              </v:textbox>
              <w10:wrap type="none"/>
            </v:shape>
            <v:shape style="position:absolute;left:8264;top:-3733;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1,984,126.98</w:t>
                    </w:r>
                  </w:p>
                </w:txbxContent>
              </v:textbox>
              <w10:wrap type="none"/>
            </v:shape>
            <v:shape style="position:absolute;left:2782;top:-2731;width:1972;height:234" type="#_x0000_t202" filled="false" stroked="false">
              <v:textbox inset="0,0,0,0">
                <w:txbxContent>
                  <w:p>
                    <w:pPr>
                      <w:spacing w:line="234" w:lineRule="exact" w:before="0"/>
                      <w:ind w:left="0" w:right="0" w:firstLine="0"/>
                      <w:jc w:val="left"/>
                      <w:rPr>
                        <w:sz w:val="21"/>
                      </w:rPr>
                    </w:pPr>
                    <w:r>
                      <w:rPr>
                        <w:sz w:val="21"/>
                      </w:rPr>
                      <w:t>前端申购费（</w:t>
                    </w:r>
                    <w:r>
                      <w:rPr>
                        <w:rFonts w:ascii="Times New Roman" w:eastAsia="Times New Roman"/>
                        <w:sz w:val="21"/>
                      </w:rPr>
                      <w:t>d=a-c</w:t>
                    </w:r>
                    <w:r>
                      <w:rPr>
                        <w:sz w:val="21"/>
                      </w:rPr>
                      <w:t>）</w:t>
                    </w:r>
                  </w:p>
                </w:txbxContent>
              </v:textbox>
              <w10:wrap type="none"/>
            </v:shape>
            <v:shape style="position:absolute;left:5785;top:-2734;width:49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14.78</w:t>
                    </w:r>
                  </w:p>
                </w:txbxContent>
              </v:textbox>
              <w10:wrap type="none"/>
            </v:shape>
            <v:shape style="position:absolute;left:6947;top:-2740;width:894;height:245" type="#_x0000_t202" filled="false" stroked="false">
              <v:textbox inset="0,0,0,0">
                <w:txbxContent>
                  <w:p>
                    <w:pPr>
                      <w:spacing w:line="244" w:lineRule="exact" w:before="0"/>
                      <w:ind w:left="0" w:right="0" w:firstLine="0"/>
                      <w:jc w:val="left"/>
                      <w:rPr>
                        <w:rFonts w:ascii="Times New Roman"/>
                        <w:sz w:val="22"/>
                      </w:rPr>
                    </w:pPr>
                    <w:r>
                      <w:rPr>
                        <w:rFonts w:ascii="Times New Roman"/>
                        <w:sz w:val="22"/>
                      </w:rPr>
                      <w:t>11,857.71</w:t>
                    </w:r>
                  </w:p>
                </w:txbxContent>
              </v:textbox>
              <w10:wrap type="none"/>
            </v:shape>
            <v:shape style="position:absolute;left:8523;top:-2734;width:863;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15,873.02</w:t>
                    </w:r>
                  </w:p>
                </w:txbxContent>
              </v:textbox>
              <w10:wrap type="none"/>
            </v:shape>
            <v:shape style="position:absolute;left:2868;top:-1733;width:1797;height:234" type="#_x0000_t202" filled="false" stroked="false">
              <v:textbox inset="0,0,0,0">
                <w:txbxContent>
                  <w:p>
                    <w:pPr>
                      <w:spacing w:line="234" w:lineRule="exact" w:before="0"/>
                      <w:ind w:left="0" w:right="0" w:firstLine="0"/>
                      <w:jc w:val="left"/>
                      <w:rPr>
                        <w:sz w:val="21"/>
                      </w:rPr>
                    </w:pPr>
                    <w:r>
                      <w:rPr>
                        <w:sz w:val="21"/>
                      </w:rPr>
                      <w:t>基金份额净值（</w:t>
                    </w:r>
                    <w:r>
                      <w:rPr>
                        <w:rFonts w:ascii="Times New Roman" w:eastAsia="Times New Roman"/>
                        <w:sz w:val="21"/>
                      </w:rPr>
                      <w:t>e</w:t>
                    </w:r>
                    <w:r>
                      <w:rPr>
                        <w:sz w:val="21"/>
                      </w:rPr>
                      <w:t>）</w:t>
                    </w:r>
                  </w:p>
                </w:txbxContent>
              </v:textbox>
              <w10:wrap type="none"/>
            </v:shape>
            <v:shape style="position:absolute;left:5681;top:-1735;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1.2300</w:t>
                    </w:r>
                  </w:p>
                </w:txbxContent>
              </v:textbox>
              <w10:wrap type="none"/>
            </v:shape>
            <v:shape style="position:absolute;left:7242;top:-1735;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1.2300</w:t>
                    </w:r>
                  </w:p>
                </w:txbxContent>
              </v:textbox>
              <w10:wrap type="none"/>
            </v:shape>
            <v:shape style="position:absolute;left:8787;top:-1735;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1.2300</w:t>
                    </w:r>
                  </w:p>
                </w:txbxContent>
              </v:textbox>
              <w10:wrap type="none"/>
            </v:shape>
            <v:shape style="position:absolute;left:2909;top:-735;width:1718;height:234" type="#_x0000_t202" filled="false" stroked="false">
              <v:textbox inset="0,0,0,0">
                <w:txbxContent>
                  <w:p>
                    <w:pPr>
                      <w:spacing w:line="234" w:lineRule="exact" w:before="0"/>
                      <w:ind w:left="0" w:right="0" w:firstLine="0"/>
                      <w:jc w:val="left"/>
                      <w:rPr>
                        <w:sz w:val="21"/>
                      </w:rPr>
                    </w:pPr>
                    <w:r>
                      <w:rPr>
                        <w:sz w:val="21"/>
                      </w:rPr>
                      <w:t>申购份额（</w:t>
                    </w:r>
                    <w:r>
                      <w:rPr>
                        <w:rFonts w:ascii="Times New Roman" w:eastAsia="Times New Roman"/>
                        <w:sz w:val="21"/>
                      </w:rPr>
                      <w:t>f=c/e</w:t>
                    </w:r>
                    <w:r>
                      <w:rPr>
                        <w:sz w:val="21"/>
                      </w:rPr>
                      <w:t>）</w:t>
                    </w:r>
                  </w:p>
                </w:txbxContent>
              </v:textbox>
              <w10:wrap type="none"/>
            </v:shape>
            <v:shape style="position:absolute;left:5681;top:-737;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800.99</w:t>
                    </w:r>
                  </w:p>
                </w:txbxContent>
              </v:textbox>
              <w10:wrap type="none"/>
            </v:shape>
            <v:shape style="position:absolute;left:6829;top:-743;width:1014;height:245" type="#_x0000_t202" filled="false" stroked="false">
              <v:textbox inset="0,0,0,0">
                <w:txbxContent>
                  <w:p>
                    <w:pPr>
                      <w:spacing w:line="244" w:lineRule="exact" w:before="0"/>
                      <w:ind w:left="0" w:right="0" w:firstLine="0"/>
                      <w:jc w:val="left"/>
                      <w:rPr>
                        <w:rFonts w:ascii="Times New Roman"/>
                        <w:sz w:val="22"/>
                      </w:rPr>
                    </w:pPr>
                    <w:r>
                      <w:rPr>
                        <w:rFonts w:ascii="Times New Roman"/>
                        <w:sz w:val="22"/>
                      </w:rPr>
                      <w:t>803,367.72</w:t>
                    </w:r>
                  </w:p>
                </w:txbxContent>
              </v:textbox>
              <w10:wrap type="none"/>
            </v:shape>
            <v:shape style="position:absolute;left:8276;top:-737;width:111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1,613,111.37</w:t>
                    </w:r>
                  </w:p>
                </w:txbxContent>
              </v:textbox>
              <w10:wrap type="none"/>
            </v:shape>
            <w10:wrap type="none"/>
          </v:group>
        </w:pict>
      </w:r>
      <w:r>
        <w:rPr/>
        <w:pict>
          <v:shape style="position:absolute;margin-left:203.210007pt;margin-top:41.84pt;width:189.75pt;height:74.2pt;mso-position-horizontal-relative:page;mso-position-vertical-relative:paragraph;z-index:251722752"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74"/>
                    <w:gridCol w:w="1678"/>
                  </w:tblGrid>
                  <w:tr>
                    <w:trPr>
                      <w:trHeight w:val="466" w:hRule="atLeast"/>
                    </w:trPr>
                    <w:tc>
                      <w:tcPr>
                        <w:tcW w:w="2074" w:type="dxa"/>
                        <w:tcBorders>
                          <w:left w:val="nil"/>
                          <w:right w:val="single" w:sz="4" w:space="0" w:color="000000"/>
                        </w:tcBorders>
                      </w:tcPr>
                      <w:p>
                        <w:pPr>
                          <w:pStyle w:val="TableParagraph"/>
                          <w:spacing w:before="0"/>
                          <w:jc w:val="left"/>
                          <w:rPr>
                            <w:rFonts w:ascii="宋体"/>
                            <w:sz w:val="20"/>
                          </w:rPr>
                        </w:pPr>
                      </w:p>
                      <w:p>
                        <w:pPr>
                          <w:pStyle w:val="TableParagraph"/>
                          <w:spacing w:before="6"/>
                          <w:jc w:val="left"/>
                          <w:rPr>
                            <w:rFonts w:ascii="宋体"/>
                            <w:sz w:val="16"/>
                          </w:rPr>
                        </w:pPr>
                      </w:p>
                      <w:p>
                        <w:pPr>
                          <w:pStyle w:val="TableParagraph"/>
                          <w:spacing w:line="31" w:lineRule="exact" w:before="0"/>
                          <w:ind w:left="2083" w:right="-72"/>
                          <w:jc w:val="left"/>
                          <w:rPr>
                            <w:rFonts w:ascii="宋体"/>
                            <w:sz w:val="3"/>
                          </w:rPr>
                        </w:pPr>
                        <w:r>
                          <w:rPr>
                            <w:rFonts w:ascii="宋体"/>
                            <w:position w:val="0"/>
                            <w:sz w:val="3"/>
                          </w:rPr>
                          <w:drawing>
                            <wp:inline distT="0" distB="0" distL="0" distR="0">
                              <wp:extent cx="6095" cy="19812"/>
                              <wp:effectExtent l="0" t="0" r="0" b="0"/>
                              <wp:docPr id="1" name="image9.png"/>
                              <wp:cNvGraphicFramePr>
                                <a:graphicFrameLocks noChangeAspect="1"/>
                              </wp:cNvGraphicFramePr>
                              <a:graphic>
                                <a:graphicData uri="http://schemas.openxmlformats.org/drawingml/2006/picture">
                                  <pic:pic>
                                    <pic:nvPicPr>
                                      <pic:cNvPr id="2" name="image9.png"/>
                                      <pic:cNvPicPr/>
                                    </pic:nvPicPr>
                                    <pic:blipFill>
                                      <a:blip r:embed="rId121" cstate="print"/>
                                      <a:stretch>
                                        <a:fillRect/>
                                      </a:stretch>
                                    </pic:blipFill>
                                    <pic:spPr>
                                      <a:xfrm>
                                        <a:off x="0" y="0"/>
                                        <a:ext cx="6095" cy="19812"/>
                                      </a:xfrm>
                                      <a:prstGeom prst="rect">
                                        <a:avLst/>
                                      </a:prstGeom>
                                    </pic:spPr>
                                  </pic:pic>
                                </a:graphicData>
                              </a:graphic>
                            </wp:inline>
                          </w:drawing>
                        </w:r>
                        <w:r>
                          <w:rPr>
                            <w:rFonts w:ascii="宋体"/>
                            <w:position w:val="0"/>
                            <w:sz w:val="3"/>
                          </w:rPr>
                        </w:r>
                      </w:p>
                    </w:tc>
                    <w:tc>
                      <w:tcPr>
                        <w:tcW w:w="1678" w:type="dxa"/>
                        <w:tcBorders>
                          <w:left w:val="single" w:sz="4" w:space="0" w:color="000000"/>
                          <w:right w:val="nil"/>
                        </w:tcBorders>
                      </w:tcPr>
                      <w:p>
                        <w:pPr>
                          <w:pStyle w:val="TableParagraph"/>
                          <w:spacing w:before="99"/>
                          <w:ind w:left="564" w:right="543"/>
                          <w:jc w:val="center"/>
                          <w:rPr>
                            <w:sz w:val="21"/>
                          </w:rPr>
                        </w:pPr>
                        <w:r>
                          <w:rPr>
                            <w:rFonts w:ascii="宋体" w:eastAsia="宋体" w:hint="eastAsia"/>
                            <w:sz w:val="21"/>
                          </w:rPr>
                          <w:t>申购</w:t>
                        </w:r>
                        <w:r>
                          <w:rPr>
                            <w:sz w:val="21"/>
                          </w:rPr>
                          <w:t>4</w:t>
                        </w:r>
                      </w:p>
                    </w:tc>
                  </w:tr>
                  <w:tr>
                    <w:trPr>
                      <w:trHeight w:val="437" w:hRule="atLeast"/>
                    </w:trPr>
                    <w:tc>
                      <w:tcPr>
                        <w:tcW w:w="2074" w:type="dxa"/>
                        <w:tcBorders>
                          <w:left w:val="nil"/>
                          <w:bottom w:val="single" w:sz="4" w:space="0" w:color="000000"/>
                          <w:right w:val="single" w:sz="4" w:space="0" w:color="000000"/>
                        </w:tcBorders>
                      </w:tcPr>
                      <w:p>
                        <w:pPr>
                          <w:pStyle w:val="TableParagraph"/>
                          <w:spacing w:before="70"/>
                          <w:ind w:left="45"/>
                          <w:jc w:val="left"/>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p>
                        <w:pPr>
                          <w:pStyle w:val="TableParagraph"/>
                          <w:spacing w:before="11"/>
                          <w:jc w:val="left"/>
                          <w:rPr>
                            <w:rFonts w:ascii="宋体"/>
                            <w:sz w:val="4"/>
                          </w:rPr>
                        </w:pPr>
                      </w:p>
                      <w:p>
                        <w:pPr>
                          <w:pStyle w:val="TableParagraph"/>
                          <w:spacing w:line="36" w:lineRule="exact" w:before="0"/>
                          <w:ind w:left="2083" w:right="-72"/>
                          <w:jc w:val="left"/>
                          <w:rPr>
                            <w:rFonts w:ascii="宋体"/>
                            <w:sz w:val="3"/>
                          </w:rPr>
                        </w:pPr>
                        <w:r>
                          <w:rPr>
                            <w:rFonts w:ascii="宋体"/>
                            <w:position w:val="0"/>
                            <w:sz w:val="3"/>
                          </w:rPr>
                          <w:drawing>
                            <wp:inline distT="0" distB="0" distL="0" distR="0">
                              <wp:extent cx="6095" cy="22860"/>
                              <wp:effectExtent l="0" t="0" r="0" b="0"/>
                              <wp:docPr id="3" name="image32.png"/>
                              <wp:cNvGraphicFramePr>
                                <a:graphicFrameLocks noChangeAspect="1"/>
                              </wp:cNvGraphicFramePr>
                              <a:graphic>
                                <a:graphicData uri="http://schemas.openxmlformats.org/drawingml/2006/picture">
                                  <pic:pic>
                                    <pic:nvPicPr>
                                      <pic:cNvPr id="4" name="image32.png"/>
                                      <pic:cNvPicPr/>
                                    </pic:nvPicPr>
                                    <pic:blipFill>
                                      <a:blip r:embed="rId144" cstate="print"/>
                                      <a:stretch>
                                        <a:fillRect/>
                                      </a:stretch>
                                    </pic:blipFill>
                                    <pic:spPr>
                                      <a:xfrm>
                                        <a:off x="0" y="0"/>
                                        <a:ext cx="6095" cy="22860"/>
                                      </a:xfrm>
                                      <a:prstGeom prst="rect">
                                        <a:avLst/>
                                      </a:prstGeom>
                                    </pic:spPr>
                                  </pic:pic>
                                </a:graphicData>
                              </a:graphic>
                            </wp:inline>
                          </w:drawing>
                        </w:r>
                        <w:r>
                          <w:rPr>
                            <w:rFonts w:ascii="宋体"/>
                            <w:position w:val="0"/>
                            <w:sz w:val="3"/>
                          </w:rPr>
                        </w:r>
                      </w:p>
                    </w:tc>
                    <w:tc>
                      <w:tcPr>
                        <w:tcW w:w="1678" w:type="dxa"/>
                        <w:tcBorders>
                          <w:left w:val="single" w:sz="4" w:space="0" w:color="000000"/>
                          <w:bottom w:val="single" w:sz="4" w:space="0" w:color="000000"/>
                          <w:right w:val="nil"/>
                        </w:tcBorders>
                      </w:tcPr>
                      <w:p>
                        <w:pPr>
                          <w:pStyle w:val="TableParagraph"/>
                          <w:spacing w:before="81"/>
                          <w:ind w:right="12"/>
                          <w:rPr>
                            <w:sz w:val="21"/>
                          </w:rPr>
                        </w:pPr>
                        <w:r>
                          <w:rPr>
                            <w:sz w:val="21"/>
                          </w:rPr>
                          <w:t>5,000,000.00</w:t>
                        </w:r>
                      </w:p>
                    </w:tc>
                  </w:tr>
                  <w:tr>
                    <w:trPr>
                      <w:trHeight w:val="467" w:hRule="atLeast"/>
                    </w:trPr>
                    <w:tc>
                      <w:tcPr>
                        <w:tcW w:w="2074" w:type="dxa"/>
                        <w:tcBorders>
                          <w:top w:val="single" w:sz="4" w:space="0" w:color="000000"/>
                          <w:left w:val="nil"/>
                          <w:bottom w:val="single" w:sz="4" w:space="0" w:color="000000"/>
                          <w:right w:val="single" w:sz="4" w:space="0" w:color="000000"/>
                        </w:tcBorders>
                      </w:tcPr>
                      <w:p>
                        <w:pPr>
                          <w:pStyle w:val="TableParagraph"/>
                          <w:spacing w:before="99"/>
                          <w:ind w:left="45"/>
                          <w:jc w:val="left"/>
                          <w:rPr>
                            <w:rFonts w:ascii="宋体" w:eastAsia="宋体" w:hint="eastAsia"/>
                            <w:sz w:val="21"/>
                          </w:rPr>
                        </w:pPr>
                        <w:r>
                          <w:rPr>
                            <w:rFonts w:ascii="宋体" w:eastAsia="宋体" w:hint="eastAsia"/>
                            <w:sz w:val="21"/>
                          </w:rPr>
                          <w:t>前端申购费（</w:t>
                        </w:r>
                        <w:r>
                          <w:rPr>
                            <w:sz w:val="21"/>
                          </w:rPr>
                          <w:t>b</w:t>
                        </w:r>
                        <w:r>
                          <w:rPr>
                            <w:rFonts w:ascii="宋体" w:eastAsia="宋体" w:hint="eastAsia"/>
                            <w:sz w:val="21"/>
                          </w:rPr>
                          <w:t>）</w:t>
                        </w:r>
                      </w:p>
                    </w:tc>
                    <w:tc>
                      <w:tcPr>
                        <w:tcW w:w="1678" w:type="dxa"/>
                        <w:tcBorders>
                          <w:top w:val="single" w:sz="4" w:space="0" w:color="000000"/>
                          <w:left w:val="single" w:sz="4" w:space="0" w:color="000000"/>
                          <w:bottom w:val="single" w:sz="4" w:space="0" w:color="000000"/>
                          <w:right w:val="nil"/>
                        </w:tcBorders>
                      </w:tcPr>
                      <w:p>
                        <w:pPr>
                          <w:pStyle w:val="TableParagraph"/>
                          <w:spacing w:before="111"/>
                          <w:ind w:right="12"/>
                          <w:rPr>
                            <w:sz w:val="21"/>
                          </w:rPr>
                        </w:pPr>
                        <w:r>
                          <w:rPr>
                            <w:sz w:val="21"/>
                          </w:rPr>
                          <w:t>1,000.00</w:t>
                        </w:r>
                      </w:p>
                    </w:tc>
                  </w:tr>
                </w:tbl>
                <w:p>
                  <w:pPr>
                    <w:pStyle w:val="BodyText"/>
                  </w:pPr>
                </w:p>
              </w:txbxContent>
            </v:textbox>
            <w10:wrap type="none"/>
          </v:shape>
        </w:pict>
      </w:r>
      <w:r>
        <w:rPr/>
        <w:t>若该投资者申购金额为</w:t>
      </w:r>
      <w:r>
        <w:rPr>
          <w:rFonts w:ascii="Times New Roman" w:eastAsia="Times New Roman"/>
        </w:rPr>
        <w:t>500</w:t>
      </w:r>
      <w:r>
        <w:rPr/>
        <w:t>万元，则申购负担的前端申购费用和获得的基金份额计算如下：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4"/>
        </w:rPr>
      </w:pPr>
      <w:r>
        <w:rPr/>
        <w:pict>
          <v:group style="position:absolute;margin-left:203.210007pt;margin-top:17.954365pt;width:188.35pt;height:72.75pt;mso-position-horizontal-relative:page;mso-position-vertical-relative:paragraph;z-index:-251616256;mso-wrap-distance-left:0;mso-wrap-distance-right:0" coordorigin="4064,359" coordsize="3767,1455">
            <v:line style="position:absolute" from="4079,814" to="7830,814" stroked="true" strokeweight=".47998pt" strokecolor="#000000">
              <v:stroke dashstyle="solid"/>
            </v:line>
            <v:shape style="position:absolute;left:6147;top:359;width:10;height:1426" type="#_x0000_t75" stroked="false">
              <v:imagedata r:id="rId145" o:title=""/>
            </v:shape>
            <v:line style="position:absolute" from="4079,1291" to="7830,1291" stroked="true" strokeweight=".47998pt" strokecolor="#000000">
              <v:stroke dashstyle="solid"/>
            </v:line>
            <v:line style="position:absolute" from="4064,1799" to="6147,1799" stroked="true" strokeweight="1.44pt" strokecolor="#000000">
              <v:stroke dashstyle="solid"/>
            </v:line>
            <v:rect style="position:absolute;left:6147;top:1784;width:29;height:29" filled="true" fillcolor="#000000" stroked="false">
              <v:fill type="solid"/>
            </v:rect>
            <v:line style="position:absolute" from="6176,1799" to="7830,1799" stroked="true" strokeweight="1.44pt" strokecolor="#000000">
              <v:stroke dashstyle="solid"/>
            </v:line>
            <v:shape style="position:absolute;left:4109;top:480;width:1972;height:234" type="#_x0000_t202" filled="false" stroked="false">
              <v:textbox inset="0,0,0,0">
                <w:txbxContent>
                  <w:p>
                    <w:pPr>
                      <w:spacing w:line="234" w:lineRule="exact" w:before="0"/>
                      <w:ind w:left="0" w:right="0" w:firstLine="0"/>
                      <w:jc w:val="left"/>
                      <w:rPr>
                        <w:sz w:val="21"/>
                      </w:rPr>
                    </w:pPr>
                    <w:r>
                      <w:rPr>
                        <w:sz w:val="21"/>
                      </w:rPr>
                      <w:t>净申购金额（</w:t>
                    </w:r>
                    <w:r>
                      <w:rPr>
                        <w:rFonts w:ascii="Times New Roman" w:eastAsia="Times New Roman"/>
                        <w:sz w:val="21"/>
                      </w:rPr>
                      <w:t>c=a-b</w:t>
                    </w:r>
                    <w:r>
                      <w:rPr>
                        <w:sz w:val="21"/>
                      </w:rPr>
                      <w:t>）</w:t>
                    </w:r>
                  </w:p>
                </w:txbxContent>
              </v:textbox>
              <w10:wrap type="none"/>
            </v:shape>
            <v:shape style="position:absolute;left:6695;top:478;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4,999,000.00</w:t>
                    </w:r>
                  </w:p>
                </w:txbxContent>
              </v:textbox>
              <w10:wrap type="none"/>
            </v:shape>
            <v:shape style="position:absolute;left:4109;top:958;width:1808;height:234" type="#_x0000_t202" filled="false" stroked="false">
              <v:textbox inset="0,0,0,0">
                <w:txbxContent>
                  <w:p>
                    <w:pPr>
                      <w:spacing w:line="234" w:lineRule="exact" w:before="0"/>
                      <w:ind w:left="0" w:right="0" w:firstLine="0"/>
                      <w:jc w:val="left"/>
                      <w:rPr>
                        <w:sz w:val="21"/>
                      </w:rPr>
                    </w:pPr>
                    <w:r>
                      <w:rPr>
                        <w:sz w:val="21"/>
                      </w:rPr>
                      <w:t>基金份额净值（</w:t>
                    </w:r>
                    <w:r>
                      <w:rPr>
                        <w:rFonts w:ascii="Times New Roman" w:eastAsia="Times New Roman"/>
                        <w:sz w:val="21"/>
                      </w:rPr>
                      <w:t>d</w:t>
                    </w:r>
                    <w:r>
                      <w:rPr>
                        <w:sz w:val="21"/>
                      </w:rPr>
                      <w:t>）</w:t>
                    </w:r>
                  </w:p>
                </w:txbxContent>
              </v:textbox>
              <w10:wrap type="none"/>
            </v:shape>
            <v:shape style="position:absolute;left:7220;top:955;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1.2300</w:t>
                    </w:r>
                  </w:p>
                </w:txbxContent>
              </v:textbox>
              <w10:wrap type="none"/>
            </v:shape>
            <v:shape style="position:absolute;left:4109;top:1435;width:1751;height:234" type="#_x0000_t202" filled="false" stroked="false">
              <v:textbox inset="0,0,0,0">
                <w:txbxContent>
                  <w:p>
                    <w:pPr>
                      <w:spacing w:line="234" w:lineRule="exact" w:before="0"/>
                      <w:ind w:left="0" w:right="0" w:firstLine="0"/>
                      <w:jc w:val="left"/>
                      <w:rPr>
                        <w:sz w:val="21"/>
                      </w:rPr>
                    </w:pPr>
                    <w:r>
                      <w:rPr>
                        <w:sz w:val="21"/>
                      </w:rPr>
                      <w:t>申购份额（</w:t>
                    </w:r>
                    <w:r>
                      <w:rPr>
                        <w:rFonts w:ascii="Times New Roman" w:eastAsia="Times New Roman"/>
                        <w:sz w:val="21"/>
                      </w:rPr>
                      <w:t>e=c/d</w:t>
                    </w:r>
                    <w:r>
                      <w:rPr>
                        <w:sz w:val="21"/>
                      </w:rPr>
                      <w:t>）</w:t>
                    </w:r>
                  </w:p>
                </w:txbxContent>
              </v:textbox>
              <w10:wrap type="none"/>
            </v:shape>
            <v:shape style="position:absolute;left:6697;top:1433;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4,064,227.64</w:t>
                    </w:r>
                  </w:p>
                </w:txbxContent>
              </v:textbox>
              <w10:wrap type="none"/>
            </v:shape>
            <w10:wrap type="topAndBottom"/>
          </v:group>
        </w:pict>
      </w:r>
    </w:p>
    <w:p>
      <w:pPr>
        <w:pStyle w:val="BodyText"/>
        <w:spacing w:before="70"/>
        <w:ind w:left="640"/>
      </w:pPr>
      <w:r>
        <w:rPr>
          <w:rFonts w:ascii="Times New Roman" w:eastAsia="Times New Roman"/>
        </w:rPr>
        <w:t>2</w:t>
      </w:r>
      <w:r>
        <w:rPr/>
        <w:t>、赎回金额的计算</w:t>
      </w:r>
    </w:p>
    <w:p>
      <w:pPr>
        <w:pStyle w:val="BodyText"/>
        <w:spacing w:before="7"/>
        <w:rPr>
          <w:sz w:val="15"/>
        </w:rPr>
      </w:pPr>
    </w:p>
    <w:p>
      <w:pPr>
        <w:pStyle w:val="BodyText"/>
        <w:ind w:left="640"/>
      </w:pPr>
      <w:r>
        <w:rPr/>
        <w:t>赎回金额的计算方法如下：</w:t>
      </w:r>
    </w:p>
    <w:p>
      <w:pPr>
        <w:pStyle w:val="BodyText"/>
        <w:spacing w:before="7"/>
        <w:rPr>
          <w:sz w:val="15"/>
        </w:rPr>
      </w:pPr>
    </w:p>
    <w:p>
      <w:pPr>
        <w:pStyle w:val="BodyText"/>
        <w:spacing w:line="417" w:lineRule="auto"/>
        <w:ind w:left="1060" w:right="4391"/>
      </w:pPr>
      <w:r>
        <w:rPr/>
        <w:t>赎回金额＝赎回份额</w:t>
      </w:r>
      <w:r>
        <w:rPr>
          <w:rFonts w:ascii="Times New Roman" w:hAnsi="Times New Roman" w:eastAsia="Times New Roman"/>
        </w:rPr>
        <w:t>×T </w:t>
      </w:r>
      <w:r>
        <w:rPr/>
        <w:t>日基金份额净值赎回费用＝赎回金额</w:t>
      </w:r>
      <w:r>
        <w:rPr>
          <w:rFonts w:ascii="Times New Roman" w:hAnsi="Times New Roman" w:eastAsia="Times New Roman"/>
        </w:rPr>
        <w:t>×</w:t>
      </w:r>
      <w:r>
        <w:rPr/>
        <w:t>赎回费率</w:t>
      </w:r>
    </w:p>
    <w:p>
      <w:pPr>
        <w:pStyle w:val="BodyText"/>
        <w:spacing w:line="269" w:lineRule="exact"/>
        <w:ind w:left="1060"/>
      </w:pPr>
      <w:r>
        <w:rPr/>
        <w:t>净赎回金额＝赎回金额</w:t>
      </w:r>
      <w:r>
        <w:rPr>
          <w:rFonts w:ascii="Times New Roman" w:eastAsia="Times New Roman"/>
        </w:rPr>
        <w:t>-</w:t>
      </w:r>
      <w:r>
        <w:rPr/>
        <w:t>赎回费用</w:t>
      </w:r>
    </w:p>
    <w:p>
      <w:pPr>
        <w:pStyle w:val="BodyText"/>
        <w:spacing w:before="6"/>
        <w:rPr>
          <w:sz w:val="15"/>
        </w:rPr>
      </w:pPr>
    </w:p>
    <w:p>
      <w:pPr>
        <w:pStyle w:val="BodyText"/>
        <w:spacing w:line="417" w:lineRule="auto" w:before="1"/>
        <w:ind w:left="220" w:right="593" w:firstLine="419"/>
      </w:pPr>
      <w:r>
        <w:rPr/>
        <w:t>例：假定某投资者在</w:t>
      </w:r>
      <w:r>
        <w:rPr>
          <w:rFonts w:ascii="Times New Roman" w:eastAsia="Times New Roman"/>
        </w:rPr>
        <w:t>T</w:t>
      </w:r>
      <w:r>
        <w:rPr/>
        <w:t>日赎回</w:t>
      </w:r>
      <w:r>
        <w:rPr>
          <w:rFonts w:ascii="Times New Roman" w:eastAsia="Times New Roman"/>
        </w:rPr>
        <w:t>10,000.00</w:t>
      </w:r>
      <w:r>
        <w:rPr/>
        <w:t>份，持有期限半年，该日基金份额净值为</w:t>
      </w:r>
      <w:r>
        <w:rPr>
          <w:rFonts w:ascii="Times New Roman" w:eastAsia="Times New Roman"/>
        </w:rPr>
        <w:t>1.2500 </w:t>
      </w:r>
      <w:r>
        <w:rPr/>
        <w:t>元，则其获得的净赎回金额计算如下：</w:t>
      </w:r>
    </w:p>
    <w:p>
      <w:pPr>
        <w:pStyle w:val="BodyText"/>
        <w:ind w:left="1060"/>
      </w:pPr>
      <w:r>
        <w:rPr/>
        <w:t>赎回金额</w:t>
      </w:r>
      <w:r>
        <w:rPr>
          <w:rFonts w:ascii="Times New Roman" w:hAnsi="Times New Roman" w:eastAsia="Times New Roman"/>
        </w:rPr>
        <w:t>=10,000.00×1.2500=12,500.00 </w:t>
      </w:r>
      <w:r>
        <w:rPr/>
        <w:t>元</w:t>
      </w:r>
    </w:p>
    <w:p>
      <w:pPr>
        <w:spacing w:after="0"/>
        <w:sectPr>
          <w:pgSz w:w="11910" w:h="16840"/>
          <w:pgMar w:header="877" w:footer="995" w:top="1420" w:bottom="1180" w:left="1580" w:right="1200"/>
        </w:sectPr>
      </w:pPr>
    </w:p>
    <w:p>
      <w:pPr>
        <w:pStyle w:val="BodyText"/>
        <w:spacing w:before="110"/>
        <w:ind w:left="1060"/>
      </w:pPr>
      <w:r>
        <w:rPr/>
        <w:t>赎回费用</w:t>
      </w:r>
      <w:r>
        <w:rPr>
          <w:rFonts w:ascii="Times New Roman" w:hAnsi="Times New Roman" w:eastAsia="Times New Roman"/>
        </w:rPr>
        <w:t>=12,500.00×0.5%=62.50 </w:t>
      </w:r>
      <w:r>
        <w:rPr/>
        <w:t>元</w:t>
      </w:r>
    </w:p>
    <w:p>
      <w:pPr>
        <w:pStyle w:val="BodyText"/>
        <w:spacing w:before="6"/>
        <w:rPr>
          <w:sz w:val="15"/>
        </w:rPr>
      </w:pPr>
    </w:p>
    <w:p>
      <w:pPr>
        <w:pStyle w:val="BodyText"/>
        <w:ind w:left="1060"/>
      </w:pPr>
      <w:r>
        <w:rPr/>
        <w:t>净赎回金额</w:t>
      </w:r>
      <w:r>
        <w:rPr>
          <w:rFonts w:ascii="Times New Roman" w:eastAsia="Times New Roman"/>
        </w:rPr>
        <w:t>=12,500.00-62.50=12,437.50 </w:t>
      </w:r>
      <w:r>
        <w:rPr/>
        <w:t>元</w:t>
      </w:r>
    </w:p>
    <w:p>
      <w:pPr>
        <w:pStyle w:val="BodyText"/>
        <w:spacing w:before="7"/>
        <w:rPr>
          <w:sz w:val="15"/>
        </w:rPr>
      </w:pPr>
    </w:p>
    <w:p>
      <w:pPr>
        <w:pStyle w:val="BodyText"/>
        <w:spacing w:line="417" w:lineRule="auto"/>
        <w:ind w:left="220" w:right="593" w:firstLine="419"/>
        <w:jc w:val="both"/>
      </w:pPr>
      <w:r>
        <w:rPr>
          <w:rFonts w:ascii="Times New Roman" w:eastAsia="Times New Roman"/>
        </w:rPr>
        <w:t>3</w:t>
      </w:r>
      <w:r>
        <w:rPr>
          <w:spacing w:val="-17"/>
        </w:rPr>
        <w:t>、</w:t>
      </w:r>
      <w:r>
        <w:rPr>
          <w:rFonts w:ascii="Times New Roman" w:eastAsia="Times New Roman"/>
        </w:rPr>
        <w:t>T</w:t>
      </w:r>
      <w:r>
        <w:rPr>
          <w:spacing w:val="-4"/>
        </w:rPr>
        <w:t>日的基金份额净值在当日收市后计算，并在</w:t>
      </w:r>
      <w:r>
        <w:rPr>
          <w:rFonts w:ascii="Times New Roman" w:eastAsia="Times New Roman"/>
        </w:rPr>
        <w:t>T+1</w:t>
      </w:r>
      <w:r>
        <w:rPr>
          <w:spacing w:val="-5"/>
        </w:rPr>
        <w:t>日公告，计算公式为计算日基金资产净值除以计算日基金份额余额。基金份额净值的计算保留到小数点后</w:t>
      </w:r>
      <w:r>
        <w:rPr>
          <w:rFonts w:ascii="Times New Roman" w:eastAsia="Times New Roman"/>
        </w:rPr>
        <w:t>4</w:t>
      </w:r>
      <w:r>
        <w:rPr/>
        <w:t>位，小数点后第</w:t>
      </w:r>
      <w:r>
        <w:rPr>
          <w:rFonts w:ascii="Times New Roman" w:eastAsia="Times New Roman"/>
          <w:spacing w:val="-11"/>
        </w:rPr>
        <w:t>5 </w:t>
      </w:r>
      <w:r>
        <w:rPr>
          <w:spacing w:val="-3"/>
        </w:rPr>
        <w:t>位四舍五入。如遇特殊情况，经中国证监会同意，可以适当延迟计算或公告。</w:t>
      </w:r>
    </w:p>
    <w:p>
      <w:pPr>
        <w:pStyle w:val="BodyText"/>
        <w:spacing w:line="269" w:lineRule="exact"/>
        <w:ind w:left="640"/>
      </w:pPr>
      <w:r>
        <w:rPr/>
        <w:t>（八）拒绝或暂停申购的情形</w:t>
      </w:r>
    </w:p>
    <w:p>
      <w:pPr>
        <w:pStyle w:val="BodyText"/>
        <w:spacing w:before="7"/>
        <w:rPr>
          <w:sz w:val="15"/>
        </w:rPr>
      </w:pPr>
    </w:p>
    <w:p>
      <w:pPr>
        <w:pStyle w:val="BodyText"/>
        <w:ind w:left="640"/>
      </w:pPr>
      <w:r>
        <w:rPr/>
        <w:t>发生下列情况时，基金管理人可拒绝或暂停接受投资人的申购申请：</w:t>
      </w:r>
    </w:p>
    <w:p>
      <w:pPr>
        <w:pStyle w:val="BodyText"/>
        <w:spacing w:before="7"/>
        <w:rPr>
          <w:sz w:val="15"/>
        </w:rPr>
      </w:pPr>
    </w:p>
    <w:p>
      <w:pPr>
        <w:pStyle w:val="BodyText"/>
        <w:ind w:left="640"/>
      </w:pPr>
      <w:r>
        <w:rPr>
          <w:rFonts w:ascii="Times New Roman" w:eastAsia="Times New Roman"/>
        </w:rPr>
        <w:t>1</w:t>
      </w:r>
      <w:r>
        <w:rPr/>
        <w:t>、因不可抗力导致基金无法正常运作。</w:t>
      </w:r>
    </w:p>
    <w:p>
      <w:pPr>
        <w:pStyle w:val="BodyText"/>
        <w:spacing w:before="7"/>
        <w:rPr>
          <w:sz w:val="15"/>
        </w:rPr>
      </w:pPr>
    </w:p>
    <w:p>
      <w:pPr>
        <w:pStyle w:val="BodyText"/>
        <w:spacing w:line="417" w:lineRule="auto"/>
        <w:ind w:left="220" w:right="591" w:firstLine="419"/>
        <w:jc w:val="both"/>
      </w:pPr>
      <w:r>
        <w:rPr>
          <w:rFonts w:ascii="Times New Roman" w:eastAsia="Times New Roman"/>
        </w:rPr>
        <w:t>2</w:t>
      </w:r>
      <w:r>
        <w:rPr>
          <w:spacing w:val="-3"/>
        </w:rPr>
        <w:t>、发生基金合同规定的暂停基金资产估值情况时，基金管理人可暂停接受投资人的申</w:t>
      </w:r>
      <w:r>
        <w:rPr>
          <w:spacing w:val="-1"/>
        </w:rPr>
        <w:t>购申请。当前一估值日基金资产净值 </w:t>
      </w:r>
      <w:r>
        <w:rPr>
          <w:rFonts w:ascii="Times New Roman" w:eastAsia="Times New Roman"/>
        </w:rPr>
        <w:t>50%</w:t>
      </w:r>
      <w:r>
        <w:rPr>
          <w:spacing w:val="-1"/>
        </w:rPr>
        <w:t>以上的资产出现无可参考的活跃市场价格且采用</w:t>
      </w:r>
      <w:r>
        <w:rPr>
          <w:spacing w:val="-8"/>
        </w:rPr>
        <w:t>估值技术仍导致公允价值存在重大不确定性时，经与基金托管人协商确认后，基金管理人应</w:t>
      </w:r>
      <w:r>
        <w:rPr>
          <w:spacing w:val="-5"/>
        </w:rPr>
        <w:t>当暂停接受基金申购申请。</w:t>
      </w:r>
    </w:p>
    <w:p>
      <w:pPr>
        <w:pStyle w:val="BodyText"/>
        <w:spacing w:line="268" w:lineRule="exact"/>
        <w:ind w:left="640"/>
      </w:pPr>
      <w:r>
        <w:rPr>
          <w:rFonts w:ascii="Times New Roman" w:eastAsia="Times New Roman"/>
        </w:rPr>
        <w:t>3</w:t>
      </w:r>
      <w:r>
        <w:rPr/>
        <w:t>、证券</w:t>
      </w:r>
      <w:r>
        <w:rPr>
          <w:rFonts w:ascii="Times New Roman" w:eastAsia="Times New Roman"/>
        </w:rPr>
        <w:t>/</w:t>
      </w:r>
      <w:r>
        <w:rPr/>
        <w:t>期货交易所交易时间非正常停市，导致基金管理人无法计算当日基金资产净值。</w:t>
      </w:r>
    </w:p>
    <w:p>
      <w:pPr>
        <w:pStyle w:val="BodyText"/>
        <w:spacing w:before="7"/>
        <w:rPr>
          <w:sz w:val="15"/>
        </w:rPr>
      </w:pPr>
    </w:p>
    <w:p>
      <w:pPr>
        <w:pStyle w:val="BodyText"/>
        <w:ind w:left="640"/>
      </w:pPr>
      <w:r>
        <w:rPr>
          <w:rFonts w:ascii="Times New Roman" w:eastAsia="Times New Roman"/>
        </w:rPr>
        <w:t>4</w:t>
      </w:r>
      <w:r>
        <w:rPr/>
        <w:t>、接受某笔或某些申购申请可能会影响或损害现有基金份额持有人利益时。</w:t>
      </w:r>
    </w:p>
    <w:p>
      <w:pPr>
        <w:pStyle w:val="BodyText"/>
        <w:spacing w:before="7"/>
        <w:rPr>
          <w:sz w:val="15"/>
        </w:rPr>
      </w:pPr>
    </w:p>
    <w:p>
      <w:pPr>
        <w:pStyle w:val="BodyText"/>
        <w:spacing w:line="417" w:lineRule="auto"/>
        <w:ind w:left="220" w:right="594" w:firstLine="41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pStyle w:val="BodyText"/>
        <w:spacing w:line="269" w:lineRule="exact"/>
        <w:ind w:left="640"/>
      </w:pPr>
      <w:r>
        <w:rPr>
          <w:rFonts w:ascii="Times New Roman" w:eastAsia="Times New Roman"/>
        </w:rPr>
        <w:t>6</w:t>
      </w:r>
      <w:r>
        <w:rPr/>
        <w:t>、基金管理人、基金托管人、登记机构、销售机构等因异常情况无法办理申购业务。</w:t>
      </w:r>
    </w:p>
    <w:p>
      <w:pPr>
        <w:pStyle w:val="BodyText"/>
        <w:spacing w:before="7"/>
        <w:rPr>
          <w:sz w:val="15"/>
        </w:rPr>
      </w:pPr>
    </w:p>
    <w:p>
      <w:pPr>
        <w:pStyle w:val="BodyText"/>
        <w:spacing w:line="417" w:lineRule="auto"/>
        <w:ind w:left="220" w:right="594" w:firstLine="419"/>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269" w:lineRule="exact"/>
        <w:ind w:left="640"/>
      </w:pPr>
      <w:r>
        <w:rPr>
          <w:rFonts w:ascii="Times New Roman" w:eastAsia="Times New Roman"/>
        </w:rPr>
        <w:t>8</w:t>
      </w:r>
      <w:r>
        <w:rPr/>
        <w:t>、法律法规规定或中国证监会认定的其他情形。</w:t>
      </w:r>
    </w:p>
    <w:p>
      <w:pPr>
        <w:pStyle w:val="BodyText"/>
        <w:spacing w:before="6"/>
        <w:rPr>
          <w:sz w:val="15"/>
        </w:rPr>
      </w:pPr>
    </w:p>
    <w:p>
      <w:pPr>
        <w:pStyle w:val="BodyText"/>
        <w:spacing w:line="417" w:lineRule="auto"/>
        <w:ind w:left="220" w:right="382" w:firstLine="419"/>
      </w:pPr>
      <w:r>
        <w:rPr>
          <w:spacing w:val="-5"/>
        </w:rPr>
        <w:t>发生上述第 </w:t>
      </w:r>
      <w:r>
        <w:rPr>
          <w:rFonts w:ascii="Times New Roman" w:eastAsia="Times New Roman"/>
        </w:rPr>
        <w:t>1</w:t>
      </w:r>
      <w:r>
        <w:rPr/>
        <w:t>、</w:t>
      </w:r>
      <w:r>
        <w:rPr>
          <w:rFonts w:ascii="Times New Roman" w:eastAsia="Times New Roman"/>
          <w:spacing w:val="-3"/>
        </w:rPr>
        <w:t>2</w:t>
      </w:r>
      <w:r>
        <w:rPr/>
        <w:t>、</w:t>
      </w:r>
      <w:r>
        <w:rPr>
          <w:rFonts w:ascii="Times New Roman" w:eastAsia="Times New Roman"/>
          <w:spacing w:val="-3"/>
        </w:rPr>
        <w:t>3</w:t>
      </w:r>
      <w:r>
        <w:rPr/>
        <w:t>、</w:t>
      </w:r>
      <w:r>
        <w:rPr>
          <w:rFonts w:ascii="Times New Roman" w:eastAsia="Times New Roman"/>
        </w:rPr>
        <w:t>5</w:t>
      </w:r>
      <w:r>
        <w:rPr>
          <w:spacing w:val="-3"/>
        </w:rPr>
        <w:t>、</w:t>
      </w:r>
      <w:r>
        <w:rPr>
          <w:rFonts w:ascii="Times New Roman" w:eastAsia="Times New Roman"/>
        </w:rPr>
        <w:t>6</w:t>
      </w:r>
      <w:r>
        <w:rPr/>
        <w:t>、</w:t>
      </w:r>
      <w:r>
        <w:rPr>
          <w:rFonts w:ascii="Times New Roman" w:eastAsia="Times New Roman"/>
        </w:rPr>
        <w:t>8 </w:t>
      </w:r>
      <w:r>
        <w:rPr>
          <w:spacing w:val="-3"/>
        </w:rPr>
        <w:t>项暂停申购情形之一且基金管理人决定暂停申购时，基金</w:t>
      </w:r>
      <w:r>
        <w:rPr>
          <w:spacing w:val="-7"/>
        </w:rPr>
        <w:t>管理人应当根据有关规定在指定媒介上刊登暂停申购公告。如果投资人的申购申请被拒绝， </w:t>
      </w:r>
      <w:r>
        <w:rPr>
          <w:spacing w:val="-10"/>
        </w:rPr>
        <w:t>被拒绝的申购款项将退还给投资人。在暂停申购的情况消除时，基金管理人应及时恢复申购 </w:t>
      </w:r>
      <w:r>
        <w:rPr>
          <w:spacing w:val="-5"/>
        </w:rPr>
        <w:t>业务的办理。</w:t>
      </w:r>
    </w:p>
    <w:p>
      <w:pPr>
        <w:pStyle w:val="BodyText"/>
        <w:ind w:left="640"/>
      </w:pPr>
      <w:r>
        <w:rPr/>
        <w:t>（九）暂停赎回或延缓支付赎回款项的情形</w:t>
      </w:r>
    </w:p>
    <w:p>
      <w:pPr>
        <w:pStyle w:val="BodyText"/>
        <w:spacing w:before="7"/>
        <w:rPr>
          <w:sz w:val="15"/>
        </w:rPr>
      </w:pPr>
    </w:p>
    <w:p>
      <w:pPr>
        <w:pStyle w:val="BodyText"/>
        <w:ind w:left="640"/>
      </w:pPr>
      <w:r>
        <w:rPr/>
        <w:t>发生下列情形时，基金管理人可暂停接受投资人的赎回申请或延缓支付赎回款项：</w:t>
      </w:r>
    </w:p>
    <w:p>
      <w:pPr>
        <w:pStyle w:val="BodyText"/>
        <w:spacing w:before="7"/>
        <w:rPr>
          <w:sz w:val="15"/>
        </w:rPr>
      </w:pPr>
    </w:p>
    <w:p>
      <w:pPr>
        <w:pStyle w:val="BodyText"/>
        <w:ind w:left="640"/>
      </w:pPr>
      <w:r>
        <w:rPr>
          <w:rFonts w:ascii="Times New Roman" w:eastAsia="Times New Roman"/>
        </w:rPr>
        <w:t>1</w:t>
      </w:r>
      <w:r>
        <w:rPr/>
        <w:t>、因不可抗力导致基金管理人不能支付赎回款项。</w:t>
      </w:r>
    </w:p>
    <w:p>
      <w:pPr>
        <w:pStyle w:val="BodyText"/>
        <w:spacing w:before="6"/>
        <w:rPr>
          <w:sz w:val="15"/>
        </w:rPr>
      </w:pPr>
    </w:p>
    <w:p>
      <w:pPr>
        <w:pStyle w:val="BodyText"/>
        <w:spacing w:line="417" w:lineRule="auto" w:before="1"/>
        <w:ind w:left="220" w:right="591" w:firstLine="419"/>
        <w:jc w:val="both"/>
      </w:pPr>
      <w:r>
        <w:rPr>
          <w:rFonts w:ascii="Times New Roman" w:eastAsia="Times New Roman"/>
        </w:rPr>
        <w:t>2</w:t>
      </w:r>
      <w:r>
        <w:rPr>
          <w:spacing w:val="-3"/>
        </w:rPr>
        <w:t>、发生基金合同规定的暂停基金资产估值情况时，基金管理人可暂停接受投资人的赎</w:t>
      </w:r>
      <w:r>
        <w:rPr>
          <w:spacing w:val="-2"/>
        </w:rPr>
        <w:t>回申请或延缓支付赎回款项。当前一估值日基金资产净值 </w:t>
      </w:r>
      <w:r>
        <w:rPr>
          <w:rFonts w:ascii="Times New Roman" w:eastAsia="Times New Roman"/>
        </w:rPr>
        <w:t>50%</w:t>
      </w:r>
      <w:r>
        <w:rPr>
          <w:spacing w:val="-2"/>
        </w:rPr>
        <w:t>以上的资产出现无可参考的</w:t>
      </w:r>
      <w:r>
        <w:rPr>
          <w:spacing w:val="-7"/>
        </w:rPr>
        <w:t>活跃市场价格且采用估值技术仍导致公允价值存在重大不确定性时，经与基金托管人协商确</w:t>
      </w:r>
    </w:p>
    <w:p>
      <w:pPr>
        <w:spacing w:after="0" w:line="417" w:lineRule="auto"/>
        <w:jc w:val="both"/>
        <w:sectPr>
          <w:pgSz w:w="11910" w:h="16840"/>
          <w:pgMar w:header="877" w:footer="995" w:top="1420" w:bottom="1180" w:left="1580" w:right="1200"/>
        </w:sectPr>
      </w:pPr>
    </w:p>
    <w:p>
      <w:pPr>
        <w:pStyle w:val="BodyText"/>
        <w:spacing w:before="110"/>
        <w:ind w:left="220"/>
      </w:pPr>
      <w:r>
        <w:rPr/>
        <w:t>认后，基金管理人应当暂停接受基金赎回申请或延缓支付赎回款项。</w:t>
      </w:r>
    </w:p>
    <w:p>
      <w:pPr>
        <w:pStyle w:val="BodyText"/>
        <w:spacing w:before="6"/>
        <w:rPr>
          <w:sz w:val="15"/>
        </w:rPr>
      </w:pPr>
    </w:p>
    <w:p>
      <w:pPr>
        <w:pStyle w:val="BodyText"/>
        <w:ind w:left="640"/>
      </w:pPr>
      <w:r>
        <w:rPr>
          <w:rFonts w:ascii="Times New Roman" w:eastAsia="Times New Roman"/>
        </w:rPr>
        <w:t>3</w:t>
      </w:r>
      <w:r>
        <w:rPr/>
        <w:t>、证券</w:t>
      </w:r>
      <w:r>
        <w:rPr>
          <w:rFonts w:ascii="Times New Roman" w:eastAsia="Times New Roman"/>
        </w:rPr>
        <w:t>/</w:t>
      </w:r>
      <w:r>
        <w:rPr/>
        <w:t>期货交易所交易时间非正常停市，导致基金管理人无法计算当日基金资产净值。</w:t>
      </w:r>
    </w:p>
    <w:p>
      <w:pPr>
        <w:pStyle w:val="BodyText"/>
        <w:spacing w:before="7"/>
        <w:rPr>
          <w:sz w:val="15"/>
        </w:rPr>
      </w:pPr>
    </w:p>
    <w:p>
      <w:pPr>
        <w:pStyle w:val="BodyText"/>
        <w:ind w:left="640"/>
      </w:pPr>
      <w:r>
        <w:rPr>
          <w:rFonts w:ascii="Times New Roman" w:eastAsia="Times New Roman"/>
        </w:rPr>
        <w:t>4</w:t>
      </w:r>
      <w:r>
        <w:rPr/>
        <w:t>、连续两个或两个以上开放日发生巨额赎回。</w:t>
      </w:r>
    </w:p>
    <w:p>
      <w:pPr>
        <w:pStyle w:val="BodyText"/>
        <w:spacing w:before="7"/>
        <w:rPr>
          <w:sz w:val="15"/>
        </w:rPr>
      </w:pPr>
    </w:p>
    <w:p>
      <w:pPr>
        <w:pStyle w:val="BodyText"/>
        <w:ind w:left="640"/>
      </w:pPr>
      <w:r>
        <w:rPr>
          <w:rFonts w:ascii="Times New Roman" w:eastAsia="Times New Roman"/>
        </w:rPr>
        <w:t>5</w:t>
      </w:r>
      <w:r>
        <w:rPr/>
        <w:t>、继续接受赎回申请可能会影响或损害现有基金份额持有人利益时。</w:t>
      </w:r>
    </w:p>
    <w:p>
      <w:pPr>
        <w:pStyle w:val="BodyText"/>
        <w:spacing w:before="7"/>
        <w:rPr>
          <w:sz w:val="15"/>
        </w:rPr>
      </w:pPr>
    </w:p>
    <w:p>
      <w:pPr>
        <w:pStyle w:val="BodyText"/>
        <w:ind w:left="640"/>
      </w:pPr>
      <w:r>
        <w:rPr>
          <w:rFonts w:ascii="Times New Roman" w:eastAsia="Times New Roman"/>
        </w:rPr>
        <w:t>6</w:t>
      </w:r>
      <w:r>
        <w:rPr/>
        <w:t>、法律法规规定或中国证监会认定的其他情形。</w:t>
      </w:r>
    </w:p>
    <w:p>
      <w:pPr>
        <w:pStyle w:val="BodyText"/>
        <w:spacing w:before="6"/>
        <w:rPr>
          <w:sz w:val="15"/>
        </w:rPr>
      </w:pPr>
    </w:p>
    <w:p>
      <w:pPr>
        <w:pStyle w:val="BodyText"/>
        <w:spacing w:line="417" w:lineRule="auto"/>
        <w:ind w:left="220" w:right="591" w:firstLine="419"/>
        <w:jc w:val="both"/>
      </w:pPr>
      <w:r>
        <w:rPr>
          <w:spacing w:val="-7"/>
        </w:rPr>
        <w:t>发生上述情形且基金管理人决定暂停赎回或延缓支付赎回款项时，基金管理人应在当日</w:t>
      </w:r>
      <w:r>
        <w:rPr>
          <w:spacing w:val="-12"/>
        </w:rPr>
        <w:t>报中国证监会备案，已确认的赎回申请，基金管理人应足额支付；如暂时不能足额支付，应</w:t>
      </w:r>
      <w:r>
        <w:rPr>
          <w:spacing w:val="-9"/>
        </w:rPr>
        <w:t>将可支付部分按单个账户申请量占申请总量的比例分配给赎回申请人，未支付部分可延期支</w:t>
      </w:r>
      <w:r>
        <w:rPr>
          <w:spacing w:val="-10"/>
        </w:rPr>
        <w:t>付，并以后续开放日的基金份额净值为依据计算赎回金额。若出现上述第 </w:t>
      </w:r>
      <w:r>
        <w:rPr>
          <w:rFonts w:ascii="Times New Roman" w:eastAsia="Times New Roman"/>
        </w:rPr>
        <w:t>4 </w:t>
      </w:r>
      <w:r>
        <w:rPr>
          <w:spacing w:val="-7"/>
        </w:rPr>
        <w:t>项所述情形，按</w:t>
      </w:r>
      <w:r>
        <w:rPr>
          <w:spacing w:val="-12"/>
        </w:rPr>
        <w:t>基金合同的相关条款处理。基金份额持有人在申请赎回时可事先选择将当日可能未获受理部</w:t>
      </w:r>
      <w:r>
        <w:rPr>
          <w:spacing w:val="-6"/>
        </w:rPr>
        <w:t>分予以撤销。在暂停赎回的情况消除时，基金管理人应及时恢复赎回业务的办理并公告。</w:t>
      </w:r>
    </w:p>
    <w:p>
      <w:pPr>
        <w:pStyle w:val="BodyText"/>
        <w:spacing w:line="269" w:lineRule="exact"/>
        <w:ind w:left="640"/>
      </w:pPr>
      <w:r>
        <w:rPr/>
        <w:t>（十）巨额赎回的情形及处理方式</w:t>
      </w:r>
    </w:p>
    <w:p>
      <w:pPr>
        <w:pStyle w:val="BodyText"/>
        <w:spacing w:before="7"/>
        <w:rPr>
          <w:sz w:val="15"/>
        </w:rPr>
      </w:pPr>
    </w:p>
    <w:p>
      <w:pPr>
        <w:pStyle w:val="BodyText"/>
        <w:ind w:left="640"/>
      </w:pPr>
      <w:r>
        <w:rPr>
          <w:rFonts w:ascii="Times New Roman" w:eastAsia="Times New Roman"/>
        </w:rPr>
        <w:t>1</w:t>
      </w:r>
      <w:r>
        <w:rPr/>
        <w:t>、巨额赎回的认定</w:t>
      </w:r>
    </w:p>
    <w:p>
      <w:pPr>
        <w:pStyle w:val="BodyText"/>
        <w:spacing w:before="7"/>
        <w:rPr>
          <w:sz w:val="15"/>
        </w:rPr>
      </w:pPr>
    </w:p>
    <w:p>
      <w:pPr>
        <w:pStyle w:val="BodyText"/>
        <w:spacing w:line="417" w:lineRule="auto"/>
        <w:ind w:left="220" w:right="591" w:firstLine="419"/>
        <w:jc w:val="both"/>
      </w:pPr>
      <w:r>
        <w:rPr>
          <w:spacing w:val="-8"/>
        </w:rPr>
        <w:t>若本基金单个开放日内的基金份额净赎回申请</w:t>
      </w:r>
      <w:r>
        <w:rPr/>
        <w:t>（</w:t>
      </w:r>
      <w:r>
        <w:rPr>
          <w:spacing w:val="-3"/>
        </w:rPr>
        <w:t>赎回申请份额总数加上基金转换中转出申请份额总数后扣除申购申请份额总数及基金转换中转入申请份额总数后的余额</w:t>
      </w:r>
      <w:r>
        <w:rPr>
          <w:spacing w:val="-94"/>
        </w:rPr>
        <w:t>）</w:t>
      </w:r>
      <w:r>
        <w:rPr>
          <w:spacing w:val="-3"/>
        </w:rPr>
        <w:t>超过前一</w:t>
      </w:r>
      <w:r>
        <w:rPr>
          <w:spacing w:val="-8"/>
        </w:rPr>
        <w:t>开放日的基金总份额的 </w:t>
      </w:r>
      <w:r>
        <w:rPr>
          <w:rFonts w:ascii="Times New Roman" w:eastAsia="Times New Roman"/>
        </w:rPr>
        <w:t>10%</w:t>
      </w:r>
      <w:r>
        <w:rPr>
          <w:spacing w:val="-3"/>
        </w:rPr>
        <w:t>，即认为是发生了巨额赎回。</w:t>
      </w:r>
    </w:p>
    <w:p>
      <w:pPr>
        <w:pStyle w:val="BodyText"/>
        <w:ind w:left="640"/>
      </w:pPr>
      <w:r>
        <w:rPr>
          <w:rFonts w:ascii="Times New Roman" w:eastAsia="Times New Roman"/>
        </w:rPr>
        <w:t>2</w:t>
      </w:r>
      <w:r>
        <w:rPr/>
        <w:t>、巨额赎回的处理方式</w:t>
      </w:r>
    </w:p>
    <w:p>
      <w:pPr>
        <w:pStyle w:val="BodyText"/>
        <w:spacing w:before="6"/>
        <w:rPr>
          <w:sz w:val="15"/>
        </w:rPr>
      </w:pPr>
    </w:p>
    <w:p>
      <w:pPr>
        <w:pStyle w:val="BodyText"/>
        <w:spacing w:line="417" w:lineRule="auto" w:before="1"/>
        <w:ind w:left="220" w:right="591" w:firstLine="419"/>
      </w:pPr>
      <w:r>
        <w:rPr>
          <w:spacing w:val="-12"/>
        </w:rPr>
        <w:t>当基金出现巨额赎回时，基金管理人可以根据基金当时的资产组合状况决定全额赎回或</w:t>
      </w:r>
      <w:r>
        <w:rPr>
          <w:spacing w:val="-6"/>
        </w:rPr>
        <w:t>部分延期赎回。</w:t>
      </w:r>
    </w:p>
    <w:p>
      <w:pPr>
        <w:pStyle w:val="ListParagraph"/>
        <w:numPr>
          <w:ilvl w:val="0"/>
          <w:numId w:val="9"/>
        </w:numPr>
        <w:tabs>
          <w:tab w:pos="1170" w:val="left" w:leader="none"/>
        </w:tabs>
        <w:spacing w:line="417" w:lineRule="auto" w:before="0" w:after="0"/>
        <w:ind w:left="220" w:right="594" w:firstLine="419"/>
        <w:jc w:val="left"/>
        <w:rPr>
          <w:sz w:val="21"/>
        </w:rPr>
      </w:pPr>
      <w:r>
        <w:rPr>
          <w:spacing w:val="-3"/>
          <w:sz w:val="21"/>
        </w:rPr>
        <w:t>全额赎回：当基金管理人认为有能力支付投资人的全部赎回申请时，按正常赎回程序执行。</w:t>
      </w:r>
    </w:p>
    <w:p>
      <w:pPr>
        <w:pStyle w:val="ListParagraph"/>
        <w:numPr>
          <w:ilvl w:val="0"/>
          <w:numId w:val="9"/>
        </w:numPr>
        <w:tabs>
          <w:tab w:pos="1170" w:val="left" w:leader="none"/>
        </w:tabs>
        <w:spacing w:line="417" w:lineRule="auto" w:before="0" w:after="0"/>
        <w:ind w:left="220" w:right="485" w:firstLine="419"/>
        <w:jc w:val="left"/>
        <w:rPr>
          <w:sz w:val="21"/>
        </w:rPr>
      </w:pPr>
      <w:r>
        <w:rPr>
          <w:spacing w:val="-3"/>
          <w:sz w:val="21"/>
        </w:rPr>
        <w:t>部分延期赎回：当基金管理人认为支付投资人的赎回申请有困难或认为因支付投</w:t>
      </w:r>
      <w:r>
        <w:rPr>
          <w:spacing w:val="-6"/>
          <w:sz w:val="21"/>
        </w:rPr>
        <w:t>资人的赎回申请而进行的财产变现可能会对基金资产净值造成较大波动时，基金管理人在当</w:t>
      </w:r>
      <w:r>
        <w:rPr>
          <w:spacing w:val="-5"/>
          <w:sz w:val="21"/>
        </w:rPr>
        <w:t>日接受赎回比例不低于上一开放日基金总份额的 </w:t>
      </w:r>
      <w:r>
        <w:rPr>
          <w:rFonts w:ascii="Times New Roman" w:eastAsia="Times New Roman"/>
          <w:sz w:val="21"/>
        </w:rPr>
        <w:t>10%</w:t>
      </w:r>
      <w:r>
        <w:rPr>
          <w:sz w:val="21"/>
        </w:rPr>
        <w:t>的前提下，可对其余赎回申请延期办</w:t>
      </w:r>
      <w:r>
        <w:rPr>
          <w:spacing w:val="-11"/>
          <w:sz w:val="21"/>
        </w:rPr>
        <w:t>理。对于当日的赎回申请，应当按单个账户赎回申请量占赎回申请总量的比例，确定当日受</w:t>
      </w:r>
      <w:r>
        <w:rPr>
          <w:spacing w:val="-18"/>
          <w:sz w:val="21"/>
        </w:rPr>
        <w:t>理的赎回份额；对于未能赎回部分，投资人在提交赎回申请时可以选择延期赎回或取消赎回。</w:t>
      </w:r>
      <w:r>
        <w:rPr>
          <w:spacing w:val="-20"/>
          <w:sz w:val="21"/>
        </w:rPr>
        <w:t>选择延期赎回的，将自动转入下一个开放日继续赎回，直到全部赎回为止；选择取消赎回的， </w:t>
      </w:r>
      <w:r>
        <w:rPr>
          <w:spacing w:val="-7"/>
          <w:sz w:val="21"/>
        </w:rPr>
        <w:t>当日未获受理的部分赎回申请将被撤销。延期的赎回申请与下一开放日赎回申请一并处理， </w:t>
      </w:r>
      <w:r>
        <w:rPr>
          <w:spacing w:val="-9"/>
          <w:sz w:val="21"/>
        </w:rPr>
        <w:t>无优先权并以下一开放日的基金份额净值为基础计算赎回金额，以此类推，直到全部赎回为</w:t>
      </w:r>
      <w:r>
        <w:rPr>
          <w:spacing w:val="-5"/>
          <w:sz w:val="21"/>
        </w:rPr>
        <w:t>止。如投资人在提交赎回申请时未作明确选择，投资人未能赎回部分作自动延期赎回处理。</w:t>
      </w:r>
    </w:p>
    <w:p>
      <w:pPr>
        <w:spacing w:after="0" w:line="417" w:lineRule="auto"/>
        <w:jc w:val="left"/>
        <w:rPr>
          <w:sz w:val="21"/>
        </w:rPr>
        <w:sectPr>
          <w:pgSz w:w="11910" w:h="16840"/>
          <w:pgMar w:header="877" w:footer="995" w:top="1420" w:bottom="1180" w:left="1580" w:right="1200"/>
        </w:sectPr>
      </w:pPr>
    </w:p>
    <w:p>
      <w:pPr>
        <w:pStyle w:val="ListParagraph"/>
        <w:numPr>
          <w:ilvl w:val="0"/>
          <w:numId w:val="9"/>
        </w:numPr>
        <w:tabs>
          <w:tab w:pos="1170" w:val="left" w:leader="none"/>
        </w:tabs>
        <w:spacing w:line="417" w:lineRule="auto" w:before="110" w:after="0"/>
        <w:ind w:left="220" w:right="591" w:firstLine="419"/>
        <w:jc w:val="both"/>
        <w:rPr>
          <w:sz w:val="21"/>
        </w:rPr>
      </w:pPr>
      <w:r>
        <w:rPr>
          <w:spacing w:val="-7"/>
          <w:sz w:val="21"/>
        </w:rPr>
        <w:t>暂停赎回：连续 </w:t>
      </w:r>
      <w:r>
        <w:rPr>
          <w:rFonts w:ascii="Times New Roman" w:eastAsia="Times New Roman"/>
          <w:sz w:val="21"/>
        </w:rPr>
        <w:t>2</w:t>
      </w:r>
      <w:r>
        <w:rPr>
          <w:rFonts w:ascii="Times New Roman" w:eastAsia="Times New Roman"/>
          <w:spacing w:val="23"/>
          <w:sz w:val="21"/>
        </w:rPr>
        <w:t> </w:t>
      </w:r>
      <w:r>
        <w:rPr>
          <w:spacing w:val="-3"/>
          <w:sz w:val="21"/>
        </w:rPr>
        <w:t>个开放日以上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 </w:t>
      </w:r>
      <w:r>
        <w:rPr>
          <w:rFonts w:ascii="Times New Roman" w:eastAsia="Times New Roman"/>
          <w:sz w:val="21"/>
        </w:rPr>
        <w:t>20</w:t>
      </w:r>
      <w:r>
        <w:rPr>
          <w:rFonts w:ascii="Times New Roman" w:eastAsia="Times New Roman"/>
          <w:spacing w:val="-3"/>
          <w:sz w:val="21"/>
        </w:rPr>
        <w:t> </w:t>
      </w:r>
      <w:r>
        <w:rPr>
          <w:spacing w:val="-3"/>
          <w:sz w:val="21"/>
        </w:rPr>
        <w:t>个工作日，并应当在指定媒介上进行公告。</w:t>
      </w:r>
    </w:p>
    <w:p>
      <w:pPr>
        <w:pStyle w:val="ListParagraph"/>
        <w:numPr>
          <w:ilvl w:val="0"/>
          <w:numId w:val="9"/>
        </w:numPr>
        <w:tabs>
          <w:tab w:pos="1167" w:val="left" w:leader="none"/>
        </w:tabs>
        <w:spacing w:line="417" w:lineRule="auto" w:before="0" w:after="0"/>
        <w:ind w:left="220" w:right="591" w:firstLine="419"/>
        <w:jc w:val="both"/>
        <w:rPr>
          <w:sz w:val="21"/>
        </w:rPr>
      </w:pPr>
      <w:r>
        <w:rPr>
          <w:spacing w:val="-5"/>
          <w:sz w:val="21"/>
        </w:rPr>
        <w:t>如果基金发生巨额赎回，在单个基金份额持有人超过基金总份额 </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220" w:right="59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spacing w:val="-7"/>
        </w:rPr>
        <w:t>20%</w:t>
      </w:r>
      <w:r>
        <w:rPr>
          <w:spacing w:val="-9"/>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17" w:lineRule="auto"/>
        <w:ind w:left="220" w:right="591" w:firstLine="419"/>
        <w:jc w:val="both"/>
      </w:pPr>
      <w:r>
        <w:rPr>
          <w:spacing w:val="-7"/>
        </w:rPr>
        <w:t>②如果基金管理人认为仅支付其他投资人的赎回申请也有困难时，则所有投资人的赎回</w:t>
      </w:r>
      <w:r>
        <w:rPr>
          <w:spacing w:val="-57"/>
        </w:rPr>
        <w:t>申请</w:t>
      </w:r>
      <w:r>
        <w:rPr>
          <w:spacing w:val="-3"/>
        </w:rPr>
        <w:t>（</w:t>
      </w:r>
      <w:r>
        <w:rPr>
          <w:spacing w:val="-5"/>
        </w:rPr>
        <w:t>包括单个投资人超过基金总份额 </w:t>
      </w:r>
      <w:r>
        <w:rPr>
          <w:rFonts w:ascii="Times New Roman" w:hAnsi="Times New Roman" w:eastAsia="Times New Roman"/>
        </w:rPr>
        <w:t>20%</w:t>
      </w:r>
      <w:r>
        <w:rPr>
          <w:spacing w:val="-3"/>
        </w:rPr>
        <w:t>以上的大额赎回申请和其他投资人的赎回申请</w:t>
      </w:r>
      <w:r>
        <w:rPr/>
        <w:t>） </w:t>
      </w:r>
      <w:r>
        <w:rPr>
          <w:spacing w:val="-20"/>
          <w:w w:val="100"/>
        </w:rPr>
        <w:t>都按照上述“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部分延期赎回”的约定一并办理。</w:t>
      </w:r>
    </w:p>
    <w:p>
      <w:pPr>
        <w:pStyle w:val="BodyText"/>
        <w:spacing w:line="269" w:lineRule="exact"/>
        <w:ind w:left="640"/>
      </w:pPr>
      <w:r>
        <w:rPr>
          <w:rFonts w:ascii="Times New Roman" w:eastAsia="Times New Roman"/>
        </w:rPr>
        <w:t>3</w:t>
      </w:r>
      <w:r>
        <w:rPr/>
        <w:t>、巨额赎回的公告</w:t>
      </w:r>
    </w:p>
    <w:p>
      <w:pPr>
        <w:pStyle w:val="BodyText"/>
        <w:spacing w:line="417" w:lineRule="auto" w:before="197"/>
        <w:ind w:left="220" w:right="591" w:firstLine="419"/>
        <w:jc w:val="both"/>
      </w:pPr>
      <w:r>
        <w:rPr>
          <w:spacing w:val="-8"/>
        </w:rPr>
        <w:t>当发生上述巨额赎回并延期办理时，基金管理人应当通过邮寄、传真或者招募说明书规</w:t>
      </w:r>
      <w:r>
        <w:rPr>
          <w:spacing w:val="-10"/>
        </w:rPr>
        <w:t>定的其他方式在 </w:t>
      </w:r>
      <w:r>
        <w:rPr>
          <w:rFonts w:ascii="Times New Roman" w:eastAsia="Times New Roman"/>
        </w:rPr>
        <w:t>3 </w:t>
      </w:r>
      <w:r>
        <w:rPr>
          <w:spacing w:val="-8"/>
        </w:rPr>
        <w:t>个交易日内通知基金份额持有人，说明有关处理方法，同时在指定媒介上</w:t>
      </w:r>
      <w:r>
        <w:rPr>
          <w:spacing w:val="-5"/>
        </w:rPr>
        <w:t>刊登公告。</w:t>
      </w:r>
    </w:p>
    <w:p>
      <w:pPr>
        <w:pStyle w:val="BodyText"/>
        <w:ind w:left="640"/>
      </w:pPr>
      <w:r>
        <w:rPr/>
        <w:t>（十一）暂停申购或赎回的公告和重新开放申购或赎回的公告</w:t>
      </w:r>
    </w:p>
    <w:p>
      <w:pPr>
        <w:pStyle w:val="BodyText"/>
        <w:spacing w:before="7"/>
        <w:rPr>
          <w:sz w:val="15"/>
        </w:rPr>
      </w:pPr>
    </w:p>
    <w:p>
      <w:pPr>
        <w:pStyle w:val="BodyText"/>
        <w:spacing w:line="417" w:lineRule="auto"/>
        <w:ind w:left="220" w:right="594" w:firstLine="419"/>
      </w:pPr>
      <w:r>
        <w:rPr>
          <w:rFonts w:ascii="Times New Roman" w:eastAsia="Times New Roman"/>
        </w:rPr>
        <w:t>1</w:t>
      </w:r>
      <w:r>
        <w:rPr/>
        <w:t>、发生上述暂停申购或赎回情况的，基金管理人应在规定期限内在指定媒介上刊登暂停公告。</w:t>
      </w:r>
    </w:p>
    <w:p>
      <w:pPr>
        <w:pStyle w:val="BodyText"/>
        <w:spacing w:line="417" w:lineRule="auto"/>
        <w:ind w:left="220" w:right="538" w:firstLine="419"/>
      </w:pPr>
      <w:r>
        <w:rPr>
          <w:rFonts w:ascii="Times New Roman" w:eastAsia="Times New Roman"/>
        </w:rPr>
        <w:t>2</w:t>
      </w:r>
      <w:r>
        <w:rPr/>
        <w:t>、上述暂停申购或赎回情况消除的，基金管理人应于重新开放日公布最近 </w:t>
      </w:r>
      <w:r>
        <w:rPr>
          <w:rFonts w:ascii="Times New Roman" w:eastAsia="Times New Roman"/>
        </w:rPr>
        <w:t>1 </w:t>
      </w:r>
      <w:r>
        <w:rPr/>
        <w:t>个开放日的基金份额净值。</w:t>
      </w:r>
    </w:p>
    <w:p>
      <w:pPr>
        <w:pStyle w:val="BodyText"/>
        <w:spacing w:line="417" w:lineRule="auto"/>
        <w:ind w:left="220" w:right="59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ind w:left="640"/>
      </w:pPr>
      <w:r>
        <w:rPr/>
        <w:t>（十二）基金转换</w:t>
      </w:r>
    </w:p>
    <w:p>
      <w:pPr>
        <w:spacing w:after="0"/>
        <w:sectPr>
          <w:pgSz w:w="11910" w:h="16840"/>
          <w:pgMar w:header="877" w:footer="995" w:top="1420" w:bottom="1180" w:left="1580" w:right="1200"/>
        </w:sectPr>
      </w:pPr>
    </w:p>
    <w:p>
      <w:pPr>
        <w:pStyle w:val="BodyText"/>
        <w:spacing w:before="110"/>
        <w:ind w:left="640"/>
      </w:pPr>
      <w:r>
        <w:rPr>
          <w:rFonts w:ascii="Times New Roman" w:eastAsia="Times New Roman"/>
        </w:rPr>
        <w:t>1</w:t>
      </w:r>
      <w:r>
        <w:rPr/>
        <w:t>、基金转换的原则</w:t>
      </w:r>
    </w:p>
    <w:p>
      <w:pPr>
        <w:pStyle w:val="BodyText"/>
        <w:spacing w:before="6"/>
        <w:rPr>
          <w:sz w:val="15"/>
        </w:rPr>
      </w:pPr>
    </w:p>
    <w:p>
      <w:pPr>
        <w:pStyle w:val="ListParagraph"/>
        <w:numPr>
          <w:ilvl w:val="0"/>
          <w:numId w:val="10"/>
        </w:numPr>
        <w:tabs>
          <w:tab w:pos="1170" w:val="left" w:leader="none"/>
        </w:tabs>
        <w:spacing w:line="240" w:lineRule="auto" w:before="0" w:after="0"/>
        <w:ind w:left="1169" w:right="0" w:hanging="530"/>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0"/>
        </w:numPr>
        <w:tabs>
          <w:tab w:pos="1170" w:val="left" w:leader="none"/>
        </w:tabs>
        <w:spacing w:line="240" w:lineRule="auto" w:before="0" w:after="0"/>
        <w:ind w:left="1169" w:right="0" w:hanging="530"/>
        <w:jc w:val="left"/>
        <w:rPr>
          <w:sz w:val="21"/>
        </w:rPr>
      </w:pPr>
      <w:r>
        <w:rPr>
          <w:spacing w:val="-3"/>
          <w:sz w:val="21"/>
        </w:rPr>
        <w:t>基金转换以份额为单位进行申请。</w:t>
      </w:r>
    </w:p>
    <w:p>
      <w:pPr>
        <w:pStyle w:val="BodyText"/>
        <w:spacing w:before="7"/>
        <w:rPr>
          <w:sz w:val="15"/>
        </w:rPr>
      </w:pPr>
    </w:p>
    <w:p>
      <w:pPr>
        <w:pStyle w:val="ListParagraph"/>
        <w:numPr>
          <w:ilvl w:val="0"/>
          <w:numId w:val="10"/>
        </w:numPr>
        <w:tabs>
          <w:tab w:pos="1170" w:val="left" w:leader="none"/>
        </w:tabs>
        <w:spacing w:line="417" w:lineRule="auto" w:before="0" w:after="0"/>
        <w:ind w:left="220" w:right="594" w:firstLine="419"/>
        <w:jc w:val="left"/>
        <w:rPr>
          <w:sz w:val="21"/>
        </w:rPr>
      </w:pPr>
      <w:r>
        <w:rPr>
          <w:spacing w:val="-3"/>
          <w:sz w:val="21"/>
        </w:rPr>
        <w:t>基金转换采取未知价法，即基金的转换价格以转换申请受理当日转出、转入基金的份额净值为基准进行计算。</w:t>
      </w:r>
    </w:p>
    <w:p>
      <w:pPr>
        <w:pStyle w:val="ListParagraph"/>
        <w:numPr>
          <w:ilvl w:val="0"/>
          <w:numId w:val="10"/>
        </w:numPr>
        <w:tabs>
          <w:tab w:pos="1170" w:val="left" w:leader="none"/>
        </w:tabs>
        <w:spacing w:line="269" w:lineRule="exact" w:before="0" w:after="0"/>
        <w:ind w:left="1169" w:right="0" w:hanging="530"/>
        <w:jc w:val="left"/>
        <w:rPr>
          <w:sz w:val="21"/>
        </w:rPr>
      </w:pPr>
      <w:r>
        <w:rPr>
          <w:spacing w:val="-3"/>
          <w:sz w:val="21"/>
        </w:rPr>
        <w:t>投资者Ｔ日申请基金转换后，</w:t>
      </w:r>
      <w:r>
        <w:rPr>
          <w:rFonts w:ascii="Times New Roman" w:eastAsia="Times New Roman"/>
          <w:sz w:val="21"/>
        </w:rPr>
        <w:t>T+1</w:t>
      </w:r>
      <w:r>
        <w:rPr>
          <w:spacing w:val="-3"/>
          <w:sz w:val="21"/>
        </w:rPr>
        <w:t>日可获得确认。</w:t>
      </w:r>
    </w:p>
    <w:p>
      <w:pPr>
        <w:pStyle w:val="BodyText"/>
        <w:spacing w:before="7"/>
        <w:rPr>
          <w:sz w:val="15"/>
        </w:rPr>
      </w:pPr>
    </w:p>
    <w:p>
      <w:pPr>
        <w:pStyle w:val="ListParagraph"/>
        <w:numPr>
          <w:ilvl w:val="0"/>
          <w:numId w:val="10"/>
        </w:numPr>
        <w:tabs>
          <w:tab w:pos="1167" w:val="left" w:leader="none"/>
        </w:tabs>
        <w:spacing w:line="417" w:lineRule="auto" w:before="0" w:after="0"/>
        <w:ind w:left="220" w:right="59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0"/>
        </w:numPr>
        <w:tabs>
          <w:tab w:pos="1170" w:val="left" w:leader="none"/>
        </w:tabs>
        <w:spacing w:line="417" w:lineRule="auto" w:before="0" w:after="0"/>
        <w:ind w:left="220" w:right="59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0"/>
        </w:numPr>
        <w:tabs>
          <w:tab w:pos="1170" w:val="left" w:leader="none"/>
        </w:tabs>
        <w:spacing w:line="417" w:lineRule="auto" w:before="0" w:after="0"/>
        <w:ind w:left="220" w:right="594" w:firstLine="419"/>
        <w:jc w:val="left"/>
        <w:rPr>
          <w:sz w:val="21"/>
        </w:rPr>
      </w:pPr>
      <w:r>
        <w:rPr>
          <w:spacing w:val="-3"/>
          <w:sz w:val="21"/>
        </w:rPr>
        <w:t>投资者办理基金转换业务时，转出基金必须处于可赎回状态，转入基金必须处于可申购状态。</w:t>
      </w:r>
    </w:p>
    <w:p>
      <w:pPr>
        <w:pStyle w:val="BodyText"/>
        <w:spacing w:line="417" w:lineRule="auto"/>
        <w:ind w:left="220" w:right="591" w:firstLine="419"/>
      </w:pPr>
      <w:r>
        <w:rPr>
          <w:spacing w:val="-8"/>
        </w:rPr>
        <w:t>由于各代销机构系统及业务安排等原因，可能开展基金转换业务的时间有所不同，投资</w:t>
      </w:r>
      <w:r>
        <w:rPr>
          <w:spacing w:val="-5"/>
        </w:rPr>
        <w:t>者应参照各代销机构的具体规定。</w:t>
      </w:r>
    </w:p>
    <w:p>
      <w:pPr>
        <w:pStyle w:val="BodyText"/>
        <w:spacing w:line="417" w:lineRule="auto"/>
        <w:ind w:left="220" w:right="593" w:firstLine="419"/>
      </w:pPr>
      <w:r>
        <w:rPr/>
        <w:t>基金管理人有权根据市场情况调整转换的程序及有关限制，但应最迟在调整生效前</w:t>
      </w:r>
      <w:r>
        <w:rPr>
          <w:rFonts w:ascii="Times New Roman" w:eastAsia="Times New Roman"/>
        </w:rPr>
        <w:t>3</w:t>
      </w:r>
      <w:r>
        <w:rPr/>
        <w:t>个工作日在至少一种中国证监会指定媒介公告。</w:t>
      </w:r>
    </w:p>
    <w:p>
      <w:pPr>
        <w:pStyle w:val="BodyText"/>
        <w:spacing w:line="269" w:lineRule="exact"/>
        <w:ind w:left="640"/>
      </w:pPr>
      <w:r>
        <w:rPr>
          <w:rFonts w:ascii="Times New Roman" w:eastAsia="Times New Roman"/>
        </w:rPr>
        <w:t>2</w:t>
      </w:r>
      <w:r>
        <w:rPr/>
        <w:t>、暂停基金转换的情形及处理</w:t>
      </w:r>
    </w:p>
    <w:p>
      <w:pPr>
        <w:pStyle w:val="BodyText"/>
        <w:spacing w:before="6"/>
        <w:rPr>
          <w:sz w:val="15"/>
        </w:rPr>
      </w:pPr>
    </w:p>
    <w:p>
      <w:pPr>
        <w:pStyle w:val="BodyText"/>
        <w:ind w:left="640"/>
      </w:pPr>
      <w:r>
        <w:rPr>
          <w:spacing w:val="-3"/>
        </w:rPr>
        <w:t>出现下列情况之一时，基金管理人可以暂停基金转换业务：</w:t>
      </w:r>
    </w:p>
    <w:p>
      <w:pPr>
        <w:pStyle w:val="BodyText"/>
        <w:spacing w:before="6"/>
        <w:rPr>
          <w:sz w:val="15"/>
        </w:rPr>
      </w:pPr>
    </w:p>
    <w:p>
      <w:pPr>
        <w:pStyle w:val="ListParagraph"/>
        <w:numPr>
          <w:ilvl w:val="0"/>
          <w:numId w:val="11"/>
        </w:numPr>
        <w:tabs>
          <w:tab w:pos="1170" w:val="left" w:leader="none"/>
        </w:tabs>
        <w:spacing w:line="240" w:lineRule="auto" w:before="1" w:after="0"/>
        <w:ind w:left="1169" w:right="0" w:hanging="530"/>
        <w:jc w:val="left"/>
        <w:rPr>
          <w:sz w:val="21"/>
        </w:rPr>
      </w:pPr>
      <w:r>
        <w:rPr>
          <w:spacing w:val="-3"/>
          <w:sz w:val="21"/>
        </w:rPr>
        <w:t>不可抗力的原因导致基金无法正常运作。</w:t>
      </w:r>
    </w:p>
    <w:p>
      <w:pPr>
        <w:pStyle w:val="BodyText"/>
        <w:spacing w:before="7"/>
        <w:rPr>
          <w:sz w:val="15"/>
        </w:rPr>
      </w:pPr>
    </w:p>
    <w:p>
      <w:pPr>
        <w:pStyle w:val="ListParagraph"/>
        <w:numPr>
          <w:ilvl w:val="0"/>
          <w:numId w:val="11"/>
        </w:numPr>
        <w:tabs>
          <w:tab w:pos="1170" w:val="left" w:leader="none"/>
        </w:tabs>
        <w:spacing w:line="417" w:lineRule="auto" w:before="0" w:after="0"/>
        <w:ind w:left="220" w:right="594" w:firstLine="419"/>
        <w:jc w:val="left"/>
        <w:rPr>
          <w:sz w:val="21"/>
        </w:rPr>
      </w:pPr>
      <w:r>
        <w:rPr>
          <w:spacing w:val="-3"/>
          <w:sz w:val="21"/>
        </w:rPr>
        <w:t>证券交易场所在交易时间非正常停市，导致基金管理人无法计算当日基金资产净值。</w:t>
      </w:r>
    </w:p>
    <w:p>
      <w:pPr>
        <w:pStyle w:val="ListParagraph"/>
        <w:numPr>
          <w:ilvl w:val="0"/>
          <w:numId w:val="11"/>
        </w:numPr>
        <w:tabs>
          <w:tab w:pos="1170" w:val="left" w:leader="none"/>
        </w:tabs>
        <w:spacing w:line="417" w:lineRule="auto" w:before="0" w:after="0"/>
        <w:ind w:left="220" w:right="59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1"/>
        </w:numPr>
        <w:tabs>
          <w:tab w:pos="1170" w:val="left" w:leader="none"/>
        </w:tabs>
        <w:spacing w:line="269" w:lineRule="exact" w:before="0" w:after="0"/>
        <w:ind w:left="1169" w:right="0" w:hanging="530"/>
        <w:jc w:val="left"/>
        <w:rPr>
          <w:sz w:val="21"/>
        </w:rPr>
      </w:pPr>
      <w:r>
        <w:rPr>
          <w:spacing w:val="-3"/>
          <w:sz w:val="21"/>
        </w:rPr>
        <w:t>基金管理人认为会有损于现有基金份额持有人利益的某笔转换申请。</w:t>
      </w:r>
    </w:p>
    <w:p>
      <w:pPr>
        <w:pStyle w:val="BodyText"/>
        <w:spacing w:before="6"/>
        <w:rPr>
          <w:sz w:val="15"/>
        </w:rPr>
      </w:pPr>
    </w:p>
    <w:p>
      <w:pPr>
        <w:pStyle w:val="ListParagraph"/>
        <w:numPr>
          <w:ilvl w:val="0"/>
          <w:numId w:val="11"/>
        </w:numPr>
        <w:tabs>
          <w:tab w:pos="1170" w:val="left" w:leader="none"/>
        </w:tabs>
        <w:spacing w:line="240" w:lineRule="auto" w:before="0" w:after="0"/>
        <w:ind w:left="1169" w:right="0" w:hanging="530"/>
        <w:jc w:val="left"/>
        <w:rPr>
          <w:sz w:val="21"/>
        </w:rPr>
      </w:pPr>
      <w:r>
        <w:rPr>
          <w:spacing w:val="-3"/>
          <w:sz w:val="21"/>
        </w:rPr>
        <w:t>基金管理人有正当理由认为需要拒绝或暂停接受基金转换申请的。</w:t>
      </w:r>
    </w:p>
    <w:p>
      <w:pPr>
        <w:pStyle w:val="BodyText"/>
        <w:spacing w:before="7"/>
        <w:rPr>
          <w:sz w:val="15"/>
        </w:rPr>
      </w:pPr>
    </w:p>
    <w:p>
      <w:pPr>
        <w:pStyle w:val="ListParagraph"/>
        <w:numPr>
          <w:ilvl w:val="0"/>
          <w:numId w:val="11"/>
        </w:numPr>
        <w:tabs>
          <w:tab w:pos="1170" w:val="left" w:leader="none"/>
        </w:tabs>
        <w:spacing w:line="240" w:lineRule="auto" w:before="0" w:after="0"/>
        <w:ind w:left="1169" w:right="0" w:hanging="530"/>
        <w:jc w:val="left"/>
        <w:rPr>
          <w:sz w:val="21"/>
        </w:rPr>
      </w:pPr>
      <w:r>
        <w:rPr>
          <w:spacing w:val="-3"/>
          <w:sz w:val="21"/>
        </w:rPr>
        <w:t>发生基金合同规定的暂停基金申购或赎回的情形。</w:t>
      </w:r>
    </w:p>
    <w:p>
      <w:pPr>
        <w:pStyle w:val="BodyText"/>
        <w:spacing w:before="7"/>
        <w:rPr>
          <w:sz w:val="15"/>
        </w:rPr>
      </w:pPr>
    </w:p>
    <w:p>
      <w:pPr>
        <w:pStyle w:val="ListParagraph"/>
        <w:numPr>
          <w:ilvl w:val="0"/>
          <w:numId w:val="11"/>
        </w:numPr>
        <w:tabs>
          <w:tab w:pos="1170" w:val="left" w:leader="none"/>
        </w:tabs>
        <w:spacing w:line="240" w:lineRule="auto" w:before="0" w:after="0"/>
        <w:ind w:left="1169" w:right="0" w:hanging="530"/>
        <w:jc w:val="left"/>
        <w:rPr>
          <w:sz w:val="21"/>
        </w:rPr>
      </w:pPr>
      <w:r>
        <w:rPr>
          <w:spacing w:val="-3"/>
          <w:sz w:val="21"/>
        </w:rPr>
        <w:t>法律法规规定或中国证监会认定的其他情形。</w:t>
      </w:r>
    </w:p>
    <w:p>
      <w:pPr>
        <w:pStyle w:val="BodyText"/>
        <w:spacing w:before="7"/>
        <w:rPr>
          <w:sz w:val="15"/>
        </w:rPr>
      </w:pPr>
    </w:p>
    <w:p>
      <w:pPr>
        <w:pStyle w:val="BodyText"/>
        <w:ind w:left="640"/>
      </w:pPr>
      <w:r>
        <w:rPr/>
        <w:t>发生上述情形之一的，基金管理人应于规定期限内在至少一种中国证监会指定媒介上刊</w:t>
      </w:r>
    </w:p>
    <w:p>
      <w:pPr>
        <w:spacing w:after="0"/>
        <w:sectPr>
          <w:pgSz w:w="11910" w:h="16840"/>
          <w:pgMar w:header="877" w:footer="995" w:top="1420" w:bottom="1180" w:left="1580" w:right="1200"/>
        </w:sectPr>
      </w:pPr>
    </w:p>
    <w:p>
      <w:pPr>
        <w:pStyle w:val="BodyText"/>
        <w:spacing w:line="417" w:lineRule="auto" w:before="110"/>
        <w:ind w:left="220" w:right="591"/>
      </w:pPr>
      <w:r>
        <w:rPr>
          <w:spacing w:val="-11"/>
        </w:rPr>
        <w:t>登暂停公告。重新开放基金转换时，基金管理人应及时在至少一种中国证监会指定媒介上刊</w:t>
      </w:r>
      <w:r>
        <w:rPr>
          <w:spacing w:val="-6"/>
        </w:rPr>
        <w:t>登重新开放基金转换的公告。</w:t>
      </w:r>
    </w:p>
    <w:p>
      <w:pPr>
        <w:pStyle w:val="BodyText"/>
        <w:spacing w:line="269" w:lineRule="exact"/>
        <w:ind w:left="640"/>
      </w:pPr>
      <w:r>
        <w:rPr>
          <w:rFonts w:ascii="Times New Roman" w:eastAsia="Times New Roman"/>
        </w:rPr>
        <w:t>3</w:t>
      </w:r>
      <w:r>
        <w:rPr/>
        <w:t>、转换费</w:t>
      </w:r>
    </w:p>
    <w:p>
      <w:pPr>
        <w:pStyle w:val="BodyText"/>
        <w:spacing w:before="6"/>
        <w:rPr>
          <w:sz w:val="15"/>
        </w:rPr>
      </w:pPr>
    </w:p>
    <w:p>
      <w:pPr>
        <w:pStyle w:val="ListParagraph"/>
        <w:numPr>
          <w:ilvl w:val="0"/>
          <w:numId w:val="12"/>
        </w:numPr>
        <w:tabs>
          <w:tab w:pos="1170" w:val="left" w:leader="none"/>
        </w:tabs>
        <w:spacing w:line="240" w:lineRule="auto" w:before="0" w:after="0"/>
        <w:ind w:left="1169" w:right="0" w:hanging="530"/>
        <w:jc w:val="left"/>
        <w:rPr>
          <w:sz w:val="21"/>
        </w:rPr>
      </w:pPr>
      <w:r>
        <w:rPr>
          <w:spacing w:val="-3"/>
          <w:sz w:val="21"/>
        </w:rPr>
        <w:t>基金转换费：无。</w:t>
      </w:r>
    </w:p>
    <w:p>
      <w:pPr>
        <w:pStyle w:val="BodyText"/>
        <w:spacing w:before="7"/>
        <w:rPr>
          <w:sz w:val="15"/>
        </w:rPr>
      </w:pPr>
    </w:p>
    <w:p>
      <w:pPr>
        <w:pStyle w:val="ListParagraph"/>
        <w:numPr>
          <w:ilvl w:val="0"/>
          <w:numId w:val="12"/>
        </w:numPr>
        <w:tabs>
          <w:tab w:pos="1170" w:val="left" w:leader="none"/>
        </w:tabs>
        <w:spacing w:line="417" w:lineRule="auto" w:before="0" w:after="0"/>
        <w:ind w:left="220" w:right="59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2"/>
        </w:numPr>
        <w:tabs>
          <w:tab w:pos="1170" w:val="left" w:leader="none"/>
        </w:tabs>
        <w:spacing w:line="240" w:lineRule="auto" w:before="0" w:after="0"/>
        <w:ind w:left="1169" w:right="0" w:hanging="530"/>
        <w:jc w:val="left"/>
        <w:rPr>
          <w:sz w:val="21"/>
        </w:rPr>
      </w:pPr>
      <w:r>
        <w:rPr>
          <w:spacing w:val="-3"/>
          <w:sz w:val="21"/>
        </w:rPr>
        <w:t>转入基金费用：转入基金申购费用根据适用的转换情形收取，详细如下：</w:t>
      </w:r>
    </w:p>
    <w:p>
      <w:pPr>
        <w:pStyle w:val="BodyText"/>
        <w:spacing w:before="7"/>
        <w:rPr>
          <w:sz w:val="15"/>
        </w:rPr>
      </w:pPr>
    </w:p>
    <w:p>
      <w:pPr>
        <w:pStyle w:val="BodyText"/>
        <w:ind w:left="640"/>
      </w:pPr>
      <w:r>
        <w:rPr/>
        <w:t>①从前端（比例费率）收费基金转出，转入其他前端（比例费率）收费基金</w:t>
      </w:r>
    </w:p>
    <w:p>
      <w:pPr>
        <w:pStyle w:val="BodyText"/>
        <w:spacing w:before="7"/>
        <w:rPr>
          <w:sz w:val="15"/>
        </w:rPr>
      </w:pPr>
    </w:p>
    <w:p>
      <w:pPr>
        <w:pStyle w:val="BodyText"/>
        <w:spacing w:line="417" w:lineRule="auto"/>
        <w:ind w:left="220" w:right="59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220" w:right="59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spacing w:line="269" w:lineRule="exact"/>
        <w:ind w:left="640"/>
      </w:pPr>
      <w:r>
        <w:rPr/>
        <w:t>业务举例：详见“</w:t>
      </w:r>
      <w:r>
        <w:rPr>
          <w:rFonts w:ascii="Times New Roman" w:hAnsi="Times New Roman" w:eastAsia="Times New Roman"/>
        </w:rPr>
        <w:t>4</w:t>
      </w:r>
      <w:r>
        <w:rPr/>
        <w:t>、业务举例”中例一。</w:t>
      </w:r>
    </w:p>
    <w:p>
      <w:pPr>
        <w:pStyle w:val="BodyText"/>
        <w:spacing w:before="6"/>
        <w:rPr>
          <w:sz w:val="15"/>
        </w:rPr>
      </w:pPr>
    </w:p>
    <w:p>
      <w:pPr>
        <w:pStyle w:val="BodyText"/>
        <w:spacing w:before="1"/>
        <w:ind w:left="640"/>
      </w:pPr>
      <w:r>
        <w:rPr/>
        <w:t>②从前端（比例费率）收费基金转出，转入其他前端（固定费用）收费基金</w:t>
      </w:r>
    </w:p>
    <w:p>
      <w:pPr>
        <w:pStyle w:val="BodyText"/>
        <w:spacing w:before="6"/>
        <w:rPr>
          <w:sz w:val="15"/>
        </w:rPr>
      </w:pPr>
    </w:p>
    <w:p>
      <w:pPr>
        <w:pStyle w:val="BodyText"/>
        <w:spacing w:line="417" w:lineRule="auto"/>
        <w:ind w:left="220" w:right="488"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220" w:right="591" w:firstLine="419"/>
      </w:pPr>
      <w:r>
        <w:rPr>
          <w:spacing w:val="-12"/>
        </w:rPr>
        <w:t>费用收取方式：如果转入基金的前端申购费率最高档比转出基金的前端申购费率最高档</w:t>
      </w:r>
      <w:r>
        <w:rPr>
          <w:spacing w:val="-6"/>
        </w:rPr>
        <w:t>高，则收取的申购费用为转入基金适用的固定费用；反之，收取的申购费用为</w:t>
      </w:r>
      <w:r>
        <w:rPr>
          <w:rFonts w:ascii="Times New Roman" w:eastAsia="Times New Roman"/>
        </w:rPr>
        <w:t>0</w:t>
      </w:r>
      <w:r>
        <w:rPr/>
        <w:t>。</w:t>
      </w:r>
    </w:p>
    <w:p>
      <w:pPr>
        <w:pStyle w:val="BodyText"/>
        <w:spacing w:line="269" w:lineRule="exact"/>
        <w:ind w:left="640"/>
      </w:pPr>
      <w:r>
        <w:rPr/>
        <w:t>业务举例：详见“</w:t>
      </w:r>
      <w:r>
        <w:rPr>
          <w:rFonts w:ascii="Times New Roman" w:hAnsi="Times New Roman" w:eastAsia="Times New Roman"/>
        </w:rPr>
        <w:t>4</w:t>
      </w:r>
      <w:r>
        <w:rPr/>
        <w:t>、业务举例”中例二。</w:t>
      </w:r>
    </w:p>
    <w:p>
      <w:pPr>
        <w:pStyle w:val="BodyText"/>
        <w:spacing w:before="7"/>
        <w:rPr>
          <w:sz w:val="15"/>
        </w:rPr>
      </w:pPr>
    </w:p>
    <w:p>
      <w:pPr>
        <w:pStyle w:val="BodyText"/>
        <w:ind w:left="640"/>
      </w:pPr>
      <w:r>
        <w:rPr/>
        <w:t>③从前端（比例费率）收费基金转出，转入其他后端收费基金</w:t>
      </w:r>
    </w:p>
    <w:p>
      <w:pPr>
        <w:pStyle w:val="BodyText"/>
        <w:spacing w:before="7"/>
        <w:rPr>
          <w:sz w:val="15"/>
        </w:rPr>
      </w:pPr>
    </w:p>
    <w:p>
      <w:pPr>
        <w:pStyle w:val="BodyText"/>
        <w:spacing w:line="417" w:lineRule="auto"/>
        <w:ind w:left="220" w:right="59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220" w:right="59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640"/>
      </w:pPr>
      <w:r>
        <w:rPr/>
        <w:t>业务举例：详见“</w:t>
      </w:r>
      <w:r>
        <w:rPr>
          <w:rFonts w:ascii="Times New Roman" w:hAnsi="Times New Roman" w:eastAsia="Times New Roman"/>
        </w:rPr>
        <w:t>4</w:t>
      </w:r>
      <w:r>
        <w:rPr/>
        <w:t>、业务举例”中例三。</w:t>
      </w:r>
    </w:p>
    <w:p>
      <w:pPr>
        <w:pStyle w:val="BodyText"/>
        <w:spacing w:before="6"/>
        <w:rPr>
          <w:sz w:val="15"/>
        </w:rPr>
      </w:pPr>
    </w:p>
    <w:p>
      <w:pPr>
        <w:pStyle w:val="BodyText"/>
        <w:spacing w:before="1"/>
        <w:ind w:left="640"/>
      </w:pPr>
      <w:r>
        <w:rPr/>
        <w:t>④从前端（比例费率）收费基金转出，转入其他不收取申购费用的基金</w:t>
      </w:r>
    </w:p>
    <w:p>
      <w:pPr>
        <w:pStyle w:val="BodyText"/>
        <w:spacing w:before="6"/>
        <w:rPr>
          <w:sz w:val="15"/>
        </w:rPr>
      </w:pPr>
    </w:p>
    <w:p>
      <w:pPr>
        <w:pStyle w:val="BodyText"/>
        <w:spacing w:line="417" w:lineRule="auto"/>
        <w:ind w:left="220" w:right="59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ind w:left="640"/>
      </w:pPr>
      <w:r>
        <w:rPr/>
        <w:t>费用收取方式：不收取申购费用。</w:t>
      </w:r>
    </w:p>
    <w:p>
      <w:pPr>
        <w:spacing w:after="0"/>
        <w:sectPr>
          <w:pgSz w:w="11910" w:h="16840"/>
          <w:pgMar w:header="877" w:footer="995" w:top="1420" w:bottom="1180" w:left="1580" w:right="1200"/>
        </w:sectPr>
      </w:pPr>
    </w:p>
    <w:p>
      <w:pPr>
        <w:pStyle w:val="BodyText"/>
        <w:spacing w:before="110"/>
        <w:ind w:left="640"/>
      </w:pPr>
      <w:r>
        <w:rPr/>
        <w:t>业务举例：详见“</w:t>
      </w:r>
      <w:r>
        <w:rPr>
          <w:rFonts w:ascii="Times New Roman" w:hAnsi="Times New Roman" w:eastAsia="Times New Roman"/>
        </w:rPr>
        <w:t>4</w:t>
      </w:r>
      <w:r>
        <w:rPr/>
        <w:t>、业务举例”中例四。</w:t>
      </w:r>
    </w:p>
    <w:p>
      <w:pPr>
        <w:pStyle w:val="BodyText"/>
        <w:spacing w:before="6"/>
        <w:rPr>
          <w:sz w:val="15"/>
        </w:rPr>
      </w:pPr>
    </w:p>
    <w:p>
      <w:pPr>
        <w:pStyle w:val="BodyText"/>
        <w:ind w:left="640"/>
      </w:pPr>
      <w:r>
        <w:rPr/>
        <w:t>⑤从前端（固定费用）收费基金转出，转入其他前端（比例费率）收费基金</w:t>
      </w:r>
    </w:p>
    <w:p>
      <w:pPr>
        <w:pStyle w:val="BodyText"/>
        <w:spacing w:before="7"/>
        <w:rPr>
          <w:sz w:val="15"/>
        </w:rPr>
      </w:pPr>
    </w:p>
    <w:p>
      <w:pPr>
        <w:pStyle w:val="BodyText"/>
        <w:spacing w:line="417" w:lineRule="auto"/>
        <w:ind w:left="220" w:right="48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220" w:right="59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spacing w:line="269" w:lineRule="exact"/>
        <w:ind w:left="640"/>
      </w:pPr>
      <w:r>
        <w:rPr/>
        <w:t>业务举例：详见“</w:t>
      </w:r>
      <w:r>
        <w:rPr>
          <w:rFonts w:ascii="Times New Roman" w:hAnsi="Times New Roman" w:eastAsia="Times New Roman"/>
        </w:rPr>
        <w:t>4</w:t>
      </w:r>
      <w:r>
        <w:rPr/>
        <w:t>、业务举例”中例五。</w:t>
      </w:r>
    </w:p>
    <w:p>
      <w:pPr>
        <w:pStyle w:val="BodyText"/>
        <w:spacing w:before="7"/>
        <w:rPr>
          <w:sz w:val="15"/>
        </w:rPr>
      </w:pPr>
    </w:p>
    <w:p>
      <w:pPr>
        <w:pStyle w:val="BodyText"/>
        <w:ind w:left="640"/>
      </w:pPr>
      <w:r>
        <w:rPr/>
        <w:t>⑥从前端（固定费用）收费基金转出，转入其他前端（固定费用）收费基金</w:t>
      </w:r>
    </w:p>
    <w:p>
      <w:pPr>
        <w:pStyle w:val="BodyText"/>
        <w:spacing w:before="7"/>
        <w:rPr>
          <w:sz w:val="15"/>
        </w:rPr>
      </w:pPr>
    </w:p>
    <w:p>
      <w:pPr>
        <w:pStyle w:val="BodyText"/>
        <w:spacing w:line="417" w:lineRule="auto"/>
        <w:ind w:left="220" w:right="59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17" w:lineRule="auto"/>
        <w:ind w:left="640" w:right="600"/>
      </w:pPr>
      <w:r>
        <w:rPr/>
        <w:t>费用收取方式：收取的申购费用＝转入基金申购费用－转出基金申购费用，最低为</w:t>
      </w:r>
      <w:r>
        <w:rPr>
          <w:rFonts w:ascii="Times New Roman" w:hAnsi="Times New Roman" w:eastAsia="Times New Roman"/>
        </w:rPr>
        <w:t>0</w:t>
      </w:r>
      <w:r>
        <w:rPr/>
        <w:t>。业务举例：详见“</w:t>
      </w:r>
      <w:r>
        <w:rPr>
          <w:rFonts w:ascii="Times New Roman" w:hAnsi="Times New Roman" w:eastAsia="Times New Roman"/>
        </w:rPr>
        <w:t>4</w:t>
      </w:r>
      <w:r>
        <w:rPr/>
        <w:t>、业务举例”中例六。</w:t>
      </w:r>
    </w:p>
    <w:p>
      <w:pPr>
        <w:pStyle w:val="BodyText"/>
        <w:spacing w:line="269" w:lineRule="exact"/>
        <w:ind w:left="640"/>
      </w:pPr>
      <w:r>
        <w:rPr/>
        <w:t>⑦从前端（固定费用）收费基金转出，转入其他后端收费基金</w:t>
      </w:r>
    </w:p>
    <w:p>
      <w:pPr>
        <w:pStyle w:val="BodyText"/>
        <w:spacing w:before="6"/>
        <w:rPr>
          <w:sz w:val="15"/>
        </w:rPr>
      </w:pPr>
    </w:p>
    <w:p>
      <w:pPr>
        <w:pStyle w:val="BodyText"/>
        <w:spacing w:line="417" w:lineRule="auto"/>
        <w:ind w:left="220" w:right="59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17" w:lineRule="auto"/>
        <w:ind w:left="220" w:right="59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640"/>
      </w:pPr>
      <w:r>
        <w:rPr/>
        <w:t>业务举例：详见“</w:t>
      </w:r>
      <w:r>
        <w:rPr>
          <w:rFonts w:ascii="Times New Roman" w:hAnsi="Times New Roman" w:eastAsia="Times New Roman"/>
        </w:rPr>
        <w:t>4</w:t>
      </w:r>
      <w:r>
        <w:rPr/>
        <w:t>、业务举例”中例七。</w:t>
      </w:r>
    </w:p>
    <w:p>
      <w:pPr>
        <w:pStyle w:val="BodyText"/>
        <w:spacing w:before="7"/>
        <w:rPr>
          <w:sz w:val="15"/>
        </w:rPr>
      </w:pPr>
    </w:p>
    <w:p>
      <w:pPr>
        <w:pStyle w:val="BodyText"/>
        <w:ind w:left="640"/>
      </w:pPr>
      <w:r>
        <w:rPr/>
        <w:t>⑧从前端（固定费用）收费基金转出，转入其他不收取申购费用的基金</w:t>
      </w:r>
    </w:p>
    <w:p>
      <w:pPr>
        <w:pStyle w:val="BodyText"/>
        <w:spacing w:before="7"/>
        <w:rPr>
          <w:sz w:val="15"/>
        </w:rPr>
      </w:pPr>
    </w:p>
    <w:p>
      <w:pPr>
        <w:pStyle w:val="BodyText"/>
        <w:spacing w:line="417" w:lineRule="auto"/>
        <w:ind w:left="220" w:right="59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ind w:left="640"/>
      </w:pPr>
      <w:r>
        <w:rPr/>
        <w:t>费用收取方式：不收取申购费用。</w:t>
      </w:r>
    </w:p>
    <w:p>
      <w:pPr>
        <w:pStyle w:val="BodyText"/>
        <w:spacing w:before="7"/>
        <w:rPr>
          <w:sz w:val="15"/>
        </w:rPr>
      </w:pPr>
    </w:p>
    <w:p>
      <w:pPr>
        <w:pStyle w:val="BodyText"/>
        <w:ind w:left="640"/>
      </w:pPr>
      <w:r>
        <w:rPr/>
        <w:t>业务举例：详见“</w:t>
      </w:r>
      <w:r>
        <w:rPr>
          <w:rFonts w:ascii="Times New Roman" w:hAnsi="Times New Roman" w:eastAsia="Times New Roman"/>
        </w:rPr>
        <w:t>4</w:t>
      </w:r>
      <w:r>
        <w:rPr/>
        <w:t>、业务举例”中例八。</w:t>
      </w:r>
    </w:p>
    <w:p>
      <w:pPr>
        <w:pStyle w:val="BodyText"/>
        <w:spacing w:before="7"/>
        <w:rPr>
          <w:sz w:val="15"/>
        </w:rPr>
      </w:pPr>
    </w:p>
    <w:p>
      <w:pPr>
        <w:pStyle w:val="BodyText"/>
        <w:ind w:left="640"/>
      </w:pPr>
      <w:r>
        <w:rPr/>
        <w:t>⑨从后端收费基金转出，转入其他前端（比例费率）收费基金</w:t>
      </w:r>
    </w:p>
    <w:p>
      <w:pPr>
        <w:pStyle w:val="BodyText"/>
        <w:spacing w:before="6"/>
        <w:rPr>
          <w:sz w:val="15"/>
        </w:rPr>
      </w:pPr>
    </w:p>
    <w:p>
      <w:pPr>
        <w:pStyle w:val="BodyText"/>
        <w:spacing w:line="417" w:lineRule="auto"/>
        <w:ind w:left="220" w:right="59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220" w:right="59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ind w:left="640"/>
      </w:pPr>
      <w:r>
        <w:rPr/>
        <w:t>业务举例：详见“</w:t>
      </w:r>
      <w:r>
        <w:rPr>
          <w:rFonts w:ascii="Times New Roman" w:hAnsi="Times New Roman" w:eastAsia="Times New Roman"/>
        </w:rPr>
        <w:t>4</w:t>
      </w:r>
      <w:r>
        <w:rPr/>
        <w:t>、业务举例”中例九。</w:t>
      </w:r>
    </w:p>
    <w:p>
      <w:pPr>
        <w:pStyle w:val="BodyText"/>
        <w:spacing w:before="7"/>
        <w:rPr>
          <w:sz w:val="15"/>
        </w:rPr>
      </w:pPr>
    </w:p>
    <w:p>
      <w:pPr>
        <w:pStyle w:val="BodyText"/>
        <w:ind w:left="640"/>
      </w:pPr>
      <w:r>
        <w:rPr/>
        <w:t>⑩从后端收费基金转出，转入其他前端（固定费用）收费基金</w:t>
      </w:r>
    </w:p>
    <w:p>
      <w:pPr>
        <w:spacing w:after="0"/>
        <w:sectPr>
          <w:pgSz w:w="11910" w:h="16840"/>
          <w:pgMar w:header="877" w:footer="995" w:top="1420" w:bottom="1180" w:left="1580" w:right="1200"/>
        </w:sectPr>
      </w:pPr>
    </w:p>
    <w:p>
      <w:pPr>
        <w:pStyle w:val="BodyText"/>
        <w:spacing w:line="417" w:lineRule="auto" w:before="110"/>
        <w:ind w:left="220" w:right="59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220" w:right="591" w:firstLine="419"/>
      </w:pPr>
      <w:r>
        <w:rPr>
          <w:spacing w:val="-12"/>
        </w:rPr>
        <w:t>费用收取方式：如果转入基金的前端申购费率最高档比转出基金的前端申购费率最高档</w:t>
      </w:r>
      <w:r>
        <w:rPr>
          <w:spacing w:val="-6"/>
        </w:rPr>
        <w:t>高，则收取的申购费用为转入基金适用的固定费用；反之，收取的申购费用为</w:t>
      </w:r>
      <w:r>
        <w:rPr>
          <w:rFonts w:ascii="Times New Roman" w:eastAsia="Times New Roman"/>
        </w:rPr>
        <w:t>0</w:t>
      </w:r>
      <w:r>
        <w:rPr/>
        <w:t>。</w:t>
      </w:r>
    </w:p>
    <w:p>
      <w:pPr>
        <w:pStyle w:val="BodyText"/>
        <w:spacing w:line="269" w:lineRule="exact"/>
        <w:ind w:left="640"/>
      </w:pPr>
      <w:r>
        <w:rPr/>
        <w:t>业务举例：详见“</w:t>
      </w:r>
      <w:r>
        <w:rPr>
          <w:rFonts w:ascii="Times New Roman" w:hAnsi="Times New Roman" w:eastAsia="Times New Roman"/>
        </w:rPr>
        <w:t>4</w:t>
      </w:r>
      <w:r>
        <w:rPr/>
        <w:t>、业务举例”中例十。</w:t>
      </w:r>
    </w:p>
    <w:p>
      <w:pPr>
        <w:pStyle w:val="BodyText"/>
        <w:spacing w:before="6"/>
        <w:rPr>
          <w:sz w:val="15"/>
        </w:rPr>
      </w:pPr>
    </w:p>
    <w:p>
      <w:pPr>
        <w:pStyle w:val="BodyText"/>
        <w:ind w:left="640"/>
      </w:pPr>
      <w:r>
        <w:rPr>
          <w:rFonts w:ascii="Cambria Math" w:hAnsi="Cambria Math" w:eastAsia="Cambria Math"/>
        </w:rPr>
        <w:t>⑪</w:t>
      </w:r>
      <w:r>
        <w:rPr/>
        <w:t>从后端收费基金转出，转入其他后端收费基金</w:t>
      </w:r>
    </w:p>
    <w:p>
      <w:pPr>
        <w:pStyle w:val="BodyText"/>
        <w:spacing w:line="417" w:lineRule="auto" w:before="199"/>
        <w:ind w:left="220" w:right="591"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220" w:right="59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spacing w:line="269" w:lineRule="exact"/>
        <w:ind w:left="640"/>
      </w:pPr>
      <w:r>
        <w:rPr/>
        <w:t>业务举例：详见“</w:t>
      </w:r>
      <w:r>
        <w:rPr>
          <w:rFonts w:ascii="Times New Roman" w:hAnsi="Times New Roman" w:eastAsia="Times New Roman"/>
        </w:rPr>
        <w:t>4</w:t>
      </w:r>
      <w:r>
        <w:rPr/>
        <w:t>、业务举例”中例十一。</w:t>
      </w:r>
    </w:p>
    <w:p>
      <w:pPr>
        <w:pStyle w:val="BodyText"/>
        <w:spacing w:before="7"/>
        <w:rPr>
          <w:sz w:val="15"/>
        </w:rPr>
      </w:pPr>
    </w:p>
    <w:p>
      <w:pPr>
        <w:pStyle w:val="BodyText"/>
        <w:ind w:left="640"/>
      </w:pPr>
      <w:r>
        <w:rPr>
          <w:rFonts w:ascii="Cambria Math" w:hAnsi="Cambria Math" w:eastAsia="Cambria Math"/>
        </w:rPr>
        <w:t>⑫</w:t>
      </w:r>
      <w:r>
        <w:rPr/>
        <w:t>从后端收费基金转出，转入其他不收取申购费用的基金</w:t>
      </w:r>
    </w:p>
    <w:p>
      <w:pPr>
        <w:pStyle w:val="BodyText"/>
        <w:spacing w:line="417" w:lineRule="auto" w:before="199"/>
        <w:ind w:left="220" w:right="591" w:firstLine="419"/>
      </w:pPr>
      <w:r>
        <w:rPr>
          <w:spacing w:val="-12"/>
        </w:rPr>
        <w:t>情形描述：投资者将其持有的某一后端收费基金的基金份额转换为本公司管理的其他不</w:t>
      </w:r>
      <w:r>
        <w:rPr>
          <w:spacing w:val="-6"/>
        </w:rPr>
        <w:t>收取申购费用的基金基金份额。</w:t>
      </w:r>
    </w:p>
    <w:p>
      <w:pPr>
        <w:pStyle w:val="BodyText"/>
        <w:ind w:left="640"/>
      </w:pPr>
      <w:r>
        <w:rPr/>
        <w:t>费用收取方式：不收取申购费用。</w:t>
      </w:r>
    </w:p>
    <w:p>
      <w:pPr>
        <w:pStyle w:val="BodyText"/>
        <w:spacing w:before="7"/>
        <w:rPr>
          <w:sz w:val="15"/>
        </w:rPr>
      </w:pPr>
    </w:p>
    <w:p>
      <w:pPr>
        <w:pStyle w:val="BodyText"/>
        <w:ind w:left="640"/>
      </w:pPr>
      <w:r>
        <w:rPr/>
        <w:t>业务举例：详见“</w:t>
      </w:r>
      <w:r>
        <w:rPr>
          <w:rFonts w:ascii="Times New Roman" w:hAnsi="Times New Roman" w:eastAsia="Times New Roman"/>
        </w:rPr>
        <w:t>4</w:t>
      </w:r>
      <w:r>
        <w:rPr/>
        <w:t>、业务举例”中例十二。</w:t>
      </w:r>
    </w:p>
    <w:p>
      <w:pPr>
        <w:pStyle w:val="BodyText"/>
        <w:spacing w:before="6"/>
        <w:rPr>
          <w:sz w:val="15"/>
        </w:rPr>
      </w:pPr>
    </w:p>
    <w:p>
      <w:pPr>
        <w:pStyle w:val="BodyText"/>
        <w:spacing w:before="1"/>
        <w:ind w:left="640"/>
      </w:pPr>
      <w:r>
        <w:rPr>
          <w:rFonts w:ascii="Cambria Math" w:hAnsi="Cambria Math" w:eastAsia="Cambria Math"/>
        </w:rPr>
        <w:t>⑬</w:t>
      </w:r>
      <w:r>
        <w:rPr/>
        <w:t>从不收取申购费用的基金转出，转入其他前端（比例费率）收费基金</w:t>
      </w:r>
    </w:p>
    <w:p>
      <w:pPr>
        <w:pStyle w:val="BodyText"/>
        <w:spacing w:line="417" w:lineRule="auto" w:before="199"/>
        <w:ind w:left="220" w:right="59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220" w:right="591" w:firstLine="419"/>
      </w:pPr>
      <w:r>
        <w:rPr>
          <w:spacing w:val="-3"/>
        </w:rPr>
        <w:t>费用收取方式：收取的申购费率</w:t>
      </w:r>
      <w:r>
        <w:rPr>
          <w:rFonts w:ascii="Times New Roman" w:hAnsi="Times New Roman" w:eastAsia="Times New Roman"/>
        </w:rPr>
        <w:t>=</w:t>
      </w:r>
      <w:r>
        <w:rPr>
          <w:spacing w:val="-3"/>
        </w:rPr>
        <w:t>转入基金的申购费率－转出基金的销售服务费率×转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rFonts w:ascii="Times New Roman" w:hAnsi="Times New Roman" w:eastAsia="Times New Roman"/>
          <w:spacing w:val="-3"/>
          <w:w w:val="100"/>
        </w:rPr>
        <w:t>0</w:t>
      </w:r>
      <w:r>
        <w:rPr>
          <w:w w:val="100"/>
        </w:rPr>
        <w:t>。</w:t>
      </w:r>
    </w:p>
    <w:p>
      <w:pPr>
        <w:pStyle w:val="BodyText"/>
        <w:ind w:left="640"/>
      </w:pPr>
      <w:r>
        <w:rPr/>
        <w:t>业务举例：详见“</w:t>
      </w:r>
      <w:r>
        <w:rPr>
          <w:rFonts w:ascii="Times New Roman" w:hAnsi="Times New Roman" w:eastAsia="Times New Roman"/>
        </w:rPr>
        <w:t>4</w:t>
      </w:r>
      <w:r>
        <w:rPr/>
        <w:t>、业务举例”中例十三。</w:t>
      </w:r>
    </w:p>
    <w:p>
      <w:pPr>
        <w:pStyle w:val="BodyText"/>
        <w:spacing w:before="6"/>
        <w:rPr>
          <w:sz w:val="15"/>
        </w:rPr>
      </w:pPr>
    </w:p>
    <w:p>
      <w:pPr>
        <w:pStyle w:val="BodyText"/>
        <w:ind w:left="640"/>
      </w:pPr>
      <w:r>
        <w:rPr>
          <w:rFonts w:ascii="Cambria Math" w:hAnsi="Cambria Math" w:eastAsia="Cambria Math"/>
        </w:rPr>
        <w:t>⑭</w:t>
      </w:r>
      <w:r>
        <w:rPr/>
        <w:t>从不收取申购费用基金转出，转入其他前端（固定费用）收费基金</w:t>
      </w:r>
    </w:p>
    <w:p>
      <w:pPr>
        <w:pStyle w:val="BodyText"/>
        <w:spacing w:line="417" w:lineRule="auto" w:before="199"/>
        <w:ind w:left="220" w:right="59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220" w:right="591" w:firstLine="419"/>
      </w:pPr>
      <w:r>
        <w:rPr>
          <w:spacing w:val="-3"/>
        </w:rPr>
        <w:t>费用收取方式：收取的申购费用</w:t>
      </w:r>
      <w:r>
        <w:rPr>
          <w:rFonts w:ascii="Times New Roman" w:hAnsi="Times New Roman" w:eastAsia="Times New Roman"/>
        </w:rPr>
        <w:t>=</w:t>
      </w:r>
      <w:r>
        <w:rPr>
          <w:spacing w:val="-3"/>
        </w:rPr>
        <w:t>固定费用－转换金额×转出基金的销售服务费率×转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rFonts w:ascii="Times New Roman" w:hAnsi="Times New Roman" w:eastAsia="Times New Roman"/>
          <w:spacing w:val="-3"/>
          <w:w w:val="100"/>
        </w:rPr>
        <w:t>0</w:t>
      </w:r>
      <w:r>
        <w:rPr>
          <w:w w:val="100"/>
        </w:rPr>
        <w:t>。</w:t>
      </w:r>
    </w:p>
    <w:p>
      <w:pPr>
        <w:pStyle w:val="BodyText"/>
        <w:spacing w:line="269" w:lineRule="exact"/>
        <w:ind w:left="640"/>
      </w:pPr>
      <w:r>
        <w:rPr/>
        <w:t>业务举例：详见“</w:t>
      </w:r>
      <w:r>
        <w:rPr>
          <w:rFonts w:ascii="Times New Roman" w:hAnsi="Times New Roman" w:eastAsia="Times New Roman"/>
        </w:rPr>
        <w:t>4</w:t>
      </w:r>
      <w:r>
        <w:rPr/>
        <w:t>、业务举例”中例十四。</w:t>
      </w:r>
    </w:p>
    <w:p>
      <w:pPr>
        <w:pStyle w:val="BodyText"/>
        <w:spacing w:before="7"/>
        <w:rPr>
          <w:sz w:val="15"/>
        </w:rPr>
      </w:pPr>
    </w:p>
    <w:p>
      <w:pPr>
        <w:pStyle w:val="BodyText"/>
        <w:ind w:left="640"/>
      </w:pPr>
      <w:r>
        <w:rPr>
          <w:rFonts w:ascii="Cambria Math" w:hAnsi="Cambria Math" w:eastAsia="Cambria Math"/>
        </w:rPr>
        <w:t>⑮</w:t>
      </w:r>
      <w:r>
        <w:rPr/>
        <w:t>从不收取申购费用的基金转出，转入其他后端收费基金</w:t>
      </w:r>
    </w:p>
    <w:p>
      <w:pPr>
        <w:pStyle w:val="BodyText"/>
        <w:spacing w:before="199"/>
        <w:ind w:left="640"/>
      </w:pPr>
      <w:r>
        <w:rPr/>
        <w:t>情形描述：投资者将其持有的某一不收取申购费用基金的基金份额转换为本公司管理的</w:t>
      </w:r>
    </w:p>
    <w:p>
      <w:pPr>
        <w:spacing w:after="0"/>
        <w:sectPr>
          <w:pgSz w:w="11910" w:h="16840"/>
          <w:pgMar w:header="877" w:footer="995" w:top="1420" w:bottom="1180" w:left="1580" w:right="1200"/>
        </w:sectPr>
      </w:pPr>
    </w:p>
    <w:p>
      <w:pPr>
        <w:pStyle w:val="BodyText"/>
        <w:spacing w:before="110"/>
        <w:ind w:left="220"/>
      </w:pPr>
      <w:r>
        <w:rPr/>
        <w:t>其他后端收费基金基金份额。</w:t>
      </w:r>
    </w:p>
    <w:p>
      <w:pPr>
        <w:pStyle w:val="BodyText"/>
        <w:spacing w:before="6"/>
        <w:rPr>
          <w:sz w:val="15"/>
        </w:rPr>
      </w:pPr>
    </w:p>
    <w:p>
      <w:pPr>
        <w:pStyle w:val="BodyText"/>
        <w:spacing w:line="417" w:lineRule="auto"/>
        <w:ind w:left="220" w:right="59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640"/>
      </w:pPr>
      <w:r>
        <w:rPr/>
        <w:t>业务举例：详见“</w:t>
      </w:r>
      <w:r>
        <w:rPr>
          <w:rFonts w:ascii="Times New Roman" w:hAnsi="Times New Roman" w:eastAsia="Times New Roman"/>
        </w:rPr>
        <w:t>4</w:t>
      </w:r>
      <w:r>
        <w:rPr/>
        <w:t>、业务举例”中例十五。</w:t>
      </w:r>
    </w:p>
    <w:p>
      <w:pPr>
        <w:pStyle w:val="BodyText"/>
        <w:spacing w:before="7"/>
        <w:rPr>
          <w:sz w:val="15"/>
        </w:rPr>
      </w:pPr>
    </w:p>
    <w:p>
      <w:pPr>
        <w:pStyle w:val="BodyText"/>
        <w:ind w:left="640"/>
      </w:pPr>
      <w:r>
        <w:rPr>
          <w:rFonts w:ascii="Cambria Math" w:hAnsi="Cambria Math" w:eastAsia="Cambria Math"/>
        </w:rPr>
        <w:t>⑯</w:t>
      </w:r>
      <w:r>
        <w:rPr/>
        <w:t>从不收取申购费用的基金转出，转入其他不收取申购费用的基金</w:t>
      </w:r>
    </w:p>
    <w:p>
      <w:pPr>
        <w:pStyle w:val="BodyText"/>
        <w:spacing w:line="417" w:lineRule="auto" w:before="199"/>
        <w:ind w:left="220" w:right="59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ind w:left="640"/>
      </w:pPr>
      <w:r>
        <w:rPr>
          <w:spacing w:val="-3"/>
        </w:rPr>
        <w:t>费用收取方式：不收取申购费用。</w:t>
      </w:r>
    </w:p>
    <w:p>
      <w:pPr>
        <w:pStyle w:val="BodyText"/>
        <w:spacing w:before="7"/>
        <w:rPr>
          <w:sz w:val="15"/>
        </w:rPr>
      </w:pPr>
    </w:p>
    <w:p>
      <w:pPr>
        <w:pStyle w:val="BodyText"/>
        <w:ind w:left="640"/>
      </w:pPr>
      <w:r>
        <w:rPr/>
        <w:t>业务举例：详见“</w:t>
      </w:r>
      <w:r>
        <w:rPr>
          <w:rFonts w:ascii="Times New Roman" w:hAnsi="Times New Roman" w:eastAsia="Times New Roman"/>
        </w:rPr>
        <w:t>4</w:t>
      </w:r>
      <w:r>
        <w:rPr/>
        <w:t>、业务举例”中例十六。</w:t>
      </w:r>
    </w:p>
    <w:p>
      <w:pPr>
        <w:pStyle w:val="BodyText"/>
        <w:spacing w:before="7"/>
        <w:rPr>
          <w:sz w:val="15"/>
        </w:rPr>
      </w:pPr>
    </w:p>
    <w:p>
      <w:pPr>
        <w:pStyle w:val="BodyText"/>
        <w:ind w:left="640"/>
      </w:pPr>
      <w:r>
        <w:rPr>
          <w:rFonts w:ascii="Cambria Math" w:hAnsi="Cambria Math" w:eastAsia="Cambria Math"/>
        </w:rPr>
        <w:t>⑰</w:t>
      </w:r>
      <w:r>
        <w:rPr/>
        <w:t>对于货币基金的基金份额转出情况的补充说明</w:t>
      </w:r>
    </w:p>
    <w:p>
      <w:pPr>
        <w:pStyle w:val="BodyText"/>
        <w:spacing w:line="417" w:lineRule="auto" w:before="199"/>
        <w:ind w:left="640" w:right="1338"/>
      </w:pPr>
      <w:r>
        <w:rPr/>
        <w:t>对于货币型基金，每当有基金新增份额时，均调整持有时间，计算方法如下： 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2"/>
        </w:numPr>
        <w:tabs>
          <w:tab w:pos="1170" w:val="left" w:leader="none"/>
        </w:tabs>
        <w:spacing w:line="269" w:lineRule="exact" w:before="0" w:after="0"/>
        <w:ind w:left="1169" w:right="0" w:hanging="530"/>
        <w:jc w:val="left"/>
        <w:rPr>
          <w:sz w:val="21"/>
        </w:rPr>
      </w:pPr>
      <w:r>
        <w:rPr>
          <w:spacing w:val="-3"/>
          <w:sz w:val="21"/>
        </w:rPr>
        <w:t>上述费用另有优惠的，从其规定。</w:t>
      </w:r>
    </w:p>
    <w:p>
      <w:pPr>
        <w:pStyle w:val="BodyText"/>
        <w:spacing w:before="6"/>
        <w:rPr>
          <w:sz w:val="15"/>
        </w:rPr>
      </w:pPr>
    </w:p>
    <w:p>
      <w:pPr>
        <w:pStyle w:val="BodyText"/>
        <w:spacing w:before="1"/>
        <w:ind w:left="640"/>
      </w:pPr>
      <w:r>
        <w:rPr/>
        <w:t>基金管理人可以在法律法规和本基金合同规定范围内调整基金转换的有关业务规则。</w:t>
      </w:r>
    </w:p>
    <w:p>
      <w:pPr>
        <w:pStyle w:val="BodyText"/>
        <w:spacing w:before="7"/>
        <w:rPr>
          <w:sz w:val="15"/>
        </w:rPr>
      </w:pPr>
    </w:p>
    <w:p>
      <w:pPr>
        <w:pStyle w:val="BodyText"/>
        <w:ind w:left="640"/>
      </w:pPr>
      <w:r>
        <w:rPr>
          <w:rFonts w:ascii="Times New Roman" w:eastAsia="Times New Roman"/>
        </w:rPr>
        <w:t>4</w:t>
      </w:r>
      <w:r>
        <w:rPr/>
        <w:t>、业务举例</w:t>
      </w:r>
    </w:p>
    <w:p>
      <w:pPr>
        <w:pStyle w:val="BodyText"/>
        <w:spacing w:before="6"/>
        <w:rPr>
          <w:sz w:val="15"/>
        </w:rPr>
      </w:pPr>
    </w:p>
    <w:p>
      <w:pPr>
        <w:pStyle w:val="BodyText"/>
        <w:spacing w:line="417" w:lineRule="auto"/>
        <w:ind w:left="220" w:right="594" w:firstLine="419"/>
      </w:pPr>
      <w:r>
        <w:rPr>
          <w:w w:val="100"/>
        </w:rPr>
        <w:t>例一：假定投资者在</w:t>
      </w:r>
      <w:r>
        <w:rPr>
          <w:rFonts w:ascii="Times New Roman" w:eastAsia="Times New Roman"/>
          <w:w w:val="100"/>
        </w:rPr>
        <w:t>T</w:t>
      </w:r>
      <w:r>
        <w:rPr>
          <w:w w:val="100"/>
        </w:rPr>
        <w:t>日转出</w:t>
      </w:r>
      <w:r>
        <w:rPr>
          <w:rFonts w:ascii="Times New Roman" w:eastAsia="Times New Roman"/>
          <w:w w:val="100"/>
        </w:rPr>
        <w:t>1,000</w:t>
      </w:r>
      <w:r>
        <w:rPr>
          <w:spacing w:val="-1"/>
          <w:w w:val="100"/>
        </w:rPr>
        <w:t>份甲基金基金份额</w:t>
      </w:r>
      <w:r>
        <w:rPr>
          <w:w w:val="100"/>
        </w:rPr>
        <w:t>（前端收费模式</w:t>
      </w:r>
      <w:r>
        <w:rPr>
          <w:spacing w:val="-104"/>
          <w:w w:val="100"/>
        </w:rPr>
        <w:t>）</w:t>
      </w:r>
      <w:r>
        <w:rPr>
          <w:spacing w:val="-3"/>
          <w:w w:val="100"/>
        </w:rPr>
        <w:t>，该日甲基金基</w:t>
      </w:r>
      <w:r>
        <w:rPr>
          <w:spacing w:val="-2"/>
        </w:rPr>
        <w:t>金份额净值为</w:t>
      </w:r>
      <w:r>
        <w:rPr>
          <w:rFonts w:ascii="Times New Roman" w:eastAsia="Times New Roman"/>
        </w:rPr>
        <w:t>1.200</w:t>
      </w:r>
      <w:r>
        <w:rPr>
          <w:spacing w:val="-3"/>
        </w:rPr>
        <w:t>元。甲基金前端申购费率最高档为</w:t>
      </w:r>
      <w:r>
        <w:rPr>
          <w:rFonts w:ascii="Times New Roman" w:eastAsia="Times New Roman"/>
        </w:rPr>
        <w:t>1.5%</w:t>
      </w:r>
      <w:r>
        <w:rPr>
          <w:spacing w:val="-3"/>
        </w:rPr>
        <w:t>，赎回费率为</w:t>
      </w:r>
      <w:r>
        <w:rPr>
          <w:rFonts w:ascii="Times New Roman" w:eastAsia="Times New Roman"/>
        </w:rPr>
        <w:t>0.5%</w:t>
      </w:r>
      <w:r>
        <w:rPr/>
        <w:t>。</w:t>
      </w:r>
    </w:p>
    <w:p>
      <w:pPr>
        <w:pStyle w:val="ListParagraph"/>
        <w:numPr>
          <w:ilvl w:val="0"/>
          <w:numId w:val="13"/>
        </w:numPr>
        <w:tabs>
          <w:tab w:pos="1167" w:val="left" w:leader="none"/>
        </w:tabs>
        <w:spacing w:line="417" w:lineRule="auto" w:before="0" w:after="0"/>
        <w:ind w:left="220" w:right="593" w:firstLine="419"/>
        <w:jc w:val="left"/>
        <w:rPr>
          <w:sz w:val="21"/>
        </w:rPr>
      </w:pPr>
      <w:r>
        <w:rPr/>
        <w:pict>
          <v:shape style="position:absolute;margin-left:110.300003pt;margin-top:41.820026pt;width:375.1pt;height:193.75pt;mso-position-horizontal-relative:page;mso-position-vertical-relative:paragraph;z-index:2517237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spacing w:before="22"/>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spacing w:before="22"/>
                          <w:ind w:left="1173" w:right="1162"/>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ind w:right="94"/>
                          <w:rPr>
                            <w:sz w:val="21"/>
                          </w:rPr>
                        </w:pPr>
                        <w:r>
                          <w:rPr>
                            <w:sz w:val="21"/>
                          </w:rPr>
                          <w:t>1,000.00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ind w:right="93"/>
                          <w:rPr>
                            <w:sz w:val="21"/>
                          </w:rPr>
                        </w:pPr>
                        <w:r>
                          <w:rPr>
                            <w:sz w:val="21"/>
                          </w:rPr>
                          <w:t>1.200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37"/>
                          <w:ind w:right="94"/>
                          <w:rPr>
                            <w:sz w:val="21"/>
                          </w:rPr>
                        </w:pPr>
                        <w:r>
                          <w:rPr>
                            <w:sz w:val="21"/>
                          </w:rPr>
                          <w:t>1,200.00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ind w:right="92"/>
                          <w:rPr>
                            <w:sz w:val="21"/>
                          </w:rPr>
                        </w:pPr>
                        <w:r>
                          <w:rPr>
                            <w:sz w:val="21"/>
                          </w:rPr>
                          <w:t>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ind w:right="93"/>
                          <w:rPr>
                            <w:sz w:val="21"/>
                          </w:rPr>
                        </w:pPr>
                        <w:r>
                          <w:rPr>
                            <w:sz w:val="21"/>
                          </w:rPr>
                          <w:t>6.00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ind w:right="94"/>
                          <w:rPr>
                            <w:sz w:val="21"/>
                          </w:rPr>
                        </w:pPr>
                        <w:r>
                          <w:rPr>
                            <w:sz w:val="21"/>
                          </w:rPr>
                          <w:t>1,194.00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ind w:right="93"/>
                          <w:rPr>
                            <w:sz w:val="21"/>
                          </w:rPr>
                        </w:pPr>
                        <w:r>
                          <w:rPr>
                            <w:sz w:val="21"/>
                          </w:rPr>
                          <w:t>2.0%-1.5%=0.5%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26" w:type="dxa"/>
                      </w:tcPr>
                      <w:p>
                        <w:pPr>
                          <w:pStyle w:val="TableParagraph"/>
                          <w:ind w:right="94"/>
                          <w:rPr>
                            <w:sz w:val="21"/>
                          </w:rPr>
                        </w:pPr>
                        <w:r>
                          <w:rPr>
                            <w:sz w:val="21"/>
                          </w:rPr>
                          <w:t>1,188.06</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36"/>
                          <w:ind w:right="93"/>
                          <w:rPr>
                            <w:sz w:val="21"/>
                          </w:rPr>
                        </w:pPr>
                        <w:r>
                          <w:rPr>
                            <w:sz w:val="21"/>
                          </w:rPr>
                          <w:t>5.94</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ind w:right="93"/>
                          <w:rPr>
                            <w:sz w:val="21"/>
                          </w:rPr>
                        </w:pPr>
                        <w:r>
                          <w:rPr>
                            <w:sz w:val="21"/>
                          </w:rPr>
                          <w:t>1.300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ind w:right="93"/>
                          <w:rPr>
                            <w:sz w:val="21"/>
                          </w:rPr>
                        </w:pPr>
                        <w:r>
                          <w:rPr>
                            <w:sz w:val="21"/>
                          </w:rPr>
                          <w:t>913.89</w:t>
                        </w:r>
                      </w:p>
                    </w:tc>
                  </w:tr>
                </w:tbl>
                <w:p>
                  <w:pPr>
                    <w:pStyle w:val="BodyText"/>
                  </w:pPr>
                </w:p>
              </w:txbxContent>
            </v:textbox>
            <w10:wrap type="none"/>
          </v:shape>
        </w:pict>
      </w:r>
      <w:r>
        <w:rPr>
          <w:spacing w:val="-3"/>
          <w:sz w:val="21"/>
        </w:rPr>
        <w:t>若</w:t>
      </w:r>
      <w:r>
        <w:rPr>
          <w:rFonts w:ascii="Times New Roman" w:eastAsia="Times New Roman"/>
          <w:sz w:val="21"/>
        </w:rPr>
        <w:t>T</w:t>
      </w:r>
      <w:r>
        <w:rPr>
          <w:spacing w:val="-16"/>
          <w:sz w:val="21"/>
        </w:rPr>
        <w:t>日转入乙基金</w:t>
      </w:r>
      <w:r>
        <w:rPr>
          <w:spacing w:val="-3"/>
          <w:sz w:val="21"/>
        </w:rPr>
        <w:t>（前端收费模式</w:t>
      </w:r>
      <w:r>
        <w:rPr>
          <w:spacing w:val="-94"/>
          <w:sz w:val="21"/>
        </w:rPr>
        <w:t>）</w:t>
      </w:r>
      <w:r>
        <w:rPr>
          <w:spacing w:val="-11"/>
          <w:sz w:val="21"/>
        </w:rPr>
        <w:t>，且乙基金适用的前端申购费率最高档为</w:t>
      </w:r>
      <w:r>
        <w:rPr>
          <w:rFonts w:ascii="Times New Roman" w:eastAsia="Times New Roman"/>
          <w:spacing w:val="-11"/>
          <w:sz w:val="21"/>
        </w:rPr>
        <w:t>2.0%</w:t>
      </w:r>
      <w:r>
        <w:rPr>
          <w:spacing w:val="-7"/>
          <w:sz w:val="21"/>
        </w:rPr>
        <w:t>，该日乙基金基金份额净值为</w:t>
      </w:r>
      <w:r>
        <w:rPr>
          <w:rFonts w:ascii="Times New Roman" w:eastAsia="Times New Roman"/>
          <w:sz w:val="21"/>
        </w:rPr>
        <w:t>1.300</w:t>
      </w:r>
      <w:r>
        <w:rPr>
          <w:spacing w:val="-3"/>
          <w:sz w:val="21"/>
        </w:rPr>
        <w:t>元。则转出基金费用、转入基金费用及份额计算如</w:t>
      </w:r>
      <w:r>
        <w:rPr>
          <w:sz w:val="21"/>
        </w:rPr>
        <w:t>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6"/>
        </w:rPr>
      </w:pPr>
    </w:p>
    <w:p>
      <w:pPr>
        <w:pStyle w:val="ListParagraph"/>
        <w:numPr>
          <w:ilvl w:val="0"/>
          <w:numId w:val="13"/>
        </w:numPr>
        <w:tabs>
          <w:tab w:pos="1170" w:val="left" w:leader="none"/>
        </w:tabs>
        <w:spacing w:line="417" w:lineRule="auto" w:before="1" w:after="0"/>
        <w:ind w:left="220" w:right="488" w:firstLine="419"/>
        <w:jc w:val="left"/>
        <w:rPr>
          <w:sz w:val="21"/>
        </w:rPr>
      </w:pP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420" w:bottom="1180" w:left="1580" w:right="1200"/>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2" w:hRule="atLeast"/>
        </w:trPr>
        <w:tc>
          <w:tcPr>
            <w:tcW w:w="4261" w:type="dxa"/>
          </w:tcPr>
          <w:p>
            <w:pPr>
              <w:pStyle w:val="TableParagraph"/>
              <w:spacing w:before="23"/>
              <w:ind w:left="1901" w:right="1889"/>
              <w:jc w:val="center"/>
              <w:rPr>
                <w:rFonts w:ascii="宋体" w:eastAsia="宋体" w:hint="eastAsia"/>
                <w:sz w:val="21"/>
              </w:rPr>
            </w:pPr>
            <w:r>
              <w:rPr>
                <w:rFonts w:ascii="宋体" w:eastAsia="宋体" w:hint="eastAsia"/>
                <w:sz w:val="21"/>
              </w:rPr>
              <w:t>项目</w:t>
            </w:r>
          </w:p>
        </w:tc>
        <w:tc>
          <w:tcPr>
            <w:tcW w:w="3207" w:type="dxa"/>
          </w:tcPr>
          <w:p>
            <w:pPr>
              <w:pStyle w:val="TableParagraph"/>
              <w:spacing w:before="23"/>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4"/>
              <w:rPr>
                <w:sz w:val="21"/>
              </w:rPr>
            </w:pPr>
            <w:r>
              <w:rPr>
                <w:sz w:val="21"/>
              </w:rPr>
              <w:t>1,000.00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ind w:right="93"/>
              <w:rPr>
                <w:sz w:val="21"/>
              </w:rPr>
            </w:pPr>
            <w:r>
              <w:rPr>
                <w:sz w:val="21"/>
              </w:rPr>
              <w:t>1.200</w:t>
            </w:r>
          </w:p>
        </w:tc>
      </w:tr>
      <w:tr>
        <w:trPr>
          <w:trHeight w:val="313"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6"/>
              <w:ind w:right="94"/>
              <w:rPr>
                <w:sz w:val="21"/>
              </w:rPr>
            </w:pPr>
            <w:r>
              <w:rPr>
                <w:sz w:val="21"/>
              </w:rPr>
              <w:t>1,200.00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3"/>
              <w:rPr>
                <w:sz w:val="21"/>
              </w:rPr>
            </w:pPr>
            <w:r>
              <w:rPr>
                <w:sz w:val="21"/>
              </w:rPr>
              <w:t>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ind w:right="93"/>
              <w:rPr>
                <w:sz w:val="21"/>
              </w:rPr>
            </w:pPr>
            <w:r>
              <w:rPr>
                <w:sz w:val="21"/>
              </w:rPr>
              <w:t>6.00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ind w:right="94"/>
              <w:rPr>
                <w:sz w:val="21"/>
              </w:rPr>
            </w:pPr>
            <w:r>
              <w:rPr>
                <w:sz w:val="21"/>
              </w:rPr>
              <w:t>1,194.00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ind w:right="93"/>
              <w:rPr>
                <w:sz w:val="21"/>
              </w:rPr>
            </w:pPr>
            <w:r>
              <w:rPr>
                <w:sz w:val="21"/>
              </w:rPr>
              <w:t>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07" w:type="dxa"/>
          </w:tcPr>
          <w:p>
            <w:pPr>
              <w:pStyle w:val="TableParagraph"/>
              <w:ind w:right="94"/>
              <w:rPr>
                <w:sz w:val="21"/>
              </w:rPr>
            </w:pPr>
            <w:r>
              <w:rPr>
                <w:sz w:val="21"/>
              </w:rPr>
              <w:t>1,194.00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spacing w:before="36"/>
              <w:ind w:right="93"/>
              <w:rPr>
                <w:sz w:val="21"/>
              </w:rPr>
            </w:pPr>
            <w:r>
              <w:rPr>
                <w:sz w:val="21"/>
              </w:rPr>
              <w:t>0.00</w:t>
            </w:r>
          </w:p>
        </w:tc>
      </w:tr>
      <w:tr>
        <w:trPr>
          <w:trHeight w:val="312" w:hRule="atLeast"/>
        </w:trPr>
        <w:tc>
          <w:tcPr>
            <w:tcW w:w="4261" w:type="dxa"/>
          </w:tcPr>
          <w:p>
            <w:pPr>
              <w:pStyle w:val="TableParagraph"/>
              <w:spacing w:before="23"/>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ind w:right="93"/>
              <w:rPr>
                <w:sz w:val="21"/>
              </w:rPr>
            </w:pPr>
            <w:r>
              <w:rPr>
                <w:sz w:val="21"/>
              </w:rPr>
              <w:t>1.300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ind w:right="93"/>
              <w:rPr>
                <w:sz w:val="21"/>
              </w:rPr>
            </w:pPr>
            <w:r>
              <w:rPr>
                <w:sz w:val="21"/>
              </w:rPr>
              <w:t>918.46</w:t>
            </w:r>
          </w:p>
        </w:tc>
      </w:tr>
    </w:tbl>
    <w:p>
      <w:pPr>
        <w:pStyle w:val="BodyText"/>
        <w:spacing w:line="417" w:lineRule="auto" w:before="109"/>
        <w:ind w:left="220" w:right="59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4"/>
        </w:numPr>
        <w:tabs>
          <w:tab w:pos="1170" w:val="left" w:leader="none"/>
        </w:tabs>
        <w:spacing w:line="417" w:lineRule="auto" w:before="0" w:after="0"/>
        <w:ind w:left="220" w:right="591" w:firstLine="419"/>
        <w:jc w:val="both"/>
        <w:rPr>
          <w:sz w:val="21"/>
        </w:rPr>
      </w:pPr>
      <w:r>
        <w:rPr/>
        <w:pict>
          <v:shape style="position:absolute;margin-left:111.5pt;margin-top:65.220001pt;width:372.7pt;height:177.65pt;mso-position-horizontal-relative:page;mso-position-vertical-relative:paragraph;z-index:2517288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2" w:hRule="atLeast"/>
                    </w:trPr>
                    <w:tc>
                      <w:tcPr>
                        <w:tcW w:w="4230" w:type="dxa"/>
                      </w:tcPr>
                      <w:p>
                        <w:pPr>
                          <w:pStyle w:val="TableParagraph"/>
                          <w:spacing w:before="23"/>
                          <w:ind w:left="1884" w:right="1875"/>
                          <w:jc w:val="center"/>
                          <w:rPr>
                            <w:rFonts w:ascii="宋体" w:eastAsia="宋体" w:hint="eastAsia"/>
                            <w:sz w:val="21"/>
                          </w:rPr>
                        </w:pPr>
                        <w:r>
                          <w:rPr>
                            <w:rFonts w:ascii="宋体" w:eastAsia="宋体" w:hint="eastAsia"/>
                            <w:sz w:val="21"/>
                          </w:rPr>
                          <w:t>项目</w:t>
                        </w:r>
                      </w:p>
                    </w:tc>
                    <w:tc>
                      <w:tcPr>
                        <w:tcW w:w="3210" w:type="dxa"/>
                      </w:tcPr>
                      <w:p>
                        <w:pPr>
                          <w:pStyle w:val="TableParagraph"/>
                          <w:spacing w:before="23"/>
                          <w:ind w:left="1164" w:right="1156"/>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ind w:right="95"/>
                          <w:rPr>
                            <w:sz w:val="21"/>
                          </w:rPr>
                        </w:pPr>
                        <w:r>
                          <w:rPr>
                            <w:sz w:val="21"/>
                          </w:rPr>
                          <w:t>10,000,000.00</w:t>
                        </w:r>
                      </w:p>
                    </w:tc>
                  </w:tr>
                  <w:tr>
                    <w:trPr>
                      <w:trHeight w:val="313"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spacing w:before="36"/>
                          <w:ind w:right="94"/>
                          <w:rPr>
                            <w:sz w:val="21"/>
                          </w:rPr>
                        </w:pPr>
                        <w:r>
                          <w:rPr>
                            <w:sz w:val="21"/>
                          </w:rPr>
                          <w:t>1.200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ind w:right="95"/>
                          <w:rPr>
                            <w:sz w:val="21"/>
                          </w:rPr>
                        </w:pPr>
                        <w:r>
                          <w:rPr>
                            <w:sz w:val="21"/>
                          </w:rPr>
                          <w:t>12,000,000.00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ind w:right="93"/>
                          <w:rPr>
                            <w:sz w:val="21"/>
                          </w:rPr>
                        </w:pPr>
                        <w:r>
                          <w:rPr>
                            <w:sz w:val="21"/>
                          </w:rPr>
                          <w:t>0.5%</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ind w:right="95"/>
                          <w:rPr>
                            <w:sz w:val="21"/>
                          </w:rPr>
                        </w:pPr>
                        <w:r>
                          <w:rPr>
                            <w:sz w:val="21"/>
                          </w:rPr>
                          <w:t>60,000.00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ind w:right="95"/>
                          <w:rPr>
                            <w:sz w:val="21"/>
                          </w:rPr>
                        </w:pPr>
                        <w:r>
                          <w:rPr>
                            <w:sz w:val="21"/>
                          </w:rPr>
                          <w:t>11,940,000.00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ind w:right="95"/>
                          <w:rPr>
                            <w:sz w:val="21"/>
                          </w:rPr>
                        </w:pPr>
                        <w:r>
                          <w:rPr>
                            <w:sz w:val="21"/>
                          </w:rPr>
                          <w:t>1,000.00</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spacing w:before="36"/>
                          <w:ind w:right="95"/>
                          <w:rPr>
                            <w:sz w:val="21"/>
                          </w:rPr>
                        </w:pPr>
                        <w:r>
                          <w:rPr>
                            <w:sz w:val="21"/>
                          </w:rPr>
                          <w:t>11,939,000.00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ind w:right="94"/>
                          <w:rPr>
                            <w:sz w:val="21"/>
                          </w:rPr>
                        </w:pPr>
                        <w:r>
                          <w:rPr>
                            <w:sz w:val="21"/>
                          </w:rPr>
                          <w:t>1.300</w:t>
                        </w:r>
                      </w:p>
                    </w:tc>
                  </w:tr>
                  <w:tr>
                    <w:trPr>
                      <w:trHeight w:val="312"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ind w:right="95"/>
                          <w:rPr>
                            <w:sz w:val="21"/>
                          </w:rPr>
                        </w:pPr>
                        <w:r>
                          <w:rPr>
                            <w:sz w:val="21"/>
                          </w:rPr>
                          <w:t>9,183,846.15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14"/>
        </w:numPr>
        <w:tabs>
          <w:tab w:pos="1170" w:val="left" w:leader="none"/>
        </w:tabs>
        <w:spacing w:line="417" w:lineRule="auto" w:before="0" w:after="0"/>
        <w:ind w:left="220" w:right="591" w:firstLine="419"/>
        <w:jc w:val="both"/>
        <w:rPr>
          <w:sz w:val="21"/>
        </w:rPr>
      </w:pPr>
      <w:r>
        <w:rPr/>
        <w:pict>
          <v:shape style="position:absolute;margin-left:111.139999pt;margin-top:65.220024pt;width:373.4pt;height:112.6pt;mso-position-horizontal-relative:page;mso-position-vertical-relative:paragraph;z-index:2517299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606" w:right="59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10,000,000.00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6"/>
                          <w:ind w:right="94"/>
                          <w:rPr>
                            <w:sz w:val="21"/>
                          </w:rPr>
                        </w:pPr>
                        <w:r>
                          <w:rPr>
                            <w:sz w:val="21"/>
                          </w:rPr>
                          <w:t>1.200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12,000,000.00</w:t>
                        </w:r>
                      </w:p>
                    </w:tc>
                  </w:tr>
                  <w:tr>
                    <w:trPr>
                      <w:trHeight w:val="296" w:hRule="atLeast"/>
                    </w:trPr>
                    <w:tc>
                      <w:tcPr>
                        <w:tcW w:w="4237" w:type="dxa"/>
                        <w:tcBorders>
                          <w:bottom w:val="single" w:sz="12" w:space="0" w:color="000000"/>
                        </w:tcBorders>
                      </w:tcPr>
                      <w:p>
                        <w:pPr>
                          <w:pStyle w:val="TableParagraph"/>
                          <w:spacing w:before="3"/>
                          <w:ind w:right="979"/>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line="237" w:lineRule="exact" w:before="0"/>
                          <w:ind w:right="93"/>
                          <w:rPr>
                            <w:sz w:val="21"/>
                          </w:rPr>
                        </w:pPr>
                        <w:r>
                          <w:rPr>
                            <w:sz w:val="21"/>
                          </w:rPr>
                          <w:t>0.5%</w:t>
                        </w:r>
                      </w:p>
                    </w:tc>
                  </w:tr>
                  <w:tr>
                    <w:trPr>
                      <w:trHeight w:val="287" w:hRule="atLeast"/>
                    </w:trPr>
                    <w:tc>
                      <w:tcPr>
                        <w:tcW w:w="4237" w:type="dxa"/>
                        <w:tcBorders>
                          <w:top w:val="single" w:sz="12" w:space="0" w:color="000000"/>
                          <w:bottom w:val="single" w:sz="12" w:space="0" w:color="000000"/>
                        </w:tcBorders>
                      </w:tcPr>
                      <w:p>
                        <w:pPr>
                          <w:pStyle w:val="TableParagraph"/>
                          <w:spacing w:line="263" w:lineRule="exact" w:before="0"/>
                          <w:ind w:right="943"/>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spacing w:line="228" w:lineRule="exact" w:before="0"/>
                          <w:ind w:right="94"/>
                          <w:rPr>
                            <w:sz w:val="21"/>
                          </w:rPr>
                        </w:pPr>
                        <w:r>
                          <w:rPr>
                            <w:sz w:val="21"/>
                          </w:rPr>
                          <w:t>60,000.00</w:t>
                        </w:r>
                      </w:p>
                    </w:tc>
                  </w:tr>
                  <w:tr>
                    <w:trPr>
                      <w:trHeight w:val="299" w:hRule="atLeast"/>
                    </w:trPr>
                    <w:tc>
                      <w:tcPr>
                        <w:tcW w:w="4237" w:type="dxa"/>
                        <w:tcBorders>
                          <w:top w:val="single" w:sz="12" w:space="0" w:color="000000"/>
                        </w:tcBorders>
                      </w:tcPr>
                      <w:p>
                        <w:pPr>
                          <w:pStyle w:val="TableParagraph"/>
                          <w:spacing w:line="262" w:lineRule="exact" w:before="0"/>
                          <w:ind w:left="1199"/>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spacing w:line="227" w:lineRule="exact" w:before="0"/>
                          <w:ind w:right="94"/>
                          <w:rPr>
                            <w:sz w:val="21"/>
                          </w:rPr>
                        </w:pPr>
                        <w:r>
                          <w:rPr>
                            <w:sz w:val="21"/>
                          </w:rPr>
                          <w:t>11,940,000.00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0"/>
        </w:rPr>
      </w:pPr>
      <w:r>
        <w:rPr/>
        <w:pict>
          <v:line style="position:absolute;mso-position-horizontal-relative:page;mso-position-vertical-relative:paragraph;z-index:-251591680;mso-wrap-distance-left:0;mso-wrap-distance-right:0" from="327.190002pt,9.318453pt" to="480.090002pt,9.318453pt" stroked="true" strokeweight=".71997pt" strokecolor="#000000">
            <v:stroke dashstyle="solid"/>
            <w10:wrap type="topAndBottom"/>
          </v:line>
        </w:pict>
      </w:r>
      <w:r>
        <w:rPr/>
        <w:pict>
          <v:line style="position:absolute;mso-position-horizontal-relative:page;mso-position-vertical-relative:paragraph;z-index:-251590656;mso-wrap-distance-left:0;mso-wrap-distance-right:0" from="327.190002pt,25.178453pt" to="480.090002pt,25.178453pt" stroked="true" strokeweight=".71997pt" strokecolor="#000000">
            <v:stroke dashstyle="solid"/>
            <w10:wrap type="topAndBottom"/>
          </v:line>
        </w:pict>
      </w:r>
      <w:r>
        <w:rPr/>
        <w:pict>
          <v:line style="position:absolute;mso-position-horizontal-relative:page;mso-position-vertical-relative:paragraph;z-index:-251589632;mso-wrap-distance-left:0;mso-wrap-distance-right:0" from="327.190002pt,41.138424pt" to="480.090002pt,41.138424pt" stroked="true" strokeweight=".72003pt" strokecolor="#000000">
            <v:stroke dashstyle="solid"/>
            <w10:wrap type="topAndBottom"/>
          </v:line>
        </w:pict>
      </w:r>
    </w:p>
    <w:p>
      <w:pPr>
        <w:pStyle w:val="BodyText"/>
        <w:spacing w:before="2"/>
        <w:rPr>
          <w:sz w:val="18"/>
        </w:rPr>
      </w:pPr>
    </w:p>
    <w:p>
      <w:pPr>
        <w:pStyle w:val="BodyText"/>
        <w:spacing w:before="4"/>
        <w:rPr>
          <w:sz w:val="18"/>
        </w:rPr>
      </w:pPr>
    </w:p>
    <w:p>
      <w:pPr>
        <w:pStyle w:val="BodyText"/>
        <w:spacing w:line="20" w:lineRule="exact"/>
        <w:ind w:left="718"/>
        <w:rPr>
          <w:sz w:val="2"/>
        </w:rPr>
      </w:pPr>
      <w:r>
        <w:rPr>
          <w:sz w:val="2"/>
        </w:rPr>
        <w:pict>
          <v:group style="width:203.85pt;height:.75pt;mso-position-horizontal-relative:char;mso-position-vertical-relative:line" coordorigin="0,0" coordsize="4077,15">
            <v:line style="position:absolute" from="0,7" to="4076,7" stroked="true" strokeweight=".72003pt" strokecolor="#000000">
              <v:stroke dashstyle="solid"/>
            </v:line>
          </v:group>
        </w:pict>
      </w:r>
      <w:r>
        <w:rPr>
          <w:sz w:val="2"/>
        </w:rPr>
      </w:r>
    </w:p>
    <w:p>
      <w:pPr>
        <w:spacing w:after="0" w:line="20" w:lineRule="exact"/>
        <w:rPr>
          <w:sz w:val="2"/>
        </w:rPr>
        <w:sectPr>
          <w:pgSz w:w="11910" w:h="16840"/>
          <w:pgMar w:header="877" w:footer="995" w:top="1420" w:bottom="1180" w:left="1580" w:right="1200"/>
        </w:sectPr>
      </w:pPr>
    </w:p>
    <w:tbl>
      <w:tblPr>
        <w:tblW w:w="0" w:type="auto"/>
        <w:jc w:val="left"/>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297" w:hRule="atLeast"/>
        </w:trPr>
        <w:tc>
          <w:tcPr>
            <w:tcW w:w="4237" w:type="dxa"/>
            <w:tcBorders>
              <w:bottom w:val="single" w:sz="12" w:space="0" w:color="000000"/>
            </w:tcBorders>
          </w:tcPr>
          <w:p>
            <w:pPr>
              <w:pStyle w:val="TableParagraph"/>
              <w:spacing w:before="4"/>
              <w:ind w:left="606" w:right="600"/>
              <w:jc w:val="center"/>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spacing w:line="238" w:lineRule="exact" w:before="0"/>
              <w:ind w:right="94"/>
              <w:rPr>
                <w:sz w:val="21"/>
              </w:rPr>
            </w:pPr>
            <w:r>
              <w:rPr>
                <w:sz w:val="21"/>
              </w:rPr>
              <w:t>0.00</w:t>
            </w:r>
          </w:p>
        </w:tc>
      </w:tr>
      <w:tr>
        <w:trPr>
          <w:trHeight w:val="296" w:hRule="atLeast"/>
        </w:trPr>
        <w:tc>
          <w:tcPr>
            <w:tcW w:w="4237" w:type="dxa"/>
            <w:tcBorders>
              <w:top w:val="single" w:sz="12" w:space="0" w:color="000000"/>
            </w:tcBorders>
          </w:tcPr>
          <w:p>
            <w:pPr>
              <w:pStyle w:val="TableParagraph"/>
              <w:spacing w:line="262" w:lineRule="exact" w:before="0"/>
              <w:ind w:left="606" w:right="600"/>
              <w:jc w:val="center"/>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spacing w:line="227" w:lineRule="exact" w:before="0"/>
              <w:ind w:right="94"/>
              <w:rPr>
                <w:sz w:val="21"/>
              </w:rPr>
            </w:pPr>
            <w:r>
              <w:rPr>
                <w:sz w:val="21"/>
              </w:rPr>
              <w:t>11,940,000.00</w:t>
            </w:r>
          </w:p>
        </w:tc>
      </w:tr>
      <w:tr>
        <w:trPr>
          <w:trHeight w:val="299" w:hRule="atLeast"/>
        </w:trPr>
        <w:tc>
          <w:tcPr>
            <w:tcW w:w="4237" w:type="dxa"/>
            <w:tcBorders>
              <w:bottom w:val="single" w:sz="12" w:space="0" w:color="000000"/>
            </w:tcBorders>
          </w:tcPr>
          <w:p>
            <w:pPr>
              <w:pStyle w:val="TableParagraph"/>
              <w:spacing w:before="5"/>
              <w:ind w:left="606" w:right="600"/>
              <w:jc w:val="center"/>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spacing w:line="240" w:lineRule="exact" w:before="0"/>
              <w:ind w:right="94"/>
              <w:rPr>
                <w:sz w:val="21"/>
              </w:rPr>
            </w:pPr>
            <w:r>
              <w:rPr>
                <w:sz w:val="21"/>
              </w:rPr>
              <w:t>1.300</w:t>
            </w:r>
          </w:p>
        </w:tc>
      </w:tr>
      <w:tr>
        <w:trPr>
          <w:trHeight w:val="286" w:hRule="atLeast"/>
        </w:trPr>
        <w:tc>
          <w:tcPr>
            <w:tcW w:w="4237" w:type="dxa"/>
            <w:tcBorders>
              <w:top w:val="single" w:sz="12" w:space="0" w:color="000000"/>
              <w:bottom w:val="single" w:sz="12" w:space="0" w:color="000000"/>
            </w:tcBorders>
          </w:tcPr>
          <w:p>
            <w:pPr>
              <w:pStyle w:val="TableParagraph"/>
              <w:spacing w:line="262" w:lineRule="exact" w:before="0"/>
              <w:ind w:left="606" w:right="600"/>
              <w:jc w:val="center"/>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spacing w:line="227" w:lineRule="exact" w:before="0"/>
              <w:ind w:right="94"/>
              <w:rPr>
                <w:sz w:val="21"/>
              </w:rPr>
            </w:pPr>
            <w:r>
              <w:rPr>
                <w:sz w:val="21"/>
              </w:rPr>
              <w:t>9,184,615.38</w:t>
            </w:r>
          </w:p>
        </w:tc>
      </w:tr>
    </w:tbl>
    <w:p>
      <w:pPr>
        <w:pStyle w:val="BodyText"/>
        <w:spacing w:line="417" w:lineRule="auto" w:before="102"/>
        <w:ind w:left="220" w:right="591" w:firstLine="419"/>
        <w:jc w:val="both"/>
      </w:pPr>
      <w:r>
        <w:rPr/>
        <w:pict>
          <v:line style="position:absolute;mso-position-horizontal-relative:page;mso-position-vertical-relative:paragraph;z-index:-259780608" from="327.190002pt,-49.919979pt" to="480.090002pt,-49.919979pt" stroked="true" strokeweight=".72pt" strokecolor="#000000">
            <v:stroke dashstyle="solid"/>
            <w10:wrap type="none"/>
          </v:line>
        </w:pict>
      </w:r>
      <w:r>
        <w:rPr/>
        <w:pict>
          <v:line style="position:absolute;mso-position-horizontal-relative:page;mso-position-vertical-relative:paragraph;z-index:-259779584" from="115.339996pt,-32.519978pt" to="319.149996pt,-32.519978pt" stroked="true" strokeweight=".72pt" strokecolor="#000000">
            <v:stroke dashstyle="solid"/>
            <w10:wrap type="none"/>
          </v:line>
        </w:pict>
      </w:r>
      <w:r>
        <w:rPr/>
        <w:pict>
          <v:line style="position:absolute;mso-position-horizontal-relative:page;mso-position-vertical-relative:paragraph;z-index:-259778560" from="327.190002pt,-33.959976pt" to="480.090002pt,-33.959976pt" stroked="true" strokeweight=".72pt" strokecolor="#000000">
            <v:stroke dashstyle="solid"/>
            <w10:wrap type="none"/>
          </v:line>
        </w:pict>
      </w:r>
      <w:r>
        <w:rPr/>
        <w:pict>
          <v:line style="position:absolute;mso-position-horizontal-relative:page;mso-position-vertical-relative:paragraph;z-index:-259777536" from="327.190002pt,-18.119978pt" to="480.090002pt,-18.119978pt" stroked="true" strokeweight=".72pt" strokecolor="#000000">
            <v:stroke dashstyle="solid"/>
            <w10:wrap type="none"/>
          </v:line>
        </w:pict>
      </w:r>
      <w:r>
        <w:rPr/>
        <w:pict>
          <v:line style="position:absolute;mso-position-horizontal-relative:page;mso-position-vertical-relative:paragraph;z-index:-259776512" from="327.190002pt,-2.279978pt" to="480.090002pt,-2.279978pt" stroked="true" strokeweight=".72pt" strokecolor="#000000">
            <v:stroke dashstyle="solid"/>
            <w10:wrap type="none"/>
          </v:line>
        </w:pict>
      </w:r>
      <w:r>
        <w:rPr/>
        <w:pict>
          <v:shape style="position:absolute;margin-left:111.260002pt;margin-top:93.720024pt;width:373.2pt;height:177.65pt;mso-position-horizontal-relative:page;mso-position-vertical-relative:paragraph;z-index:2517360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2" w:hRule="atLeast"/>
                    </w:trPr>
                    <w:tc>
                      <w:tcPr>
                        <w:tcW w:w="4235" w:type="dxa"/>
                      </w:tcPr>
                      <w:p>
                        <w:pPr>
                          <w:pStyle w:val="TableParagraph"/>
                          <w:spacing w:before="22"/>
                          <w:ind w:left="1676" w:right="1667"/>
                          <w:jc w:val="center"/>
                          <w:rPr>
                            <w:rFonts w:ascii="宋体" w:eastAsia="宋体" w:hint="eastAsia"/>
                            <w:sz w:val="21"/>
                          </w:rPr>
                        </w:pPr>
                        <w:r>
                          <w:rPr>
                            <w:rFonts w:ascii="宋体" w:eastAsia="宋体" w:hint="eastAsia"/>
                            <w:sz w:val="21"/>
                          </w:rPr>
                          <w:t>项目</w:t>
                        </w:r>
                      </w:p>
                    </w:tc>
                    <w:tc>
                      <w:tcPr>
                        <w:tcW w:w="3215" w:type="dxa"/>
                      </w:tcPr>
                      <w:p>
                        <w:pPr>
                          <w:pStyle w:val="TableParagraph"/>
                          <w:spacing w:before="22"/>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rPr>
                            <w:sz w:val="21"/>
                          </w:rPr>
                        </w:pPr>
                        <w:r>
                          <w:rPr>
                            <w:sz w:val="21"/>
                          </w:rPr>
                          <w:t>1,000.00</w:t>
                        </w:r>
                      </w:p>
                    </w:tc>
                  </w:tr>
                  <w:tr>
                    <w:trPr>
                      <w:trHeight w:val="314"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before="36"/>
                          <w:ind w:right="92"/>
                          <w:rPr>
                            <w:sz w:val="21"/>
                          </w:rPr>
                        </w:pPr>
                        <w:r>
                          <w:rPr>
                            <w:sz w:val="21"/>
                          </w:rPr>
                          <w:t>1.200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rPr>
                            <w:sz w:val="21"/>
                          </w:rPr>
                        </w:pPr>
                        <w:r>
                          <w:rPr>
                            <w:sz w:val="21"/>
                          </w:rPr>
                          <w:t>1,200.00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rPr>
                            <w:sz w:val="21"/>
                          </w:rPr>
                        </w:pPr>
                        <w:r>
                          <w:rPr>
                            <w:sz w:val="21"/>
                          </w:rPr>
                          <w:t>0.5%</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2"/>
                          <w:rPr>
                            <w:sz w:val="21"/>
                          </w:rPr>
                        </w:pPr>
                        <w:r>
                          <w:rPr>
                            <w:sz w:val="21"/>
                          </w:rPr>
                          <w:t>6.00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ind w:right="93"/>
                          <w:rPr>
                            <w:sz w:val="21"/>
                          </w:rPr>
                        </w:pPr>
                        <w:r>
                          <w:rPr>
                            <w:sz w:val="21"/>
                          </w:rPr>
                          <w:t>1,194.00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rPr>
                            <w:sz w:val="21"/>
                          </w:rPr>
                        </w:pPr>
                        <w:r>
                          <w:rPr>
                            <w:sz w:val="21"/>
                          </w:rPr>
                          <w:t>0.00</w:t>
                        </w:r>
                      </w:p>
                    </w:tc>
                  </w:tr>
                  <w:tr>
                    <w:trPr>
                      <w:trHeight w:val="313"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spacing w:before="36"/>
                          <w:ind w:right="93"/>
                          <w:rPr>
                            <w:sz w:val="21"/>
                          </w:rPr>
                        </w:pPr>
                        <w:r>
                          <w:rPr>
                            <w:sz w:val="21"/>
                          </w:rPr>
                          <w:t>1,194.00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rPr>
                            <w:sz w:val="21"/>
                          </w:rPr>
                        </w:pPr>
                        <w:r>
                          <w:rPr>
                            <w:sz w:val="21"/>
                          </w:rPr>
                          <w:t>1.500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2"/>
                          <w:rPr>
                            <w:sz w:val="21"/>
                          </w:rPr>
                        </w:pPr>
                        <w:r>
                          <w:rPr>
                            <w:sz w:val="21"/>
                          </w:rPr>
                          <w:t>796.00</w:t>
                        </w:r>
                      </w:p>
                    </w:tc>
                  </w:tr>
                </w:tbl>
                <w:p>
                  <w:pPr>
                    <w:pStyle w:val="BodyText"/>
                  </w:pPr>
                </w:p>
              </w:txbxContent>
            </v:textbox>
            <w10:wrap type="none"/>
          </v:shape>
        </w:pict>
      </w: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220" w:right="591" w:firstLine="419"/>
        <w:jc w:val="both"/>
      </w:pPr>
      <w:r>
        <w:rPr/>
        <w:pict>
          <v:shape style="position:absolute;margin-left:111.379997pt;margin-top:65.219978pt;width:372.95pt;height:129.4pt;mso-position-horizontal-relative:page;mso-position-vertical-relative:paragraph;z-index:2517370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678"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3"/>
                          <w:rPr>
                            <w:sz w:val="21"/>
                          </w:rPr>
                        </w:pPr>
                        <w:r>
                          <w:rPr>
                            <w:sz w:val="21"/>
                          </w:rPr>
                          <w:t>796.00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before="36"/>
                          <w:ind w:right="93"/>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ind w:right="94"/>
                          <w:rPr>
                            <w:sz w:val="21"/>
                          </w:rPr>
                        </w:pPr>
                        <w:r>
                          <w:rPr>
                            <w:sz w:val="21"/>
                          </w:rPr>
                          <w:t>1,034.80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2"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rPr>
                            <w:sz w:val="21"/>
                          </w:rPr>
                        </w:pPr>
                        <w:r>
                          <w:rPr>
                            <w:sz w:val="21"/>
                          </w:rPr>
                          <w:t>1.2%</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K</w:t>
                        </w:r>
                        <w:r>
                          <w:rPr>
                            <w:spacing w:val="-3"/>
                            <w:w w:val="100"/>
                            <w:sz w:val="21"/>
                          </w:rPr>
                          <w:t>*</w:t>
                        </w:r>
                        <w:r>
                          <w:rPr>
                            <w:spacing w:val="-1"/>
                            <w:w w:val="100"/>
                            <w:sz w:val="21"/>
                          </w:rPr>
                          <w:t>I</w:t>
                        </w:r>
                        <w:r>
                          <w:rPr>
                            <w:spacing w:val="-5"/>
                            <w:w w:val="100"/>
                            <w:sz w:val="21"/>
                          </w:rPr>
                          <w:t>*</w:t>
                        </w:r>
                        <w:r>
                          <w:rPr>
                            <w:w w:val="100"/>
                            <w:sz w:val="21"/>
                          </w:rPr>
                          <w:t>O</w:t>
                        </w:r>
                        <w:r>
                          <w:rPr>
                            <w:spacing w:val="-1"/>
                            <w:w w:val="100"/>
                            <w:sz w:val="21"/>
                          </w:rPr>
                          <w:t>/</w:t>
                        </w:r>
                        <w:r>
                          <w:rPr>
                            <w:rFonts w:ascii="宋体" w:eastAsia="宋体" w:hint="eastAsia"/>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12" w:type="dxa"/>
                      </w:tcPr>
                      <w:p>
                        <w:pPr>
                          <w:pStyle w:val="TableParagraph"/>
                          <w:ind w:right="93"/>
                          <w:rPr>
                            <w:sz w:val="21"/>
                          </w:rPr>
                        </w:pPr>
                        <w:r>
                          <w:rPr>
                            <w:sz w:val="21"/>
                          </w:rPr>
                          <w:t>14.16</w:t>
                        </w:r>
                      </w:p>
                    </w:tc>
                  </w:tr>
                  <w:tr>
                    <w:trPr>
                      <w:trHeight w:val="314"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rPr>
                            <w:sz w:val="21"/>
                          </w:rPr>
                        </w:pPr>
                        <w:r>
                          <w:rPr>
                            <w:sz w:val="21"/>
                          </w:rPr>
                          <w:t>1,020.64</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pPr>
    </w:p>
    <w:p>
      <w:pPr>
        <w:pStyle w:val="BodyText"/>
        <w:spacing w:line="417" w:lineRule="auto"/>
        <w:ind w:left="220" w:right="485" w:firstLine="419"/>
      </w:pPr>
      <w:r>
        <w:rPr/>
        <w:pict>
          <v:shape style="position:absolute;margin-left:110.779999pt;margin-top:65.219955pt;width:374.15pt;height:81.05pt;mso-position-horizontal-relative:page;mso-position-vertical-relative:paragraph;z-index:2517381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rPr>
                            <w:sz w:val="21"/>
                          </w:rPr>
                        </w:pPr>
                        <w:r>
                          <w:rPr>
                            <w:sz w:val="21"/>
                          </w:rPr>
                          <w:t>1,000.00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rPr>
                            <w:sz w:val="21"/>
                          </w:rPr>
                        </w:pPr>
                        <w:r>
                          <w:rPr>
                            <w:sz w:val="21"/>
                          </w:rPr>
                          <w:t>1,300.00</w:t>
                        </w:r>
                      </w:p>
                    </w:tc>
                  </w:tr>
                  <w:tr>
                    <w:trPr>
                      <w:trHeight w:val="314"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rPr>
                            <w:sz w:val="21"/>
                          </w:rPr>
                        </w:pPr>
                        <w:r>
                          <w:rPr>
                            <w:sz w:val="21"/>
                          </w:rPr>
                          <w:t>0.5%</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spacing w:after="0" w:line="417" w:lineRule="auto"/>
        <w:sectPr>
          <w:pgSz w:w="11910" w:h="16840"/>
          <w:pgMar w:header="877" w:footer="995" w:top="1420" w:bottom="1180" w:left="1580" w:right="1200"/>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3"/>
              <w:rPr>
                <w:sz w:val="21"/>
              </w:rPr>
            </w:pPr>
            <w:r>
              <w:rPr>
                <w:sz w:val="21"/>
              </w:rPr>
              <w:t>6.50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4"/>
              <w:rPr>
                <w:sz w:val="21"/>
              </w:rPr>
            </w:pPr>
            <w:r>
              <w:rPr>
                <w:sz w:val="21"/>
              </w:rPr>
              <w:t>1,293.50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rPr>
                <w:sz w:val="21"/>
              </w:rPr>
            </w:pPr>
            <w:r>
              <w:rPr>
                <w:sz w:val="21"/>
              </w:rPr>
              <w:t>0.00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36"/>
              <w:ind w:right="94"/>
              <w:rPr>
                <w:sz w:val="21"/>
              </w:rPr>
            </w:pPr>
            <w:r>
              <w:rPr>
                <w:sz w:val="21"/>
              </w:rPr>
              <w:t>1,293.50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rPr>
                <w:sz w:val="21"/>
              </w:rPr>
            </w:pPr>
            <w:r>
              <w:rPr>
                <w:sz w:val="21"/>
              </w:rPr>
              <w:t>1.500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3"/>
              <w:rPr>
                <w:sz w:val="21"/>
              </w:rPr>
            </w:pPr>
            <w:r>
              <w:rPr>
                <w:sz w:val="21"/>
              </w:rPr>
              <w:t>862.33</w:t>
            </w:r>
          </w:p>
        </w:tc>
      </w:tr>
    </w:tbl>
    <w:p>
      <w:pPr>
        <w:pStyle w:val="BodyText"/>
        <w:spacing w:line="417" w:lineRule="auto" w:before="109"/>
        <w:ind w:left="220" w:right="59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15"/>
        </w:numPr>
        <w:tabs>
          <w:tab w:pos="1170" w:val="left" w:leader="none"/>
        </w:tabs>
        <w:spacing w:line="417" w:lineRule="auto" w:before="0" w:after="0"/>
        <w:ind w:left="220" w:right="593" w:firstLine="419"/>
        <w:jc w:val="both"/>
        <w:rPr>
          <w:sz w:val="21"/>
        </w:rPr>
      </w:pPr>
      <w:r>
        <w:rPr/>
        <w:pict>
          <v:shape style="position:absolute;margin-left:110.540001pt;margin-top:65.220009pt;width:374.6pt;height:193.7pt;mso-position-horizontal-relative:page;mso-position-vertical-relative:paragraph;z-index:2517391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1" w:hRule="atLeast"/>
                    </w:trPr>
                    <w:tc>
                      <w:tcPr>
                        <w:tcW w:w="4266" w:type="dxa"/>
                      </w:tcPr>
                      <w:p>
                        <w:pPr>
                          <w:pStyle w:val="TableParagraph"/>
                          <w:spacing w:before="22"/>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108" w:right="1098"/>
                          <w:jc w:val="center"/>
                          <w:rPr>
                            <w:rFonts w:ascii="宋体" w:eastAsia="宋体" w:hint="eastAsia"/>
                            <w:sz w:val="21"/>
                          </w:rPr>
                        </w:pPr>
                        <w:r>
                          <w:rPr>
                            <w:rFonts w:ascii="宋体" w:eastAsia="宋体" w:hint="eastAsia"/>
                            <w:sz w:val="21"/>
                          </w:rPr>
                          <w:t>费用计算</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rPr>
                            <w:sz w:val="21"/>
                          </w:rPr>
                        </w:pPr>
                        <w:r>
                          <w:rPr>
                            <w:sz w:val="21"/>
                          </w:rPr>
                          <w:t>10,000,000.00</w:t>
                        </w:r>
                      </w:p>
                    </w:tc>
                  </w:tr>
                  <w:tr>
                    <w:trPr>
                      <w:trHeight w:val="313" w:hRule="atLeast"/>
                    </w:trPr>
                    <w:tc>
                      <w:tcPr>
                        <w:tcW w:w="4266" w:type="dxa"/>
                      </w:tcPr>
                      <w:p>
                        <w:pPr>
                          <w:pStyle w:val="TableParagraph"/>
                          <w:spacing w:before="25"/>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36"/>
                          <w:ind w:right="94"/>
                          <w:rPr>
                            <w:sz w:val="21"/>
                          </w:rPr>
                        </w:pPr>
                        <w:r>
                          <w:rPr>
                            <w:sz w:val="21"/>
                          </w:rPr>
                          <w:t>1.200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ind w:right="94"/>
                          <w:rPr>
                            <w:sz w:val="21"/>
                          </w:rPr>
                        </w:pPr>
                        <w:r>
                          <w:rPr>
                            <w:sz w:val="21"/>
                          </w:rPr>
                          <w:t>12,000,000.00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ind w:right="93"/>
                          <w:rPr>
                            <w:sz w:val="21"/>
                          </w:rPr>
                        </w:pPr>
                        <w:r>
                          <w:rPr>
                            <w:sz w:val="21"/>
                          </w:rPr>
                          <w:t>0.5%</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ind w:right="94"/>
                          <w:rPr>
                            <w:sz w:val="21"/>
                          </w:rPr>
                        </w:pPr>
                        <w:r>
                          <w:rPr>
                            <w:sz w:val="21"/>
                          </w:rPr>
                          <w:t>60,000.00</w:t>
                        </w:r>
                      </w:p>
                    </w:tc>
                  </w:tr>
                  <w:tr>
                    <w:trPr>
                      <w:trHeight w:val="312" w:hRule="atLeast"/>
                    </w:trPr>
                    <w:tc>
                      <w:tcPr>
                        <w:tcW w:w="4266" w:type="dxa"/>
                      </w:tcPr>
                      <w:p>
                        <w:pPr>
                          <w:pStyle w:val="TableParagraph"/>
                          <w:spacing w:before="23"/>
                          <w:ind w:left="105"/>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ind w:right="94"/>
                          <w:rPr>
                            <w:sz w:val="21"/>
                          </w:rPr>
                        </w:pPr>
                        <w:r>
                          <w:rPr>
                            <w:sz w:val="21"/>
                          </w:rPr>
                          <w:t>11,940,000.00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ind w:right="94"/>
                          <w:rPr>
                            <w:sz w:val="21"/>
                          </w:rPr>
                        </w:pPr>
                        <w:r>
                          <w:rPr>
                            <w:sz w:val="21"/>
                          </w:rPr>
                          <w:t>1.5%-1.2%=0.3%</w:t>
                        </w:r>
                      </w:p>
                    </w:tc>
                  </w:tr>
                  <w:tr>
                    <w:trPr>
                      <w:trHeight w:val="313" w:hRule="atLeast"/>
                    </w:trPr>
                    <w:tc>
                      <w:tcPr>
                        <w:tcW w:w="4266" w:type="dxa"/>
                      </w:tcPr>
                      <w:p>
                        <w:pPr>
                          <w:pStyle w:val="TableParagraph"/>
                          <w:spacing w:before="25"/>
                          <w:ind w:left="105"/>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36"/>
                          <w:ind w:right="94"/>
                          <w:rPr>
                            <w:sz w:val="21"/>
                          </w:rPr>
                        </w:pPr>
                        <w:r>
                          <w:rPr>
                            <w:sz w:val="21"/>
                          </w:rPr>
                          <w:t>11,904,287.14</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ind w:right="94"/>
                          <w:rPr>
                            <w:sz w:val="21"/>
                          </w:rPr>
                        </w:pPr>
                        <w:r>
                          <w:rPr>
                            <w:sz w:val="21"/>
                          </w:rPr>
                          <w:t>35,712.86</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4"/>
                          <w:rPr>
                            <w:sz w:val="21"/>
                          </w:rPr>
                        </w:pPr>
                        <w:r>
                          <w:rPr>
                            <w:sz w:val="21"/>
                          </w:rPr>
                          <w:t>1.300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ind w:right="94"/>
                          <w:rPr>
                            <w:sz w:val="21"/>
                          </w:rPr>
                        </w:pPr>
                        <w:r>
                          <w:rPr>
                            <w:sz w:val="21"/>
                          </w:rPr>
                          <w:t>9,157,143.95</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ListParagraph"/>
        <w:numPr>
          <w:ilvl w:val="0"/>
          <w:numId w:val="15"/>
        </w:numPr>
        <w:tabs>
          <w:tab w:pos="1170" w:val="left" w:leader="none"/>
        </w:tabs>
        <w:spacing w:line="417" w:lineRule="auto" w:before="1" w:after="0"/>
        <w:ind w:left="220" w:right="593" w:firstLine="419"/>
        <w:jc w:val="both"/>
        <w:rPr>
          <w:sz w:val="21"/>
        </w:rPr>
      </w:pPr>
      <w:r>
        <w:rPr/>
        <w:pict>
          <v:shape style="position:absolute;margin-left:110.779999pt;margin-top:65.29995pt;width:374.15pt;height:193.7pt;mso-position-horizontal-relative:page;mso-position-vertical-relative:paragraph;z-index:2517401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171" w:right="1157"/>
                          <w:jc w:val="center"/>
                          <w:rPr>
                            <w:rFonts w:ascii="宋体" w:eastAsia="宋体" w:hint="eastAsia"/>
                            <w:sz w:val="21"/>
                          </w:rPr>
                        </w:pPr>
                        <w:r>
                          <w:rPr>
                            <w:rFonts w:ascii="宋体" w:eastAsia="宋体" w:hint="eastAsia"/>
                            <w:sz w:val="21"/>
                          </w:rPr>
                          <w:t>费用计算</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6"/>
                          <w:ind w:right="91"/>
                          <w:rPr>
                            <w:sz w:val="21"/>
                          </w:rPr>
                        </w:pPr>
                        <w:r>
                          <w:rPr>
                            <w:sz w:val="21"/>
                          </w:rPr>
                          <w:t>10,000,000.00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1"/>
                          <w:rPr>
                            <w:sz w:val="21"/>
                          </w:rPr>
                        </w:pPr>
                        <w:r>
                          <w:rPr>
                            <w:sz w:val="21"/>
                          </w:rPr>
                          <w:t>1.200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1"/>
                          <w:rPr>
                            <w:sz w:val="21"/>
                          </w:rPr>
                        </w:pPr>
                        <w:r>
                          <w:rPr>
                            <w:sz w:val="21"/>
                          </w:rPr>
                          <w:t>12,000,000.00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0"/>
                          <w:rPr>
                            <w:sz w:val="21"/>
                          </w:rPr>
                        </w:pPr>
                        <w:r>
                          <w:rPr>
                            <w:sz w:val="21"/>
                          </w:rPr>
                          <w:t>0.5%</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1"/>
                          <w:rPr>
                            <w:sz w:val="21"/>
                          </w:rPr>
                        </w:pPr>
                        <w:r>
                          <w:rPr>
                            <w:sz w:val="21"/>
                          </w:rPr>
                          <w:t>60,000.00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1"/>
                          <w:rPr>
                            <w:sz w:val="21"/>
                          </w:rPr>
                        </w:pPr>
                        <w:r>
                          <w:rPr>
                            <w:sz w:val="21"/>
                          </w:rPr>
                          <w:t>11,940,000.00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spacing w:before="36"/>
                          <w:ind w:right="90"/>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24" w:type="dxa"/>
                      </w:tcPr>
                      <w:p>
                        <w:pPr>
                          <w:pStyle w:val="TableParagraph"/>
                          <w:ind w:right="91"/>
                          <w:rPr>
                            <w:sz w:val="21"/>
                          </w:rPr>
                        </w:pPr>
                        <w:r>
                          <w:rPr>
                            <w:sz w:val="21"/>
                          </w:rPr>
                          <w:t>11,940,000.00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ind w:right="91"/>
                          <w:rPr>
                            <w:sz w:val="21"/>
                          </w:rPr>
                        </w:pPr>
                        <w:r>
                          <w:rPr>
                            <w:sz w:val="21"/>
                          </w:rPr>
                          <w:t>0.00</w:t>
                        </w:r>
                      </w:p>
                    </w:tc>
                  </w:tr>
                  <w:tr>
                    <w:trPr>
                      <w:trHeight w:val="311"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ind w:right="91"/>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ind w:right="91"/>
                          <w:rPr>
                            <w:sz w:val="21"/>
                          </w:rPr>
                        </w:pPr>
                        <w:r>
                          <w:rPr>
                            <w:sz w:val="21"/>
                          </w:rPr>
                          <w:t>9,184,615.38</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580" w:right="1200"/>
        </w:sectPr>
      </w:pPr>
    </w:p>
    <w:p>
      <w:pPr>
        <w:pStyle w:val="BodyText"/>
        <w:spacing w:line="417" w:lineRule="auto" w:before="110"/>
        <w:ind w:left="220" w:right="59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16"/>
        </w:numPr>
        <w:tabs>
          <w:tab w:pos="1170" w:val="left" w:leader="none"/>
        </w:tabs>
        <w:spacing w:line="417" w:lineRule="auto" w:before="0" w:after="0"/>
        <w:ind w:left="220" w:right="591" w:firstLine="419"/>
        <w:jc w:val="both"/>
        <w:rPr>
          <w:sz w:val="21"/>
        </w:rPr>
      </w:pPr>
      <w:r>
        <w:rPr/>
        <w:pict>
          <v:shape style="position:absolute;margin-left:111.019997pt;margin-top:65.219994pt;width:373.65pt;height:177.65pt;mso-position-horizontal-relative:page;mso-position-vertical-relative:paragraph;z-index:2517411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1" w:hRule="atLeast"/>
                    </w:trPr>
                    <w:tc>
                      <w:tcPr>
                        <w:tcW w:w="4239" w:type="dxa"/>
                      </w:tcPr>
                      <w:p>
                        <w:pPr>
                          <w:pStyle w:val="TableParagraph"/>
                          <w:spacing w:before="22"/>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ind w:right="93"/>
                          <w:rPr>
                            <w:sz w:val="21"/>
                          </w:rPr>
                        </w:pPr>
                        <w:r>
                          <w:rPr>
                            <w:sz w:val="21"/>
                          </w:rPr>
                          <w:t>10,000,000.00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ind w:right="93"/>
                          <w:rPr>
                            <w:sz w:val="21"/>
                          </w:rPr>
                        </w:pPr>
                        <w:r>
                          <w:rPr>
                            <w:sz w:val="21"/>
                          </w:rPr>
                          <w:t>1.200</w:t>
                        </w:r>
                      </w:p>
                    </w:tc>
                  </w:tr>
                  <w:tr>
                    <w:trPr>
                      <w:trHeight w:val="314"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spacing w:before="37"/>
                          <w:ind w:right="93"/>
                          <w:rPr>
                            <w:sz w:val="21"/>
                          </w:rPr>
                        </w:pPr>
                        <w:r>
                          <w:rPr>
                            <w:sz w:val="21"/>
                          </w:rPr>
                          <w:t>12,000,000.00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ind w:right="92"/>
                          <w:rPr>
                            <w:sz w:val="21"/>
                          </w:rPr>
                        </w:pPr>
                        <w:r>
                          <w:rPr>
                            <w:sz w:val="21"/>
                          </w:rPr>
                          <w:t>0.5%</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ind w:right="93"/>
                          <w:rPr>
                            <w:sz w:val="21"/>
                          </w:rPr>
                        </w:pPr>
                        <w:r>
                          <w:rPr>
                            <w:sz w:val="21"/>
                          </w:rPr>
                          <w:t>60,000.00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ind w:right="93"/>
                          <w:rPr>
                            <w:sz w:val="21"/>
                          </w:rPr>
                        </w:pPr>
                        <w:r>
                          <w:rPr>
                            <w:sz w:val="21"/>
                          </w:rPr>
                          <w:t>11,940,000.00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ind w:right="93"/>
                          <w:rPr>
                            <w:sz w:val="21"/>
                          </w:rPr>
                        </w:pPr>
                        <w:r>
                          <w:rPr>
                            <w:sz w:val="21"/>
                          </w:rPr>
                          <w:t>1,000-500=500.00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ind w:right="93"/>
                          <w:rPr>
                            <w:sz w:val="21"/>
                          </w:rPr>
                        </w:pPr>
                        <w:r>
                          <w:rPr>
                            <w:sz w:val="21"/>
                          </w:rPr>
                          <w:t>11,939,500.00</w:t>
                        </w:r>
                      </w:p>
                    </w:tc>
                  </w:tr>
                  <w:tr>
                    <w:trPr>
                      <w:trHeight w:val="314"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spacing w:before="36"/>
                          <w:ind w:right="93"/>
                          <w:rPr>
                            <w:sz w:val="21"/>
                          </w:rPr>
                        </w:pPr>
                        <w:r>
                          <w:rPr>
                            <w:sz w:val="21"/>
                          </w:rPr>
                          <w:t>1.300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ind w:right="93"/>
                          <w:rPr>
                            <w:sz w:val="21"/>
                          </w:rPr>
                        </w:pPr>
                        <w:r>
                          <w:rPr>
                            <w:sz w:val="21"/>
                          </w:rPr>
                          <w:t>9,184,230.77</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ListParagraph"/>
        <w:numPr>
          <w:ilvl w:val="0"/>
          <w:numId w:val="16"/>
        </w:numPr>
        <w:tabs>
          <w:tab w:pos="1170" w:val="left" w:leader="none"/>
        </w:tabs>
        <w:spacing w:line="417" w:lineRule="auto" w:before="0" w:after="0"/>
        <w:ind w:left="220" w:right="591" w:firstLine="419"/>
        <w:jc w:val="both"/>
        <w:rPr>
          <w:sz w:val="21"/>
        </w:rPr>
      </w:pPr>
      <w:r>
        <w:rPr/>
        <w:pict>
          <v:shape style="position:absolute;margin-left:111.379997pt;margin-top:65.240028pt;width:372.8pt;height:177.65pt;mso-position-horizontal-relative:page;mso-position-vertical-relative:paragraph;z-index:2517422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1" w:hRule="atLeast"/>
                    </w:trPr>
                    <w:tc>
                      <w:tcPr>
                        <w:tcW w:w="4232" w:type="dxa"/>
                      </w:tcPr>
                      <w:p>
                        <w:pPr>
                          <w:pStyle w:val="TableParagraph"/>
                          <w:spacing w:before="22"/>
                          <w:ind w:left="1673" w:right="1666"/>
                          <w:jc w:val="center"/>
                          <w:rPr>
                            <w:rFonts w:ascii="宋体" w:eastAsia="宋体" w:hint="eastAsia"/>
                            <w:sz w:val="21"/>
                          </w:rPr>
                        </w:pPr>
                        <w:r>
                          <w:rPr>
                            <w:rFonts w:ascii="宋体" w:eastAsia="宋体" w:hint="eastAsia"/>
                            <w:sz w:val="21"/>
                          </w:rPr>
                          <w:t>项目</w:t>
                        </w:r>
                      </w:p>
                    </w:tc>
                    <w:tc>
                      <w:tcPr>
                        <w:tcW w:w="3209" w:type="dxa"/>
                      </w:tcPr>
                      <w:p>
                        <w:pPr>
                          <w:pStyle w:val="TableParagraph"/>
                          <w:spacing w:before="22"/>
                          <w:ind w:left="1166" w:right="1152"/>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ind w:right="91"/>
                          <w:rPr>
                            <w:sz w:val="21"/>
                          </w:rPr>
                        </w:pPr>
                        <w:r>
                          <w:rPr>
                            <w:sz w:val="21"/>
                          </w:rPr>
                          <w:t>10,000,000.00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ind w:right="90"/>
                          <w:rPr>
                            <w:sz w:val="21"/>
                          </w:rPr>
                        </w:pPr>
                        <w:r>
                          <w:rPr>
                            <w:sz w:val="21"/>
                          </w:rPr>
                          <w:t>1.200</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spacing w:before="36"/>
                          <w:ind w:right="91"/>
                          <w:rPr>
                            <w:sz w:val="21"/>
                          </w:rPr>
                        </w:pPr>
                        <w:r>
                          <w:rPr>
                            <w:sz w:val="21"/>
                          </w:rPr>
                          <w:t>12,000,000.00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ind w:right="90"/>
                          <w:rPr>
                            <w:sz w:val="21"/>
                          </w:rPr>
                        </w:pPr>
                        <w:r>
                          <w:rPr>
                            <w:sz w:val="21"/>
                          </w:rPr>
                          <w:t>0.5%</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ind w:right="91"/>
                          <w:rPr>
                            <w:sz w:val="21"/>
                          </w:rPr>
                        </w:pPr>
                        <w:r>
                          <w:rPr>
                            <w:sz w:val="21"/>
                          </w:rPr>
                          <w:t>60,000.00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ind w:right="91"/>
                          <w:rPr>
                            <w:sz w:val="21"/>
                          </w:rPr>
                        </w:pPr>
                        <w:r>
                          <w:rPr>
                            <w:sz w:val="21"/>
                          </w:rPr>
                          <w:t>11,940,000.00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ind w:right="90"/>
                          <w:rPr>
                            <w:sz w:val="21"/>
                          </w:rPr>
                        </w:pPr>
                        <w:r>
                          <w:rPr>
                            <w:sz w:val="21"/>
                          </w:rPr>
                          <w:t>0.00</w:t>
                        </w:r>
                      </w:p>
                    </w:tc>
                  </w:tr>
                  <w:tr>
                    <w:trPr>
                      <w:trHeight w:val="312"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ind w:right="91"/>
                          <w:rPr>
                            <w:sz w:val="21"/>
                          </w:rPr>
                        </w:pPr>
                        <w:r>
                          <w:rPr>
                            <w:sz w:val="21"/>
                          </w:rPr>
                          <w:t>11,940,000.00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spacing w:before="36"/>
                          <w:ind w:right="90"/>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ind w:right="91"/>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pacing w:val="-3"/>
          <w:sz w:val="21"/>
        </w:rPr>
        <w:t>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ind w:left="64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6"/>
        <w:rPr>
          <w:sz w:val="15"/>
        </w:rPr>
      </w:pPr>
    </w:p>
    <w:p>
      <w:pPr>
        <w:pStyle w:val="BodyText"/>
        <w:spacing w:line="417" w:lineRule="auto" w:before="1"/>
        <w:ind w:left="220" w:right="592"/>
        <w:jc w:val="both"/>
      </w:pPr>
      <w:r>
        <w:rPr/>
        <w:pict>
          <v:shape style="position:absolute;margin-left:111.260002pt;margin-top:65.270012pt;width:373.2pt;height:53.55pt;mso-position-horizontal-relative:page;mso-position-vertical-relative:paragraph;z-index:2517432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405" w:hRule="atLeast"/>
                    </w:trPr>
                    <w:tc>
                      <w:tcPr>
                        <w:tcW w:w="4235" w:type="dxa"/>
                      </w:tcPr>
                      <w:p>
                        <w:pPr>
                          <w:pStyle w:val="TableParagraph"/>
                          <w:spacing w:before="68"/>
                          <w:ind w:left="1887" w:right="1456"/>
                          <w:jc w:val="center"/>
                          <w:rPr>
                            <w:rFonts w:ascii="宋体" w:eastAsia="宋体" w:hint="eastAsia"/>
                            <w:sz w:val="21"/>
                          </w:rPr>
                        </w:pPr>
                        <w:r>
                          <w:rPr>
                            <w:rFonts w:ascii="宋体" w:eastAsia="宋体" w:hint="eastAsia"/>
                            <w:sz w:val="21"/>
                          </w:rPr>
                          <w:t>项目</w:t>
                        </w:r>
                      </w:p>
                    </w:tc>
                    <w:tc>
                      <w:tcPr>
                        <w:tcW w:w="3215" w:type="dxa"/>
                      </w:tcPr>
                      <w:p>
                        <w:pPr>
                          <w:pStyle w:val="TableParagraph"/>
                          <w:spacing w:before="68"/>
                          <w:ind w:left="1336"/>
                          <w:jc w:val="left"/>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3"/>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rPr>
                            <w:sz w:val="21"/>
                          </w:rPr>
                        </w:pPr>
                        <w:r>
                          <w:rPr>
                            <w:sz w:val="21"/>
                          </w:rPr>
                          <w:t>10,000,000.00</w:t>
                        </w:r>
                      </w:p>
                    </w:tc>
                  </w:tr>
                  <w:tr>
                    <w:trPr>
                      <w:trHeight w:val="313"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rPr>
                            <w:sz w:val="21"/>
                          </w:rPr>
                        </w:pPr>
                        <w:r>
                          <w:rPr>
                            <w:sz w:val="21"/>
                          </w:rPr>
                          <w:t>1.200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spacing w:after="0" w:line="417" w:lineRule="auto"/>
        <w:jc w:val="both"/>
        <w:sectPr>
          <w:pgSz w:w="11910" w:h="16840"/>
          <w:pgMar w:header="877" w:footer="995" w:top="1420" w:bottom="1180" w:left="1580" w:right="1200"/>
        </w:sectPr>
      </w:pPr>
    </w:p>
    <w:tbl>
      <w:tblPr>
        <w:tblW w:w="0" w:type="auto"/>
        <w:jc w:val="left"/>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2" w:hRule="atLeast"/>
        </w:trPr>
        <w:tc>
          <w:tcPr>
            <w:tcW w:w="4235" w:type="dxa"/>
          </w:tcPr>
          <w:p>
            <w:pPr>
              <w:pStyle w:val="TableParagraph"/>
              <w:spacing w:before="23"/>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rPr>
                <w:sz w:val="21"/>
              </w:rPr>
            </w:pPr>
            <w:r>
              <w:rPr>
                <w:sz w:val="21"/>
              </w:rPr>
              <w:t>12,000,000.00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rPr>
                <w:sz w:val="21"/>
              </w:rPr>
            </w:pPr>
            <w:r>
              <w:rPr>
                <w:sz w:val="21"/>
              </w:rPr>
              <w:t>0.5%</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3"/>
              <w:rPr>
                <w:sz w:val="21"/>
              </w:rPr>
            </w:pPr>
            <w:r>
              <w:rPr>
                <w:sz w:val="21"/>
              </w:rPr>
              <w:t>60,000.00</w:t>
            </w:r>
          </w:p>
        </w:tc>
      </w:tr>
      <w:tr>
        <w:trPr>
          <w:trHeight w:val="313"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36"/>
              <w:ind w:right="93"/>
              <w:rPr>
                <w:sz w:val="21"/>
              </w:rPr>
            </w:pPr>
            <w:r>
              <w:rPr>
                <w:sz w:val="21"/>
              </w:rPr>
              <w:t>11,940,000.00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rPr>
                <w:sz w:val="21"/>
              </w:rPr>
            </w:pPr>
            <w:r>
              <w:rPr>
                <w:sz w:val="21"/>
              </w:rPr>
              <w:t>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rPr>
                <w:sz w:val="21"/>
              </w:rPr>
            </w:pPr>
            <w:r>
              <w:rPr>
                <w:sz w:val="21"/>
              </w:rPr>
              <w:t>11,940,000.00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rPr>
                <w:sz w:val="21"/>
              </w:rPr>
            </w:pPr>
            <w:r>
              <w:rPr>
                <w:sz w:val="21"/>
              </w:rPr>
              <w:t>1.500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3"/>
              <w:rPr>
                <w:sz w:val="21"/>
              </w:rPr>
            </w:pPr>
            <w:r>
              <w:rPr>
                <w:sz w:val="21"/>
              </w:rPr>
              <w:t>7,960,000.00</w:t>
            </w:r>
          </w:p>
        </w:tc>
      </w:tr>
    </w:tbl>
    <w:p>
      <w:pPr>
        <w:pStyle w:val="BodyText"/>
        <w:spacing w:line="417" w:lineRule="auto" w:before="109"/>
        <w:ind w:left="220" w:right="591" w:firstLine="419"/>
        <w:jc w:val="both"/>
      </w:pPr>
      <w:r>
        <w:rPr/>
        <w:pict>
          <v:shape style="position:absolute;margin-left:111.379997pt;margin-top:70.699982pt;width:372.95pt;height:134.050pt;mso-position-horizontal-relative:page;mso-position-vertical-relative:paragraph;z-index:2517442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407" w:hRule="atLeast"/>
                    </w:trPr>
                    <w:tc>
                      <w:tcPr>
                        <w:tcW w:w="4232" w:type="dxa"/>
                      </w:tcPr>
                      <w:p>
                        <w:pPr>
                          <w:pStyle w:val="TableParagraph"/>
                          <w:spacing w:before="70"/>
                          <w:ind w:left="1884" w:right="1454"/>
                          <w:jc w:val="center"/>
                          <w:rPr>
                            <w:rFonts w:ascii="宋体" w:eastAsia="宋体" w:hint="eastAsia"/>
                            <w:sz w:val="21"/>
                          </w:rPr>
                        </w:pPr>
                        <w:r>
                          <w:rPr>
                            <w:rFonts w:ascii="宋体" w:eastAsia="宋体" w:hint="eastAsia"/>
                            <w:sz w:val="21"/>
                          </w:rPr>
                          <w:t>项目</w:t>
                        </w:r>
                      </w:p>
                    </w:tc>
                    <w:tc>
                      <w:tcPr>
                        <w:tcW w:w="3212" w:type="dxa"/>
                      </w:tcPr>
                      <w:p>
                        <w:pPr>
                          <w:pStyle w:val="TableParagraph"/>
                          <w:spacing w:before="70"/>
                          <w:ind w:left="1334"/>
                          <w:jc w:val="left"/>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4"/>
                          <w:rPr>
                            <w:sz w:val="21"/>
                          </w:rPr>
                        </w:pPr>
                        <w:r>
                          <w:rPr>
                            <w:sz w:val="21"/>
                          </w:rPr>
                          <w:t>7,960,000.00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ind w:right="94"/>
                          <w:rPr>
                            <w:sz w:val="21"/>
                          </w:rPr>
                        </w:pPr>
                        <w:r>
                          <w:rPr>
                            <w:sz w:val="21"/>
                          </w:rPr>
                          <w:t>10,348,000.00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rPr>
                            <w:sz w:val="21"/>
                          </w:rPr>
                        </w:pPr>
                        <w:r>
                          <w:rPr>
                            <w:sz w:val="21"/>
                          </w:rPr>
                          <w:t>1.2%</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K</w:t>
                        </w:r>
                        <w:r>
                          <w:rPr>
                            <w:spacing w:val="-3"/>
                            <w:w w:val="100"/>
                            <w:sz w:val="21"/>
                          </w:rPr>
                          <w:t>*</w:t>
                        </w:r>
                        <w:r>
                          <w:rPr>
                            <w:spacing w:val="-1"/>
                            <w:w w:val="100"/>
                            <w:sz w:val="21"/>
                          </w:rPr>
                          <w:t>I</w:t>
                        </w:r>
                        <w:r>
                          <w:rPr>
                            <w:spacing w:val="-5"/>
                            <w:w w:val="100"/>
                            <w:sz w:val="21"/>
                          </w:rPr>
                          <w:t>*</w:t>
                        </w:r>
                        <w:r>
                          <w:rPr>
                            <w:w w:val="100"/>
                            <w:sz w:val="21"/>
                          </w:rPr>
                          <w:t>O</w:t>
                        </w:r>
                        <w:r>
                          <w:rPr>
                            <w:spacing w:val="-1"/>
                            <w:w w:val="100"/>
                            <w:sz w:val="21"/>
                          </w:rPr>
                          <w:t>/</w:t>
                        </w:r>
                        <w:r>
                          <w:rPr>
                            <w:rFonts w:ascii="宋体" w:eastAsia="宋体" w:hint="eastAsia"/>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12" w:type="dxa"/>
                      </w:tcPr>
                      <w:p>
                        <w:pPr>
                          <w:pStyle w:val="TableParagraph"/>
                          <w:spacing w:before="36"/>
                          <w:ind w:right="94"/>
                          <w:rPr>
                            <w:sz w:val="21"/>
                          </w:rPr>
                        </w:pPr>
                        <w:r>
                          <w:rPr>
                            <w:sz w:val="21"/>
                          </w:rPr>
                          <w:t>141,581.03</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rPr>
                            <w:sz w:val="21"/>
                          </w:rPr>
                        </w:pPr>
                        <w:r>
                          <w:rPr>
                            <w:sz w:val="21"/>
                          </w:rPr>
                          <w:t>10,206,418.97</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9"/>
        </w:rPr>
      </w:pPr>
    </w:p>
    <w:p>
      <w:pPr>
        <w:pStyle w:val="BodyText"/>
        <w:spacing w:line="417" w:lineRule="auto"/>
        <w:ind w:left="220" w:right="591" w:firstLine="419"/>
        <w:jc w:val="both"/>
      </w:pPr>
      <w:r>
        <w:rPr/>
        <w:pict>
          <v:shape style="position:absolute;margin-left:110.779999pt;margin-top:65.220032pt;width:374.15pt;height:177.65pt;mso-position-horizontal-relative:page;mso-position-vertical-relative:paragraph;z-index:2517452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rPr>
                            <w:sz w:val="21"/>
                          </w:rPr>
                        </w:pPr>
                        <w:r>
                          <w:rPr>
                            <w:sz w:val="21"/>
                          </w:rPr>
                          <w:t>10,000,000.00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6"/>
                          <w:ind w:right="94"/>
                          <w:rPr>
                            <w:sz w:val="21"/>
                          </w:rPr>
                        </w:pPr>
                        <w:r>
                          <w:rPr>
                            <w:sz w:val="21"/>
                          </w:rPr>
                          <w:t>13,000,000.00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rPr>
                            <w:sz w:val="21"/>
                          </w:rPr>
                        </w:pPr>
                        <w:r>
                          <w:rPr>
                            <w:sz w:val="21"/>
                          </w:rPr>
                          <w:t>0.5%</w:t>
                        </w:r>
                      </w:p>
                    </w:tc>
                  </w:tr>
                  <w:tr>
                    <w:trPr>
                      <w:trHeight w:val="312"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4"/>
                          <w:rPr>
                            <w:sz w:val="21"/>
                          </w:rPr>
                        </w:pPr>
                        <w:r>
                          <w:rPr>
                            <w:sz w:val="21"/>
                          </w:rPr>
                          <w:t>65,000.00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4"/>
                          <w:rPr>
                            <w:sz w:val="21"/>
                          </w:rPr>
                        </w:pPr>
                        <w:r>
                          <w:rPr>
                            <w:sz w:val="21"/>
                          </w:rPr>
                          <w:t>12,935,000.00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rPr>
                            <w:sz w:val="21"/>
                          </w:rPr>
                        </w:pPr>
                        <w:r>
                          <w:rPr>
                            <w:sz w:val="21"/>
                          </w:rPr>
                          <w:t>12,935,000.00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6"/>
                          <w:ind w:right="93"/>
                          <w:rPr>
                            <w:sz w:val="21"/>
                          </w:rPr>
                        </w:pPr>
                        <w:r>
                          <w:rPr>
                            <w:sz w:val="21"/>
                          </w:rPr>
                          <w:t>1.500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4"/>
                          <w:rPr>
                            <w:sz w:val="21"/>
                          </w:rPr>
                        </w:pPr>
                        <w:r>
                          <w:rPr>
                            <w:sz w:val="21"/>
                          </w:rPr>
                          <w:t>8,623,333.33</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69"/>
        <w:ind w:left="220" w:right="48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17"/>
        </w:numPr>
        <w:tabs>
          <w:tab w:pos="1170" w:val="left" w:leader="none"/>
        </w:tabs>
        <w:spacing w:line="417" w:lineRule="auto" w:before="0" w:after="0"/>
        <w:ind w:left="220" w:right="488" w:firstLine="419"/>
        <w:jc w:val="left"/>
        <w:rPr>
          <w:sz w:val="21"/>
        </w:rPr>
      </w:pP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420" w:bottom="1180" w:left="1580" w:right="1200"/>
        </w:sectPr>
      </w:pPr>
    </w:p>
    <w:tbl>
      <w:tblPr>
        <w:tblW w:w="0" w:type="auto"/>
        <w:jc w:val="left"/>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606" w:right="594"/>
              <w:jc w:val="center"/>
              <w:rPr>
                <w:rFonts w:ascii="宋体" w:eastAsia="宋体" w:hint="eastAsia"/>
                <w:sz w:val="21"/>
              </w:rPr>
            </w:pPr>
            <w:r>
              <w:rPr>
                <w:rFonts w:ascii="宋体" w:eastAsia="宋体" w:hint="eastAsia"/>
                <w:sz w:val="21"/>
              </w:rPr>
              <w:t>项目</w:t>
            </w:r>
          </w:p>
        </w:tc>
        <w:tc>
          <w:tcPr>
            <w:tcW w:w="3217" w:type="dxa"/>
          </w:tcPr>
          <w:p>
            <w:pPr>
              <w:pStyle w:val="TableParagraph"/>
              <w:spacing w:before="23"/>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1,200.00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rPr>
                <w:sz w:val="21"/>
              </w:rPr>
            </w:pPr>
            <w:r>
              <w:rPr>
                <w:sz w:val="21"/>
              </w:rPr>
              <w:t>1.8%</w:t>
            </w:r>
          </w:p>
        </w:tc>
      </w:tr>
      <w:tr>
        <w:trPr>
          <w:trHeight w:val="311" w:hRule="atLeast"/>
        </w:trPr>
        <w:tc>
          <w:tcPr>
            <w:tcW w:w="4237"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rPr>
                <w:sz w:val="21"/>
              </w:rPr>
            </w:pPr>
            <w:r>
              <w:rPr>
                <w:sz w:val="21"/>
              </w:rPr>
              <w:t>19.45</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6"/>
              <w:ind w:right="94"/>
              <w:rPr>
                <w:sz w:val="21"/>
              </w:rPr>
            </w:pPr>
            <w:r>
              <w:rPr>
                <w:sz w:val="21"/>
              </w:rPr>
              <w:t>25.45</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1,174.55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ind w:right="94"/>
              <w:rPr>
                <w:sz w:val="21"/>
              </w:rPr>
            </w:pPr>
            <w:r>
              <w:rPr>
                <w:sz w:val="21"/>
              </w:rPr>
              <w:t>2.0%-1.5%=0.5%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5"/>
                <w:w w:val="100"/>
                <w:sz w:val="21"/>
              </w:rPr>
              <w:t>L</w:t>
            </w:r>
            <w:r>
              <w:rPr>
                <w:w w:val="100"/>
                <w:sz w:val="21"/>
              </w:rPr>
              <w:t>=</w:t>
            </w:r>
            <w:r>
              <w:rPr>
                <w:spacing w:val="1"/>
                <w:w w:val="100"/>
                <w:sz w:val="21"/>
              </w:rPr>
              <w:t>J</w:t>
            </w:r>
            <w:r>
              <w:rPr>
                <w:spacing w:val="-1"/>
                <w:w w:val="100"/>
                <w:sz w:val="21"/>
              </w:rPr>
              <w:t>/</w:t>
            </w:r>
            <w:r>
              <w:rPr>
                <w:rFonts w:ascii="宋体" w:eastAsia="宋体" w:hint="eastAsia"/>
                <w:spacing w:val="-3"/>
                <w:w w:val="100"/>
                <w:sz w:val="21"/>
              </w:rPr>
              <w:t>（</w:t>
            </w:r>
            <w:r>
              <w:rPr>
                <w:w w:val="100"/>
                <w:sz w:val="21"/>
              </w:rPr>
              <w:t>1+</w:t>
            </w:r>
            <w:r>
              <w:rPr>
                <w:spacing w:val="-4"/>
                <w:w w:val="100"/>
                <w:sz w:val="21"/>
              </w:rPr>
              <w:t>K</w:t>
            </w:r>
            <w:r>
              <w:rPr>
                <w:rFonts w:ascii="宋体" w:eastAsia="宋体" w:hint="eastAsia"/>
                <w:spacing w:val="-106"/>
                <w:w w:val="100"/>
                <w:sz w:val="21"/>
              </w:rPr>
              <w:t>）</w:t>
            </w:r>
            <w:r>
              <w:rPr>
                <w:rFonts w:ascii="宋体" w:eastAsia="宋体" w:hint="eastAsia"/>
                <w:w w:val="100"/>
                <w:sz w:val="21"/>
              </w:rPr>
              <w:t>）</w:t>
            </w:r>
          </w:p>
        </w:tc>
        <w:tc>
          <w:tcPr>
            <w:tcW w:w="3217" w:type="dxa"/>
          </w:tcPr>
          <w:p>
            <w:pPr>
              <w:pStyle w:val="TableParagraph"/>
              <w:ind w:right="94"/>
              <w:rPr>
                <w:sz w:val="21"/>
              </w:rPr>
            </w:pPr>
            <w:r>
              <w:rPr>
                <w:sz w:val="21"/>
              </w:rPr>
              <w:t>1,168.71</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ind w:right="94"/>
              <w:rPr>
                <w:sz w:val="21"/>
              </w:rPr>
            </w:pPr>
            <w:r>
              <w:rPr>
                <w:sz w:val="21"/>
              </w:rPr>
              <w:t>5.84</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spacing w:before="36"/>
              <w:ind w:right="94"/>
              <w:rPr>
                <w:sz w:val="21"/>
              </w:rPr>
            </w:pPr>
            <w:r>
              <w:rPr>
                <w:sz w:val="21"/>
              </w:rPr>
              <w:t>899.01</w:t>
            </w:r>
          </w:p>
        </w:tc>
      </w:tr>
    </w:tbl>
    <w:p>
      <w:pPr>
        <w:pStyle w:val="ListParagraph"/>
        <w:numPr>
          <w:ilvl w:val="0"/>
          <w:numId w:val="17"/>
        </w:numPr>
        <w:tabs>
          <w:tab w:pos="1170" w:val="left" w:leader="none"/>
        </w:tabs>
        <w:spacing w:line="417" w:lineRule="auto" w:before="109" w:after="0"/>
        <w:ind w:left="220" w:right="488" w:firstLine="419"/>
        <w:jc w:val="left"/>
        <w:rPr>
          <w:sz w:val="21"/>
        </w:rPr>
      </w:pPr>
      <w:r>
        <w:rPr/>
        <w:pict>
          <v:shape style="position:absolute;margin-left:111.739998pt;margin-top:47.270008pt;width:372.2pt;height:258.2pt;mso-position-horizontal-relative:page;mso-position-vertical-relative:paragraph;z-index:2517463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1" w:hRule="atLeast"/>
                    </w:trPr>
                    <w:tc>
                      <w:tcPr>
                        <w:tcW w:w="4225" w:type="dxa"/>
                      </w:tcPr>
                      <w:p>
                        <w:pPr>
                          <w:pStyle w:val="TableParagraph"/>
                          <w:spacing w:before="22"/>
                          <w:ind w:left="1880" w:right="1875"/>
                          <w:jc w:val="center"/>
                          <w:rPr>
                            <w:rFonts w:ascii="宋体" w:eastAsia="宋体" w:hint="eastAsia"/>
                            <w:sz w:val="21"/>
                          </w:rPr>
                        </w:pPr>
                        <w:r>
                          <w:rPr>
                            <w:rFonts w:ascii="宋体" w:eastAsia="宋体" w:hint="eastAsia"/>
                            <w:sz w:val="21"/>
                          </w:rPr>
                          <w:t>项目</w:t>
                        </w:r>
                      </w:p>
                    </w:tc>
                    <w:tc>
                      <w:tcPr>
                        <w:tcW w:w="3205" w:type="dxa"/>
                      </w:tcPr>
                      <w:p>
                        <w:pPr>
                          <w:pStyle w:val="TableParagraph"/>
                          <w:spacing w:before="22"/>
                          <w:ind w:left="1164" w:right="1151"/>
                          <w:jc w:val="center"/>
                          <w:rPr>
                            <w:rFonts w:ascii="宋体" w:eastAsia="宋体" w:hint="eastAsia"/>
                            <w:sz w:val="21"/>
                          </w:rPr>
                        </w:pPr>
                        <w:r>
                          <w:rPr>
                            <w:rFonts w:ascii="宋体" w:eastAsia="宋体" w:hint="eastAsia"/>
                            <w:sz w:val="21"/>
                          </w:rPr>
                          <w:t>费用计算</w:t>
                        </w:r>
                      </w:p>
                    </w:tc>
                  </w:tr>
                  <w:tr>
                    <w:trPr>
                      <w:trHeight w:val="312"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ind w:right="92"/>
                          <w:rPr>
                            <w:sz w:val="21"/>
                          </w:rPr>
                        </w:pPr>
                        <w:r>
                          <w:rPr>
                            <w:sz w:val="21"/>
                          </w:rPr>
                          <w:t>1,000.00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ind w:right="91"/>
                          <w:rPr>
                            <w:sz w:val="21"/>
                          </w:rPr>
                        </w:pPr>
                        <w:r>
                          <w:rPr>
                            <w:sz w:val="21"/>
                          </w:rPr>
                          <w:t>1.200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ind w:right="92"/>
                          <w:rPr>
                            <w:sz w:val="21"/>
                          </w:rPr>
                        </w:pPr>
                        <w:r>
                          <w:rPr>
                            <w:sz w:val="21"/>
                          </w:rPr>
                          <w:t>1,200.00</w:t>
                        </w:r>
                      </w:p>
                    </w:tc>
                  </w:tr>
                  <w:tr>
                    <w:trPr>
                      <w:trHeight w:val="313"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spacing w:before="36"/>
                          <w:ind w:right="91"/>
                          <w:rPr>
                            <w:sz w:val="21"/>
                          </w:rPr>
                        </w:pPr>
                        <w:r>
                          <w:rPr>
                            <w:sz w:val="21"/>
                          </w:rPr>
                          <w:t>0.5%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ind w:right="91"/>
                          <w:rPr>
                            <w:sz w:val="21"/>
                          </w:rPr>
                        </w:pPr>
                        <w:r>
                          <w:rPr>
                            <w:sz w:val="21"/>
                          </w:rPr>
                          <w:t>6.00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ind w:right="91"/>
                          <w:rPr>
                            <w:sz w:val="21"/>
                          </w:rPr>
                        </w:pPr>
                        <w:r>
                          <w:rPr>
                            <w:sz w:val="21"/>
                          </w:rPr>
                          <w:t>1.100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ind w:right="91"/>
                          <w:rPr>
                            <w:sz w:val="21"/>
                          </w:rPr>
                        </w:pPr>
                        <w:r>
                          <w:rPr>
                            <w:sz w:val="21"/>
                          </w:rPr>
                          <w:t>1.8%</w:t>
                        </w:r>
                      </w:p>
                    </w:tc>
                  </w:tr>
                  <w:tr>
                    <w:trPr>
                      <w:trHeight w:val="311" w:hRule="atLeast"/>
                    </w:trPr>
                    <w:tc>
                      <w:tcPr>
                        <w:tcW w:w="4225" w:type="dxa"/>
                      </w:tcPr>
                      <w:p>
                        <w:pPr>
                          <w:pStyle w:val="TableParagraph"/>
                          <w:spacing w:before="22"/>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ind w:right="91"/>
                          <w:rPr>
                            <w:sz w:val="21"/>
                          </w:rPr>
                        </w:pPr>
                        <w:r>
                          <w:rPr>
                            <w:sz w:val="21"/>
                          </w:rPr>
                          <w:t>19.45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ind w:right="91"/>
                          <w:rPr>
                            <w:sz w:val="21"/>
                          </w:rPr>
                        </w:pPr>
                        <w:r>
                          <w:rPr>
                            <w:sz w:val="21"/>
                          </w:rPr>
                          <w:t>25.45</w:t>
                        </w:r>
                      </w:p>
                    </w:tc>
                  </w:tr>
                  <w:tr>
                    <w:trPr>
                      <w:trHeight w:val="314"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spacing w:before="36"/>
                          <w:ind w:right="92"/>
                          <w:rPr>
                            <w:sz w:val="21"/>
                          </w:rPr>
                        </w:pPr>
                        <w:r>
                          <w:rPr>
                            <w:sz w:val="21"/>
                          </w:rPr>
                          <w:t>1,174.55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ind w:right="91"/>
                          <w:rPr>
                            <w:sz w:val="21"/>
                          </w:rPr>
                        </w:pPr>
                        <w:r>
                          <w:rPr>
                            <w:sz w:val="21"/>
                          </w:rPr>
                          <w:t>0.00%</w:t>
                        </w:r>
                      </w:p>
                    </w:tc>
                  </w:tr>
                  <w:tr>
                    <w:trPr>
                      <w:trHeight w:val="312" w:hRule="atLeast"/>
                    </w:trPr>
                    <w:tc>
                      <w:tcPr>
                        <w:tcW w:w="4225" w:type="dxa"/>
                      </w:tcPr>
                      <w:p>
                        <w:pPr>
                          <w:pStyle w:val="TableParagraph"/>
                          <w:spacing w:before="23"/>
                          <w:ind w:left="105"/>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5"/>
                            <w:w w:val="100"/>
                            <w:sz w:val="21"/>
                          </w:rPr>
                          <w:t>L</w:t>
                        </w:r>
                        <w:r>
                          <w:rPr>
                            <w:w w:val="100"/>
                            <w:sz w:val="21"/>
                          </w:rPr>
                          <w:t>=</w:t>
                        </w:r>
                        <w:r>
                          <w:rPr>
                            <w:spacing w:val="1"/>
                            <w:w w:val="100"/>
                            <w:sz w:val="21"/>
                          </w:rPr>
                          <w:t>J</w:t>
                        </w:r>
                        <w:r>
                          <w:rPr>
                            <w:spacing w:val="-1"/>
                            <w:w w:val="100"/>
                            <w:sz w:val="21"/>
                          </w:rPr>
                          <w:t>/</w:t>
                        </w:r>
                        <w:r>
                          <w:rPr>
                            <w:rFonts w:ascii="宋体" w:eastAsia="宋体" w:hint="eastAsia"/>
                            <w:spacing w:val="-3"/>
                            <w:w w:val="100"/>
                            <w:sz w:val="21"/>
                          </w:rPr>
                          <w:t>（</w:t>
                        </w:r>
                        <w:r>
                          <w:rPr>
                            <w:w w:val="100"/>
                            <w:sz w:val="21"/>
                          </w:rPr>
                          <w:t>1+</w:t>
                        </w:r>
                        <w:r>
                          <w:rPr>
                            <w:spacing w:val="-4"/>
                            <w:w w:val="100"/>
                            <w:sz w:val="21"/>
                          </w:rPr>
                          <w:t>K</w:t>
                        </w:r>
                        <w:r>
                          <w:rPr>
                            <w:rFonts w:ascii="宋体" w:eastAsia="宋体" w:hint="eastAsia"/>
                            <w:spacing w:val="-106"/>
                            <w:w w:val="100"/>
                            <w:sz w:val="21"/>
                          </w:rPr>
                          <w:t>）</w:t>
                        </w:r>
                        <w:r>
                          <w:rPr>
                            <w:rFonts w:ascii="宋体" w:eastAsia="宋体" w:hint="eastAsia"/>
                            <w:w w:val="100"/>
                            <w:sz w:val="21"/>
                          </w:rPr>
                          <w:t>）</w:t>
                        </w:r>
                      </w:p>
                    </w:tc>
                    <w:tc>
                      <w:tcPr>
                        <w:tcW w:w="3205" w:type="dxa"/>
                      </w:tcPr>
                      <w:p>
                        <w:pPr>
                          <w:pStyle w:val="TableParagraph"/>
                          <w:ind w:right="92"/>
                          <w:rPr>
                            <w:sz w:val="21"/>
                          </w:rPr>
                        </w:pPr>
                        <w:r>
                          <w:rPr>
                            <w:sz w:val="21"/>
                          </w:rPr>
                          <w:t>1,174.55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ind w:right="91"/>
                          <w:rPr>
                            <w:sz w:val="21"/>
                          </w:rPr>
                        </w:pPr>
                        <w:r>
                          <w:rPr>
                            <w:sz w:val="21"/>
                          </w:rPr>
                          <w:t>0.00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ind w:right="91"/>
                          <w:rPr>
                            <w:sz w:val="21"/>
                          </w:rPr>
                        </w:pPr>
                        <w:r>
                          <w:rPr>
                            <w:sz w:val="21"/>
                          </w:rPr>
                          <w:t>1.300</w:t>
                        </w:r>
                      </w:p>
                    </w:tc>
                  </w:tr>
                  <w:tr>
                    <w:trPr>
                      <w:trHeight w:val="314"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ind w:right="91"/>
                          <w:rPr>
                            <w:sz w:val="21"/>
                          </w:rPr>
                        </w:pPr>
                        <w:r>
                          <w:rPr>
                            <w:sz w:val="21"/>
                          </w:rPr>
                          <w:t>903.50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9"/>
        </w:rPr>
      </w:pPr>
    </w:p>
    <w:p>
      <w:pPr>
        <w:pStyle w:val="BodyText"/>
        <w:spacing w:line="417" w:lineRule="auto"/>
        <w:ind w:left="220" w:right="48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18"/>
        </w:numPr>
        <w:tabs>
          <w:tab w:pos="1170" w:val="left" w:leader="none"/>
        </w:tabs>
        <w:spacing w:line="269" w:lineRule="exact" w:before="0" w:after="0"/>
        <w:ind w:left="1169" w:right="0" w:hanging="530"/>
        <w:jc w:val="left"/>
        <w:rPr>
          <w:sz w:val="21"/>
        </w:rPr>
      </w:pP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6"/>
          <w:w w:val="100"/>
          <w:sz w:val="21"/>
        </w:rPr>
        <w:t>元，乙基</w:t>
      </w:r>
    </w:p>
    <w:p>
      <w:pPr>
        <w:spacing w:after="0" w:line="269" w:lineRule="exact"/>
        <w:jc w:val="left"/>
        <w:rPr>
          <w:sz w:val="21"/>
        </w:rPr>
        <w:sectPr>
          <w:pgSz w:w="11910" w:h="16840"/>
          <w:pgMar w:header="877" w:footer="995" w:top="1420" w:bottom="1180" w:left="1580" w:right="1200"/>
        </w:sectPr>
      </w:pPr>
    </w:p>
    <w:p>
      <w:pPr>
        <w:pStyle w:val="BodyText"/>
        <w:spacing w:line="417" w:lineRule="auto" w:before="110"/>
        <w:ind w:left="220" w:right="593"/>
        <w:jc w:val="both"/>
      </w:pPr>
      <w:r>
        <w:rPr/>
        <w:pict>
          <v:shape style="position:absolute;margin-left:111.5pt;margin-top:47.319984pt;width:372.6pt;height:242.1pt;mso-position-horizontal-relative:page;mso-position-vertical-relative:paragraph;z-index:2517473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1"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2"/>
                          <w:rPr>
                            <w:sz w:val="21"/>
                          </w:rPr>
                        </w:pPr>
                        <w:r>
                          <w:rPr>
                            <w:sz w:val="21"/>
                          </w:rPr>
                          <w:t>10,000,000.00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ind w:right="91"/>
                          <w:rPr>
                            <w:sz w:val="21"/>
                          </w:rPr>
                        </w:pPr>
                        <w:r>
                          <w:rPr>
                            <w:sz w:val="21"/>
                          </w:rPr>
                          <w:t>1.200</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6"/>
                          <w:ind w:right="92"/>
                          <w:rPr>
                            <w:sz w:val="21"/>
                          </w:rPr>
                        </w:pPr>
                        <w:r>
                          <w:rPr>
                            <w:sz w:val="21"/>
                          </w:rPr>
                          <w:t>12,000,000.00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0"/>
                          <w:rPr>
                            <w:sz w:val="21"/>
                          </w:rPr>
                        </w:pPr>
                        <w:r>
                          <w:rPr>
                            <w:sz w:val="21"/>
                          </w:rPr>
                          <w:t>0.5%</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ind w:right="92"/>
                          <w:rPr>
                            <w:sz w:val="21"/>
                          </w:rPr>
                        </w:pPr>
                        <w:r>
                          <w:rPr>
                            <w:sz w:val="21"/>
                          </w:rPr>
                          <w:t>60,000.00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ind w:right="91"/>
                          <w:rPr>
                            <w:sz w:val="21"/>
                          </w:rPr>
                        </w:pPr>
                        <w:r>
                          <w:rPr>
                            <w:sz w:val="21"/>
                          </w:rPr>
                          <w:t>1.100</w:t>
                        </w:r>
                      </w:p>
                    </w:tc>
                  </w:tr>
                  <w:tr>
                    <w:trPr>
                      <w:trHeight w:val="312"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ind w:right="90"/>
                          <w:rPr>
                            <w:sz w:val="21"/>
                          </w:rPr>
                        </w:pPr>
                        <w:r>
                          <w:rPr>
                            <w:sz w:val="21"/>
                          </w:rPr>
                          <w:t>1.8%</w:t>
                        </w:r>
                      </w:p>
                    </w:tc>
                  </w:tr>
                  <w:tr>
                    <w:trPr>
                      <w:trHeight w:val="311" w:hRule="atLeast"/>
                    </w:trPr>
                    <w:tc>
                      <w:tcPr>
                        <w:tcW w:w="4230"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ind w:right="92"/>
                          <w:rPr>
                            <w:sz w:val="21"/>
                          </w:rPr>
                        </w:pPr>
                        <w:r>
                          <w:rPr>
                            <w:sz w:val="21"/>
                          </w:rPr>
                          <w:t>194,499.02</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spacing w:before="36"/>
                          <w:ind w:right="92"/>
                          <w:rPr>
                            <w:sz w:val="21"/>
                          </w:rPr>
                        </w:pPr>
                        <w:r>
                          <w:rPr>
                            <w:sz w:val="21"/>
                          </w:rPr>
                          <w:t>254,499.02</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ind w:right="92"/>
                          <w:rPr>
                            <w:sz w:val="21"/>
                          </w:rPr>
                        </w:pPr>
                        <w:r>
                          <w:rPr>
                            <w:sz w:val="21"/>
                          </w:rPr>
                          <w:t>11,745,500.98</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ind w:right="92"/>
                          <w:rPr>
                            <w:sz w:val="21"/>
                          </w:rPr>
                        </w:pPr>
                        <w:r>
                          <w:rPr>
                            <w:sz w:val="21"/>
                          </w:rPr>
                          <w:t>1,000.00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ind w:right="92"/>
                          <w:rPr>
                            <w:sz w:val="21"/>
                          </w:rPr>
                        </w:pPr>
                        <w:r>
                          <w:rPr>
                            <w:sz w:val="21"/>
                          </w:rPr>
                          <w:t>11,744,500.98</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ind w:right="91"/>
                          <w:rPr>
                            <w:sz w:val="21"/>
                          </w:rPr>
                        </w:pPr>
                        <w:r>
                          <w:rPr>
                            <w:sz w:val="21"/>
                          </w:rPr>
                          <w:t>1.300</w:t>
                        </w:r>
                      </w:p>
                    </w:tc>
                  </w:tr>
                  <w:tr>
                    <w:trPr>
                      <w:trHeight w:val="313"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ind w:right="92"/>
                          <w:rPr>
                            <w:sz w:val="21"/>
                          </w:rPr>
                        </w:pPr>
                        <w:r>
                          <w:rPr>
                            <w:sz w:val="21"/>
                          </w:rPr>
                          <w:t>9,034,231.52</w:t>
                        </w:r>
                      </w:p>
                    </w:tc>
                  </w:tr>
                </w:tbl>
                <w:p>
                  <w:pPr>
                    <w:pStyle w:val="BodyText"/>
                  </w:pPr>
                </w:p>
              </w:txbxContent>
            </v:textbox>
            <w10:wrap type="none"/>
          </v:shape>
        </w:pict>
      </w:r>
      <w:r>
        <w:rPr/>
        <w:t>金前端申购费率最高档为 </w:t>
      </w:r>
      <w:r>
        <w:rPr>
          <w:rFonts w:ascii="Times New Roman" w:eastAsia="Times New Roman"/>
        </w:rPr>
        <w:t>2.0%</w:t>
      </w:r>
      <w:r>
        <w:rPr/>
        <w:t>，该日乙基金基金份额净值为 </w:t>
      </w:r>
      <w:r>
        <w:rPr>
          <w:rFonts w:ascii="Times New Roman" w:eastAsia="Times New Roman"/>
        </w:rPr>
        <w:t>1.300 </w:t>
      </w:r>
      <w:r>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ListParagraph"/>
        <w:numPr>
          <w:ilvl w:val="0"/>
          <w:numId w:val="18"/>
        </w:numPr>
        <w:tabs>
          <w:tab w:pos="1170" w:val="left" w:leader="none"/>
        </w:tabs>
        <w:spacing w:line="417" w:lineRule="auto" w:before="0" w:after="0"/>
        <w:ind w:left="220" w:right="591" w:firstLine="419"/>
        <w:jc w:val="both"/>
        <w:rPr>
          <w:sz w:val="21"/>
        </w:rPr>
      </w:pPr>
      <w:r>
        <w:rPr/>
        <w:pict>
          <v:shape style="position:absolute;margin-left:111.139999pt;margin-top:65.239975pt;width:373.4pt;height:241.95pt;mso-position-horizontal-relative:page;mso-position-vertical-relative:paragraph;z-index:2517483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606" w:right="59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10,000,000.00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12,000,000.00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3"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6"/>
                          <w:ind w:right="94"/>
                          <w:rPr>
                            <w:sz w:val="21"/>
                          </w:rPr>
                        </w:pPr>
                        <w:r>
                          <w:rPr>
                            <w:sz w:val="21"/>
                          </w:rPr>
                          <w:t>60,000.00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rPr>
                            <w:sz w:val="21"/>
                          </w:rPr>
                        </w:pPr>
                        <w:r>
                          <w:rPr>
                            <w:sz w:val="21"/>
                          </w:rPr>
                          <w:t>1.8%</w:t>
                        </w:r>
                      </w:p>
                    </w:tc>
                  </w:tr>
                  <w:tr>
                    <w:trPr>
                      <w:trHeight w:val="312" w:hRule="atLeast"/>
                    </w:trPr>
                    <w:tc>
                      <w:tcPr>
                        <w:tcW w:w="4237" w:type="dxa"/>
                      </w:tcPr>
                      <w:p>
                        <w:pPr>
                          <w:pStyle w:val="TableParagraph"/>
                          <w:spacing w:before="22"/>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rPr>
                            <w:sz w:val="21"/>
                          </w:rPr>
                        </w:pPr>
                        <w:r>
                          <w:rPr>
                            <w:sz w:val="21"/>
                          </w:rPr>
                          <w:t>194,499.02</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rPr>
                            <w:sz w:val="21"/>
                          </w:rPr>
                        </w:pPr>
                        <w:r>
                          <w:rPr>
                            <w:sz w:val="21"/>
                          </w:rPr>
                          <w:t>254,499.02</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11,745,500.98</w:t>
                        </w:r>
                      </w:p>
                    </w:tc>
                  </w:tr>
                  <w:tr>
                    <w:trPr>
                      <w:trHeight w:val="314"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36"/>
                          <w:ind w:right="94"/>
                          <w:rPr>
                            <w:sz w:val="21"/>
                          </w:rPr>
                        </w:pPr>
                        <w:r>
                          <w:rPr>
                            <w:sz w:val="21"/>
                          </w:rPr>
                          <w:t>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rPr>
                            <w:sz w:val="21"/>
                          </w:rPr>
                        </w:pPr>
                        <w:r>
                          <w:rPr>
                            <w:sz w:val="21"/>
                          </w:rPr>
                          <w:t>11,745,500.98</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rPr>
                            <w:sz w:val="21"/>
                          </w:rPr>
                        </w:pPr>
                        <w:r>
                          <w:rPr>
                            <w:sz w:val="21"/>
                          </w:rPr>
                          <w:t>9,035,000.75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pStyle w:val="BodyText"/>
        <w:ind w:left="640"/>
        <w:jc w:val="both"/>
        <w:rPr>
          <w:rFonts w:ascii="Times New Roman" w:eastAsia="Times New Roman"/>
        </w:rPr>
      </w:pPr>
      <w:r>
        <w:rPr>
          <w:spacing w:val="-5"/>
        </w:rPr>
        <w:t>例十一：假定投资者在 </w:t>
      </w:r>
      <w:r>
        <w:rPr>
          <w:rFonts w:ascii="Times New Roman" w:eastAsia="Times New Roman"/>
        </w:rPr>
        <w:t>2010</w:t>
      </w:r>
      <w:r>
        <w:rPr>
          <w:rFonts w:ascii="Times New Roman" w:eastAsia="Times New Roman"/>
          <w:spacing w:val="29"/>
        </w:rPr>
        <w:t> </w:t>
      </w:r>
      <w:r>
        <w:rPr>
          <w:spacing w:val="-13"/>
        </w:rPr>
        <w:t>年 </w:t>
      </w:r>
      <w:r>
        <w:rPr>
          <w:rFonts w:ascii="Times New Roman" w:eastAsia="Times New Roman"/>
        </w:rPr>
        <w:t>3</w:t>
      </w:r>
      <w:r>
        <w:rPr>
          <w:rFonts w:ascii="Times New Roman" w:eastAsia="Times New Roman"/>
          <w:spacing w:val="28"/>
        </w:rPr>
        <w:t> </w:t>
      </w:r>
      <w:r>
        <w:rPr>
          <w:spacing w:val="-12"/>
        </w:rPr>
        <w:t>月 </w:t>
      </w:r>
      <w:r>
        <w:rPr>
          <w:rFonts w:ascii="Times New Roman" w:eastAsia="Times New Roman"/>
        </w:rPr>
        <w:t>15</w:t>
      </w:r>
      <w:r>
        <w:rPr>
          <w:rFonts w:ascii="Times New Roman" w:eastAsia="Times New Roman"/>
          <w:spacing w:val="29"/>
        </w:rPr>
        <w:t> </w:t>
      </w:r>
      <w:r>
        <w:rPr>
          <w:spacing w:val="-5"/>
        </w:rPr>
        <w:t>日成功提交了基金转换申请，转出持有期为 </w:t>
      </w:r>
      <w:r>
        <w:rPr>
          <w:rFonts w:ascii="Times New Roman" w:eastAsia="Times New Roman"/>
        </w:rPr>
        <w:t>3</w:t>
      </w:r>
    </w:p>
    <w:p>
      <w:pPr>
        <w:pStyle w:val="BodyText"/>
        <w:spacing w:before="3"/>
        <w:rPr>
          <w:rFonts w:ascii="Times New Roman"/>
          <w:sz w:val="17"/>
        </w:rPr>
      </w:pPr>
    </w:p>
    <w:p>
      <w:pPr>
        <w:pStyle w:val="BodyText"/>
        <w:spacing w:line="417" w:lineRule="auto"/>
        <w:ind w:left="220" w:right="593"/>
        <w:jc w:val="both"/>
      </w:pPr>
      <w:r>
        <w:rPr>
          <w:spacing w:val="2"/>
        </w:rPr>
        <w:t>年的后端收费基金甲 </w:t>
      </w:r>
      <w:r>
        <w:rPr>
          <w:rFonts w:ascii="Times New Roman" w:eastAsia="Times New Roman"/>
        </w:rPr>
        <w:t>1,000</w:t>
      </w:r>
      <w:r>
        <w:rPr>
          <w:rFonts w:ascii="Times New Roman" w:eastAsia="Times New Roman"/>
          <w:spacing w:val="28"/>
        </w:rPr>
        <w:t>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w:t>
      </w:r>
      <w:r>
        <w:rPr>
          <w:rFonts w:ascii="Times New Roman" w:eastAsia="Times New Roman"/>
          <w:spacing w:val="2"/>
        </w:rPr>
        <w:t> </w:t>
      </w:r>
      <w:r>
        <w:rPr>
          <w:spacing w:val="-9"/>
        </w:rPr>
        <w:t>元。</w:t>
      </w:r>
      <w:r>
        <w:rPr>
          <w:rFonts w:ascii="Times New Roman" w:eastAsia="Times New Roman"/>
        </w:rPr>
        <w:t>2010</w:t>
      </w:r>
      <w:r>
        <w:rPr>
          <w:rFonts w:ascii="Times New Roman" w:eastAsia="Times New Roman"/>
          <w:spacing w:val="2"/>
        </w:rPr>
        <w:t> </w:t>
      </w:r>
      <w:r>
        <w:rPr>
          <w:spacing w:val="-24"/>
        </w:rPr>
        <w:t>年 </w:t>
      </w:r>
      <w:r>
        <w:rPr>
          <w:rFonts w:ascii="Times New Roman" w:eastAsia="Times New Roman"/>
        </w:rPr>
        <w:t>3</w:t>
      </w:r>
      <w:r>
        <w:rPr>
          <w:rFonts w:ascii="Times New Roman" w:eastAsia="Times New Roman"/>
          <w:spacing w:val="3"/>
        </w:rPr>
        <w:t> </w:t>
      </w:r>
      <w:r>
        <w:rPr>
          <w:spacing w:val="-24"/>
        </w:rPr>
        <w:t>月 </w:t>
      </w:r>
      <w:r>
        <w:rPr>
          <w:rFonts w:ascii="Times New Roman" w:eastAsia="Times New Roman"/>
        </w:rPr>
        <w:t>16</w:t>
      </w:r>
      <w:r>
        <w:rPr>
          <w:rFonts w:ascii="Times New Roman" w:eastAsia="Times New Roman"/>
          <w:spacing w:val="2"/>
        </w:rPr>
        <w:t> </w:t>
      </w:r>
      <w:r>
        <w:rPr>
          <w:spacing w:val="-2"/>
        </w:rPr>
        <w:t>日这笔转换确</w:t>
      </w:r>
      <w:r>
        <w:rPr>
          <w:spacing w:val="-4"/>
        </w:rPr>
        <w:t>认成功。申购当日甲基金基金份额净值为 </w:t>
      </w:r>
      <w:r>
        <w:rPr>
          <w:rFonts w:ascii="Times New Roman" w:eastAsia="Times New Roman"/>
        </w:rPr>
        <w:t>1.100</w:t>
      </w:r>
      <w:r>
        <w:rPr>
          <w:rFonts w:ascii="Times New Roman" w:eastAsia="Times New Roman"/>
          <w:spacing w:val="43"/>
        </w:rPr>
        <w:t> </w:t>
      </w:r>
      <w:r>
        <w:rPr>
          <w:spacing w:val="-4"/>
        </w:rPr>
        <w:t>元，适用赎回费率为 </w:t>
      </w:r>
      <w:r>
        <w:rPr>
          <w:rFonts w:ascii="Times New Roman" w:eastAsia="Times New Roman"/>
        </w:rPr>
        <w:t>0.5%</w:t>
      </w:r>
      <w:r>
        <w:rPr>
          <w:spacing w:val="-3"/>
        </w:rPr>
        <w:t>。则转出基金费</w:t>
      </w:r>
    </w:p>
    <w:p>
      <w:pPr>
        <w:spacing w:after="0" w:line="417" w:lineRule="auto"/>
        <w:jc w:val="both"/>
        <w:sectPr>
          <w:pgSz w:w="11910" w:h="16840"/>
          <w:pgMar w:header="877" w:footer="995" w:top="1420" w:bottom="1180" w:left="1580" w:right="1200"/>
        </w:sectPr>
      </w:pPr>
    </w:p>
    <w:p>
      <w:pPr>
        <w:pStyle w:val="BodyText"/>
        <w:spacing w:before="110"/>
        <w:ind w:left="220"/>
      </w:pPr>
      <w:r>
        <w:rPr/>
        <w:t>用、转入基金费用及份额计算如下：</w:t>
      </w:r>
    </w:p>
    <w:p>
      <w:pPr>
        <w:pStyle w:val="BodyText"/>
        <w:spacing w:before="9"/>
        <w:rPr>
          <w:sz w:val="7"/>
        </w:rPr>
      </w:pPr>
    </w:p>
    <w:tbl>
      <w:tblPr>
        <w:tblW w:w="0" w:type="auto"/>
        <w:jc w:val="left"/>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05" w:hRule="atLeast"/>
        </w:trPr>
        <w:tc>
          <w:tcPr>
            <w:tcW w:w="4237" w:type="dxa"/>
          </w:tcPr>
          <w:p>
            <w:pPr>
              <w:pStyle w:val="TableParagraph"/>
              <w:spacing w:before="68"/>
              <w:ind w:left="606" w:right="177"/>
              <w:jc w:val="center"/>
              <w:rPr>
                <w:rFonts w:ascii="宋体" w:eastAsia="宋体" w:hint="eastAsia"/>
                <w:sz w:val="21"/>
              </w:rPr>
            </w:pPr>
            <w:r>
              <w:rPr>
                <w:rFonts w:ascii="宋体" w:eastAsia="宋体" w:hint="eastAsia"/>
                <w:sz w:val="21"/>
              </w:rPr>
              <w:t>项目</w:t>
            </w:r>
          </w:p>
        </w:tc>
        <w:tc>
          <w:tcPr>
            <w:tcW w:w="3217" w:type="dxa"/>
          </w:tcPr>
          <w:p>
            <w:pPr>
              <w:pStyle w:val="TableParagraph"/>
              <w:spacing w:before="68"/>
              <w:ind w:left="1396"/>
              <w:jc w:val="left"/>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1,300.00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6.50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rPr>
                <w:sz w:val="21"/>
              </w:rPr>
            </w:pPr>
            <w:r>
              <w:rPr>
                <w:sz w:val="21"/>
              </w:rPr>
              <w:t>1.0%</w:t>
            </w:r>
          </w:p>
        </w:tc>
      </w:tr>
      <w:tr>
        <w:trPr>
          <w:trHeight w:val="309" w:hRule="atLeast"/>
        </w:trPr>
        <w:tc>
          <w:tcPr>
            <w:tcW w:w="4237" w:type="dxa"/>
            <w:tcBorders>
              <w:bottom w:val="single" w:sz="6" w:space="0" w:color="000000"/>
            </w:tcBorders>
          </w:tcPr>
          <w:p>
            <w:pPr>
              <w:pStyle w:val="TableParagraph"/>
              <w:spacing w:line="267" w:lineRule="exact"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spacing w:val="-1"/>
                <w:w w:val="100"/>
                <w:sz w:val="21"/>
              </w:rPr>
              <w:t>A</w:t>
            </w:r>
            <w:r>
              <w:rPr>
                <w:rFonts w:ascii="宋体" w:hAnsi="宋体" w:eastAsia="宋体" w:hint="eastAsia"/>
                <w:w w:val="100"/>
                <w:sz w:val="21"/>
              </w:rPr>
              <w:t>×</w:t>
            </w:r>
            <w:r>
              <w:rPr>
                <w:spacing w:val="-5"/>
                <w:w w:val="100"/>
                <w:sz w:val="21"/>
              </w:rPr>
              <w:t>F</w:t>
            </w:r>
            <w:r>
              <w:rPr>
                <w:rFonts w:ascii="宋体" w:hAnsi="宋体" w:eastAsia="宋体" w:hint="eastAsia"/>
                <w:w w:val="100"/>
                <w:sz w:val="21"/>
              </w:rPr>
              <w:t>×</w:t>
            </w:r>
            <w:r>
              <w:rPr>
                <w:spacing w:val="1"/>
                <w:w w:val="100"/>
                <w:sz w:val="21"/>
              </w:rPr>
              <w:t>G</w:t>
            </w:r>
            <w:r>
              <w:rPr>
                <w:spacing w:val="-2"/>
                <w:w w:val="100"/>
                <w:sz w:val="21"/>
              </w:rPr>
              <w:t>/</w:t>
            </w:r>
            <w:r>
              <w:rPr>
                <w:rFonts w:ascii="宋体" w:hAnsi="宋体" w:eastAsia="宋体" w:hint="eastAsia"/>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8"/>
                <w:w w:val="100"/>
                <w:sz w:val="21"/>
              </w:rPr>
              <w:t>））</w:t>
            </w:r>
          </w:p>
        </w:tc>
        <w:tc>
          <w:tcPr>
            <w:tcW w:w="3217" w:type="dxa"/>
            <w:tcBorders>
              <w:bottom w:val="single" w:sz="6" w:space="0" w:color="000000"/>
            </w:tcBorders>
          </w:tcPr>
          <w:p>
            <w:pPr>
              <w:pStyle w:val="TableParagraph"/>
              <w:ind w:right="94"/>
              <w:rPr>
                <w:sz w:val="21"/>
              </w:rPr>
            </w:pPr>
            <w:r>
              <w:rPr>
                <w:sz w:val="21"/>
              </w:rPr>
              <w:t>10.89</w:t>
            </w:r>
          </w:p>
        </w:tc>
      </w:tr>
      <w:tr>
        <w:trPr>
          <w:trHeight w:val="311" w:hRule="atLeast"/>
        </w:trPr>
        <w:tc>
          <w:tcPr>
            <w:tcW w:w="4237" w:type="dxa"/>
            <w:tcBorders>
              <w:top w:val="single" w:sz="6" w:space="0" w:color="000000"/>
            </w:tcBorders>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Borders>
              <w:top w:val="single" w:sz="6" w:space="0" w:color="000000"/>
            </w:tcBorders>
          </w:tcPr>
          <w:p>
            <w:pPr>
              <w:pStyle w:val="TableParagraph"/>
              <w:ind w:right="94"/>
              <w:rPr>
                <w:sz w:val="21"/>
              </w:rPr>
            </w:pPr>
            <w:r>
              <w:rPr>
                <w:sz w:val="21"/>
              </w:rPr>
              <w:t>17.39</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1,282.61</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rPr>
                <w:sz w:val="21"/>
              </w:rPr>
            </w:pPr>
            <w:r>
              <w:rPr>
                <w:sz w:val="21"/>
              </w:rPr>
              <w:t>1,282.61</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rPr>
                <w:sz w:val="21"/>
              </w:rPr>
            </w:pPr>
            <w:r>
              <w:rPr>
                <w:sz w:val="21"/>
              </w:rPr>
              <w:t>1.500</w:t>
            </w:r>
          </w:p>
        </w:tc>
      </w:tr>
      <w:tr>
        <w:trPr>
          <w:trHeight w:val="314"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rPr>
                <w:sz w:val="21"/>
              </w:rPr>
            </w:pPr>
            <w:r>
              <w:rPr>
                <w:sz w:val="21"/>
              </w:rPr>
              <w:t>855.07</w:t>
            </w:r>
          </w:p>
        </w:tc>
      </w:tr>
    </w:tbl>
    <w:p>
      <w:pPr>
        <w:pStyle w:val="BodyText"/>
        <w:spacing w:line="417" w:lineRule="auto" w:before="100"/>
        <w:ind w:left="220" w:right="593" w:firstLine="419"/>
        <w:jc w:val="both"/>
      </w:pPr>
      <w:r>
        <w:rPr/>
        <w:pict>
          <v:shape style="position:absolute;margin-left:110.540001pt;margin-top:70.239983pt;width:374.6pt;height:150pt;mso-position-horizontal-relative:page;mso-position-vertical-relative:paragraph;z-index:2517493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405" w:hRule="atLeast"/>
                    </w:trPr>
                    <w:tc>
                      <w:tcPr>
                        <w:tcW w:w="4249" w:type="dxa"/>
                      </w:tcPr>
                      <w:p>
                        <w:pPr>
                          <w:pStyle w:val="TableParagraph"/>
                          <w:spacing w:before="68"/>
                          <w:ind w:left="2103" w:right="1676"/>
                          <w:jc w:val="center"/>
                          <w:rPr>
                            <w:rFonts w:ascii="宋体" w:eastAsia="宋体" w:hint="eastAsia"/>
                            <w:sz w:val="21"/>
                          </w:rPr>
                        </w:pPr>
                        <w:r>
                          <w:rPr>
                            <w:rFonts w:ascii="宋体" w:eastAsia="宋体" w:hint="eastAsia"/>
                            <w:sz w:val="21"/>
                          </w:rPr>
                          <w:t>项目</w:t>
                        </w:r>
                      </w:p>
                    </w:tc>
                    <w:tc>
                      <w:tcPr>
                        <w:tcW w:w="3229" w:type="dxa"/>
                      </w:tcPr>
                      <w:p>
                        <w:pPr>
                          <w:pStyle w:val="TableParagraph"/>
                          <w:spacing w:before="68"/>
                          <w:ind w:left="1403"/>
                          <w:jc w:val="left"/>
                          <w:rPr>
                            <w:rFonts w:ascii="宋体" w:eastAsia="宋体" w:hint="eastAsia"/>
                            <w:sz w:val="21"/>
                          </w:rPr>
                        </w:pPr>
                        <w:r>
                          <w:rPr>
                            <w:rFonts w:ascii="宋体" w:eastAsia="宋体" w:hint="eastAsia"/>
                            <w:sz w:val="21"/>
                          </w:rPr>
                          <w:t>费用计算</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ind w:right="94"/>
                          <w:rPr>
                            <w:sz w:val="21"/>
                          </w:rPr>
                        </w:pPr>
                        <w:r>
                          <w:rPr>
                            <w:sz w:val="21"/>
                          </w:rPr>
                          <w:t>855.07</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ind w:right="94"/>
                          <w:rPr>
                            <w:sz w:val="21"/>
                          </w:rPr>
                        </w:pPr>
                        <w:r>
                          <w:rPr>
                            <w:sz w:val="21"/>
                          </w:rPr>
                          <w:t>1.300</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ind w:right="94"/>
                          <w:rPr>
                            <w:sz w:val="21"/>
                          </w:rPr>
                        </w:pPr>
                        <w:r>
                          <w:rPr>
                            <w:sz w:val="21"/>
                          </w:rPr>
                          <w:t>1,111.59</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ind w:right="93"/>
                          <w:rPr>
                            <w:sz w:val="21"/>
                          </w:rPr>
                        </w:pPr>
                        <w:r>
                          <w:rPr>
                            <w:sz w:val="21"/>
                          </w:rPr>
                          <w:t>0.5%</w:t>
                        </w:r>
                      </w:p>
                    </w:tc>
                  </w:tr>
                  <w:tr>
                    <w:trPr>
                      <w:trHeight w:val="314" w:hRule="atLeast"/>
                    </w:trPr>
                    <w:tc>
                      <w:tcPr>
                        <w:tcW w:w="4249" w:type="dxa"/>
                      </w:tcPr>
                      <w:p>
                        <w:pPr>
                          <w:pStyle w:val="TableParagraph"/>
                          <w:spacing w:before="25"/>
                          <w:ind w:left="107"/>
                          <w:jc w:val="left"/>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spacing w:before="36"/>
                          <w:ind w:right="94"/>
                          <w:rPr>
                            <w:sz w:val="21"/>
                          </w:rPr>
                        </w:pPr>
                        <w:r>
                          <w:rPr>
                            <w:sz w:val="21"/>
                          </w:rPr>
                          <w:t>5.56</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ind w:right="93"/>
                          <w:rPr>
                            <w:sz w:val="21"/>
                          </w:rPr>
                        </w:pPr>
                        <w:r>
                          <w:rPr>
                            <w:sz w:val="21"/>
                          </w:rPr>
                          <w:t>1.2%</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U</w:t>
                        </w:r>
                        <w:r>
                          <w:rPr>
                            <w:spacing w:val="-2"/>
                            <w:w w:val="100"/>
                            <w:sz w:val="21"/>
                          </w:rPr>
                          <w:t>=</w:t>
                        </w:r>
                        <w:r>
                          <w:rPr>
                            <w:w w:val="100"/>
                            <w:sz w:val="21"/>
                          </w:rPr>
                          <w:t>O</w:t>
                        </w:r>
                        <w:r>
                          <w:rPr>
                            <w:spacing w:val="-5"/>
                            <w:w w:val="100"/>
                            <w:sz w:val="21"/>
                          </w:rPr>
                          <w:t>*</w:t>
                        </w:r>
                        <w:r>
                          <w:rPr>
                            <w:spacing w:val="1"/>
                            <w:w w:val="100"/>
                            <w:sz w:val="21"/>
                          </w:rPr>
                          <w:t>M</w:t>
                        </w:r>
                        <w:r>
                          <w:rPr>
                            <w:spacing w:val="-5"/>
                            <w:w w:val="100"/>
                            <w:sz w:val="21"/>
                          </w:rPr>
                          <w:t>*</w:t>
                        </w:r>
                        <w:r>
                          <w:rPr>
                            <w:w w:val="100"/>
                            <w:sz w:val="21"/>
                          </w:rPr>
                          <w:t>T</w:t>
                        </w:r>
                        <w:r>
                          <w:rPr>
                            <w:spacing w:val="3"/>
                            <w:w w:val="100"/>
                            <w:sz w:val="21"/>
                          </w:rPr>
                          <w:t>/</w:t>
                        </w:r>
                        <w:r>
                          <w:rPr>
                            <w:rFonts w:ascii="宋体" w:eastAsia="宋体" w:hint="eastAsia"/>
                            <w:w w:val="100"/>
                            <w:sz w:val="21"/>
                          </w:rPr>
                          <w:t>（</w:t>
                        </w:r>
                        <w:r>
                          <w:rPr>
                            <w:w w:val="100"/>
                            <w:sz w:val="21"/>
                          </w:rPr>
                          <w:t>1</w:t>
                        </w:r>
                        <w:r>
                          <w:rPr>
                            <w:spacing w:val="-2"/>
                            <w:w w:val="100"/>
                            <w:sz w:val="21"/>
                          </w:rPr>
                          <w:t>+</w:t>
                        </w:r>
                        <w:r>
                          <w:rPr>
                            <w:w w:val="100"/>
                            <w:sz w:val="21"/>
                          </w:rPr>
                          <w:t>T</w:t>
                        </w:r>
                        <w:r>
                          <w:rPr>
                            <w:rFonts w:ascii="宋体" w:eastAsia="宋体" w:hint="eastAsia"/>
                            <w:spacing w:val="-108"/>
                            <w:w w:val="100"/>
                            <w:sz w:val="21"/>
                          </w:rPr>
                          <w:t>）</w:t>
                        </w:r>
                        <w:r>
                          <w:rPr>
                            <w:rFonts w:ascii="宋体" w:eastAsia="宋体" w:hint="eastAsia"/>
                            <w:w w:val="100"/>
                            <w:sz w:val="21"/>
                          </w:rPr>
                          <w:t>）</w:t>
                        </w:r>
                      </w:p>
                    </w:tc>
                    <w:tc>
                      <w:tcPr>
                        <w:tcW w:w="3229" w:type="dxa"/>
                      </w:tcPr>
                      <w:p>
                        <w:pPr>
                          <w:pStyle w:val="TableParagraph"/>
                          <w:ind w:right="94"/>
                          <w:rPr>
                            <w:sz w:val="21"/>
                          </w:rPr>
                        </w:pPr>
                        <w:r>
                          <w:rPr>
                            <w:sz w:val="21"/>
                          </w:rPr>
                          <w:t>15.21</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ind w:right="94"/>
                          <w:rPr>
                            <w:sz w:val="21"/>
                          </w:rPr>
                        </w:pPr>
                        <w:r>
                          <w:rPr>
                            <w:sz w:val="21"/>
                          </w:rPr>
                          <w:t>1,090.82</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2"/>
        </w:rPr>
        <w:t>申购费率为 </w:t>
      </w:r>
      <w:r>
        <w:rPr>
          <w:rFonts w:ascii="Times New Roman" w:eastAsia="Times New Roman"/>
        </w:rPr>
        <w:t>1.2%</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p>
    <w:p>
      <w:pPr>
        <w:pStyle w:val="BodyText"/>
        <w:spacing w:line="417" w:lineRule="auto"/>
        <w:ind w:left="220" w:right="591" w:firstLine="419"/>
        <w:jc w:val="both"/>
      </w:pPr>
      <w:r>
        <w:rPr/>
        <w:pict>
          <v:shape style="position:absolute;margin-left:110.779999pt;margin-top:88.619949pt;width:374pt;height:101.8pt;mso-position-horizontal-relative:page;mso-position-vertical-relative:paragraph;z-index:2517504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05" w:hRule="atLeast"/>
                    </w:trPr>
                    <w:tc>
                      <w:tcPr>
                        <w:tcW w:w="4244" w:type="dxa"/>
                      </w:tcPr>
                      <w:p>
                        <w:pPr>
                          <w:pStyle w:val="TableParagraph"/>
                          <w:spacing w:before="68"/>
                          <w:ind w:left="1892" w:right="1465"/>
                          <w:jc w:val="center"/>
                          <w:rPr>
                            <w:rFonts w:ascii="宋体" w:eastAsia="宋体" w:hint="eastAsia"/>
                            <w:sz w:val="21"/>
                          </w:rPr>
                        </w:pPr>
                        <w:r>
                          <w:rPr>
                            <w:rFonts w:ascii="宋体" w:eastAsia="宋体" w:hint="eastAsia"/>
                            <w:sz w:val="21"/>
                          </w:rPr>
                          <w:t>项目</w:t>
                        </w:r>
                      </w:p>
                    </w:tc>
                    <w:tc>
                      <w:tcPr>
                        <w:tcW w:w="3221" w:type="dxa"/>
                      </w:tcPr>
                      <w:p>
                        <w:pPr>
                          <w:pStyle w:val="TableParagraph"/>
                          <w:spacing w:before="68"/>
                          <w:ind w:left="1401"/>
                          <w:jc w:val="left"/>
                          <w:rPr>
                            <w:rFonts w:ascii="宋体" w:eastAsia="宋体" w:hint="eastAsia"/>
                            <w:sz w:val="21"/>
                          </w:rPr>
                        </w:pPr>
                        <w:r>
                          <w:rPr>
                            <w:rFonts w:ascii="宋体" w:eastAsia="宋体" w:hint="eastAsia"/>
                            <w:sz w:val="21"/>
                          </w:rPr>
                          <w:t>费用计算</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before="36"/>
                          <w:ind w:right="91"/>
                          <w:rPr>
                            <w:sz w:val="21"/>
                          </w:rPr>
                        </w:pPr>
                        <w:r>
                          <w:rPr>
                            <w:sz w:val="21"/>
                          </w:rPr>
                          <w:t>1,000.00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rPr>
                            <w:sz w:val="21"/>
                          </w:rPr>
                        </w:pPr>
                        <w:r>
                          <w:rPr>
                            <w:sz w:val="21"/>
                          </w:rPr>
                          <w:t>1.200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rPr>
                            <w:sz w:val="21"/>
                          </w:rPr>
                        </w:pPr>
                        <w:r>
                          <w:rPr>
                            <w:sz w:val="21"/>
                          </w:rPr>
                          <w:t>1,200.00</w:t>
                        </w:r>
                      </w:p>
                    </w:tc>
                  </w:tr>
                  <w:tr>
                    <w:trPr>
                      <w:trHeight w:val="311"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right="90"/>
                          <w:rPr>
                            <w:sz w:val="21"/>
                          </w:rPr>
                        </w:pPr>
                        <w:r>
                          <w:rPr>
                            <w:sz w:val="21"/>
                          </w:rPr>
                          <w:t>0.5%</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ind w:right="90"/>
                          <w:rPr>
                            <w:sz w:val="21"/>
                          </w:rPr>
                        </w:pPr>
                        <w:r>
                          <w:rPr>
                            <w:sz w:val="21"/>
                          </w:rPr>
                          <w:t>6.00</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spacing w:after="0" w:line="417" w:lineRule="auto"/>
        <w:jc w:val="both"/>
        <w:sectPr>
          <w:pgSz w:w="11910" w:h="16840"/>
          <w:pgMar w:header="877" w:footer="995" w:top="1420" w:bottom="1180" w:left="1580" w:right="1200"/>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ind w:right="90"/>
              <w:rPr>
                <w:sz w:val="21"/>
              </w:rPr>
            </w:pPr>
            <w:r>
              <w:rPr>
                <w:sz w:val="21"/>
              </w:rPr>
              <w:t>1.100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ind w:right="90"/>
              <w:rPr>
                <w:sz w:val="21"/>
              </w:rPr>
            </w:pPr>
            <w:r>
              <w:rPr>
                <w:sz w:val="21"/>
              </w:rPr>
              <w:t>1.0%</w:t>
            </w:r>
          </w:p>
        </w:tc>
      </w:tr>
      <w:tr>
        <w:trPr>
          <w:trHeight w:val="311" w:hRule="atLeast"/>
        </w:trPr>
        <w:tc>
          <w:tcPr>
            <w:tcW w:w="4244"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spacing w:val="-1"/>
                <w:w w:val="100"/>
                <w:sz w:val="21"/>
              </w:rPr>
              <w:t>A</w:t>
            </w:r>
            <w:r>
              <w:rPr>
                <w:rFonts w:ascii="宋体" w:hAnsi="宋体" w:eastAsia="宋体" w:hint="eastAsia"/>
                <w:w w:val="100"/>
                <w:sz w:val="21"/>
              </w:rPr>
              <w:t>×</w:t>
            </w:r>
            <w:r>
              <w:rPr>
                <w:spacing w:val="-5"/>
                <w:w w:val="100"/>
                <w:sz w:val="21"/>
              </w:rPr>
              <w:t>F</w:t>
            </w:r>
            <w:r>
              <w:rPr>
                <w:rFonts w:ascii="宋体" w:hAnsi="宋体" w:eastAsia="宋体" w:hint="eastAsia"/>
                <w:w w:val="100"/>
                <w:sz w:val="21"/>
              </w:rPr>
              <w:t>×</w:t>
            </w:r>
            <w:r>
              <w:rPr>
                <w:spacing w:val="1"/>
                <w:w w:val="100"/>
                <w:sz w:val="21"/>
              </w:rPr>
              <w:t>G</w:t>
            </w:r>
            <w:r>
              <w:rPr>
                <w:spacing w:val="-2"/>
                <w:w w:val="100"/>
                <w:sz w:val="21"/>
              </w:rPr>
              <w:t>/</w:t>
            </w:r>
            <w:r>
              <w:rPr>
                <w:rFonts w:ascii="宋体" w:hAnsi="宋体" w:eastAsia="宋体" w:hint="eastAsia"/>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8"/>
                <w:w w:val="100"/>
                <w:sz w:val="21"/>
              </w:rPr>
              <w:t>））</w:t>
            </w:r>
          </w:p>
        </w:tc>
        <w:tc>
          <w:tcPr>
            <w:tcW w:w="3221" w:type="dxa"/>
          </w:tcPr>
          <w:p>
            <w:pPr>
              <w:pStyle w:val="TableParagraph"/>
              <w:ind w:right="90"/>
              <w:rPr>
                <w:sz w:val="21"/>
              </w:rPr>
            </w:pPr>
            <w:r>
              <w:rPr>
                <w:sz w:val="21"/>
              </w:rPr>
              <w:t>10.89</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spacing w:before="36"/>
              <w:ind w:right="90"/>
              <w:rPr>
                <w:sz w:val="21"/>
              </w:rPr>
            </w:pPr>
            <w:r>
              <w:rPr>
                <w:sz w:val="21"/>
              </w:rPr>
              <w:t>16.89</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ind w:right="91"/>
              <w:rPr>
                <w:sz w:val="21"/>
              </w:rPr>
            </w:pPr>
            <w:r>
              <w:rPr>
                <w:sz w:val="21"/>
              </w:rPr>
              <w:t>1,183.11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ind w:right="90"/>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ind w:right="91"/>
              <w:rPr>
                <w:sz w:val="21"/>
              </w:rPr>
            </w:pPr>
            <w:r>
              <w:rPr>
                <w:sz w:val="21"/>
              </w:rPr>
              <w:t>1,183.11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ind w:right="90"/>
              <w:rPr>
                <w:sz w:val="21"/>
              </w:rPr>
            </w:pPr>
            <w:r>
              <w:rPr>
                <w:sz w:val="21"/>
              </w:rPr>
              <w:t>1.500</w:t>
            </w:r>
          </w:p>
        </w:tc>
      </w:tr>
      <w:tr>
        <w:trPr>
          <w:trHeight w:val="314"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ind w:right="90"/>
              <w:rPr>
                <w:sz w:val="21"/>
              </w:rPr>
            </w:pPr>
            <w:r>
              <w:rPr>
                <w:sz w:val="21"/>
              </w:rPr>
              <w:t>788.74</w:t>
            </w:r>
          </w:p>
        </w:tc>
      </w:tr>
    </w:tbl>
    <w:p>
      <w:pPr>
        <w:pStyle w:val="BodyText"/>
        <w:spacing w:line="417" w:lineRule="auto" w:before="109"/>
        <w:ind w:left="220" w:right="591" w:firstLine="419"/>
        <w:jc w:val="both"/>
      </w:pPr>
      <w:r>
        <w:rPr/>
        <w:pict>
          <v:shape style="position:absolute;margin-left:111.139999pt;margin-top:94.099998pt;width:373.4pt;height:225.4pt;mso-position-horizontal-relative:page;mso-position-vertical-relative:paragraph;z-index:2517514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606" w:right="59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spacing w:before="36"/>
                          <w:ind w:right="94"/>
                          <w:rPr>
                            <w:sz w:val="21"/>
                          </w:rPr>
                        </w:pPr>
                        <w:r>
                          <w:rPr>
                            <w:sz w:val="21"/>
                          </w:rPr>
                          <w:t>1,200.00</w:t>
                        </w:r>
                      </w:p>
                    </w:tc>
                  </w:tr>
                  <w:tr>
                    <w:trPr>
                      <w:trHeight w:val="311"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ind w:right="93"/>
                          <w:rPr>
                            <w:sz w:val="21"/>
                          </w:rPr>
                        </w:pPr>
                        <w:r>
                          <w:rPr>
                            <w:sz w:val="21"/>
                          </w:rPr>
                          <w:t>0.3%</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ind w:right="93"/>
                          <w:rPr>
                            <w:sz w:val="21"/>
                          </w:rPr>
                        </w:pPr>
                        <w:r>
                          <w:rPr>
                            <w:sz w:val="21"/>
                          </w:rPr>
                          <w:t>2.0%</w:t>
                        </w:r>
                      </w:p>
                    </w:tc>
                  </w:tr>
                  <w:tr>
                    <w:trPr>
                      <w:trHeight w:val="623"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90"/>
                          <w:ind w:right="93"/>
                          <w:rPr>
                            <w:sz w:val="21"/>
                          </w:rPr>
                        </w:pPr>
                        <w:r>
                          <w:rPr>
                            <w:sz w:val="21"/>
                          </w:rPr>
                          <w:t>1.88%</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4"/>
                            <w:w w:val="100"/>
                            <w:sz w:val="21"/>
                          </w:rPr>
                          <w:t>I</w:t>
                        </w:r>
                        <w:r>
                          <w:rPr>
                            <w:w w:val="100"/>
                            <w:sz w:val="21"/>
                          </w:rPr>
                          <w:t>=E/</w:t>
                        </w:r>
                        <w:r>
                          <w:rPr>
                            <w:rFonts w:ascii="宋体" w:eastAsia="宋体" w:hint="eastAsia"/>
                            <w:w w:val="100"/>
                            <w:sz w:val="21"/>
                          </w:rPr>
                          <w:t>（</w:t>
                        </w:r>
                        <w:r>
                          <w:rPr>
                            <w:spacing w:val="-3"/>
                            <w:w w:val="100"/>
                            <w:sz w:val="21"/>
                          </w:rPr>
                          <w:t>1</w:t>
                        </w:r>
                        <w:r>
                          <w:rPr>
                            <w:spacing w:val="-2"/>
                            <w:w w:val="100"/>
                            <w:sz w:val="21"/>
                          </w:rPr>
                          <w:t>+</w:t>
                        </w:r>
                        <w:r>
                          <w:rPr>
                            <w:spacing w:val="1"/>
                            <w:w w:val="100"/>
                            <w:sz w:val="21"/>
                          </w:rPr>
                          <w:t>H</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ind w:right="94"/>
                          <w:rPr>
                            <w:sz w:val="21"/>
                          </w:rPr>
                        </w:pPr>
                        <w:r>
                          <w:rPr>
                            <w:sz w:val="21"/>
                          </w:rPr>
                          <w:t>1,177.86</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ind w:right="94"/>
                          <w:rPr>
                            <w:sz w:val="21"/>
                          </w:rPr>
                        </w:pPr>
                        <w:r>
                          <w:rPr>
                            <w:sz w:val="21"/>
                          </w:rPr>
                          <w:t>22.14</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spacing w:before="36"/>
                          <w:ind w:right="94"/>
                          <w:rPr>
                            <w:sz w:val="21"/>
                          </w:rPr>
                        </w:pPr>
                        <w:r>
                          <w:rPr>
                            <w:sz w:val="21"/>
                          </w:rPr>
                          <w:t>1.300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ind w:right="94"/>
                          <w:rPr>
                            <w:sz w:val="21"/>
                          </w:rPr>
                        </w:pPr>
                        <w:r>
                          <w:rPr>
                            <w:sz w:val="21"/>
                          </w:rPr>
                          <w:t>906.05</w:t>
                        </w:r>
                      </w:p>
                    </w:tc>
                  </w:tr>
                </w:tbl>
                <w:p>
                  <w:pPr>
                    <w:pStyle w:val="BodyText"/>
                  </w:pPr>
                </w:p>
              </w:txbxContent>
            </v:textbox>
            <w10:wrap type="none"/>
          </v:shape>
        </w:pict>
      </w: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3"/>
        </w:rPr>
        <w:t>份，转</w:t>
      </w:r>
      <w:r>
        <w:rPr>
          <w:spacing w:val="-8"/>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1"/>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2"/>
        <w:ind w:left="220" w:right="591" w:firstLine="419"/>
        <w:jc w:val="both"/>
      </w:pPr>
      <w:r>
        <w:rPr/>
        <w:pict>
          <v:shape style="position:absolute;margin-left:111.379997pt;margin-top:96.250023pt;width:372.95pt;height:129.3pt;mso-position-horizontal-relative:page;mso-position-vertical-relative:paragraph;z-index:2517524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678"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108" w:right="1097"/>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rPr>
                            <w:sz w:val="21"/>
                          </w:rPr>
                        </w:pPr>
                        <w:r>
                          <w:rPr>
                            <w:sz w:val="21"/>
                          </w:rPr>
                          <w:t>10,000,000.00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3"/>
                          <w:rPr>
                            <w:sz w:val="21"/>
                          </w:rPr>
                        </w:pPr>
                        <w:r>
                          <w:rPr>
                            <w:sz w:val="21"/>
                          </w:rPr>
                          <w:t>1.200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6"/>
                          <w:ind w:right="94"/>
                          <w:rPr>
                            <w:sz w:val="21"/>
                          </w:rPr>
                        </w:pPr>
                        <w:r>
                          <w:rPr>
                            <w:sz w:val="21"/>
                          </w:rPr>
                          <w:t>12,000,000.00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ind w:right="94"/>
                          <w:rPr>
                            <w:sz w:val="21"/>
                          </w:rPr>
                        </w:pPr>
                        <w:r>
                          <w:rPr>
                            <w:sz w:val="21"/>
                          </w:rPr>
                          <w:t>12,000,000.00</w:t>
                        </w:r>
                      </w:p>
                    </w:tc>
                  </w:tr>
                  <w:tr>
                    <w:trPr>
                      <w:trHeight w:val="311"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ind w:right="93"/>
                          <w:rPr>
                            <w:sz w:val="21"/>
                          </w:rPr>
                        </w:pPr>
                        <w:r>
                          <w:rPr>
                            <w:sz w:val="21"/>
                          </w:rPr>
                          <w:t>0.3%</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ind w:right="94"/>
                          <w:rPr>
                            <w:sz w:val="21"/>
                          </w:rPr>
                        </w:pPr>
                        <w:r>
                          <w:rPr>
                            <w:sz w:val="21"/>
                          </w:rPr>
                          <w:t>1,000.00</w:t>
                        </w:r>
                      </w:p>
                    </w:tc>
                  </w:tr>
                </w:tbl>
                <w:p>
                  <w:pPr>
                    <w:pStyle w:val="BodyText"/>
                  </w:pPr>
                </w:p>
              </w:txbxContent>
            </v:textbox>
            <w10:wrap type="none"/>
          </v:shape>
        </w:pict>
      </w: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9"/>
        </w:rPr>
        <w:t>务费率为 </w:t>
      </w:r>
      <w:r>
        <w:rPr>
          <w:rFonts w:ascii="Times New Roman" w:eastAsia="Times New Roman"/>
        </w:rPr>
        <w:t>0.3%</w:t>
      </w:r>
      <w:r>
        <w:rPr>
          <w:spacing w:val="-4"/>
        </w:rPr>
        <w:t>，此时转出不收取赎回费。乙基金适用固定申购费 </w:t>
      </w:r>
      <w:r>
        <w:rPr>
          <w:rFonts w:ascii="Times New Roman" w:eastAsia="Times New Roman"/>
        </w:rPr>
        <w:t>1,000.00 </w:t>
      </w:r>
      <w:r>
        <w:rPr>
          <w:spacing w:val="-3"/>
        </w:rPr>
        <w:t>元。则转出基金费用、转入基金费用及份额计算如下：</w:t>
      </w:r>
    </w:p>
    <w:p>
      <w:pPr>
        <w:spacing w:after="0" w:line="417" w:lineRule="auto"/>
        <w:jc w:val="both"/>
        <w:sectPr>
          <w:pgSz w:w="11910" w:h="16840"/>
          <w:pgMar w:header="877" w:footer="995" w:top="1420" w:bottom="1180" w:left="1580" w:right="1200"/>
        </w:sectPr>
      </w:pPr>
    </w:p>
    <w:tbl>
      <w:tblPr>
        <w:tblW w:w="0" w:type="auto"/>
        <w:jc w:val="left"/>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624"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90"/>
              <w:ind w:right="93"/>
              <w:rPr>
                <w:sz w:val="21"/>
              </w:rPr>
            </w:pPr>
            <w:r>
              <w:rPr>
                <w:sz w:val="21"/>
              </w:rPr>
              <w:t>13.70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ind w:right="94"/>
              <w:rPr>
                <w:sz w:val="21"/>
              </w:rPr>
            </w:pPr>
            <w:r>
              <w:rPr>
                <w:sz w:val="21"/>
              </w:rPr>
              <w:t>11,999,986.30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spacing w:before="36"/>
              <w:ind w:right="94"/>
              <w:rPr>
                <w:sz w:val="21"/>
              </w:rPr>
            </w:pPr>
            <w:r>
              <w:rPr>
                <w:sz w:val="21"/>
              </w:rPr>
              <w:t>9,230,758.69</w:t>
            </w:r>
          </w:p>
        </w:tc>
      </w:tr>
    </w:tbl>
    <w:p>
      <w:pPr>
        <w:pStyle w:val="BodyText"/>
        <w:spacing w:before="109"/>
        <w:ind w:left="64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7"/>
        <w:rPr>
          <w:sz w:val="15"/>
        </w:rPr>
      </w:pPr>
    </w:p>
    <w:p>
      <w:pPr>
        <w:pStyle w:val="BodyText"/>
        <w:spacing w:line="417" w:lineRule="auto"/>
        <w:ind w:left="220" w:right="488"/>
      </w:pPr>
      <w:r>
        <w:rPr/>
        <w:pict>
          <v:shape style="position:absolute;margin-left:110.900002pt;margin-top:65.25pt;width:373.9pt;height:166.25pt;mso-position-horizontal-relative:page;mso-position-vertical-relative:paragraph;z-index:2517534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405" w:hRule="atLeast"/>
                    </w:trPr>
                    <w:tc>
                      <w:tcPr>
                        <w:tcW w:w="4242" w:type="dxa"/>
                      </w:tcPr>
                      <w:p>
                        <w:pPr>
                          <w:pStyle w:val="TableParagraph"/>
                          <w:spacing w:before="68"/>
                          <w:ind w:left="2009" w:right="1762"/>
                          <w:jc w:val="center"/>
                          <w:rPr>
                            <w:rFonts w:ascii="宋体" w:eastAsia="宋体" w:hint="eastAsia"/>
                            <w:sz w:val="21"/>
                          </w:rPr>
                        </w:pPr>
                        <w:r>
                          <w:rPr>
                            <w:rFonts w:ascii="宋体" w:eastAsia="宋体" w:hint="eastAsia"/>
                            <w:sz w:val="21"/>
                          </w:rPr>
                          <w:t>项目</w:t>
                        </w:r>
                      </w:p>
                    </w:tc>
                    <w:tc>
                      <w:tcPr>
                        <w:tcW w:w="3222" w:type="dxa"/>
                      </w:tcPr>
                      <w:p>
                        <w:pPr>
                          <w:pStyle w:val="TableParagraph"/>
                          <w:spacing w:before="68"/>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ind w:right="92"/>
                          <w:rPr>
                            <w:sz w:val="21"/>
                          </w:rPr>
                        </w:pPr>
                        <w:r>
                          <w:rPr>
                            <w:sz w:val="21"/>
                          </w:rPr>
                          <w:t>1,000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ind w:right="92"/>
                          <w:rPr>
                            <w:sz w:val="21"/>
                          </w:rPr>
                        </w:pPr>
                        <w:r>
                          <w:rPr>
                            <w:sz w:val="21"/>
                          </w:rPr>
                          <w:t>1.200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4" w:hRule="atLeast"/>
                    </w:trPr>
                    <w:tc>
                      <w:tcPr>
                        <w:tcW w:w="4242" w:type="dxa"/>
                      </w:tcPr>
                      <w:p>
                        <w:pPr>
                          <w:pStyle w:val="TableParagraph"/>
                          <w:spacing w:before="25"/>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spacing w:before="36"/>
                          <w:ind w:right="92"/>
                          <w:rPr>
                            <w:sz w:val="21"/>
                          </w:rPr>
                        </w:pPr>
                        <w:r>
                          <w:rPr>
                            <w:sz w:val="21"/>
                          </w:rPr>
                          <w:t>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ind w:right="92"/>
                          <w:rPr>
                            <w:sz w:val="21"/>
                          </w:rPr>
                        </w:pPr>
                        <w:r>
                          <w:rPr>
                            <w:sz w:val="21"/>
                          </w:rPr>
                          <w:t>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ind w:right="92"/>
                          <w:rPr>
                            <w:sz w:val="21"/>
                          </w:rPr>
                        </w:pPr>
                        <w:r>
                          <w:rPr>
                            <w:sz w:val="21"/>
                          </w:rPr>
                          <w:t>1.500</w:t>
                        </w:r>
                      </w:p>
                    </w:tc>
                  </w:tr>
                  <w:tr>
                    <w:trPr>
                      <w:trHeight w:val="314"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ind w:right="92"/>
                          <w:rPr>
                            <w:sz w:val="21"/>
                          </w:rPr>
                        </w:pPr>
                        <w:r>
                          <w:rPr>
                            <w:sz w:val="21"/>
                          </w:rPr>
                          <w:t>800.00</w:t>
                        </w:r>
                      </w:p>
                    </w:tc>
                  </w:tr>
                </w:tbl>
                <w:p>
                  <w:pPr>
                    <w:pStyle w:val="BodyText"/>
                  </w:pPr>
                </w:p>
              </w:txbxContent>
            </v:textbox>
            <w10:wrap type="none"/>
          </v:shape>
        </w:pict>
      </w: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p>
    <w:p>
      <w:pPr>
        <w:pStyle w:val="BodyText"/>
        <w:spacing w:line="417" w:lineRule="auto"/>
        <w:ind w:left="220" w:right="593" w:firstLine="419"/>
        <w:jc w:val="both"/>
      </w:pPr>
      <w:r>
        <w:rPr/>
        <w:pict>
          <v:shape style="position:absolute;margin-left:110.779999pt;margin-top:65.220009pt;width:374.15pt;height:150.050pt;mso-position-horizontal-relative:page;mso-position-vertical-relative:paragraph;z-index:2517544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05" w:hRule="atLeast"/>
                    </w:trPr>
                    <w:tc>
                      <w:tcPr>
                        <w:tcW w:w="4244" w:type="dxa"/>
                      </w:tcPr>
                      <w:p>
                        <w:pPr>
                          <w:pStyle w:val="TableParagraph"/>
                          <w:spacing w:before="68"/>
                          <w:ind w:left="1892" w:right="1647"/>
                          <w:jc w:val="center"/>
                          <w:rPr>
                            <w:rFonts w:ascii="宋体" w:eastAsia="宋体" w:hint="eastAsia"/>
                            <w:sz w:val="21"/>
                          </w:rPr>
                        </w:pPr>
                        <w:r>
                          <w:rPr>
                            <w:rFonts w:ascii="宋体" w:eastAsia="宋体" w:hint="eastAsia"/>
                            <w:sz w:val="21"/>
                          </w:rPr>
                          <w:t>项目</w:t>
                        </w:r>
                      </w:p>
                    </w:tc>
                    <w:tc>
                      <w:tcPr>
                        <w:tcW w:w="3224" w:type="dxa"/>
                      </w:tcPr>
                      <w:p>
                        <w:pPr>
                          <w:pStyle w:val="TableParagraph"/>
                          <w:spacing w:before="68"/>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ind w:right="93"/>
                          <w:rPr>
                            <w:sz w:val="21"/>
                          </w:rPr>
                        </w:pPr>
                        <w:r>
                          <w:rPr>
                            <w:sz w:val="21"/>
                          </w:rPr>
                          <w:t>800.00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ind w:right="94"/>
                          <w:rPr>
                            <w:sz w:val="21"/>
                          </w:rPr>
                        </w:pPr>
                        <w:r>
                          <w:rPr>
                            <w:sz w:val="21"/>
                          </w:rPr>
                          <w:t>1,040.00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ind w:right="93"/>
                          <w:rPr>
                            <w:sz w:val="21"/>
                          </w:rPr>
                        </w:pPr>
                        <w:r>
                          <w:rPr>
                            <w:sz w:val="21"/>
                          </w:rPr>
                          <w:t>0.5%</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spacing w:before="37"/>
                          <w:ind w:right="93"/>
                          <w:rPr>
                            <w:sz w:val="21"/>
                          </w:rPr>
                        </w:pPr>
                        <w:r>
                          <w:rPr>
                            <w:sz w:val="21"/>
                          </w:rPr>
                          <w:t>5.20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ind w:right="93"/>
                          <w:rPr>
                            <w:sz w:val="21"/>
                          </w:rPr>
                        </w:pPr>
                        <w:r>
                          <w:rPr>
                            <w:sz w:val="21"/>
                          </w:rPr>
                          <w:t>1.0%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w:t>
                        </w:r>
                        <w:r>
                          <w:rPr>
                            <w:spacing w:val="1"/>
                            <w:w w:val="100"/>
                            <w:sz w:val="21"/>
                          </w:rPr>
                          <w:t>J</w:t>
                        </w:r>
                        <w:r>
                          <w:rPr>
                            <w:spacing w:val="-5"/>
                            <w:w w:val="100"/>
                            <w:sz w:val="21"/>
                          </w:rPr>
                          <w:t>*</w:t>
                        </w:r>
                        <w:r>
                          <w:rPr>
                            <w:spacing w:val="3"/>
                            <w:w w:val="100"/>
                            <w:sz w:val="21"/>
                          </w:rPr>
                          <w:t>H</w:t>
                        </w:r>
                        <w:r>
                          <w:rPr>
                            <w:spacing w:val="-5"/>
                            <w:w w:val="100"/>
                            <w:sz w:val="21"/>
                          </w:rPr>
                          <w:t>*</w:t>
                        </w:r>
                        <w:r>
                          <w:rPr>
                            <w:w w:val="100"/>
                            <w:sz w:val="21"/>
                          </w:rPr>
                          <w:t>O</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24" w:type="dxa"/>
                      </w:tcPr>
                      <w:p>
                        <w:pPr>
                          <w:pStyle w:val="TableParagraph"/>
                          <w:ind w:right="93"/>
                          <w:rPr>
                            <w:sz w:val="21"/>
                          </w:rPr>
                        </w:pPr>
                        <w:r>
                          <w:rPr>
                            <w:sz w:val="21"/>
                          </w:rPr>
                          <w:t>11.88</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ind w:right="94"/>
                          <w:rPr>
                            <w:sz w:val="21"/>
                          </w:rPr>
                        </w:pPr>
                        <w:r>
                          <w:rPr>
                            <w:sz w:val="21"/>
                          </w:rPr>
                          <w:t>1,022.92</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p>
    <w:p>
      <w:pPr>
        <w:pStyle w:val="BodyText"/>
        <w:spacing w:line="417" w:lineRule="auto"/>
        <w:ind w:left="220" w:right="591" w:firstLine="419"/>
        <w:jc w:val="both"/>
      </w:pPr>
      <w:r>
        <w:rPr/>
        <w:pict>
          <v:shape style="position:absolute;margin-left:110.779999pt;margin-top:65.219971pt;width:374pt;height:53.55pt;mso-position-horizontal-relative:page;mso-position-vertical-relative:paragraph;z-index:2517555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05" w:hRule="atLeast"/>
                    </w:trPr>
                    <w:tc>
                      <w:tcPr>
                        <w:tcW w:w="4244" w:type="dxa"/>
                      </w:tcPr>
                      <w:p>
                        <w:pPr>
                          <w:pStyle w:val="TableParagraph"/>
                          <w:spacing w:before="68"/>
                          <w:ind w:left="1892" w:right="1460"/>
                          <w:jc w:val="center"/>
                          <w:rPr>
                            <w:rFonts w:ascii="宋体" w:eastAsia="宋体" w:hint="eastAsia"/>
                            <w:sz w:val="21"/>
                          </w:rPr>
                        </w:pPr>
                        <w:r>
                          <w:rPr>
                            <w:rFonts w:ascii="宋体" w:eastAsia="宋体" w:hint="eastAsia"/>
                            <w:sz w:val="21"/>
                          </w:rPr>
                          <w:t>项目</w:t>
                        </w:r>
                      </w:p>
                    </w:tc>
                    <w:tc>
                      <w:tcPr>
                        <w:tcW w:w="3221" w:type="dxa"/>
                      </w:tcPr>
                      <w:p>
                        <w:pPr>
                          <w:pStyle w:val="TableParagraph"/>
                          <w:spacing w:before="68"/>
                          <w:ind w:left="1401"/>
                          <w:jc w:val="left"/>
                          <w:rPr>
                            <w:rFonts w:ascii="宋体" w:eastAsia="宋体" w:hint="eastAsia"/>
                            <w:sz w:val="21"/>
                          </w:rPr>
                        </w:pPr>
                        <w:r>
                          <w:rPr>
                            <w:rFonts w:ascii="宋体" w:eastAsia="宋体" w:hint="eastAsia"/>
                            <w:sz w:val="21"/>
                          </w:rPr>
                          <w:t>费用计算</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before="37"/>
                          <w:ind w:right="91"/>
                          <w:rPr>
                            <w:sz w:val="21"/>
                          </w:rPr>
                        </w:pPr>
                        <w:r>
                          <w:rPr>
                            <w:sz w:val="21"/>
                          </w:rPr>
                          <w:t>1,000.00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rPr>
                            <w:sz w:val="21"/>
                          </w:rPr>
                        </w:pPr>
                        <w:r>
                          <w:rPr>
                            <w:sz w:val="21"/>
                          </w:rPr>
                          <w:t>1.300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spacing w:after="0" w:line="417" w:lineRule="auto"/>
        <w:jc w:val="both"/>
        <w:sectPr>
          <w:pgSz w:w="11910" w:h="16840"/>
          <w:pgMar w:header="877" w:footer="995" w:top="1420" w:bottom="1180" w:left="1580" w:right="1200"/>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rPr>
                <w:sz w:val="21"/>
              </w:rPr>
            </w:pPr>
            <w:r>
              <w:rPr>
                <w:sz w:val="21"/>
              </w:rPr>
              <w:t>1,300.00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right="90"/>
              <w:rPr>
                <w:sz w:val="21"/>
              </w:rPr>
            </w:pPr>
            <w:r>
              <w:rPr>
                <w:sz w:val="21"/>
              </w:rPr>
              <w:t>0.1%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ind w:right="90"/>
              <w:rPr>
                <w:sz w:val="21"/>
              </w:rPr>
            </w:pPr>
            <w:r>
              <w:rPr>
                <w:sz w:val="21"/>
              </w:rPr>
              <w:t>1.30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spacing w:before="36"/>
              <w:ind w:right="91"/>
              <w:rPr>
                <w:sz w:val="21"/>
              </w:rPr>
            </w:pPr>
            <w:r>
              <w:rPr>
                <w:sz w:val="21"/>
              </w:rPr>
              <w:t>1,298.70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ind w:right="90"/>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ind w:right="91"/>
              <w:rPr>
                <w:sz w:val="21"/>
              </w:rPr>
            </w:pPr>
            <w:r>
              <w:rPr>
                <w:sz w:val="21"/>
              </w:rPr>
              <w:t>1,298.70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ind w:right="90"/>
              <w:rPr>
                <w:sz w:val="21"/>
              </w:rPr>
            </w:pPr>
            <w:r>
              <w:rPr>
                <w:sz w:val="21"/>
              </w:rPr>
              <w:t>1.500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ind w:right="90"/>
              <w:rPr>
                <w:sz w:val="21"/>
              </w:rPr>
            </w:pPr>
            <w:r>
              <w:rPr>
                <w:sz w:val="21"/>
              </w:rPr>
              <w:t>865.80</w:t>
            </w:r>
          </w:p>
        </w:tc>
      </w:tr>
    </w:tbl>
    <w:p>
      <w:pPr>
        <w:pStyle w:val="BodyText"/>
        <w:spacing w:before="109"/>
        <w:ind w:left="640"/>
      </w:pPr>
      <w:r>
        <w:rPr/>
        <w:t>（十三）基金的非交易过户</w:t>
      </w:r>
    </w:p>
    <w:p>
      <w:pPr>
        <w:pStyle w:val="BodyText"/>
        <w:spacing w:before="7"/>
        <w:rPr>
          <w:sz w:val="15"/>
        </w:rPr>
      </w:pPr>
    </w:p>
    <w:p>
      <w:pPr>
        <w:pStyle w:val="BodyText"/>
        <w:spacing w:line="417" w:lineRule="auto"/>
        <w:ind w:left="220" w:right="591" w:firstLine="419"/>
        <w:jc w:val="both"/>
      </w:pPr>
      <w:r>
        <w:rPr>
          <w:spacing w:val="-8"/>
        </w:rPr>
        <w:t>基金的非交易过户是指基金登记机构受理继承、捐赠和司法强制执行等情形而产生的非</w:t>
      </w:r>
      <w:r>
        <w:rPr>
          <w:spacing w:val="-10"/>
        </w:rPr>
        <w:t>交易过户以及登记机构认可、符合法律法规的其他非交易过户。无论在上述何种情况下，接</w:t>
      </w:r>
      <w:r>
        <w:rPr>
          <w:spacing w:val="-5"/>
        </w:rPr>
        <w:t>受划转的主体必须是依法可以持有本基金基金份额的投资人。</w:t>
      </w:r>
    </w:p>
    <w:p>
      <w:pPr>
        <w:pStyle w:val="BodyText"/>
        <w:spacing w:line="417" w:lineRule="auto"/>
        <w:ind w:left="220" w:right="59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9" w:lineRule="exact"/>
        <w:ind w:left="640"/>
      </w:pPr>
      <w:r>
        <w:rPr/>
        <w:t>（十四）基金的转托管</w:t>
      </w:r>
    </w:p>
    <w:p>
      <w:pPr>
        <w:pStyle w:val="BodyText"/>
        <w:spacing w:before="7"/>
        <w:rPr>
          <w:sz w:val="15"/>
        </w:rPr>
      </w:pPr>
    </w:p>
    <w:p>
      <w:pPr>
        <w:pStyle w:val="BodyText"/>
        <w:spacing w:line="417" w:lineRule="auto"/>
        <w:ind w:left="220" w:right="59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line="269" w:lineRule="exact"/>
        <w:ind w:left="640"/>
      </w:pPr>
      <w:r>
        <w:rPr/>
        <w:t>（十五）定期定额投资计划</w:t>
      </w:r>
    </w:p>
    <w:p>
      <w:pPr>
        <w:pStyle w:val="BodyText"/>
        <w:spacing w:before="6"/>
        <w:rPr>
          <w:sz w:val="15"/>
        </w:rPr>
      </w:pPr>
    </w:p>
    <w:p>
      <w:pPr>
        <w:pStyle w:val="BodyText"/>
        <w:spacing w:line="417" w:lineRule="auto" w:before="1"/>
        <w:ind w:left="220" w:right="59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ind w:left="640"/>
      </w:pPr>
      <w:r>
        <w:rPr/>
        <w:t>（十六）基金的冻结和解冻</w:t>
      </w:r>
    </w:p>
    <w:p>
      <w:pPr>
        <w:pStyle w:val="BodyText"/>
        <w:spacing w:before="6"/>
        <w:rPr>
          <w:sz w:val="15"/>
        </w:rPr>
      </w:pPr>
    </w:p>
    <w:p>
      <w:pPr>
        <w:pStyle w:val="BodyText"/>
        <w:spacing w:line="417" w:lineRule="auto"/>
        <w:ind w:left="220" w:right="59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spacing w:line="269" w:lineRule="exact"/>
        <w:ind w:left="640"/>
      </w:pPr>
      <w:r>
        <w:rPr/>
        <w:t>（十七）基金份额转让</w:t>
      </w:r>
    </w:p>
    <w:p>
      <w:pPr>
        <w:pStyle w:val="BodyText"/>
        <w:spacing w:before="7"/>
        <w:rPr>
          <w:sz w:val="15"/>
        </w:rPr>
      </w:pPr>
    </w:p>
    <w:p>
      <w:pPr>
        <w:pStyle w:val="BodyText"/>
        <w:spacing w:line="417" w:lineRule="auto"/>
        <w:ind w:left="220" w:right="591" w:firstLine="419"/>
        <w:jc w:val="both"/>
      </w:pPr>
      <w:r>
        <w:rPr>
          <w:spacing w:val="-8"/>
        </w:rPr>
        <w:t>在法律法规允许且条件具备的情况下，基金管理人在履行适当程序后，可以根据相关业务规则受理基金份额持有人通过中国证监会认可的交易场所或者交易方式进行份额转让的</w:t>
      </w:r>
      <w:r>
        <w:rPr>
          <w:spacing w:val="-5"/>
        </w:rPr>
        <w:t>申请。具体由基金管理人提前发布公告。</w:t>
      </w:r>
    </w:p>
    <w:p>
      <w:pPr>
        <w:pStyle w:val="BodyText"/>
        <w:ind w:left="640"/>
      </w:pPr>
      <w:r>
        <w:rPr/>
        <w:t>（十八）基金管理人可在法律法规允许的范围内，在不影响基金份额持有人实质利益的</w:t>
      </w:r>
    </w:p>
    <w:p>
      <w:pPr>
        <w:spacing w:after="0"/>
        <w:sectPr>
          <w:pgSz w:w="11910" w:h="16840"/>
          <w:pgMar w:header="877" w:footer="995" w:top="1420" w:bottom="1180" w:left="1580" w:right="1200"/>
        </w:sectPr>
      </w:pPr>
    </w:p>
    <w:p>
      <w:pPr>
        <w:pStyle w:val="BodyText"/>
        <w:spacing w:before="110"/>
        <w:ind w:left="220"/>
      </w:pPr>
      <w:r>
        <w:rPr/>
        <w:t>前提下，根据市场情况对上述申购和赎回的安排进行补充和调整并提前公告。</w:t>
      </w:r>
    </w:p>
    <w:p>
      <w:pPr>
        <w:pStyle w:val="BodyText"/>
        <w:spacing w:before="9"/>
        <w:rPr>
          <w:sz w:val="27"/>
        </w:rPr>
      </w:pPr>
    </w:p>
    <w:p>
      <w:pPr>
        <w:pStyle w:val="Heading1"/>
      </w:pPr>
      <w:bookmarkStart w:name="_bookmark8" w:id="9"/>
      <w:bookmarkEnd w:id="9"/>
      <w:r>
        <w:rPr>
          <w:b w:val="0"/>
        </w:rPr>
      </w:r>
      <w:r>
        <w:rPr/>
        <w:t>九、基金的投资</w:t>
      </w:r>
    </w:p>
    <w:p>
      <w:pPr>
        <w:pStyle w:val="BodyText"/>
        <w:spacing w:before="9"/>
        <w:rPr>
          <w:b/>
          <w:sz w:val="27"/>
        </w:rPr>
      </w:pPr>
    </w:p>
    <w:p>
      <w:pPr>
        <w:pStyle w:val="BodyText"/>
        <w:ind w:left="640"/>
      </w:pPr>
      <w:r>
        <w:rPr/>
        <w:t>（一）投资目标</w:t>
      </w:r>
    </w:p>
    <w:p>
      <w:pPr>
        <w:pStyle w:val="BodyText"/>
        <w:spacing w:before="6"/>
        <w:rPr>
          <w:sz w:val="15"/>
        </w:rPr>
      </w:pPr>
    </w:p>
    <w:p>
      <w:pPr>
        <w:pStyle w:val="BodyText"/>
        <w:spacing w:line="417" w:lineRule="auto"/>
        <w:ind w:left="220" w:right="591" w:firstLine="419"/>
      </w:pPr>
      <w:r>
        <w:rPr>
          <w:spacing w:val="-9"/>
        </w:rPr>
        <w:t>在有效管理投资风险的前提下，精选科技成长主题投资标的，力求基金资产的长期稳健增值。</w:t>
      </w:r>
    </w:p>
    <w:p>
      <w:pPr>
        <w:pStyle w:val="BodyText"/>
        <w:spacing w:line="269" w:lineRule="exact"/>
        <w:ind w:left="640"/>
      </w:pPr>
      <w:r>
        <w:rPr/>
        <w:t>（二）投资范围</w:t>
      </w:r>
    </w:p>
    <w:p>
      <w:pPr>
        <w:pStyle w:val="BodyText"/>
        <w:spacing w:before="7"/>
        <w:rPr>
          <w:sz w:val="15"/>
        </w:rPr>
      </w:pPr>
    </w:p>
    <w:p>
      <w:pPr>
        <w:pStyle w:val="BodyText"/>
        <w:spacing w:line="417" w:lineRule="auto"/>
        <w:ind w:left="220" w:right="488" w:firstLine="419"/>
      </w:pPr>
      <w:r>
        <w:rPr>
          <w:spacing w:val="-3"/>
        </w:rPr>
        <w:t>本基金的投资范围为具有良好流动性的金融工具，包括国内依法发行上市的股票(包括</w:t>
      </w:r>
      <w:r>
        <w:rPr>
          <w:spacing w:val="-11"/>
        </w:rPr>
        <w:t>中小板、创业板、存托凭证及其他中国证监会核准上市的股票)、港股通标的、债券(包括国</w:t>
      </w:r>
      <w:r>
        <w:rPr>
          <w:spacing w:val="-12"/>
        </w:rPr>
        <w:t>内依法发行和上市交易的国债、央行票据、金融债券、企业债券、公司债券、中期票据、短</w:t>
      </w:r>
      <w:r>
        <w:rPr>
          <w:spacing w:val="-6"/>
        </w:rPr>
        <w:t>期融资券、超短期融资券、次级债券、政府支持机构债券、政府支持债券、地方政府债券、</w:t>
      </w:r>
      <w:r>
        <w:rPr>
          <w:spacing w:val="-4"/>
        </w:rPr>
        <w:t>中小企业私募债券、可转换债券、可交换债券及其他经中国证监会允许投资的债券)、衍生品（</w:t>
      </w:r>
      <w:r>
        <w:rPr>
          <w:spacing w:val="-3"/>
        </w:rPr>
        <w:t>包括权证、股指期货、国债期货、股票期权等</w:t>
      </w:r>
      <w:r>
        <w:rPr>
          <w:spacing w:val="-108"/>
        </w:rPr>
        <w:t>）</w:t>
      </w:r>
      <w:r>
        <w:rPr>
          <w:spacing w:val="-3"/>
        </w:rPr>
        <w:t>、资产支持证券、货币市场工具</w:t>
      </w:r>
      <w:r>
        <w:rPr/>
        <w:t>（含同</w:t>
      </w:r>
      <w:r>
        <w:rPr>
          <w:spacing w:val="-1"/>
        </w:rPr>
        <w:t>业存单</w:t>
      </w:r>
      <w:r>
        <w:rPr/>
        <w:t>）</w:t>
      </w:r>
      <w:r>
        <w:rPr>
          <w:spacing w:val="-3"/>
        </w:rPr>
        <w:t>以及法律法规或中国证监会允许基金投资的其他金融工具。</w:t>
      </w:r>
    </w:p>
    <w:p>
      <w:pPr>
        <w:pStyle w:val="BodyText"/>
        <w:spacing w:line="417" w:lineRule="auto"/>
        <w:ind w:left="220" w:right="59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220" w:right="591" w:firstLine="419"/>
        <w:jc w:val="both"/>
      </w:pPr>
      <w:r>
        <w:rPr>
          <w:spacing w:val="-2"/>
        </w:rPr>
        <w:t>本基金投资组合比例为：股票投资占基金资产的比例为 </w:t>
      </w:r>
      <w:r>
        <w:rPr>
          <w:rFonts w:ascii="Times New Roman" w:eastAsia="Times New Roman"/>
        </w:rPr>
        <w:t>80%-95%</w:t>
      </w:r>
      <w:r>
        <w:rPr>
          <w:spacing w:val="-2"/>
        </w:rPr>
        <w:t>，投资于港股通标的</w:t>
      </w:r>
      <w:r>
        <w:rPr>
          <w:spacing w:val="-5"/>
        </w:rPr>
        <w:t>股票比例为股票资产的 </w:t>
      </w:r>
      <w:r>
        <w:rPr>
          <w:rFonts w:ascii="Times New Roman" w:eastAsia="Times New Roman"/>
          <w:spacing w:val="-14"/>
        </w:rPr>
        <w:t>0-50%</w:t>
      </w:r>
      <w:r>
        <w:rPr>
          <w:spacing w:val="-5"/>
        </w:rPr>
        <w:t>，本基金投资于科技成长主题的股票比例不低于非现金基金资</w:t>
      </w:r>
      <w:r>
        <w:rPr>
          <w:spacing w:val="9"/>
        </w:rPr>
        <w:t>产的 </w:t>
      </w:r>
      <w:r>
        <w:rPr>
          <w:rFonts w:ascii="Times New Roman" w:eastAsia="Times New Roman"/>
        </w:rPr>
        <w:t>80%</w:t>
      </w:r>
      <w:r>
        <w:rPr>
          <w:spacing w:val="-1"/>
        </w:rPr>
        <w:t>，每个交易日日终在扣除股指期货、国债期货、股票期权合约需缴纳的交易保证</w:t>
      </w:r>
      <w:r>
        <w:rPr>
          <w:spacing w:val="-5"/>
        </w:rPr>
        <w:t>金后保持不低于基金资产净值 </w:t>
      </w:r>
      <w:r>
        <w:rPr>
          <w:rFonts w:ascii="Times New Roman" w:eastAsia="Times New Roman"/>
        </w:rPr>
        <w:t>5%</w:t>
      </w:r>
      <w:r>
        <w:rPr>
          <w:spacing w:val="-4"/>
        </w:rPr>
        <w:t>的现金或者到期日在一年以内的政府债券。其中，现金不</w:t>
      </w:r>
      <w:r>
        <w:rPr>
          <w:spacing w:val="-3"/>
        </w:rPr>
        <w:t>包括结算备付金、存出保证金、应收申购款等。</w:t>
      </w:r>
    </w:p>
    <w:p>
      <w:pPr>
        <w:pStyle w:val="BodyText"/>
        <w:spacing w:line="268" w:lineRule="exact"/>
        <w:ind w:left="640"/>
      </w:pPr>
      <w:r>
        <w:rPr/>
        <w:t>（三）投资策略</w:t>
      </w:r>
    </w:p>
    <w:p>
      <w:pPr>
        <w:pStyle w:val="BodyText"/>
        <w:spacing w:before="7"/>
        <w:rPr>
          <w:sz w:val="15"/>
        </w:rPr>
      </w:pPr>
    </w:p>
    <w:p>
      <w:pPr>
        <w:pStyle w:val="BodyText"/>
        <w:ind w:left="640"/>
      </w:pPr>
      <w:r>
        <w:rPr>
          <w:rFonts w:ascii="Times New Roman" w:eastAsia="Times New Roman"/>
        </w:rPr>
        <w:t>1</w:t>
      </w:r>
      <w:r>
        <w:rPr/>
        <w:t>、资产配置策略</w:t>
      </w:r>
    </w:p>
    <w:p>
      <w:pPr>
        <w:pStyle w:val="BodyText"/>
        <w:spacing w:before="7"/>
        <w:rPr>
          <w:sz w:val="15"/>
        </w:rPr>
      </w:pPr>
    </w:p>
    <w:p>
      <w:pPr>
        <w:pStyle w:val="BodyText"/>
        <w:spacing w:line="417" w:lineRule="auto"/>
        <w:ind w:left="220" w:right="591" w:firstLine="419"/>
        <w:jc w:val="both"/>
      </w:pPr>
      <w:r>
        <w:rPr>
          <w:spacing w:val="-19"/>
        </w:rPr>
        <w:t>本基金通过对宏观经济环境、政策形势、证券市场走势的综合分析，主动判断市场时机， </w:t>
      </w:r>
      <w:r>
        <w:rPr>
          <w:spacing w:val="-14"/>
        </w:rPr>
        <w:t>进行积极的资产配置，合理确定基金在股票、债券等各类资产类别上的投资比例，并随着各</w:t>
      </w:r>
      <w:r>
        <w:rPr>
          <w:spacing w:val="-7"/>
        </w:rPr>
        <w:t>类资产风险收益特征的相对变化，适时进行动态调整。</w:t>
      </w:r>
    </w:p>
    <w:p>
      <w:pPr>
        <w:pStyle w:val="BodyText"/>
        <w:spacing w:line="269" w:lineRule="exact"/>
        <w:ind w:left="640"/>
      </w:pPr>
      <w:r>
        <w:rPr>
          <w:rFonts w:ascii="Times New Roman" w:eastAsia="Times New Roman"/>
        </w:rPr>
        <w:t>2</w:t>
      </w:r>
      <w:r>
        <w:rPr/>
        <w:t>、股票投资策略</w:t>
      </w:r>
    </w:p>
    <w:p>
      <w:pPr>
        <w:pStyle w:val="BodyText"/>
        <w:spacing w:before="6"/>
        <w:rPr>
          <w:sz w:val="15"/>
        </w:rPr>
      </w:pPr>
    </w:p>
    <w:p>
      <w:pPr>
        <w:pStyle w:val="BodyText"/>
        <w:spacing w:line="417" w:lineRule="auto" w:before="1"/>
        <w:ind w:left="220" w:right="591" w:firstLine="419"/>
      </w:pPr>
      <w:r>
        <w:rPr>
          <w:spacing w:val="-7"/>
        </w:rPr>
        <w:t>本基金所指的科技成长主题是指具有成长特征的科技行业企业。本基金从科技行业和成</w:t>
      </w:r>
      <w:r>
        <w:rPr>
          <w:spacing w:val="-5"/>
        </w:rPr>
        <w:t>长特征两个维度对投资主题进行定义。</w:t>
      </w:r>
    </w:p>
    <w:p>
      <w:pPr>
        <w:pStyle w:val="ListParagraph"/>
        <w:numPr>
          <w:ilvl w:val="0"/>
          <w:numId w:val="19"/>
        </w:numPr>
        <w:tabs>
          <w:tab w:pos="1170" w:val="left" w:leader="none"/>
        </w:tabs>
        <w:spacing w:line="240" w:lineRule="auto" w:before="0" w:after="0"/>
        <w:ind w:left="1169" w:right="0" w:hanging="530"/>
        <w:jc w:val="left"/>
        <w:rPr>
          <w:sz w:val="21"/>
        </w:rPr>
      </w:pPr>
      <w:r>
        <w:rPr>
          <w:spacing w:val="-3"/>
          <w:sz w:val="21"/>
        </w:rPr>
        <w:t>科技行业的界定</w:t>
      </w:r>
    </w:p>
    <w:p>
      <w:pPr>
        <w:spacing w:after="0" w:line="240" w:lineRule="auto"/>
        <w:jc w:val="left"/>
        <w:rPr>
          <w:sz w:val="21"/>
        </w:rPr>
        <w:sectPr>
          <w:pgSz w:w="11910" w:h="16840"/>
          <w:pgMar w:header="877" w:footer="995" w:top="1420" w:bottom="1180" w:left="1580" w:right="1200"/>
        </w:sectPr>
      </w:pPr>
    </w:p>
    <w:p>
      <w:pPr>
        <w:pStyle w:val="BodyText"/>
        <w:spacing w:line="417" w:lineRule="auto" w:before="110"/>
        <w:ind w:left="220" w:right="488" w:firstLine="419"/>
      </w:pPr>
      <w:r>
        <w:rPr>
          <w:spacing w:val="-11"/>
        </w:rPr>
        <w:t>本基金所指“科技”的内涵包括但不限于信息网络技术、智能绿色制造技术、高端机械</w:t>
      </w:r>
      <w:r>
        <w:rPr>
          <w:spacing w:val="-6"/>
        </w:rPr>
        <w:t>制造、新能源、新材料、生态环保技术、海洋技术、数字社会管理技术、医药生物技术等。</w:t>
      </w:r>
      <w:r>
        <w:rPr>
          <w:spacing w:val="-9"/>
        </w:rPr>
        <w:t>鉴于科学技术发展和产业结构升级等因素，科技行业界定将会发生扩大或者变化，本基金将</w:t>
      </w:r>
      <w:r>
        <w:rPr>
          <w:spacing w:val="-5"/>
        </w:rPr>
        <w:t>视情况做出调整。</w:t>
      </w:r>
    </w:p>
    <w:p>
      <w:pPr>
        <w:pStyle w:val="ListParagraph"/>
        <w:numPr>
          <w:ilvl w:val="0"/>
          <w:numId w:val="19"/>
        </w:numPr>
        <w:tabs>
          <w:tab w:pos="1170" w:val="left" w:leader="none"/>
        </w:tabs>
        <w:spacing w:line="268" w:lineRule="exact" w:before="0" w:after="0"/>
        <w:ind w:left="1169" w:right="0" w:hanging="530"/>
        <w:jc w:val="left"/>
        <w:rPr>
          <w:sz w:val="21"/>
        </w:rPr>
      </w:pPr>
      <w:r>
        <w:rPr>
          <w:spacing w:val="-3"/>
          <w:sz w:val="21"/>
        </w:rPr>
        <w:t>成长特征的界定</w:t>
      </w:r>
    </w:p>
    <w:p>
      <w:pPr>
        <w:pStyle w:val="BodyText"/>
        <w:spacing w:before="6"/>
        <w:rPr>
          <w:sz w:val="15"/>
        </w:rPr>
      </w:pPr>
    </w:p>
    <w:p>
      <w:pPr>
        <w:pStyle w:val="BodyText"/>
        <w:spacing w:line="417" w:lineRule="auto"/>
        <w:ind w:left="220" w:right="591" w:firstLine="419"/>
        <w:jc w:val="both"/>
      </w:pPr>
      <w:r>
        <w:rPr>
          <w:spacing w:val="-9"/>
        </w:rPr>
        <w:t>根据企业生命周期理论，企业分为初创、发展、成熟、衰退四个阶段。本基金所称成长特征股票主要是处于初创和发展两个阶段的具有良好成长潜力的股票。具体而言，处于发展</w:t>
      </w:r>
      <w:r>
        <w:rPr>
          <w:spacing w:val="-5"/>
        </w:rPr>
        <w:t>阶段的成长特征股票具有如下一项或多项特征：</w:t>
      </w:r>
    </w:p>
    <w:p>
      <w:pPr>
        <w:pStyle w:val="ListParagraph"/>
        <w:numPr>
          <w:ilvl w:val="0"/>
          <w:numId w:val="20"/>
        </w:numPr>
        <w:tabs>
          <w:tab w:pos="959" w:val="left" w:leader="none"/>
        </w:tabs>
        <w:spacing w:line="240" w:lineRule="auto" w:before="1" w:after="0"/>
        <w:ind w:left="958" w:right="0" w:hanging="319"/>
        <w:jc w:val="both"/>
        <w:rPr>
          <w:sz w:val="21"/>
        </w:rPr>
      </w:pPr>
      <w:r>
        <w:rPr>
          <w:spacing w:val="-6"/>
          <w:sz w:val="21"/>
        </w:rPr>
        <w:t>主营业务收入增长率处于科技行业前 </w:t>
      </w:r>
      <w:r>
        <w:rPr>
          <w:rFonts w:ascii="Times New Roman" w:eastAsia="Times New Roman"/>
          <w:sz w:val="21"/>
        </w:rPr>
        <w:t>50%</w:t>
      </w:r>
      <w:r>
        <w:rPr>
          <w:sz w:val="21"/>
        </w:rPr>
        <w:t>；</w:t>
      </w:r>
    </w:p>
    <w:p>
      <w:pPr>
        <w:pStyle w:val="BodyText"/>
        <w:spacing w:before="6"/>
        <w:rPr>
          <w:sz w:val="15"/>
        </w:rPr>
      </w:pPr>
    </w:p>
    <w:p>
      <w:pPr>
        <w:pStyle w:val="ListParagraph"/>
        <w:numPr>
          <w:ilvl w:val="0"/>
          <w:numId w:val="20"/>
        </w:numPr>
        <w:tabs>
          <w:tab w:pos="959" w:val="left" w:leader="none"/>
        </w:tabs>
        <w:spacing w:line="240" w:lineRule="auto" w:before="0" w:after="0"/>
        <w:ind w:left="958" w:right="0" w:hanging="319"/>
        <w:jc w:val="both"/>
        <w:rPr>
          <w:sz w:val="21"/>
        </w:rPr>
      </w:pPr>
      <w:r>
        <w:rPr>
          <w:spacing w:val="-6"/>
          <w:sz w:val="21"/>
        </w:rPr>
        <w:t>净利润增长率处于科技行业前 </w:t>
      </w:r>
      <w:r>
        <w:rPr>
          <w:rFonts w:ascii="Times New Roman" w:eastAsia="Times New Roman"/>
          <w:sz w:val="21"/>
        </w:rPr>
        <w:t>50%</w:t>
      </w:r>
      <w:r>
        <w:rPr>
          <w:sz w:val="21"/>
        </w:rPr>
        <w:t>；</w:t>
      </w:r>
    </w:p>
    <w:p>
      <w:pPr>
        <w:pStyle w:val="BodyText"/>
        <w:spacing w:before="7"/>
        <w:rPr>
          <w:sz w:val="15"/>
        </w:rPr>
      </w:pPr>
    </w:p>
    <w:p>
      <w:pPr>
        <w:pStyle w:val="ListParagraph"/>
        <w:numPr>
          <w:ilvl w:val="0"/>
          <w:numId w:val="20"/>
        </w:numPr>
        <w:tabs>
          <w:tab w:pos="959" w:val="left" w:leader="none"/>
        </w:tabs>
        <w:spacing w:line="240" w:lineRule="auto" w:before="0" w:after="0"/>
        <w:ind w:left="958" w:right="0" w:hanging="319"/>
        <w:jc w:val="both"/>
        <w:rPr>
          <w:sz w:val="21"/>
        </w:rPr>
      </w:pPr>
      <w:r>
        <w:rPr>
          <w:spacing w:val="-6"/>
          <w:sz w:val="21"/>
        </w:rPr>
        <w:t>净资产收益率处于科技行业前 </w:t>
      </w:r>
      <w:r>
        <w:rPr>
          <w:rFonts w:ascii="Times New Roman" w:eastAsia="Times New Roman"/>
          <w:sz w:val="21"/>
        </w:rPr>
        <w:t>50%</w:t>
      </w:r>
      <w:r>
        <w:rPr>
          <w:sz w:val="21"/>
        </w:rPr>
        <w:t>。</w:t>
      </w:r>
    </w:p>
    <w:p>
      <w:pPr>
        <w:pStyle w:val="BodyText"/>
        <w:spacing w:before="7"/>
        <w:rPr>
          <w:sz w:val="15"/>
        </w:rPr>
      </w:pPr>
    </w:p>
    <w:p>
      <w:pPr>
        <w:pStyle w:val="BodyText"/>
        <w:spacing w:line="417" w:lineRule="auto"/>
        <w:ind w:left="220" w:right="591" w:firstLine="419"/>
        <w:jc w:val="both"/>
      </w:pPr>
      <w:r>
        <w:rPr>
          <w:spacing w:val="-9"/>
        </w:rPr>
        <w:t>处于初创阶段的企业，其技术、生产模式和商业模式尚不成熟且处于培育期，但已展现</w:t>
      </w:r>
      <w:r>
        <w:rPr>
          <w:spacing w:val="-12"/>
        </w:rPr>
        <w:t>出潜在主营业务收入、净利润或净资产收益率快速增长趋势的，本基金可以根据预期的财务</w:t>
      </w:r>
      <w:r>
        <w:rPr>
          <w:spacing w:val="-6"/>
        </w:rPr>
        <w:t>指标将其界定为成长特征股票。</w:t>
      </w:r>
    </w:p>
    <w:p>
      <w:pPr>
        <w:pStyle w:val="ListParagraph"/>
        <w:numPr>
          <w:ilvl w:val="0"/>
          <w:numId w:val="19"/>
        </w:numPr>
        <w:tabs>
          <w:tab w:pos="1170" w:val="left" w:leader="none"/>
        </w:tabs>
        <w:spacing w:line="240" w:lineRule="auto" w:before="0" w:after="0"/>
        <w:ind w:left="1169" w:right="0" w:hanging="530"/>
        <w:jc w:val="left"/>
        <w:rPr>
          <w:sz w:val="21"/>
        </w:rPr>
      </w:pPr>
      <w:r>
        <w:rPr>
          <w:spacing w:val="-3"/>
          <w:sz w:val="21"/>
        </w:rPr>
        <w:t>科技成长主题股票的界定</w:t>
      </w:r>
    </w:p>
    <w:p>
      <w:pPr>
        <w:pStyle w:val="BodyText"/>
        <w:spacing w:before="6"/>
        <w:rPr>
          <w:sz w:val="15"/>
        </w:rPr>
      </w:pPr>
    </w:p>
    <w:p>
      <w:pPr>
        <w:pStyle w:val="BodyText"/>
        <w:spacing w:line="417" w:lineRule="auto"/>
        <w:ind w:left="220" w:right="591" w:firstLine="314"/>
        <w:jc w:val="both"/>
      </w:pPr>
      <w:r>
        <w:rPr>
          <w:spacing w:val="-3"/>
        </w:rPr>
        <w:t>本基金将在前文界定的科技行业中，选取符合成长特征的投资标的，构建科技成长主题</w:t>
      </w:r>
      <w:r>
        <w:rPr>
          <w:spacing w:val="-10"/>
        </w:rPr>
        <w:t>投资标的池。本基金将参照国家相关科技行业的政策动向，以及上市公司的实际情况，对投</w:t>
      </w:r>
      <w:r>
        <w:rPr>
          <w:spacing w:val="-5"/>
        </w:rPr>
        <w:t>资标的池进行动态调整。</w:t>
      </w:r>
    </w:p>
    <w:p>
      <w:pPr>
        <w:pStyle w:val="BodyText"/>
        <w:spacing w:line="417" w:lineRule="auto"/>
        <w:ind w:left="220" w:right="591" w:firstLine="419"/>
        <w:jc w:val="both"/>
      </w:pPr>
      <w:r>
        <w:rPr>
          <w:spacing w:val="-9"/>
        </w:rPr>
        <w:t>对于港股投资，本基金将重点关注在香港市场上市、具有行业代表性的优质公司；</w:t>
      </w:r>
      <w:r>
        <w:rPr>
          <w:rFonts w:ascii="Times New Roman" w:eastAsia="Times New Roman"/>
          <w:spacing w:val="-16"/>
        </w:rPr>
        <w:t>A </w:t>
      </w:r>
      <w:r>
        <w:rPr/>
        <w:t>股</w:t>
      </w:r>
      <w:r>
        <w:rPr>
          <w:spacing w:val="-9"/>
        </w:rPr>
        <w:t>市场稀缺的香港本地公司、外资公司；精选香港市场行业结构、估值、股息率等方面具有吸</w:t>
      </w:r>
      <w:r>
        <w:rPr>
          <w:spacing w:val="-5"/>
        </w:rPr>
        <w:t>引力的投资标的。</w:t>
      </w:r>
    </w:p>
    <w:p>
      <w:pPr>
        <w:pStyle w:val="BodyText"/>
        <w:spacing w:line="417" w:lineRule="auto"/>
        <w:ind w:left="220" w:right="591" w:firstLine="419"/>
      </w:pPr>
      <w:r>
        <w:rPr>
          <w:spacing w:val="-10"/>
        </w:rPr>
        <w:t>基金参与港股通交易，基金可根据投资策略需要或不同配置地市场环境的变化，选择将</w:t>
      </w:r>
      <w:r>
        <w:rPr>
          <w:spacing w:val="-5"/>
        </w:rPr>
        <w:t>部分资产投资于港股或选择不将基金资产投资于港股，基金资产并非必然投资于港股。</w:t>
      </w:r>
    </w:p>
    <w:p>
      <w:pPr>
        <w:pStyle w:val="BodyText"/>
        <w:spacing w:line="417" w:lineRule="auto"/>
        <w:ind w:left="220" w:right="591" w:firstLine="419"/>
      </w:pPr>
      <w:r>
        <w:rPr>
          <w:spacing w:val="-11"/>
        </w:rPr>
        <w:t>对于存托凭证投资，本基金将在深入研究的基础上，通过定性分析和定量分析相结合的</w:t>
      </w:r>
      <w:r>
        <w:rPr>
          <w:spacing w:val="-6"/>
        </w:rPr>
        <w:t>方式，精选出具有比较优势的存托凭证。</w:t>
      </w:r>
    </w:p>
    <w:p>
      <w:pPr>
        <w:pStyle w:val="BodyText"/>
        <w:spacing w:line="269" w:lineRule="exact"/>
        <w:ind w:left="640"/>
      </w:pPr>
      <w:r>
        <w:rPr>
          <w:rFonts w:ascii="Times New Roman" w:eastAsia="Times New Roman"/>
        </w:rPr>
        <w:t>3</w:t>
      </w:r>
      <w:r>
        <w:rPr/>
        <w:t>、固定收益品种投资策略</w:t>
      </w:r>
    </w:p>
    <w:p>
      <w:pPr>
        <w:pStyle w:val="BodyText"/>
        <w:spacing w:before="6"/>
        <w:rPr>
          <w:sz w:val="15"/>
        </w:rPr>
      </w:pPr>
    </w:p>
    <w:p>
      <w:pPr>
        <w:pStyle w:val="ListParagraph"/>
        <w:numPr>
          <w:ilvl w:val="0"/>
          <w:numId w:val="21"/>
        </w:numPr>
        <w:tabs>
          <w:tab w:pos="1170" w:val="left" w:leader="none"/>
        </w:tabs>
        <w:spacing w:line="240" w:lineRule="auto" w:before="0" w:after="0"/>
        <w:ind w:left="1169" w:right="0" w:hanging="530"/>
        <w:jc w:val="left"/>
        <w:rPr>
          <w:sz w:val="21"/>
        </w:rPr>
      </w:pPr>
      <w:r>
        <w:rPr>
          <w:spacing w:val="-3"/>
          <w:sz w:val="21"/>
        </w:rPr>
        <w:t>债券投资策略</w:t>
      </w:r>
    </w:p>
    <w:p>
      <w:pPr>
        <w:pStyle w:val="BodyText"/>
        <w:spacing w:before="7"/>
        <w:rPr>
          <w:sz w:val="15"/>
        </w:rPr>
      </w:pPr>
    </w:p>
    <w:p>
      <w:pPr>
        <w:pStyle w:val="BodyText"/>
        <w:spacing w:line="417" w:lineRule="auto"/>
        <w:ind w:left="220" w:right="382" w:firstLine="419"/>
      </w:pPr>
      <w:r>
        <w:rPr>
          <w:spacing w:val="-12"/>
        </w:rPr>
        <w:t>结合对未来市场利率预期运用久期调整策略、收益率曲线配置策略、债券类属配置策略、利差轮动策略等多种积极管理策略，通过严谨的研究发现价值被低估的债券和市场投资机会， </w:t>
      </w:r>
      <w:r>
        <w:rPr>
          <w:spacing w:val="-6"/>
        </w:rPr>
        <w:t>构建收益稳定、流动性良好的债券组合。</w:t>
      </w:r>
    </w:p>
    <w:p>
      <w:pPr>
        <w:spacing w:after="0" w:line="417" w:lineRule="auto"/>
        <w:sectPr>
          <w:pgSz w:w="11910" w:h="16840"/>
          <w:pgMar w:header="877" w:footer="995" w:top="1420" w:bottom="1180" w:left="1580" w:right="1200"/>
        </w:sectPr>
      </w:pPr>
    </w:p>
    <w:p>
      <w:pPr>
        <w:pStyle w:val="ListParagraph"/>
        <w:numPr>
          <w:ilvl w:val="0"/>
          <w:numId w:val="21"/>
        </w:numPr>
        <w:tabs>
          <w:tab w:pos="1170" w:val="left" w:leader="none"/>
        </w:tabs>
        <w:spacing w:line="240" w:lineRule="auto" w:before="110" w:after="0"/>
        <w:ind w:left="1169" w:right="0" w:hanging="530"/>
        <w:jc w:val="left"/>
        <w:rPr>
          <w:sz w:val="21"/>
        </w:rPr>
      </w:pPr>
      <w:r>
        <w:rPr>
          <w:spacing w:val="-3"/>
          <w:sz w:val="21"/>
        </w:rPr>
        <w:t>可转换公司债券投资策略</w:t>
      </w:r>
    </w:p>
    <w:p>
      <w:pPr>
        <w:pStyle w:val="BodyText"/>
        <w:spacing w:before="6"/>
        <w:rPr>
          <w:sz w:val="15"/>
        </w:rPr>
      </w:pPr>
    </w:p>
    <w:p>
      <w:pPr>
        <w:pStyle w:val="BodyText"/>
        <w:spacing w:line="417" w:lineRule="auto"/>
        <w:ind w:left="220" w:right="488" w:firstLine="419"/>
      </w:pPr>
      <w:r>
        <w:rPr>
          <w:spacing w:val="-7"/>
        </w:rPr>
        <w:t>本基金将着重对可转债对应的基础股票进行分析与研究，对那些有着较好盈利能力或成</w:t>
      </w:r>
      <w:r>
        <w:rPr>
          <w:spacing w:val="-10"/>
        </w:rPr>
        <w:t>长前景的上市公司的可转债进行重点选择，并在对应可转债估值合理的前提下集中投资，以</w:t>
      </w:r>
      <w:r>
        <w:rPr>
          <w:spacing w:val="-5"/>
        </w:rPr>
        <w:t>分享正股上涨带来的收益。同时，本基金还将密切跟踪上市公司的经营状况，从财务压力、</w:t>
      </w:r>
      <w:r>
        <w:rPr>
          <w:spacing w:val="-12"/>
        </w:rPr>
        <w:t>融资安排、未来的投资计划等方面推测、并通过实地调研等方式确认上市公司对转股价的修</w:t>
      </w:r>
      <w:r>
        <w:rPr>
          <w:spacing w:val="-6"/>
        </w:rPr>
        <w:t>正和转股意愿。</w:t>
      </w:r>
    </w:p>
    <w:p>
      <w:pPr>
        <w:pStyle w:val="ListParagraph"/>
        <w:numPr>
          <w:ilvl w:val="0"/>
          <w:numId w:val="21"/>
        </w:numPr>
        <w:tabs>
          <w:tab w:pos="1170" w:val="left" w:leader="none"/>
        </w:tabs>
        <w:spacing w:line="268" w:lineRule="exact" w:before="0" w:after="0"/>
        <w:ind w:left="1169" w:right="0" w:hanging="530"/>
        <w:jc w:val="left"/>
        <w:rPr>
          <w:sz w:val="21"/>
        </w:rPr>
      </w:pPr>
      <w:r>
        <w:rPr>
          <w:spacing w:val="-3"/>
          <w:sz w:val="21"/>
        </w:rPr>
        <w:t>中小企业私募债券投资策略</w:t>
      </w:r>
    </w:p>
    <w:p>
      <w:pPr>
        <w:pStyle w:val="BodyText"/>
        <w:spacing w:before="8"/>
        <w:rPr>
          <w:sz w:val="15"/>
        </w:rPr>
      </w:pPr>
    </w:p>
    <w:p>
      <w:pPr>
        <w:pStyle w:val="BodyText"/>
        <w:spacing w:line="417" w:lineRule="auto"/>
        <w:ind w:left="220" w:right="591" w:firstLine="419"/>
        <w:jc w:val="both"/>
      </w:pPr>
      <w:r>
        <w:rPr>
          <w:spacing w:val="-9"/>
        </w:rPr>
        <w:t>在严格控制风险的前提下，通过严谨的研究，综合考虑中小企业私募债券的安全性、收</w:t>
      </w:r>
      <w:r>
        <w:rPr>
          <w:spacing w:val="-12"/>
        </w:rPr>
        <w:t>益性和流动性等特征，并与其他投资品种进行对比后，选择具有相对优势的类属和个券进行投资。同时，通过期限和品种的分散投资降低基金投资中小企业私募债券的信用风险、利率</w:t>
      </w:r>
      <w:r>
        <w:rPr>
          <w:spacing w:val="-6"/>
        </w:rPr>
        <w:t>风险和流动性风险。</w:t>
      </w:r>
    </w:p>
    <w:p>
      <w:pPr>
        <w:pStyle w:val="ListParagraph"/>
        <w:numPr>
          <w:ilvl w:val="0"/>
          <w:numId w:val="21"/>
        </w:numPr>
        <w:tabs>
          <w:tab w:pos="1170" w:val="left" w:leader="none"/>
        </w:tabs>
        <w:spacing w:line="268" w:lineRule="exact" w:before="0" w:after="0"/>
        <w:ind w:left="1169" w:right="0" w:hanging="530"/>
        <w:jc w:val="left"/>
        <w:rPr>
          <w:sz w:val="21"/>
        </w:rPr>
      </w:pPr>
      <w:r>
        <w:rPr>
          <w:spacing w:val="-3"/>
          <w:sz w:val="21"/>
        </w:rPr>
        <w:t>资产支持证券投资策略</w:t>
      </w:r>
    </w:p>
    <w:p>
      <w:pPr>
        <w:pStyle w:val="BodyText"/>
        <w:spacing w:before="6"/>
        <w:rPr>
          <w:sz w:val="15"/>
        </w:rPr>
      </w:pPr>
    </w:p>
    <w:p>
      <w:pPr>
        <w:pStyle w:val="BodyText"/>
        <w:spacing w:line="417" w:lineRule="auto" w:before="1"/>
        <w:ind w:left="220" w:right="488" w:firstLine="419"/>
      </w:pPr>
      <w:r>
        <w:rPr>
          <w:spacing w:val="-8"/>
        </w:rPr>
        <w:t>本基金将深入分析资产支持证券的市场利率、发行条款、支持资产的构成及质量、提前</w:t>
      </w:r>
      <w:r>
        <w:rPr>
          <w:spacing w:val="-11"/>
        </w:rPr>
        <w:t>偿还率、风险补偿收益和市场流动性等基本面因素，估计资产违约风险和提前偿付风险，并</w:t>
      </w:r>
      <w:r>
        <w:rPr>
          <w:spacing w:val="-6"/>
        </w:rPr>
        <w:t>根据资产证券化的收益结构安排，模拟资产支持证券的本金偿还和利息收益的现金流过程， </w:t>
      </w:r>
      <w:r>
        <w:rPr>
          <w:spacing w:val="-4"/>
        </w:rPr>
        <w:t>辅助采用定价模型，评估其内在价值。</w:t>
      </w:r>
    </w:p>
    <w:p>
      <w:pPr>
        <w:pStyle w:val="BodyText"/>
        <w:spacing w:line="269" w:lineRule="exact"/>
        <w:ind w:left="640"/>
      </w:pPr>
      <w:r>
        <w:rPr>
          <w:rFonts w:ascii="Times New Roman" w:eastAsia="Times New Roman"/>
        </w:rPr>
        <w:t>4</w:t>
      </w:r>
      <w:r>
        <w:rPr/>
        <w:t>、权证投资策略</w:t>
      </w:r>
    </w:p>
    <w:p>
      <w:pPr>
        <w:pStyle w:val="BodyText"/>
        <w:spacing w:before="6"/>
        <w:rPr>
          <w:sz w:val="15"/>
        </w:rPr>
      </w:pPr>
    </w:p>
    <w:p>
      <w:pPr>
        <w:pStyle w:val="BodyText"/>
        <w:spacing w:line="417" w:lineRule="auto"/>
        <w:ind w:left="220" w:right="488" w:firstLine="419"/>
      </w:pPr>
      <w:r>
        <w:rPr>
          <w:spacing w:val="-8"/>
        </w:rPr>
        <w:t>本基金将在严格控制风险的前提下，主动进行权证投资。基金权证投资将以价值分析为</w:t>
      </w:r>
      <w:r>
        <w:rPr>
          <w:spacing w:val="-5"/>
        </w:rPr>
        <w:t>基础，在采用数量化模型分析其合理定价的基础上，把握市场的短期波动，进行积极操作， </w:t>
      </w:r>
      <w:r>
        <w:rPr>
          <w:spacing w:val="-4"/>
        </w:rPr>
        <w:t>追求在风险可控的前提下实现稳健的超额收益。</w:t>
      </w:r>
    </w:p>
    <w:p>
      <w:pPr>
        <w:pStyle w:val="BodyText"/>
        <w:spacing w:line="269" w:lineRule="exact"/>
        <w:ind w:left="640"/>
      </w:pPr>
      <w:r>
        <w:rPr>
          <w:rFonts w:ascii="Times New Roman" w:eastAsia="Times New Roman"/>
        </w:rPr>
        <w:t>5</w:t>
      </w:r>
      <w:r>
        <w:rPr/>
        <w:t>、股指期货和股票期权投资策略</w:t>
      </w:r>
    </w:p>
    <w:p>
      <w:pPr>
        <w:pStyle w:val="BodyText"/>
        <w:spacing w:before="7"/>
        <w:rPr>
          <w:sz w:val="15"/>
        </w:rPr>
      </w:pPr>
    </w:p>
    <w:p>
      <w:pPr>
        <w:pStyle w:val="BodyText"/>
        <w:spacing w:line="417" w:lineRule="auto" w:before="1"/>
        <w:ind w:left="220" w:right="591" w:firstLine="419"/>
        <w:jc w:val="both"/>
      </w:pPr>
      <w:r>
        <w:rPr>
          <w:spacing w:val="-8"/>
        </w:rPr>
        <w:t>本基金将在风险可控的前提下，本着谨慎原则，适度参与股指期货、股票期权投资。通</w:t>
      </w:r>
      <w:r>
        <w:rPr>
          <w:spacing w:val="-11"/>
        </w:rPr>
        <w:t>过对现货市场和股票期货、期权市场运行趋势的研究，结合基金股票组合的实际情况及对股</w:t>
      </w:r>
      <w:r>
        <w:rPr>
          <w:spacing w:val="-12"/>
        </w:rPr>
        <w:t>指期货、股票期权的估值水平、基差水平、流动性等因素的分析，选择合适的期货、股票期权合约构建相应的头寸，以调整投资组合的风险暴露，降低系统性风险。基金还将利用股指期货、股票期权作为组合流动性管理工具，降低现货市场流动性不足导致的冲击成本过高的</w:t>
      </w:r>
      <w:r>
        <w:rPr>
          <w:spacing w:val="-6"/>
        </w:rPr>
        <w:t>风险，提高基金的建仓或变现效率。</w:t>
      </w:r>
    </w:p>
    <w:p>
      <w:pPr>
        <w:pStyle w:val="BodyText"/>
        <w:spacing w:line="417" w:lineRule="auto"/>
        <w:ind w:left="220" w:right="591" w:firstLine="419"/>
      </w:pPr>
      <w:r>
        <w:rPr>
          <w:spacing w:val="-10"/>
        </w:rPr>
        <w:t>本基金投资期权，基金管理人将根据审慎原则，建立期权交易决策部门或小组，授权特</w:t>
      </w:r>
      <w:r>
        <w:rPr>
          <w:spacing w:val="-5"/>
        </w:rPr>
        <w:t>定的管理人员负责期权的投资审批事项，以防范期权投资的风险。</w:t>
      </w:r>
    </w:p>
    <w:p>
      <w:pPr>
        <w:pStyle w:val="BodyText"/>
        <w:ind w:left="640"/>
      </w:pPr>
      <w:r>
        <w:rPr>
          <w:rFonts w:ascii="Times New Roman" w:eastAsia="Times New Roman"/>
        </w:rPr>
        <w:t>6</w:t>
      </w:r>
      <w:r>
        <w:rPr/>
        <w:t>、国债期货投资策略</w:t>
      </w:r>
    </w:p>
    <w:p>
      <w:pPr>
        <w:spacing w:after="0"/>
        <w:sectPr>
          <w:pgSz w:w="11910" w:h="16840"/>
          <w:pgMar w:header="877" w:footer="995" w:top="1420" w:bottom="1180" w:left="1580" w:right="1200"/>
        </w:sectPr>
      </w:pPr>
    </w:p>
    <w:p>
      <w:pPr>
        <w:pStyle w:val="BodyText"/>
        <w:spacing w:line="417" w:lineRule="auto" w:before="110"/>
        <w:ind w:left="220" w:right="591" w:firstLine="419"/>
      </w:pPr>
      <w:r>
        <w:rPr>
          <w:spacing w:val="-10"/>
        </w:rPr>
        <w:t>本基金投资国债期货，将根据风险管理的原则，充分考虑国债期货的流动性和风险收益</w:t>
      </w:r>
      <w:r>
        <w:rPr>
          <w:spacing w:val="-5"/>
        </w:rPr>
        <w:t>特征，在风险可控的前提下，适度参与国债期货投资。</w:t>
      </w:r>
    </w:p>
    <w:p>
      <w:pPr>
        <w:pStyle w:val="BodyText"/>
        <w:spacing w:line="417" w:lineRule="auto"/>
        <w:ind w:left="220" w:right="591" w:firstLine="419"/>
      </w:pPr>
      <w:r>
        <w:rPr>
          <w:spacing w:val="-11"/>
        </w:rPr>
        <w:t>未来，根据市场情况，基金可相应调整和更新相关投资策略，并在招募说明书更新中公告。</w:t>
      </w:r>
    </w:p>
    <w:p>
      <w:pPr>
        <w:pStyle w:val="BodyText"/>
        <w:spacing w:line="269" w:lineRule="exact"/>
        <w:ind w:left="640"/>
      </w:pPr>
      <w:r>
        <w:rPr/>
        <w:t>（四）投资限制</w:t>
      </w:r>
    </w:p>
    <w:p>
      <w:pPr>
        <w:pStyle w:val="BodyText"/>
        <w:spacing w:before="6"/>
        <w:rPr>
          <w:sz w:val="15"/>
        </w:rPr>
      </w:pPr>
    </w:p>
    <w:p>
      <w:pPr>
        <w:pStyle w:val="BodyText"/>
        <w:ind w:left="640"/>
      </w:pPr>
      <w:r>
        <w:rPr>
          <w:rFonts w:ascii="Times New Roman" w:eastAsia="Times New Roman"/>
        </w:rPr>
        <w:t>1</w:t>
      </w:r>
      <w:r>
        <w:rPr/>
        <w:t>、组合限制</w:t>
      </w:r>
    </w:p>
    <w:p>
      <w:pPr>
        <w:pStyle w:val="BodyText"/>
        <w:spacing w:before="7"/>
        <w:rPr>
          <w:sz w:val="15"/>
        </w:rPr>
      </w:pPr>
    </w:p>
    <w:p>
      <w:pPr>
        <w:pStyle w:val="BodyText"/>
        <w:ind w:left="640"/>
      </w:pPr>
      <w:r>
        <w:rPr/>
        <w:t>基金的投资组合应遵循以下限制：</w:t>
      </w:r>
    </w:p>
    <w:p>
      <w:pPr>
        <w:pStyle w:val="BodyText"/>
        <w:spacing w:before="7"/>
        <w:rPr>
          <w:sz w:val="15"/>
        </w:rPr>
      </w:pPr>
    </w:p>
    <w:p>
      <w:pPr>
        <w:pStyle w:val="ListParagraph"/>
        <w:numPr>
          <w:ilvl w:val="0"/>
          <w:numId w:val="22"/>
        </w:numPr>
        <w:tabs>
          <w:tab w:pos="1170" w:val="left" w:leader="none"/>
        </w:tabs>
        <w:spacing w:line="417" w:lineRule="auto" w:before="0" w:after="0"/>
        <w:ind w:left="220" w:right="593" w:firstLine="419"/>
        <w:jc w:val="both"/>
        <w:rPr>
          <w:sz w:val="21"/>
        </w:rPr>
      </w:pPr>
      <w:r>
        <w:rPr>
          <w:spacing w:val="-4"/>
          <w:sz w:val="21"/>
        </w:rPr>
        <w:t>本基金股票投资占基金资产的比例为 </w:t>
      </w:r>
      <w:r>
        <w:rPr>
          <w:rFonts w:ascii="Times New Roman" w:eastAsia="Times New Roman"/>
          <w:spacing w:val="-3"/>
          <w:sz w:val="21"/>
        </w:rPr>
        <w:t>80%-95%</w:t>
      </w:r>
      <w:r>
        <w:rPr>
          <w:spacing w:val="-5"/>
          <w:sz w:val="21"/>
        </w:rPr>
        <w:t>，其中，港股投资比例不超过股票</w:t>
      </w:r>
      <w:r>
        <w:rPr>
          <w:spacing w:val="-16"/>
          <w:sz w:val="21"/>
        </w:rPr>
        <w:t>资产的 </w:t>
      </w:r>
      <w:r>
        <w:rPr>
          <w:rFonts w:ascii="Times New Roman" w:eastAsia="Times New Roman"/>
          <w:sz w:val="21"/>
        </w:rPr>
        <w:t>50%</w:t>
      </w:r>
      <w:r>
        <w:rPr>
          <w:spacing w:val="-5"/>
          <w:sz w:val="21"/>
        </w:rPr>
        <w:t>，投资于科技成长主题的股票比例不低于非现金基金资产的 </w:t>
      </w:r>
      <w:r>
        <w:rPr>
          <w:rFonts w:ascii="Times New Roman" w:eastAsia="Times New Roman"/>
          <w:sz w:val="21"/>
        </w:rPr>
        <w:t>80%</w:t>
      </w:r>
      <w:r>
        <w:rPr>
          <w:sz w:val="21"/>
        </w:rPr>
        <w:t>；</w:t>
      </w:r>
    </w:p>
    <w:p>
      <w:pPr>
        <w:pStyle w:val="ListParagraph"/>
        <w:numPr>
          <w:ilvl w:val="0"/>
          <w:numId w:val="22"/>
        </w:numPr>
        <w:tabs>
          <w:tab w:pos="1170" w:val="left" w:leader="none"/>
        </w:tabs>
        <w:spacing w:line="417" w:lineRule="auto" w:before="0" w:after="0"/>
        <w:ind w:left="220" w:right="591" w:firstLine="419"/>
        <w:jc w:val="both"/>
        <w:rPr>
          <w:sz w:val="21"/>
        </w:rPr>
      </w:pPr>
      <w:r>
        <w:rPr>
          <w:spacing w:val="-3"/>
          <w:sz w:val="21"/>
        </w:rPr>
        <w:t>每个交易日日终在扣除股指期货、国债期货和股票期权合约需缴纳的交易保证金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包括结算备付金、存出保证金、应收申购款等；</w:t>
      </w:r>
    </w:p>
    <w:p>
      <w:pPr>
        <w:pStyle w:val="ListParagraph"/>
        <w:numPr>
          <w:ilvl w:val="0"/>
          <w:numId w:val="22"/>
        </w:numPr>
        <w:tabs>
          <w:tab w:pos="1170" w:val="left" w:leader="none"/>
        </w:tabs>
        <w:spacing w:line="269" w:lineRule="exact" w:before="0" w:after="0"/>
        <w:ind w:left="116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22"/>
        </w:numPr>
        <w:tabs>
          <w:tab w:pos="1175" w:val="left" w:leader="none"/>
        </w:tabs>
        <w:spacing w:line="240" w:lineRule="auto" w:before="1" w:after="0"/>
        <w:ind w:left="1174" w:right="0" w:hanging="535"/>
        <w:jc w:val="left"/>
        <w:rPr>
          <w:sz w:val="21"/>
        </w:rPr>
      </w:pPr>
      <w:r>
        <w:rPr>
          <w:spacing w:val="-2"/>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7"/>
        <w:rPr>
          <w:sz w:val="15"/>
        </w:rPr>
      </w:pPr>
    </w:p>
    <w:p>
      <w:pPr>
        <w:pStyle w:val="ListParagraph"/>
        <w:numPr>
          <w:ilvl w:val="0"/>
          <w:numId w:val="22"/>
        </w:numPr>
        <w:tabs>
          <w:tab w:pos="1170" w:val="left" w:leader="none"/>
        </w:tabs>
        <w:spacing w:line="240" w:lineRule="auto" w:before="0" w:after="0"/>
        <w:ind w:left="1169" w:right="0" w:hanging="530"/>
        <w:jc w:val="left"/>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BodyText"/>
        <w:spacing w:before="6"/>
        <w:rPr>
          <w:sz w:val="15"/>
        </w:rPr>
      </w:pPr>
    </w:p>
    <w:p>
      <w:pPr>
        <w:pStyle w:val="ListParagraph"/>
        <w:numPr>
          <w:ilvl w:val="0"/>
          <w:numId w:val="22"/>
        </w:numPr>
        <w:tabs>
          <w:tab w:pos="1170" w:val="left" w:leader="none"/>
        </w:tabs>
        <w:spacing w:line="240" w:lineRule="auto" w:before="1" w:after="0"/>
        <w:ind w:left="1169" w:right="0" w:hanging="530"/>
        <w:jc w:val="left"/>
        <w:rPr>
          <w:sz w:val="21"/>
        </w:rPr>
      </w:pPr>
      <w:r>
        <w:rPr>
          <w:spacing w:val="-5"/>
          <w:sz w:val="21"/>
        </w:rPr>
        <w:t>本基金管理人管理的全部基金持有的同一权证，不得超过该权证的 </w:t>
      </w:r>
      <w:r>
        <w:rPr>
          <w:rFonts w:ascii="Times New Roman" w:eastAsia="Times New Roman"/>
          <w:sz w:val="21"/>
        </w:rPr>
        <w:t>10%</w:t>
      </w:r>
      <w:r>
        <w:rPr>
          <w:sz w:val="21"/>
        </w:rPr>
        <w:t>；</w:t>
      </w:r>
    </w:p>
    <w:p>
      <w:pPr>
        <w:pStyle w:val="BodyText"/>
        <w:spacing w:before="6"/>
        <w:rPr>
          <w:sz w:val="15"/>
        </w:rPr>
      </w:pPr>
    </w:p>
    <w:p>
      <w:pPr>
        <w:pStyle w:val="ListParagraph"/>
        <w:numPr>
          <w:ilvl w:val="0"/>
          <w:numId w:val="22"/>
        </w:numPr>
        <w:tabs>
          <w:tab w:pos="1185" w:val="left" w:leader="none"/>
        </w:tabs>
        <w:spacing w:line="240" w:lineRule="auto" w:before="0" w:after="0"/>
        <w:ind w:left="1184" w:right="0" w:hanging="545"/>
        <w:jc w:val="left"/>
        <w:rPr>
          <w:sz w:val="21"/>
        </w:rPr>
      </w:pPr>
      <w:r>
        <w:rPr>
          <w:spacing w:val="3"/>
          <w:sz w:val="21"/>
        </w:rPr>
        <w:t>本基金在任何交易日买入权证的总金额，不得超过上一交易日基金资产净值的</w:t>
      </w:r>
    </w:p>
    <w:p>
      <w:pPr>
        <w:pStyle w:val="BodyText"/>
        <w:spacing w:before="7"/>
        <w:rPr>
          <w:sz w:val="15"/>
        </w:rPr>
      </w:pPr>
    </w:p>
    <w:p>
      <w:pPr>
        <w:pStyle w:val="BodyText"/>
        <w:ind w:left="220"/>
      </w:pPr>
      <w:r>
        <w:rPr>
          <w:rFonts w:ascii="Times New Roman" w:eastAsia="Times New Roman"/>
        </w:rPr>
        <w:t>0.5%</w:t>
      </w:r>
      <w:r>
        <w:rPr/>
        <w:t>；</w:t>
      </w:r>
    </w:p>
    <w:p>
      <w:pPr>
        <w:pStyle w:val="BodyText"/>
        <w:spacing w:before="7"/>
        <w:rPr>
          <w:sz w:val="15"/>
        </w:rPr>
      </w:pPr>
    </w:p>
    <w:p>
      <w:pPr>
        <w:pStyle w:val="ListParagraph"/>
        <w:numPr>
          <w:ilvl w:val="0"/>
          <w:numId w:val="22"/>
        </w:numPr>
        <w:tabs>
          <w:tab w:pos="1170" w:val="left" w:leader="none"/>
        </w:tabs>
        <w:spacing w:line="417" w:lineRule="auto" w:before="0" w:after="0"/>
        <w:ind w:left="220" w:right="59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22"/>
        </w:numPr>
        <w:tabs>
          <w:tab w:pos="1170" w:val="left" w:leader="none"/>
        </w:tabs>
        <w:spacing w:line="269" w:lineRule="exact" w:before="0" w:after="0"/>
        <w:ind w:left="1169" w:right="0" w:hanging="530"/>
        <w:jc w:val="both"/>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7"/>
        <w:rPr>
          <w:sz w:val="15"/>
        </w:rPr>
      </w:pPr>
    </w:p>
    <w:p>
      <w:pPr>
        <w:pStyle w:val="ListParagraph"/>
        <w:numPr>
          <w:ilvl w:val="0"/>
          <w:numId w:val="22"/>
        </w:numPr>
        <w:tabs>
          <w:tab w:pos="1275" w:val="left" w:leader="none"/>
        </w:tabs>
        <w:spacing w:line="417" w:lineRule="auto" w:before="0" w:after="0"/>
        <w:ind w:left="220" w:right="591" w:firstLine="419"/>
        <w:jc w:val="both"/>
        <w:rPr>
          <w:sz w:val="21"/>
        </w:rPr>
      </w:pPr>
      <w:r>
        <w:rPr>
          <w:spacing w:val="-3"/>
          <w:sz w:val="21"/>
        </w:rPr>
        <w:t>本基金持有的同一</w:t>
      </w:r>
      <w:r>
        <w:rPr>
          <w:rFonts w:ascii="Times New Roman" w:eastAsia="Times New Roman"/>
          <w:spacing w:val="-4"/>
          <w:sz w:val="21"/>
        </w:rPr>
        <w:t>(</w:t>
      </w:r>
      <w:r>
        <w:rPr>
          <w:spacing w:val="-2"/>
          <w:sz w:val="21"/>
        </w:rPr>
        <w:t>指同一信用级别</w:t>
      </w:r>
      <w:r>
        <w:rPr>
          <w:rFonts w:ascii="Times New Roman" w:eastAsia="Times New Roman"/>
          <w:spacing w:val="-4"/>
          <w:sz w:val="21"/>
        </w:rPr>
        <w:t>)</w:t>
      </w:r>
      <w:r>
        <w:rPr>
          <w:spacing w:val="-4"/>
          <w:sz w:val="21"/>
        </w:rPr>
        <w:t>资产支持证券的比例，不得超过该资产支持</w:t>
      </w:r>
      <w:r>
        <w:rPr>
          <w:spacing w:val="-13"/>
          <w:sz w:val="21"/>
        </w:rPr>
        <w:t>证券规模的 </w:t>
      </w:r>
      <w:r>
        <w:rPr>
          <w:rFonts w:ascii="Times New Roman" w:eastAsia="Times New Roman"/>
          <w:sz w:val="21"/>
        </w:rPr>
        <w:t>10%</w:t>
      </w:r>
      <w:r>
        <w:rPr>
          <w:sz w:val="21"/>
        </w:rPr>
        <w:t>；</w:t>
      </w:r>
    </w:p>
    <w:p>
      <w:pPr>
        <w:pStyle w:val="ListParagraph"/>
        <w:numPr>
          <w:ilvl w:val="0"/>
          <w:numId w:val="22"/>
        </w:numPr>
        <w:tabs>
          <w:tab w:pos="1266" w:val="left" w:leader="none"/>
        </w:tabs>
        <w:spacing w:line="417" w:lineRule="auto" w:before="0" w:after="0"/>
        <w:ind w:left="220" w:right="591" w:firstLine="419"/>
        <w:jc w:val="both"/>
        <w:rPr>
          <w:sz w:val="21"/>
        </w:rPr>
      </w:pPr>
      <w:r>
        <w:rPr>
          <w:spacing w:val="-5"/>
          <w:sz w:val="21"/>
        </w:rPr>
        <w:t>本基金管理人管理的全部基金投资于同一原始权益人的各类资产支持证券，不 </w:t>
      </w:r>
      <w:r>
        <w:rPr>
          <w:spacing w:val="-7"/>
          <w:sz w:val="21"/>
        </w:rPr>
        <w:t>得超过其各类资产支持证券合计规模的 </w:t>
      </w:r>
      <w:r>
        <w:rPr>
          <w:rFonts w:ascii="Times New Roman" w:eastAsia="Times New Roman"/>
          <w:sz w:val="21"/>
        </w:rPr>
        <w:t>10%</w:t>
      </w:r>
      <w:r>
        <w:rPr>
          <w:sz w:val="21"/>
        </w:rPr>
        <w:t>；</w:t>
      </w:r>
    </w:p>
    <w:p>
      <w:pPr>
        <w:pStyle w:val="ListParagraph"/>
        <w:numPr>
          <w:ilvl w:val="0"/>
          <w:numId w:val="22"/>
        </w:numPr>
        <w:tabs>
          <w:tab w:pos="1275" w:val="left" w:leader="none"/>
        </w:tabs>
        <w:spacing w:line="417" w:lineRule="auto" w:before="0" w:after="0"/>
        <w:ind w:left="220" w:right="59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18"/>
          <w:sz w:val="21"/>
        </w:rPr>
        <w:t> </w:t>
      </w:r>
      <w:r>
        <w:rPr>
          <w:sz w:val="21"/>
        </w:rPr>
        <w:t>以上</w:t>
      </w:r>
      <w:r>
        <w:rPr>
          <w:rFonts w:ascii="Times New Roman" w:eastAsia="Times New Roman"/>
          <w:spacing w:val="-4"/>
          <w:sz w:val="21"/>
        </w:rPr>
        <w:t>(</w:t>
      </w:r>
      <w:r>
        <w:rPr>
          <w:spacing w:val="-17"/>
          <w:sz w:val="21"/>
        </w:rPr>
        <w:t>含 </w:t>
      </w:r>
      <w:r>
        <w:rPr>
          <w:rFonts w:ascii="Times New Roman" w:eastAsia="Times New Roman"/>
          <w:sz w:val="21"/>
        </w:rPr>
        <w:t>BBB)</w:t>
      </w:r>
      <w:r>
        <w:rPr>
          <w:spacing w:val="-3"/>
          <w:sz w:val="21"/>
        </w:rPr>
        <w:t>的资产支持证券。基金持有</w:t>
      </w:r>
      <w:r>
        <w:rPr>
          <w:spacing w:val="-8"/>
          <w:sz w:val="21"/>
        </w:rPr>
        <w:t>资产支持证券期间，如果其信用等级下降、不再符合投资标准，应在评级报告发布之日起 </w:t>
      </w:r>
      <w:r>
        <w:rPr>
          <w:rFonts w:ascii="Times New Roman" w:eastAsia="Times New Roman"/>
          <w:sz w:val="21"/>
        </w:rPr>
        <w:t>3 </w:t>
      </w:r>
      <w:r>
        <w:rPr>
          <w:spacing w:val="-3"/>
          <w:sz w:val="21"/>
        </w:rPr>
        <w:t>个月内予以全部卖出；</w:t>
      </w:r>
    </w:p>
    <w:p>
      <w:pPr>
        <w:pStyle w:val="ListParagraph"/>
        <w:numPr>
          <w:ilvl w:val="0"/>
          <w:numId w:val="22"/>
        </w:numPr>
        <w:tabs>
          <w:tab w:pos="1273" w:val="left" w:leader="none"/>
        </w:tabs>
        <w:spacing w:line="417" w:lineRule="auto" w:before="0" w:after="0"/>
        <w:ind w:left="220" w:right="59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spacing w:after="0" w:line="417" w:lineRule="auto"/>
        <w:jc w:val="left"/>
        <w:rPr>
          <w:sz w:val="21"/>
        </w:rPr>
        <w:sectPr>
          <w:pgSz w:w="11910" w:h="16840"/>
          <w:pgMar w:header="877" w:footer="995" w:top="1420" w:bottom="1180" w:left="1580" w:right="1200"/>
        </w:sectPr>
      </w:pPr>
    </w:p>
    <w:p>
      <w:pPr>
        <w:pStyle w:val="ListParagraph"/>
        <w:numPr>
          <w:ilvl w:val="0"/>
          <w:numId w:val="22"/>
        </w:numPr>
        <w:tabs>
          <w:tab w:pos="1273" w:val="left" w:leader="none"/>
        </w:tabs>
        <w:spacing w:line="417" w:lineRule="auto" w:before="110" w:after="0"/>
        <w:ind w:left="220" w:right="591" w:firstLine="419"/>
        <w:jc w:val="both"/>
        <w:rPr>
          <w:sz w:val="21"/>
        </w:rPr>
      </w:pPr>
      <w:r>
        <w:rPr>
          <w:spacing w:val="-3"/>
          <w:sz w:val="21"/>
        </w:rPr>
        <w:t>本基金进入全国银行间同业市场进行债券回购的资金余额不得超过基金资产净值的 </w:t>
      </w:r>
      <w:r>
        <w:rPr>
          <w:rFonts w:ascii="Times New Roman" w:eastAsia="Times New Roman"/>
          <w:sz w:val="21"/>
        </w:rPr>
        <w:t>40%</w:t>
      </w:r>
      <w:r>
        <w:rPr>
          <w:spacing w:val="-4"/>
          <w:sz w:val="21"/>
        </w:rPr>
        <w:t>，本基金在全国银行间同业市场中的债券回购最长期限为 </w:t>
      </w:r>
      <w:r>
        <w:rPr>
          <w:rFonts w:ascii="Times New Roman" w:eastAsia="Times New Roman"/>
          <w:sz w:val="21"/>
        </w:rPr>
        <w:t>1</w:t>
      </w:r>
      <w:r>
        <w:rPr>
          <w:rFonts w:ascii="Times New Roman" w:eastAsia="Times New Roman"/>
          <w:spacing w:val="43"/>
          <w:sz w:val="21"/>
        </w:rPr>
        <w:t> </w:t>
      </w:r>
      <w:r>
        <w:rPr>
          <w:spacing w:val="-3"/>
          <w:sz w:val="21"/>
        </w:rPr>
        <w:t>年，债券回购到期后</w:t>
      </w:r>
      <w:r>
        <w:rPr>
          <w:spacing w:val="-1"/>
          <w:sz w:val="21"/>
        </w:rPr>
        <w:t>不得展期；</w:t>
      </w:r>
    </w:p>
    <w:p>
      <w:pPr>
        <w:pStyle w:val="ListParagraph"/>
        <w:numPr>
          <w:ilvl w:val="0"/>
          <w:numId w:val="22"/>
        </w:numPr>
        <w:tabs>
          <w:tab w:pos="1275" w:val="left" w:leader="none"/>
        </w:tabs>
        <w:spacing w:line="269" w:lineRule="exact" w:before="0" w:after="0"/>
        <w:ind w:left="1275" w:right="0" w:hanging="635"/>
        <w:jc w:val="both"/>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22"/>
        </w:numPr>
        <w:tabs>
          <w:tab w:pos="1275" w:val="left" w:leader="none"/>
        </w:tabs>
        <w:spacing w:line="240" w:lineRule="auto" w:before="0" w:after="0"/>
        <w:ind w:left="127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7"/>
        <w:rPr>
          <w:sz w:val="15"/>
        </w:rPr>
      </w:pPr>
    </w:p>
    <w:p>
      <w:pPr>
        <w:pStyle w:val="ListParagraph"/>
        <w:numPr>
          <w:ilvl w:val="0"/>
          <w:numId w:val="22"/>
        </w:numPr>
        <w:tabs>
          <w:tab w:pos="1273" w:val="left" w:leader="none"/>
        </w:tabs>
        <w:spacing w:line="417" w:lineRule="auto" w:before="0" w:after="0"/>
        <w:ind w:left="220" w:right="59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22"/>
        </w:numPr>
        <w:tabs>
          <w:tab w:pos="1273" w:val="left" w:leader="none"/>
        </w:tabs>
        <w:spacing w:line="417" w:lineRule="auto" w:before="0" w:after="0"/>
        <w:ind w:left="220" w:right="59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22"/>
        </w:numPr>
        <w:tabs>
          <w:tab w:pos="1275" w:val="left" w:leader="none"/>
        </w:tabs>
        <w:spacing w:line="417" w:lineRule="auto" w:before="0" w:after="0"/>
        <w:ind w:left="220" w:right="591" w:firstLine="419"/>
        <w:jc w:val="both"/>
        <w:rPr>
          <w:sz w:val="21"/>
        </w:rPr>
      </w:pPr>
      <w:r>
        <w:rPr>
          <w:spacing w:val="-9"/>
          <w:sz w:val="21"/>
        </w:rPr>
        <w:t>基金参与股指期货、国债期货交易，应当遵守下列要求：开放式基金在任何交 易日日终，持有的买入期货合约价值与有价证券市值之和，不得超过基金资产净值的</w:t>
      </w:r>
      <w:r>
        <w:rPr>
          <w:rFonts w:ascii="Times New Roman" w:eastAsia="Times New Roman"/>
          <w:spacing w:val="-4"/>
          <w:sz w:val="21"/>
        </w:rPr>
        <w:t>95%</w:t>
      </w:r>
      <w:r>
        <w:rPr>
          <w:spacing w:val="-14"/>
          <w:sz w:val="21"/>
        </w:rPr>
        <w:t>；其中，有价证券指股票、债券</w:t>
      </w:r>
      <w:r>
        <w:rPr>
          <w:sz w:val="21"/>
        </w:rPr>
        <w:t>（</w:t>
      </w:r>
      <w:r>
        <w:rPr>
          <w:spacing w:val="-3"/>
          <w:sz w:val="21"/>
        </w:rPr>
        <w:t>不含到期日在一年以内的政府债券</w:t>
      </w:r>
      <w:r>
        <w:rPr>
          <w:spacing w:val="-106"/>
          <w:sz w:val="21"/>
        </w:rPr>
        <w:t>）</w:t>
      </w:r>
      <w:r>
        <w:rPr>
          <w:spacing w:val="-13"/>
          <w:sz w:val="21"/>
        </w:rPr>
        <w:t>、权证、资产支持</w:t>
      </w:r>
      <w:r>
        <w:rPr>
          <w:spacing w:val="-3"/>
          <w:sz w:val="21"/>
        </w:rPr>
        <w:t>证券、买入返售金融资产（不含质押式回购</w:t>
      </w:r>
      <w:r>
        <w:rPr>
          <w:sz w:val="21"/>
        </w:rPr>
        <w:t>）</w:t>
      </w:r>
      <w:r>
        <w:rPr>
          <w:spacing w:val="-2"/>
          <w:sz w:val="21"/>
        </w:rPr>
        <w:t>等；</w:t>
      </w:r>
    </w:p>
    <w:p>
      <w:pPr>
        <w:pStyle w:val="ListParagraph"/>
        <w:numPr>
          <w:ilvl w:val="0"/>
          <w:numId w:val="22"/>
        </w:numPr>
        <w:tabs>
          <w:tab w:pos="1275" w:val="left" w:leader="none"/>
        </w:tabs>
        <w:spacing w:line="417" w:lineRule="auto" w:before="0" w:after="0"/>
        <w:ind w:left="220" w:right="38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22"/>
        </w:numPr>
        <w:tabs>
          <w:tab w:pos="1275" w:val="left" w:leader="none"/>
        </w:tabs>
        <w:spacing w:line="417" w:lineRule="auto" w:before="0" w:after="0"/>
        <w:ind w:left="220" w:right="591" w:firstLine="419"/>
        <w:jc w:val="left"/>
        <w:rPr>
          <w:sz w:val="21"/>
        </w:rPr>
      </w:pPr>
      <w:r>
        <w:rPr>
          <w:spacing w:val="-5"/>
          <w:sz w:val="21"/>
        </w:rPr>
        <w:t>本基金管理人管理的全部开放式基金持有一家上市公司发行的可流通股票，不 </w:t>
      </w:r>
      <w:r>
        <w:rPr>
          <w:spacing w:val="-8"/>
          <w:sz w:val="21"/>
        </w:rPr>
        <w:t>得超过该上市公司可流通股票的 </w:t>
      </w:r>
      <w:r>
        <w:rPr>
          <w:rFonts w:ascii="Times New Roman" w:eastAsia="Times New Roman"/>
          <w:sz w:val="21"/>
        </w:rPr>
        <w:t>15%</w:t>
      </w:r>
      <w:r>
        <w:rPr>
          <w:sz w:val="21"/>
        </w:rPr>
        <w:t>；</w:t>
      </w:r>
    </w:p>
    <w:p>
      <w:pPr>
        <w:pStyle w:val="ListParagraph"/>
        <w:numPr>
          <w:ilvl w:val="0"/>
          <w:numId w:val="22"/>
        </w:numPr>
        <w:tabs>
          <w:tab w:pos="1275" w:val="left" w:leader="none"/>
        </w:tabs>
        <w:spacing w:line="417" w:lineRule="auto" w:before="0" w:after="0"/>
        <w:ind w:left="220" w:right="591" w:firstLine="419"/>
        <w:jc w:val="left"/>
        <w:rPr>
          <w:sz w:val="21"/>
        </w:rPr>
      </w:pPr>
      <w:r>
        <w:rPr>
          <w:spacing w:val="-5"/>
          <w:sz w:val="21"/>
        </w:rPr>
        <w:t>本基金管理人管理的全部投资组合持有一家上市公司发行的可流通股票，不得 </w:t>
      </w:r>
      <w:r>
        <w:rPr>
          <w:spacing w:val="-8"/>
          <w:sz w:val="21"/>
        </w:rPr>
        <w:t>超过该上市公司可流通股票的 </w:t>
      </w:r>
      <w:r>
        <w:rPr>
          <w:rFonts w:ascii="Times New Roman" w:eastAsia="Times New Roman"/>
          <w:sz w:val="21"/>
        </w:rPr>
        <w:t>30%</w:t>
      </w:r>
      <w:r>
        <w:rPr>
          <w:sz w:val="21"/>
        </w:rPr>
        <w:t>；</w:t>
      </w:r>
    </w:p>
    <w:p>
      <w:pPr>
        <w:pStyle w:val="ListParagraph"/>
        <w:numPr>
          <w:ilvl w:val="0"/>
          <w:numId w:val="22"/>
        </w:numPr>
        <w:tabs>
          <w:tab w:pos="1275" w:val="left" w:leader="none"/>
        </w:tabs>
        <w:spacing w:line="417" w:lineRule="auto" w:before="0" w:after="0"/>
        <w:ind w:left="220" w:right="591" w:firstLine="419"/>
        <w:jc w:val="both"/>
        <w:rPr>
          <w:sz w:val="21"/>
        </w:rPr>
      </w:pPr>
      <w:r>
        <w:rPr>
          <w:spacing w:val="-3"/>
          <w:sz w:val="21"/>
        </w:rPr>
        <w:t>本基金主动投资于流动性受限资产的市值合计不得超过本基金资产净值的</w:t>
      </w:r>
      <w:r>
        <w:rPr>
          <w:rFonts w:ascii="Times New Roman" w:eastAsia="Times New Roman"/>
          <w:spacing w:val="-3"/>
          <w:sz w:val="21"/>
        </w:rPr>
        <w:t>15%</w:t>
      </w:r>
      <w:r>
        <w:rPr>
          <w:spacing w:val="-11"/>
          <w:sz w:val="21"/>
        </w:rPr>
        <w:t>；因证券市场波动、上市公司股票停牌、基金规模变动等基金管理人之外的因素致使基</w:t>
      </w:r>
      <w:r>
        <w:rPr>
          <w:spacing w:val="-3"/>
          <w:sz w:val="21"/>
        </w:rPr>
        <w:t>金不符合前款所规定比例限制的，基金管理人不得主动新增流动性受限资产的投资；</w:t>
      </w:r>
    </w:p>
    <w:p>
      <w:pPr>
        <w:pStyle w:val="ListParagraph"/>
        <w:numPr>
          <w:ilvl w:val="0"/>
          <w:numId w:val="22"/>
        </w:numPr>
        <w:tabs>
          <w:tab w:pos="1273" w:val="left" w:leader="none"/>
        </w:tabs>
        <w:spacing w:line="417" w:lineRule="auto" w:before="0" w:after="0"/>
        <w:ind w:left="220" w:right="59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spacing w:after="0" w:line="417" w:lineRule="auto"/>
        <w:jc w:val="left"/>
        <w:rPr>
          <w:sz w:val="21"/>
        </w:rPr>
        <w:sectPr>
          <w:pgSz w:w="11910" w:h="16840"/>
          <w:pgMar w:header="877" w:footer="995" w:top="1420" w:bottom="1180" w:left="1580" w:right="1200"/>
        </w:sectPr>
      </w:pPr>
    </w:p>
    <w:p>
      <w:pPr>
        <w:pStyle w:val="ListParagraph"/>
        <w:numPr>
          <w:ilvl w:val="0"/>
          <w:numId w:val="22"/>
        </w:numPr>
        <w:tabs>
          <w:tab w:pos="1275" w:val="left" w:leader="none"/>
        </w:tabs>
        <w:spacing w:line="417" w:lineRule="auto" w:before="110" w:after="0"/>
        <w:ind w:left="220" w:right="59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22"/>
        </w:numPr>
        <w:tabs>
          <w:tab w:pos="1275" w:val="left" w:leader="none"/>
        </w:tabs>
        <w:spacing w:line="269" w:lineRule="exact" w:before="0" w:after="0"/>
        <w:ind w:left="1275" w:right="0" w:hanging="635"/>
        <w:jc w:val="left"/>
        <w:rPr>
          <w:sz w:val="21"/>
        </w:rPr>
      </w:pPr>
      <w:r>
        <w:rPr>
          <w:spacing w:val="-3"/>
          <w:sz w:val="21"/>
        </w:rPr>
        <w:t>法律法规及中国证监会规定的和《基金合同》约定的其他投资比例限制。</w:t>
      </w:r>
    </w:p>
    <w:p>
      <w:pPr>
        <w:pStyle w:val="BodyText"/>
        <w:spacing w:before="6"/>
        <w:rPr>
          <w:sz w:val="15"/>
        </w:rPr>
      </w:pPr>
    </w:p>
    <w:p>
      <w:pPr>
        <w:pStyle w:val="BodyText"/>
        <w:spacing w:line="417" w:lineRule="auto"/>
        <w:ind w:left="220" w:right="591" w:firstLine="419"/>
        <w:jc w:val="both"/>
      </w:pPr>
      <w:r>
        <w:rPr>
          <w:spacing w:val="-11"/>
        </w:rPr>
        <w:t>因证券期货市场波动、证券发行人合并、基金规模变动等基金管理人之外的因素致使基</w:t>
      </w:r>
      <w:r>
        <w:rPr>
          <w:spacing w:val="-8"/>
          <w:w w:val="100"/>
        </w:rPr>
        <w:t>金投资比例不符合上述规定投资比例的，除上述第</w:t>
      </w:r>
      <w:r>
        <w:rPr>
          <w:w w:val="100"/>
        </w:rPr>
        <w:t>（</w:t>
      </w:r>
      <w:r>
        <w:rPr>
          <w:rFonts w:ascii="Times New Roman" w:eastAsia="Times New Roman"/>
          <w:w w:val="100"/>
        </w:rPr>
        <w:t>2</w:t>
      </w:r>
      <w:r>
        <w:rPr>
          <w:spacing w:val="-106"/>
          <w:w w:val="100"/>
        </w:rPr>
        <w:t>）</w:t>
      </w:r>
      <w:r>
        <w:rPr>
          <w:spacing w:val="-123"/>
          <w:w w:val="100"/>
        </w:rPr>
        <w:t>、</w:t>
      </w:r>
      <w:r>
        <w:rPr>
          <w:w w:val="100"/>
        </w:rPr>
        <w:t>（</w:t>
      </w:r>
      <w:r>
        <w:rPr>
          <w:rFonts w:ascii="Times New Roman" w:eastAsia="Times New Roman"/>
          <w:w w:val="100"/>
        </w:rPr>
        <w:t>1</w:t>
      </w:r>
      <w:r>
        <w:rPr>
          <w:rFonts w:ascii="Times New Roman" w:eastAsia="Times New Roman"/>
          <w:spacing w:val="-3"/>
          <w:w w:val="100"/>
        </w:rPr>
        <w:t>2</w:t>
      </w:r>
      <w:r>
        <w:rPr>
          <w:spacing w:val="-106"/>
          <w:w w:val="100"/>
        </w:rPr>
        <w:t>）</w:t>
      </w:r>
      <w:r>
        <w:rPr>
          <w:spacing w:val="-123"/>
          <w:w w:val="100"/>
        </w:rPr>
        <w:t>、</w:t>
      </w:r>
      <w:r>
        <w:rPr>
          <w:w w:val="100"/>
        </w:rPr>
        <w:t>（</w:t>
      </w:r>
      <w:r>
        <w:rPr>
          <w:rFonts w:ascii="Times New Roman" w:eastAsia="Times New Roman"/>
          <w:w w:val="100"/>
        </w:rPr>
        <w:t>2</w:t>
      </w:r>
      <w:r>
        <w:rPr>
          <w:rFonts w:ascii="Times New Roman" w:eastAsia="Times New Roman"/>
          <w:spacing w:val="-3"/>
          <w:w w:val="100"/>
        </w:rPr>
        <w:t>3</w:t>
      </w:r>
      <w:r>
        <w:rPr>
          <w:spacing w:val="-106"/>
          <w:w w:val="100"/>
        </w:rPr>
        <w:t>）</w:t>
      </w:r>
      <w:r>
        <w:rPr>
          <w:spacing w:val="-123"/>
          <w:w w:val="100"/>
        </w:rPr>
        <w:t>、</w:t>
      </w:r>
      <w:r>
        <w:rPr>
          <w:w w:val="100"/>
        </w:rPr>
        <w:t>（</w:t>
      </w:r>
      <w:r>
        <w:rPr>
          <w:rFonts w:ascii="Times New Roman" w:eastAsia="Times New Roman"/>
          <w:w w:val="100"/>
        </w:rPr>
        <w:t>2</w:t>
      </w:r>
      <w:r>
        <w:rPr>
          <w:rFonts w:ascii="Times New Roman" w:eastAsia="Times New Roman"/>
          <w:spacing w:val="-3"/>
          <w:w w:val="100"/>
        </w:rPr>
        <w:t>4</w:t>
      </w:r>
      <w:r>
        <w:rPr>
          <w:spacing w:val="-106"/>
          <w:w w:val="100"/>
        </w:rPr>
        <w:t>）</w:t>
      </w:r>
      <w:r>
        <w:rPr>
          <w:spacing w:val="-5"/>
          <w:w w:val="100"/>
        </w:rPr>
        <w:t>，基金管理人应</w:t>
      </w:r>
      <w:r>
        <w:rPr>
          <w:spacing w:val="-13"/>
        </w:rPr>
        <w:t>当在 </w:t>
      </w:r>
      <w:r>
        <w:rPr>
          <w:rFonts w:ascii="Times New Roman" w:eastAsia="Times New Roman"/>
        </w:rPr>
        <w:t>10</w:t>
      </w:r>
      <w:r>
        <w:rPr>
          <w:rFonts w:ascii="Times New Roman" w:eastAsia="Times New Roman"/>
          <w:spacing w:val="21"/>
        </w:rPr>
        <w:t> </w:t>
      </w:r>
      <w:r>
        <w:rPr>
          <w:spacing w:val="-3"/>
        </w:rPr>
        <w:t>个交易日内进行调整。但中国证监会规定的特殊情形除外。法律法规另有规定的， 从其规定。</w:t>
      </w:r>
    </w:p>
    <w:p>
      <w:pPr>
        <w:pStyle w:val="BodyText"/>
        <w:spacing w:line="417" w:lineRule="auto"/>
        <w:ind w:left="220" w:right="59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的有关约定。期间，基金的投资范围、投资策略应当符合基金合同的约定。基金托管人对基</w:t>
      </w:r>
      <w:r>
        <w:rPr>
          <w:spacing w:val="-10"/>
        </w:rPr>
        <w:t>金的投资的监督与检查自基金合同生效之日起开始。法律法规或监管部门另有规定的，从其规定。</w:t>
      </w:r>
    </w:p>
    <w:p>
      <w:pPr>
        <w:pStyle w:val="BodyText"/>
        <w:spacing w:line="417" w:lineRule="auto"/>
        <w:ind w:left="220" w:right="591" w:firstLine="419"/>
        <w:jc w:val="both"/>
      </w:pPr>
      <w:r>
        <w:rPr>
          <w:spacing w:val="-8"/>
        </w:rPr>
        <w:t>法律法规或监管部门修改或取消上述限制，如适用于本基金，本基金投资不再受相关限</w:t>
      </w:r>
      <w:r>
        <w:rPr>
          <w:spacing w:val="-11"/>
        </w:rPr>
        <w:t>制。在履行适当程序后，基金管理人经与基金托管人协商一致后，本基金投资按照新颁布的</w:t>
      </w:r>
      <w:r>
        <w:rPr>
          <w:spacing w:val="-6"/>
        </w:rPr>
        <w:t>法律法规或监管规定执行。</w:t>
      </w:r>
    </w:p>
    <w:p>
      <w:pPr>
        <w:pStyle w:val="BodyText"/>
        <w:ind w:left="640"/>
      </w:pPr>
      <w:r>
        <w:rPr>
          <w:rFonts w:ascii="Times New Roman" w:eastAsia="Times New Roman"/>
        </w:rPr>
        <w:t>2</w:t>
      </w:r>
      <w:r>
        <w:rPr/>
        <w:t>、禁止行为</w:t>
      </w:r>
    </w:p>
    <w:p>
      <w:pPr>
        <w:pStyle w:val="BodyText"/>
        <w:spacing w:before="6"/>
        <w:rPr>
          <w:sz w:val="15"/>
        </w:rPr>
      </w:pPr>
    </w:p>
    <w:p>
      <w:pPr>
        <w:pStyle w:val="BodyText"/>
        <w:ind w:left="640"/>
      </w:pPr>
      <w:r>
        <w:rPr/>
        <w:t>为维护基金份额持有人的合法权益，基金财产不得用于下列投资或者活动：</w:t>
      </w:r>
    </w:p>
    <w:p>
      <w:pPr>
        <w:pStyle w:val="BodyText"/>
        <w:spacing w:before="7"/>
        <w:rPr>
          <w:sz w:val="15"/>
        </w:rPr>
      </w:pPr>
    </w:p>
    <w:p>
      <w:pPr>
        <w:pStyle w:val="ListParagraph"/>
        <w:numPr>
          <w:ilvl w:val="0"/>
          <w:numId w:val="23"/>
        </w:numPr>
        <w:tabs>
          <w:tab w:pos="1170" w:val="left" w:leader="none"/>
        </w:tabs>
        <w:spacing w:line="240" w:lineRule="auto" w:before="0" w:after="0"/>
        <w:ind w:left="1169" w:right="0" w:hanging="530"/>
        <w:jc w:val="left"/>
        <w:rPr>
          <w:sz w:val="21"/>
        </w:rPr>
      </w:pPr>
      <w:r>
        <w:rPr>
          <w:spacing w:val="-3"/>
          <w:sz w:val="21"/>
        </w:rPr>
        <w:t>承销证券；</w:t>
      </w:r>
    </w:p>
    <w:p>
      <w:pPr>
        <w:pStyle w:val="BodyText"/>
        <w:spacing w:before="7"/>
        <w:rPr>
          <w:sz w:val="15"/>
        </w:rPr>
      </w:pPr>
    </w:p>
    <w:p>
      <w:pPr>
        <w:pStyle w:val="ListParagraph"/>
        <w:numPr>
          <w:ilvl w:val="0"/>
          <w:numId w:val="23"/>
        </w:numPr>
        <w:tabs>
          <w:tab w:pos="1170" w:val="left" w:leader="none"/>
        </w:tabs>
        <w:spacing w:line="240" w:lineRule="auto" w:before="0" w:after="0"/>
        <w:ind w:left="116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23"/>
        </w:numPr>
        <w:tabs>
          <w:tab w:pos="1170" w:val="left" w:leader="none"/>
        </w:tabs>
        <w:spacing w:line="240" w:lineRule="auto" w:before="1" w:after="0"/>
        <w:ind w:left="1169" w:right="0" w:hanging="530"/>
        <w:jc w:val="left"/>
        <w:rPr>
          <w:sz w:val="21"/>
        </w:rPr>
      </w:pPr>
      <w:r>
        <w:rPr>
          <w:spacing w:val="-3"/>
          <w:sz w:val="21"/>
        </w:rPr>
        <w:t>从事承担无限责任的投资；</w:t>
      </w:r>
    </w:p>
    <w:p>
      <w:pPr>
        <w:pStyle w:val="BodyText"/>
        <w:spacing w:before="6"/>
        <w:rPr>
          <w:sz w:val="15"/>
        </w:rPr>
      </w:pPr>
    </w:p>
    <w:p>
      <w:pPr>
        <w:pStyle w:val="ListParagraph"/>
        <w:numPr>
          <w:ilvl w:val="0"/>
          <w:numId w:val="23"/>
        </w:numPr>
        <w:tabs>
          <w:tab w:pos="1170" w:val="left" w:leader="none"/>
        </w:tabs>
        <w:spacing w:line="240" w:lineRule="auto" w:before="0" w:after="0"/>
        <w:ind w:left="116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23"/>
        </w:numPr>
        <w:tabs>
          <w:tab w:pos="1170" w:val="left" w:leader="none"/>
        </w:tabs>
        <w:spacing w:line="240" w:lineRule="auto" w:before="0" w:after="0"/>
        <w:ind w:left="116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23"/>
        </w:numPr>
        <w:tabs>
          <w:tab w:pos="1170" w:val="left" w:leader="none"/>
        </w:tabs>
        <w:spacing w:line="240" w:lineRule="auto" w:before="0" w:after="0"/>
        <w:ind w:left="1169" w:right="0" w:hanging="530"/>
        <w:jc w:val="left"/>
        <w:rPr>
          <w:sz w:val="21"/>
        </w:rPr>
      </w:pPr>
      <w:r>
        <w:rPr>
          <w:spacing w:val="-3"/>
          <w:sz w:val="21"/>
        </w:rPr>
        <w:t>法律、行政法规和国务院证券监督管理机构规定禁止的其他活动。</w:t>
      </w:r>
    </w:p>
    <w:p>
      <w:pPr>
        <w:pStyle w:val="BodyText"/>
        <w:spacing w:before="7"/>
        <w:rPr>
          <w:sz w:val="15"/>
        </w:rPr>
      </w:pPr>
    </w:p>
    <w:p>
      <w:pPr>
        <w:pStyle w:val="BodyText"/>
        <w:spacing w:line="417" w:lineRule="auto"/>
        <w:ind w:left="220" w:right="384" w:firstLine="419"/>
      </w:pPr>
      <w:r>
        <w:rPr>
          <w:spacing w:val="-8"/>
        </w:rPr>
        <w:t>基金管理人运用基金财产买卖基金管理人、基金托管人及其控股股东、实际控制人或者 </w:t>
      </w:r>
      <w:r>
        <w:rPr>
          <w:spacing w:val="-9"/>
        </w:rPr>
        <w:t>与其有重大利害关系的公司发行的证券或者承销期内承销的证券，或者从事其他重大关联交 </w:t>
      </w:r>
      <w:r>
        <w:rPr>
          <w:spacing w:val="-11"/>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417" w:lineRule="auto"/>
        <w:ind w:left="220" w:right="591" w:firstLine="419"/>
      </w:pPr>
      <w:r>
        <w:rPr>
          <w:spacing w:val="-8"/>
        </w:rPr>
        <w:t>法律法规或监管部门修改或取消上述禁止行为，如适用于本基金，则本基金投资不再受</w:t>
      </w:r>
      <w:r>
        <w:rPr>
          <w:spacing w:val="-12"/>
        </w:rPr>
        <w:t>相关禁止行为限制。基金管理人经与基金托管人协商一致后，本基金投资按照新颁布的法律</w:t>
      </w:r>
    </w:p>
    <w:p>
      <w:pPr>
        <w:spacing w:after="0" w:line="417" w:lineRule="auto"/>
        <w:sectPr>
          <w:pgSz w:w="11910" w:h="16840"/>
          <w:pgMar w:header="877" w:footer="995" w:top="1420" w:bottom="1180" w:left="1580" w:right="1200"/>
        </w:sectPr>
      </w:pPr>
    </w:p>
    <w:p>
      <w:pPr>
        <w:pStyle w:val="BodyText"/>
        <w:spacing w:before="110"/>
        <w:ind w:left="220"/>
      </w:pPr>
      <w:r>
        <w:rPr/>
        <w:t>法规或监管规定执行，无须另行召开基金份额持有人大会。</w:t>
      </w:r>
    </w:p>
    <w:p>
      <w:pPr>
        <w:pStyle w:val="BodyText"/>
        <w:spacing w:before="6"/>
        <w:rPr>
          <w:sz w:val="15"/>
        </w:rPr>
      </w:pPr>
    </w:p>
    <w:p>
      <w:pPr>
        <w:pStyle w:val="BodyText"/>
        <w:ind w:left="640"/>
      </w:pPr>
      <w:r>
        <w:rPr/>
        <w:t>（五）业绩比较基准</w:t>
      </w:r>
    </w:p>
    <w:p>
      <w:pPr>
        <w:pStyle w:val="BodyText"/>
        <w:spacing w:before="7"/>
        <w:rPr>
          <w:sz w:val="15"/>
        </w:rPr>
      </w:pPr>
    </w:p>
    <w:p>
      <w:pPr>
        <w:pStyle w:val="BodyText"/>
        <w:spacing w:line="417" w:lineRule="auto"/>
        <w:ind w:left="220" w:right="596" w:firstLine="419"/>
        <w:jc w:val="both"/>
        <w:rPr>
          <w:rFonts w:ascii="Times New Roman" w:eastAsia="Times New Roman"/>
        </w:rPr>
      </w:pPr>
      <w:r>
        <w:rPr>
          <w:spacing w:val="-5"/>
        </w:rPr>
        <w:t>本基金的业绩比较基准：中证 </w:t>
      </w:r>
      <w:r>
        <w:rPr>
          <w:rFonts w:ascii="Times New Roman" w:eastAsia="Times New Roman"/>
        </w:rPr>
        <w:t>TMT </w:t>
      </w:r>
      <w:r>
        <w:rPr>
          <w:spacing w:val="-3"/>
        </w:rPr>
        <w:t>产业主题指数收益率</w:t>
      </w:r>
      <w:r>
        <w:rPr>
          <w:rFonts w:ascii="Times New Roman" w:eastAsia="Times New Roman"/>
        </w:rPr>
        <w:t>*70%+</w:t>
      </w:r>
      <w:r>
        <w:rPr>
          <w:spacing w:val="-7"/>
        </w:rPr>
        <w:t>中证港股通 </w:t>
      </w:r>
      <w:r>
        <w:rPr>
          <w:rFonts w:ascii="Times New Roman" w:eastAsia="Times New Roman"/>
        </w:rPr>
        <w:t>TMT </w:t>
      </w:r>
      <w:r>
        <w:rPr>
          <w:spacing w:val="-3"/>
        </w:rPr>
        <w:t>主题</w:t>
      </w:r>
      <w:r>
        <w:rPr>
          <w:spacing w:val="-11"/>
        </w:rPr>
        <w:t>指数收益率 </w:t>
      </w:r>
      <w:r>
        <w:rPr>
          <w:rFonts w:ascii="Times New Roman" w:eastAsia="Times New Roman"/>
        </w:rPr>
        <w:t>20%+</w:t>
      </w:r>
      <w:r>
        <w:rPr>
          <w:spacing w:val="-3"/>
        </w:rPr>
        <w:t>上证国债指数收益率</w:t>
      </w:r>
      <w:r>
        <w:rPr>
          <w:rFonts w:ascii="Times New Roman" w:eastAsia="Times New Roman"/>
        </w:rPr>
        <w:t>*10%</w:t>
      </w:r>
    </w:p>
    <w:p>
      <w:pPr>
        <w:pStyle w:val="BodyText"/>
        <w:spacing w:line="417" w:lineRule="auto"/>
        <w:ind w:left="220" w:right="591" w:firstLine="419"/>
        <w:jc w:val="both"/>
      </w:pPr>
      <w:r>
        <w:rPr>
          <w:spacing w:val="22"/>
        </w:rPr>
        <w:t>中证</w:t>
      </w:r>
      <w:r>
        <w:rPr>
          <w:rFonts w:ascii="Times New Roman" w:eastAsia="Times New Roman"/>
        </w:rPr>
        <w:t>TMT </w:t>
      </w:r>
      <w:r>
        <w:rPr>
          <w:spacing w:val="3"/>
        </w:rPr>
        <w:t>产业主题指数由</w:t>
      </w:r>
      <w:r>
        <w:rPr>
          <w:rFonts w:ascii="Times New Roman" w:eastAsia="Times New Roman"/>
        </w:rPr>
        <w:t>TMT </w:t>
      </w:r>
      <w:r>
        <w:rPr>
          <w:spacing w:val="-16"/>
        </w:rPr>
        <w:t>产业中规模较大、流动性较好的 </w:t>
      </w:r>
      <w:r>
        <w:rPr>
          <w:rFonts w:ascii="Times New Roman" w:eastAsia="Times New Roman"/>
        </w:rPr>
        <w:t>100 </w:t>
      </w:r>
      <w:r>
        <w:rPr>
          <w:spacing w:val="-3"/>
        </w:rPr>
        <w:t>只公司股票组成， </w:t>
      </w:r>
      <w:r>
        <w:rPr>
          <w:spacing w:val="23"/>
        </w:rPr>
        <w:t>反映</w:t>
      </w:r>
      <w:r>
        <w:rPr>
          <w:rFonts w:ascii="Times New Roman" w:eastAsia="Times New Roman"/>
        </w:rPr>
        <w:t>A </w:t>
      </w:r>
      <w:r>
        <w:rPr>
          <w:spacing w:val="-7"/>
        </w:rPr>
        <w:t>股上市公司中数字新媒体相关产业公司股票的走势。中证港股通 </w:t>
      </w:r>
      <w:r>
        <w:rPr>
          <w:rFonts w:ascii="Arial" w:eastAsia="Arial"/>
        </w:rPr>
        <w:t>TMT </w:t>
      </w:r>
      <w:r>
        <w:rPr>
          <w:spacing w:val="-2"/>
        </w:rPr>
        <w:t>主题指数从港</w:t>
      </w:r>
      <w:r>
        <w:rPr>
          <w:spacing w:val="-5"/>
        </w:rPr>
        <w:t>股通范围合资格股票中选取符合 </w:t>
      </w:r>
      <w:r>
        <w:rPr>
          <w:rFonts w:ascii="Times New Roman" w:eastAsia="Times New Roman"/>
        </w:rPr>
        <w:t>TMT </w:t>
      </w:r>
      <w:r>
        <w:rPr>
          <w:spacing w:val="-6"/>
        </w:rPr>
        <w:t>主题的不超过 </w:t>
      </w:r>
      <w:r>
        <w:rPr>
          <w:rFonts w:ascii="Times New Roman" w:eastAsia="Times New Roman"/>
        </w:rPr>
        <w:t>50 </w:t>
      </w:r>
      <w:r>
        <w:rPr>
          <w:spacing w:val="-3"/>
        </w:rPr>
        <w:t>家港股作为样本股，采用自由流通</w:t>
      </w:r>
      <w:r>
        <w:rPr>
          <w:spacing w:val="-6"/>
        </w:rPr>
        <w:t>市值加权计算，以反映 </w:t>
      </w:r>
      <w:r>
        <w:rPr>
          <w:rFonts w:ascii="Times New Roman" w:eastAsia="Times New Roman"/>
        </w:rPr>
        <w:t>TMT </w:t>
      </w:r>
      <w:r>
        <w:rPr>
          <w:spacing w:val="-5"/>
        </w:rPr>
        <w:t>主题上市公司的整体状况和走势。中证 </w:t>
      </w:r>
      <w:r>
        <w:rPr>
          <w:rFonts w:ascii="Times New Roman" w:eastAsia="Times New Roman"/>
        </w:rPr>
        <w:t>TMT </w:t>
      </w:r>
      <w:r>
        <w:rPr>
          <w:spacing w:val="-2"/>
        </w:rPr>
        <w:t>产业主题指数和</w:t>
      </w:r>
      <w:r>
        <w:rPr>
          <w:spacing w:val="-8"/>
        </w:rPr>
        <w:t>中证港股通 </w:t>
      </w:r>
      <w:r>
        <w:rPr>
          <w:rFonts w:ascii="Times New Roman" w:eastAsia="Times New Roman"/>
        </w:rPr>
        <w:t>TMT </w:t>
      </w:r>
      <w:r>
        <w:rPr>
          <w:spacing w:val="-5"/>
        </w:rPr>
        <w:t>主题指数是中证指数有限公司编制的代表 </w:t>
      </w:r>
      <w:r>
        <w:rPr>
          <w:rFonts w:ascii="Times New Roman" w:eastAsia="Times New Roman"/>
        </w:rPr>
        <w:t>TMT </w:t>
      </w:r>
      <w:r>
        <w:rPr>
          <w:spacing w:val="-3"/>
        </w:rPr>
        <w:t>行业的指数，具有良好的市场代表性和市场影响力，适合作为本基金股票投资的业绩基准。</w:t>
      </w:r>
    </w:p>
    <w:p>
      <w:pPr>
        <w:pStyle w:val="BodyText"/>
        <w:spacing w:line="417" w:lineRule="auto"/>
        <w:ind w:left="220" w:right="382" w:firstLine="419"/>
      </w:pPr>
      <w:r>
        <w:rPr>
          <w:spacing w:val="-9"/>
        </w:rPr>
        <w:t>上证国债指数由中证指数有限公司编制，以上海证券交易所上市的固定利率国债为样本， </w:t>
      </w:r>
      <w:r>
        <w:rPr>
          <w:spacing w:val="-5"/>
        </w:rPr>
        <w:t>具有良好的市场代表性和较高的知名度，适合作为本基金债券投资的业绩基准。</w:t>
      </w:r>
    </w:p>
    <w:p>
      <w:pPr>
        <w:pStyle w:val="BodyText"/>
        <w:spacing w:line="417" w:lineRule="auto"/>
        <w:ind w:left="220" w:right="485" w:firstLine="419"/>
      </w:pPr>
      <w:r>
        <w:rPr>
          <w:spacing w:val="-5"/>
        </w:rPr>
        <w:t>如果中证指数有限公司变更或停止中证 </w:t>
      </w:r>
      <w:r>
        <w:rPr>
          <w:rFonts w:ascii="Times New Roman" w:eastAsia="Times New Roman"/>
        </w:rPr>
        <w:t>TMT</w:t>
      </w:r>
      <w:r>
        <w:rPr>
          <w:rFonts w:ascii="Times New Roman" w:eastAsia="Times New Roman"/>
          <w:spacing w:val="22"/>
        </w:rPr>
        <w:t> </w:t>
      </w:r>
      <w:r>
        <w:rPr>
          <w:spacing w:val="-5"/>
        </w:rPr>
        <w:t>产业主题指数、中证港股通 </w:t>
      </w:r>
      <w:r>
        <w:rPr>
          <w:rFonts w:ascii="Times New Roman" w:eastAsia="Times New Roman"/>
        </w:rPr>
        <w:t>TMT</w:t>
      </w:r>
      <w:r>
        <w:rPr>
          <w:rFonts w:ascii="Times New Roman" w:eastAsia="Times New Roman"/>
          <w:spacing w:val="24"/>
        </w:rPr>
        <w:t> </w:t>
      </w:r>
      <w:r>
        <w:rPr>
          <w:spacing w:val="-2"/>
        </w:rPr>
        <w:t>主题指</w:t>
      </w:r>
      <w:r>
        <w:rPr>
          <w:spacing w:val="-5"/>
        </w:rPr>
        <w:t>数或上证国债指数的编制及发布、或中证 </w:t>
      </w:r>
      <w:r>
        <w:rPr>
          <w:rFonts w:ascii="Times New Roman" w:eastAsia="Times New Roman"/>
        </w:rPr>
        <w:t>TMT</w:t>
      </w:r>
      <w:r>
        <w:rPr>
          <w:rFonts w:ascii="Times New Roman" w:eastAsia="Times New Roman"/>
          <w:spacing w:val="24"/>
        </w:rPr>
        <w:t> </w:t>
      </w:r>
      <w:r>
        <w:rPr>
          <w:spacing w:val="-6"/>
        </w:rPr>
        <w:t>产业主题指数、中证港股通 </w:t>
      </w:r>
      <w:r>
        <w:rPr>
          <w:rFonts w:ascii="Times New Roman" w:eastAsia="Times New Roman"/>
        </w:rPr>
        <w:t>TMT</w:t>
      </w:r>
      <w:r>
        <w:rPr>
          <w:rFonts w:ascii="Times New Roman" w:eastAsia="Times New Roman"/>
          <w:spacing w:val="22"/>
        </w:rPr>
        <w:t> </w:t>
      </w:r>
      <w:r>
        <w:rPr>
          <w:spacing w:val="-2"/>
        </w:rPr>
        <w:t>主题指数</w:t>
      </w:r>
      <w:r>
        <w:rPr>
          <w:spacing w:val="-3"/>
        </w:rPr>
        <w:t>或上证国债指数由其他指数替代、或由于指数编制方法发生重大变更等原因导致中证 </w:t>
      </w:r>
      <w:r>
        <w:rPr>
          <w:rFonts w:ascii="Times New Roman" w:eastAsia="Times New Roman"/>
        </w:rPr>
        <w:t>TMT </w:t>
      </w:r>
      <w:r>
        <w:rPr>
          <w:spacing w:val="-15"/>
        </w:rPr>
        <w:t>产业主题指数、中证港股通 </w:t>
      </w:r>
      <w:r>
        <w:rPr>
          <w:rFonts w:ascii="Times New Roman" w:eastAsia="Times New Roman"/>
        </w:rPr>
        <w:t>TMT</w:t>
      </w:r>
      <w:r>
        <w:rPr>
          <w:rFonts w:ascii="Times New Roman" w:eastAsia="Times New Roman"/>
          <w:spacing w:val="10"/>
        </w:rPr>
        <w:t> </w:t>
      </w:r>
      <w:r>
        <w:rPr>
          <w:spacing w:val="-3"/>
        </w:rPr>
        <w:t>主题指数或上证国债指数不宜继续作为本基金的基准指数， </w:t>
      </w:r>
      <w:r>
        <w:rPr>
          <w:spacing w:val="-8"/>
        </w:rPr>
        <w:t>或市场有其他基金管理人认为代表性更强、更适合投资的指数推出时，本基金管理人可以依</w:t>
      </w:r>
      <w:r>
        <w:rPr>
          <w:spacing w:val="-10"/>
        </w:rPr>
        <w:t>据维护投资者合法权益的原则，在取得基金托管人同意后，变更本基金的基准指数，不需要</w:t>
      </w:r>
      <w:r>
        <w:rPr>
          <w:spacing w:val="-5"/>
        </w:rPr>
        <w:t>召开基金份额持有人大会。</w:t>
      </w:r>
    </w:p>
    <w:p>
      <w:pPr>
        <w:pStyle w:val="BodyText"/>
        <w:spacing w:line="268" w:lineRule="exact"/>
        <w:ind w:left="640"/>
      </w:pPr>
      <w:r>
        <w:rPr/>
        <w:t>（六）风险收益特征</w:t>
      </w:r>
    </w:p>
    <w:p>
      <w:pPr>
        <w:pStyle w:val="BodyText"/>
        <w:spacing w:before="6"/>
        <w:rPr>
          <w:sz w:val="15"/>
        </w:rPr>
      </w:pPr>
    </w:p>
    <w:p>
      <w:pPr>
        <w:pStyle w:val="BodyText"/>
        <w:spacing w:line="417" w:lineRule="auto"/>
        <w:ind w:left="220" w:right="485" w:firstLine="419"/>
      </w:pPr>
      <w:r>
        <w:rPr>
          <w:spacing w:val="-3"/>
        </w:rPr>
        <w:t>本基金为股票基金，其预期风险和预期收益高于混合基金、债券基金与货币市场基金， </w:t>
      </w:r>
      <w:r>
        <w:rPr>
          <w:spacing w:val="-9"/>
        </w:rPr>
        <w:t>属于中高风险品种。基金资产投资于港股，会面临港股通机制下因投资环境、投资标的、市</w:t>
      </w:r>
      <w:r>
        <w:rPr>
          <w:spacing w:val="-13"/>
        </w:rPr>
        <w:t>场制度以及交易规则等差异带来的特有风险，包括港股市场股价波动较大的风险、汇率风险、</w:t>
      </w:r>
      <w:r>
        <w:rPr>
          <w:spacing w:val="-6"/>
        </w:rPr>
        <w:t>港股通机制下交易日不连贯可能带来的风险等。</w:t>
      </w:r>
    </w:p>
    <w:p>
      <w:pPr>
        <w:pStyle w:val="BodyText"/>
        <w:ind w:left="640"/>
      </w:pPr>
      <w:r>
        <w:rPr/>
        <w:t>（七）基金的融资融券</w:t>
      </w:r>
    </w:p>
    <w:p>
      <w:pPr>
        <w:pStyle w:val="BodyText"/>
        <w:spacing w:before="6"/>
        <w:rPr>
          <w:sz w:val="15"/>
        </w:rPr>
      </w:pPr>
    </w:p>
    <w:p>
      <w:pPr>
        <w:pStyle w:val="BodyText"/>
        <w:spacing w:line="417" w:lineRule="auto" w:before="1"/>
        <w:ind w:left="220" w:right="488" w:firstLine="419"/>
      </w:pPr>
      <w:r>
        <w:rPr/>
        <w:t>未来，本基金拟进行融资、融券业务的，可以按照国家的有关法律法规规定进行融资、融券等相关业务。</w:t>
      </w:r>
    </w:p>
    <w:p>
      <w:pPr>
        <w:pStyle w:val="BodyText"/>
        <w:spacing w:line="254" w:lineRule="exact"/>
        <w:ind w:left="640"/>
      </w:pPr>
      <w:r>
        <w:rPr/>
        <w:t>（八）投资组合报告</w:t>
      </w:r>
    </w:p>
    <w:p>
      <w:pPr>
        <w:spacing w:after="0" w:line="254" w:lineRule="exact"/>
        <w:sectPr>
          <w:pgSz w:w="11910" w:h="16840"/>
          <w:pgMar w:header="877" w:footer="995" w:top="1420" w:bottom="1180" w:left="1580" w:right="1200"/>
        </w:sectPr>
      </w:pPr>
    </w:p>
    <w:p>
      <w:pPr>
        <w:pStyle w:val="BodyText"/>
        <w:spacing w:before="148"/>
        <w:ind w:left="638"/>
      </w:pPr>
      <w:r>
        <w:rPr/>
        <w:t>以下内容摘自本基金 </w:t>
      </w:r>
      <w:r>
        <w:rPr>
          <w:rFonts w:ascii="Arial" w:eastAsia="Arial"/>
        </w:rPr>
        <w:t>2020 </w:t>
      </w:r>
      <w:r>
        <w:rPr/>
        <w:t>年第 </w:t>
      </w:r>
      <w:r>
        <w:rPr>
          <w:rFonts w:ascii="Arial" w:eastAsia="Arial"/>
        </w:rPr>
        <w:t>2 </w:t>
      </w:r>
      <w:r>
        <w:rPr/>
        <w:t>季度报告：</w:t>
      </w:r>
    </w:p>
    <w:p>
      <w:pPr>
        <w:pStyle w:val="BodyText"/>
        <w:spacing w:before="2"/>
      </w:pPr>
    </w:p>
    <w:p>
      <w:pPr>
        <w:pStyle w:val="ListParagraph"/>
        <w:numPr>
          <w:ilvl w:val="1"/>
          <w:numId w:val="24"/>
        </w:numPr>
        <w:tabs>
          <w:tab w:pos="617" w:val="left" w:leader="none"/>
        </w:tabs>
        <w:spacing w:line="240" w:lineRule="auto" w:before="0" w:after="0"/>
        <w:ind w:left="616" w:right="0" w:hanging="397"/>
        <w:jc w:val="left"/>
        <w:rPr>
          <w:rFonts w:ascii="Arial" w:eastAsia="Arial"/>
          <w:sz w:val="21"/>
        </w:rPr>
      </w:pPr>
      <w:r>
        <w:rPr>
          <w:spacing w:val="-3"/>
          <w:sz w:val="21"/>
        </w:rPr>
        <w:t>报告期末基金资产组合情况</w:t>
      </w:r>
    </w:p>
    <w:p>
      <w:pPr>
        <w:pStyle w:val="BodyText"/>
        <w:spacing w:before="7"/>
        <w:rPr>
          <w:sz w:val="10"/>
        </w:rPr>
      </w:pPr>
    </w:p>
    <w:tbl>
      <w:tblPr>
        <w:tblW w:w="0" w:type="auto"/>
        <w:jc w:val="left"/>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2929"/>
        <w:gridCol w:w="2482"/>
        <w:gridCol w:w="2103"/>
      </w:tblGrid>
      <w:tr>
        <w:trPr>
          <w:trHeight w:val="964" w:hRule="atLeast"/>
        </w:trPr>
        <w:tc>
          <w:tcPr>
            <w:tcW w:w="814" w:type="dxa"/>
          </w:tcPr>
          <w:p>
            <w:pPr>
              <w:pStyle w:val="TableParagraph"/>
              <w:spacing w:before="4"/>
              <w:jc w:val="left"/>
              <w:rPr>
                <w:rFonts w:ascii="宋体"/>
                <w:sz w:val="28"/>
              </w:rPr>
            </w:pPr>
          </w:p>
          <w:p>
            <w:pPr>
              <w:pStyle w:val="TableParagraph"/>
              <w:spacing w:before="0"/>
              <w:ind w:left="185" w:right="159"/>
              <w:jc w:val="center"/>
              <w:rPr>
                <w:rFonts w:ascii="宋体" w:eastAsia="宋体" w:hint="eastAsia"/>
                <w:sz w:val="21"/>
              </w:rPr>
            </w:pPr>
            <w:r>
              <w:rPr>
                <w:rFonts w:ascii="宋体" w:eastAsia="宋体" w:hint="eastAsia"/>
                <w:sz w:val="21"/>
              </w:rPr>
              <w:t>序号</w:t>
            </w:r>
          </w:p>
        </w:tc>
        <w:tc>
          <w:tcPr>
            <w:tcW w:w="2929" w:type="dxa"/>
          </w:tcPr>
          <w:p>
            <w:pPr>
              <w:pStyle w:val="TableParagraph"/>
              <w:spacing w:before="4"/>
              <w:jc w:val="left"/>
              <w:rPr>
                <w:rFonts w:ascii="宋体"/>
                <w:sz w:val="28"/>
              </w:rPr>
            </w:pPr>
          </w:p>
          <w:p>
            <w:pPr>
              <w:pStyle w:val="TableParagraph"/>
              <w:spacing w:before="0"/>
              <w:ind w:left="1243" w:right="1215"/>
              <w:jc w:val="center"/>
              <w:rPr>
                <w:rFonts w:ascii="宋体" w:eastAsia="宋体" w:hint="eastAsia"/>
                <w:sz w:val="21"/>
              </w:rPr>
            </w:pPr>
            <w:r>
              <w:rPr>
                <w:rFonts w:ascii="宋体" w:eastAsia="宋体" w:hint="eastAsia"/>
                <w:sz w:val="21"/>
              </w:rPr>
              <w:t>项目</w:t>
            </w:r>
          </w:p>
        </w:tc>
        <w:tc>
          <w:tcPr>
            <w:tcW w:w="2482" w:type="dxa"/>
          </w:tcPr>
          <w:p>
            <w:pPr>
              <w:pStyle w:val="TableParagraph"/>
              <w:spacing w:before="4"/>
              <w:jc w:val="left"/>
              <w:rPr>
                <w:rFonts w:ascii="宋体"/>
                <w:sz w:val="28"/>
              </w:rPr>
            </w:pPr>
          </w:p>
          <w:p>
            <w:pPr>
              <w:pStyle w:val="TableParagraph"/>
              <w:spacing w:before="0"/>
              <w:ind w:left="845" w:right="817"/>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2103" w:type="dxa"/>
          </w:tcPr>
          <w:p>
            <w:pPr>
              <w:pStyle w:val="TableParagraph"/>
              <w:spacing w:before="130"/>
              <w:ind w:left="198" w:right="174"/>
              <w:jc w:val="center"/>
              <w:rPr>
                <w:rFonts w:ascii="宋体" w:eastAsia="宋体" w:hint="eastAsia"/>
                <w:sz w:val="21"/>
              </w:rPr>
            </w:pPr>
            <w:r>
              <w:rPr>
                <w:rFonts w:ascii="宋体" w:eastAsia="宋体" w:hint="eastAsia"/>
                <w:sz w:val="21"/>
              </w:rPr>
              <w:t>占基金总资产的比</w:t>
            </w:r>
          </w:p>
          <w:p>
            <w:pPr>
              <w:pStyle w:val="TableParagraph"/>
              <w:spacing w:before="4"/>
              <w:jc w:val="left"/>
              <w:rPr>
                <w:rFonts w:ascii="宋体"/>
                <w:sz w:val="15"/>
              </w:rPr>
            </w:pPr>
          </w:p>
          <w:p>
            <w:pPr>
              <w:pStyle w:val="TableParagraph"/>
              <w:spacing w:before="1"/>
              <w:ind w:left="198" w:right="174"/>
              <w:jc w:val="center"/>
              <w:rPr>
                <w:sz w:val="21"/>
              </w:rPr>
            </w:pPr>
            <w:r>
              <w:rPr>
                <w:rFonts w:ascii="宋体" w:eastAsia="宋体" w:hint="eastAsia"/>
                <w:sz w:val="21"/>
              </w:rPr>
              <w:t>例</w:t>
            </w:r>
            <w:r>
              <w:rPr>
                <w:sz w:val="21"/>
              </w:rPr>
              <w:t>(%)</w:t>
            </w:r>
          </w:p>
        </w:tc>
      </w:tr>
      <w:tr>
        <w:trPr>
          <w:trHeight w:val="496" w:hRule="atLeast"/>
        </w:trPr>
        <w:tc>
          <w:tcPr>
            <w:tcW w:w="814" w:type="dxa"/>
          </w:tcPr>
          <w:p>
            <w:pPr>
              <w:pStyle w:val="TableParagraph"/>
              <w:spacing w:before="142"/>
              <w:ind w:left="25"/>
              <w:jc w:val="center"/>
              <w:rPr>
                <w:sz w:val="21"/>
              </w:rPr>
            </w:pPr>
            <w:r>
              <w:rPr>
                <w:w w:val="100"/>
                <w:sz w:val="21"/>
              </w:rPr>
              <w:t>1</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权益投资</w:t>
            </w:r>
          </w:p>
        </w:tc>
        <w:tc>
          <w:tcPr>
            <w:tcW w:w="2482" w:type="dxa"/>
          </w:tcPr>
          <w:p>
            <w:pPr>
              <w:pStyle w:val="TableParagraph"/>
              <w:spacing w:before="142"/>
              <w:ind w:right="94"/>
              <w:rPr>
                <w:sz w:val="21"/>
              </w:rPr>
            </w:pPr>
            <w:r>
              <w:rPr>
                <w:sz w:val="21"/>
              </w:rPr>
              <w:t>535,274,593.74</w:t>
            </w:r>
          </w:p>
        </w:tc>
        <w:tc>
          <w:tcPr>
            <w:tcW w:w="2103" w:type="dxa"/>
          </w:tcPr>
          <w:p>
            <w:pPr>
              <w:pStyle w:val="TableParagraph"/>
              <w:spacing w:before="142"/>
              <w:ind w:right="94"/>
              <w:rPr>
                <w:sz w:val="21"/>
              </w:rPr>
            </w:pPr>
            <w:r>
              <w:rPr>
                <w:sz w:val="21"/>
              </w:rPr>
              <w:t>81.63</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其中：股票</w:t>
            </w:r>
          </w:p>
        </w:tc>
        <w:tc>
          <w:tcPr>
            <w:tcW w:w="2482" w:type="dxa"/>
          </w:tcPr>
          <w:p>
            <w:pPr>
              <w:pStyle w:val="TableParagraph"/>
              <w:spacing w:before="142"/>
              <w:ind w:right="94"/>
              <w:rPr>
                <w:sz w:val="21"/>
              </w:rPr>
            </w:pPr>
            <w:r>
              <w:rPr>
                <w:sz w:val="21"/>
              </w:rPr>
              <w:t>535,274,593.74</w:t>
            </w:r>
          </w:p>
        </w:tc>
        <w:tc>
          <w:tcPr>
            <w:tcW w:w="2103" w:type="dxa"/>
          </w:tcPr>
          <w:p>
            <w:pPr>
              <w:pStyle w:val="TableParagraph"/>
              <w:spacing w:before="142"/>
              <w:ind w:right="94"/>
              <w:rPr>
                <w:sz w:val="21"/>
              </w:rPr>
            </w:pPr>
            <w:r>
              <w:rPr>
                <w:sz w:val="21"/>
              </w:rPr>
              <w:t>81.63</w:t>
            </w:r>
          </w:p>
        </w:tc>
      </w:tr>
      <w:tr>
        <w:trPr>
          <w:trHeight w:val="499" w:hRule="atLeast"/>
        </w:trPr>
        <w:tc>
          <w:tcPr>
            <w:tcW w:w="814" w:type="dxa"/>
          </w:tcPr>
          <w:p>
            <w:pPr>
              <w:pStyle w:val="TableParagraph"/>
              <w:spacing w:before="144"/>
              <w:ind w:left="25"/>
              <w:jc w:val="center"/>
              <w:rPr>
                <w:sz w:val="21"/>
              </w:rPr>
            </w:pPr>
            <w:r>
              <w:rPr>
                <w:w w:val="100"/>
                <w:sz w:val="21"/>
              </w:rPr>
              <w:t>2</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固定收益投资</w:t>
            </w:r>
          </w:p>
        </w:tc>
        <w:tc>
          <w:tcPr>
            <w:tcW w:w="2482" w:type="dxa"/>
          </w:tcPr>
          <w:p>
            <w:pPr>
              <w:pStyle w:val="TableParagraph"/>
              <w:spacing w:before="144"/>
              <w:ind w:right="94"/>
              <w:rPr>
                <w:sz w:val="21"/>
              </w:rPr>
            </w:pPr>
            <w:r>
              <w:rPr>
                <w:sz w:val="21"/>
              </w:rPr>
              <w:t>1,638,901.64</w:t>
            </w:r>
          </w:p>
        </w:tc>
        <w:tc>
          <w:tcPr>
            <w:tcW w:w="2103" w:type="dxa"/>
          </w:tcPr>
          <w:p>
            <w:pPr>
              <w:pStyle w:val="TableParagraph"/>
              <w:spacing w:before="144"/>
              <w:ind w:right="94"/>
              <w:rPr>
                <w:sz w:val="21"/>
              </w:rPr>
            </w:pPr>
            <w:r>
              <w:rPr>
                <w:sz w:val="21"/>
              </w:rPr>
              <w:t>0.25</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其中：债券</w:t>
            </w:r>
          </w:p>
        </w:tc>
        <w:tc>
          <w:tcPr>
            <w:tcW w:w="2482" w:type="dxa"/>
          </w:tcPr>
          <w:p>
            <w:pPr>
              <w:pStyle w:val="TableParagraph"/>
              <w:spacing w:before="142"/>
              <w:ind w:right="94"/>
              <w:rPr>
                <w:sz w:val="21"/>
              </w:rPr>
            </w:pPr>
            <w:r>
              <w:rPr>
                <w:sz w:val="21"/>
              </w:rPr>
              <w:t>1,638,901.64</w:t>
            </w:r>
          </w:p>
        </w:tc>
        <w:tc>
          <w:tcPr>
            <w:tcW w:w="2103" w:type="dxa"/>
          </w:tcPr>
          <w:p>
            <w:pPr>
              <w:pStyle w:val="TableParagraph"/>
              <w:spacing w:before="142"/>
              <w:ind w:right="94"/>
              <w:rPr>
                <w:sz w:val="21"/>
              </w:rPr>
            </w:pPr>
            <w:r>
              <w:rPr>
                <w:sz w:val="21"/>
              </w:rPr>
              <w:t>0.25</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57"/>
              <w:ind w:left="733"/>
              <w:jc w:val="left"/>
              <w:rPr>
                <w:rFonts w:ascii="宋体" w:eastAsia="宋体" w:hint="eastAsia"/>
                <w:sz w:val="21"/>
              </w:rPr>
            </w:pPr>
            <w:r>
              <w:rPr>
                <w:rFonts w:ascii="宋体" w:eastAsia="宋体" w:hint="eastAsia"/>
                <w:sz w:val="21"/>
              </w:rPr>
              <w:t>资产支持证券</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3</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贵金属投资</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8" w:hRule="atLeast"/>
        </w:trPr>
        <w:tc>
          <w:tcPr>
            <w:tcW w:w="814" w:type="dxa"/>
          </w:tcPr>
          <w:p>
            <w:pPr>
              <w:pStyle w:val="TableParagraph"/>
              <w:spacing w:before="144"/>
              <w:ind w:left="25"/>
              <w:jc w:val="center"/>
              <w:rPr>
                <w:sz w:val="21"/>
              </w:rPr>
            </w:pPr>
            <w:r>
              <w:rPr>
                <w:w w:val="100"/>
                <w:sz w:val="21"/>
              </w:rPr>
              <w:t>4</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金融衍生品投资</w:t>
            </w:r>
          </w:p>
        </w:tc>
        <w:tc>
          <w:tcPr>
            <w:tcW w:w="2482" w:type="dxa"/>
          </w:tcPr>
          <w:p>
            <w:pPr>
              <w:pStyle w:val="TableParagraph"/>
              <w:spacing w:before="144"/>
              <w:ind w:right="96"/>
              <w:rPr>
                <w:sz w:val="21"/>
              </w:rPr>
            </w:pPr>
            <w:r>
              <w:rPr>
                <w:w w:val="100"/>
                <w:sz w:val="21"/>
              </w:rPr>
              <w:t>-</w:t>
            </w:r>
          </w:p>
        </w:tc>
        <w:tc>
          <w:tcPr>
            <w:tcW w:w="2103" w:type="dxa"/>
          </w:tcPr>
          <w:p>
            <w:pPr>
              <w:pStyle w:val="TableParagraph"/>
              <w:spacing w:before="144"/>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5</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买入返售金融资产</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964"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其中：买断式回购的买入返售</w:t>
            </w:r>
          </w:p>
          <w:p>
            <w:pPr>
              <w:pStyle w:val="TableParagraph"/>
              <w:spacing w:before="5"/>
              <w:jc w:val="left"/>
              <w:rPr>
                <w:rFonts w:ascii="宋体"/>
                <w:sz w:val="15"/>
              </w:rPr>
            </w:pPr>
          </w:p>
          <w:p>
            <w:pPr>
              <w:pStyle w:val="TableParagraph"/>
              <w:spacing w:before="0"/>
              <w:ind w:left="124"/>
              <w:jc w:val="left"/>
              <w:rPr>
                <w:rFonts w:ascii="宋体" w:eastAsia="宋体" w:hint="eastAsia"/>
                <w:sz w:val="21"/>
              </w:rPr>
            </w:pPr>
            <w:r>
              <w:rPr>
                <w:rFonts w:ascii="宋体" w:eastAsia="宋体" w:hint="eastAsia"/>
                <w:sz w:val="21"/>
              </w:rPr>
              <w:t>金融资产</w:t>
            </w:r>
          </w:p>
        </w:tc>
        <w:tc>
          <w:tcPr>
            <w:tcW w:w="2482" w:type="dxa"/>
          </w:tcPr>
          <w:p>
            <w:pPr>
              <w:pStyle w:val="TableParagraph"/>
              <w:spacing w:before="5"/>
              <w:jc w:val="left"/>
              <w:rPr>
                <w:rFonts w:ascii="宋体"/>
                <w:sz w:val="29"/>
              </w:rPr>
            </w:pPr>
          </w:p>
          <w:p>
            <w:pPr>
              <w:pStyle w:val="TableParagraph"/>
              <w:spacing w:before="0"/>
              <w:ind w:right="96"/>
              <w:rPr>
                <w:sz w:val="21"/>
              </w:rPr>
            </w:pPr>
            <w:r>
              <w:rPr>
                <w:w w:val="100"/>
                <w:sz w:val="21"/>
              </w:rPr>
              <w:t>-</w:t>
            </w:r>
          </w:p>
        </w:tc>
        <w:tc>
          <w:tcPr>
            <w:tcW w:w="2103" w:type="dxa"/>
          </w:tcPr>
          <w:p>
            <w:pPr>
              <w:pStyle w:val="TableParagraph"/>
              <w:spacing w:before="5"/>
              <w:jc w:val="left"/>
              <w:rPr>
                <w:rFonts w:ascii="宋体"/>
                <w:sz w:val="29"/>
              </w:rPr>
            </w:pPr>
          </w:p>
          <w:p>
            <w:pPr>
              <w:pStyle w:val="TableParagraph"/>
              <w:spacing w:before="0"/>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6</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银行存款和结算备付金合计</w:t>
            </w:r>
          </w:p>
        </w:tc>
        <w:tc>
          <w:tcPr>
            <w:tcW w:w="2482" w:type="dxa"/>
          </w:tcPr>
          <w:p>
            <w:pPr>
              <w:pStyle w:val="TableParagraph"/>
              <w:spacing w:before="142"/>
              <w:ind w:right="94"/>
              <w:rPr>
                <w:sz w:val="21"/>
              </w:rPr>
            </w:pPr>
            <w:r>
              <w:rPr>
                <w:sz w:val="21"/>
              </w:rPr>
              <w:t>103,217,759.79</w:t>
            </w:r>
          </w:p>
        </w:tc>
        <w:tc>
          <w:tcPr>
            <w:tcW w:w="2103" w:type="dxa"/>
          </w:tcPr>
          <w:p>
            <w:pPr>
              <w:pStyle w:val="TableParagraph"/>
              <w:spacing w:before="142"/>
              <w:ind w:right="94"/>
              <w:rPr>
                <w:sz w:val="21"/>
              </w:rPr>
            </w:pPr>
            <w:r>
              <w:rPr>
                <w:sz w:val="21"/>
              </w:rPr>
              <w:t>15.74</w:t>
            </w:r>
          </w:p>
        </w:tc>
      </w:tr>
      <w:tr>
        <w:trPr>
          <w:trHeight w:val="498" w:hRule="atLeast"/>
        </w:trPr>
        <w:tc>
          <w:tcPr>
            <w:tcW w:w="814" w:type="dxa"/>
          </w:tcPr>
          <w:p>
            <w:pPr>
              <w:pStyle w:val="TableParagraph"/>
              <w:spacing w:before="144"/>
              <w:ind w:left="25"/>
              <w:jc w:val="center"/>
              <w:rPr>
                <w:sz w:val="21"/>
              </w:rPr>
            </w:pPr>
            <w:r>
              <w:rPr>
                <w:w w:val="100"/>
                <w:sz w:val="21"/>
              </w:rPr>
              <w:t>7</w:t>
            </w:r>
          </w:p>
        </w:tc>
        <w:tc>
          <w:tcPr>
            <w:tcW w:w="2929" w:type="dxa"/>
          </w:tcPr>
          <w:p>
            <w:pPr>
              <w:pStyle w:val="TableParagraph"/>
              <w:spacing w:before="116"/>
              <w:ind w:left="107"/>
              <w:jc w:val="left"/>
              <w:rPr>
                <w:rFonts w:ascii="宋体" w:eastAsia="宋体" w:hint="eastAsia"/>
                <w:sz w:val="21"/>
              </w:rPr>
            </w:pPr>
            <w:r>
              <w:rPr>
                <w:rFonts w:ascii="宋体" w:eastAsia="宋体" w:hint="eastAsia"/>
                <w:sz w:val="21"/>
              </w:rPr>
              <w:t>其他各项资产</w:t>
            </w:r>
          </w:p>
        </w:tc>
        <w:tc>
          <w:tcPr>
            <w:tcW w:w="2482" w:type="dxa"/>
          </w:tcPr>
          <w:p>
            <w:pPr>
              <w:pStyle w:val="TableParagraph"/>
              <w:spacing w:before="127"/>
              <w:ind w:right="94"/>
              <w:rPr>
                <w:sz w:val="21"/>
              </w:rPr>
            </w:pPr>
            <w:r>
              <w:rPr>
                <w:sz w:val="21"/>
              </w:rPr>
              <w:t>15,577,936.64</w:t>
            </w:r>
          </w:p>
        </w:tc>
        <w:tc>
          <w:tcPr>
            <w:tcW w:w="2103" w:type="dxa"/>
          </w:tcPr>
          <w:p>
            <w:pPr>
              <w:pStyle w:val="TableParagraph"/>
              <w:spacing w:before="127"/>
              <w:ind w:right="94"/>
              <w:rPr>
                <w:sz w:val="21"/>
              </w:rPr>
            </w:pPr>
            <w:r>
              <w:rPr>
                <w:sz w:val="21"/>
              </w:rPr>
              <w:t>2.38</w:t>
            </w:r>
          </w:p>
        </w:tc>
      </w:tr>
      <w:tr>
        <w:trPr>
          <w:trHeight w:val="496" w:hRule="atLeast"/>
        </w:trPr>
        <w:tc>
          <w:tcPr>
            <w:tcW w:w="814" w:type="dxa"/>
          </w:tcPr>
          <w:p>
            <w:pPr>
              <w:pStyle w:val="TableParagraph"/>
              <w:spacing w:before="142"/>
              <w:ind w:left="25"/>
              <w:jc w:val="center"/>
              <w:rPr>
                <w:sz w:val="21"/>
              </w:rPr>
            </w:pPr>
            <w:r>
              <w:rPr>
                <w:w w:val="100"/>
                <w:sz w:val="21"/>
              </w:rPr>
              <w:t>8</w:t>
            </w:r>
          </w:p>
        </w:tc>
        <w:tc>
          <w:tcPr>
            <w:tcW w:w="2929" w:type="dxa"/>
          </w:tcPr>
          <w:p>
            <w:pPr>
              <w:pStyle w:val="TableParagraph"/>
              <w:spacing w:before="114"/>
              <w:ind w:left="107"/>
              <w:jc w:val="left"/>
              <w:rPr>
                <w:rFonts w:ascii="宋体" w:eastAsia="宋体" w:hint="eastAsia"/>
                <w:sz w:val="21"/>
              </w:rPr>
            </w:pPr>
            <w:r>
              <w:rPr>
                <w:rFonts w:ascii="宋体" w:eastAsia="宋体" w:hint="eastAsia"/>
                <w:sz w:val="21"/>
              </w:rPr>
              <w:t>合计</w:t>
            </w:r>
          </w:p>
        </w:tc>
        <w:tc>
          <w:tcPr>
            <w:tcW w:w="2482" w:type="dxa"/>
          </w:tcPr>
          <w:p>
            <w:pPr>
              <w:pStyle w:val="TableParagraph"/>
              <w:spacing w:before="125"/>
              <w:ind w:right="94"/>
              <w:rPr>
                <w:sz w:val="21"/>
              </w:rPr>
            </w:pPr>
            <w:r>
              <w:rPr>
                <w:sz w:val="21"/>
              </w:rPr>
              <w:t>655,709,191.81</w:t>
            </w:r>
          </w:p>
        </w:tc>
        <w:tc>
          <w:tcPr>
            <w:tcW w:w="2103" w:type="dxa"/>
          </w:tcPr>
          <w:p>
            <w:pPr>
              <w:pStyle w:val="TableParagraph"/>
              <w:spacing w:before="125"/>
              <w:ind w:right="94"/>
              <w:rPr>
                <w:sz w:val="21"/>
              </w:rPr>
            </w:pPr>
            <w:r>
              <w:rPr>
                <w:sz w:val="21"/>
              </w:rPr>
              <w:t>100.00</w:t>
            </w:r>
          </w:p>
        </w:tc>
      </w:tr>
    </w:tbl>
    <w:p>
      <w:pPr>
        <w:pStyle w:val="BodyText"/>
        <w:spacing w:line="417" w:lineRule="auto" w:before="99"/>
        <w:ind w:left="220" w:right="593" w:firstLine="419"/>
      </w:pPr>
      <w:r>
        <w:rPr>
          <w:spacing w:val="-8"/>
        </w:rPr>
        <w:t>注：本基金本报告期末通过港股通机制投资香港股票的公允价值为 </w:t>
      </w:r>
      <w:r>
        <w:rPr>
          <w:rFonts w:ascii="Times New Roman" w:eastAsia="Times New Roman"/>
        </w:rPr>
        <w:t>6,435,933.82 </w:t>
      </w:r>
      <w:r>
        <w:rPr>
          <w:spacing w:val="-9"/>
        </w:rPr>
        <w:t>元，占</w:t>
      </w:r>
      <w:r>
        <w:rPr>
          <w:spacing w:val="-10"/>
        </w:rPr>
        <w:t>基金资产净值比例为 </w:t>
      </w:r>
      <w:r>
        <w:rPr>
          <w:rFonts w:ascii="Times New Roman" w:eastAsia="Times New Roman"/>
        </w:rPr>
        <w:t>1%</w:t>
      </w:r>
      <w:r>
        <w:rPr/>
        <w:t>。</w:t>
      </w:r>
    </w:p>
    <w:p>
      <w:pPr>
        <w:pStyle w:val="ListParagraph"/>
        <w:numPr>
          <w:ilvl w:val="1"/>
          <w:numId w:val="24"/>
        </w:numPr>
        <w:tabs>
          <w:tab w:pos="590" w:val="left" w:leader="none"/>
        </w:tabs>
        <w:spacing w:line="269" w:lineRule="exact" w:before="0" w:after="0"/>
        <w:ind w:left="590" w:right="0" w:hanging="370"/>
        <w:jc w:val="left"/>
        <w:rPr>
          <w:rFonts w:ascii="Times New Roman" w:eastAsia="Times New Roman"/>
          <w:sz w:val="21"/>
        </w:rPr>
      </w:pPr>
      <w:r>
        <w:rPr>
          <w:spacing w:val="-3"/>
          <w:sz w:val="21"/>
        </w:rPr>
        <w:t>报告期末按行业分类的股票投资组合</w:t>
      </w:r>
    </w:p>
    <w:p>
      <w:pPr>
        <w:pStyle w:val="BodyText"/>
        <w:spacing w:before="7"/>
        <w:rPr>
          <w:sz w:val="15"/>
        </w:rPr>
      </w:pPr>
    </w:p>
    <w:p>
      <w:pPr>
        <w:pStyle w:val="ListParagraph"/>
        <w:numPr>
          <w:ilvl w:val="2"/>
          <w:numId w:val="24"/>
        </w:numPr>
        <w:tabs>
          <w:tab w:pos="746" w:val="left" w:leader="none"/>
        </w:tabs>
        <w:spacing w:line="240" w:lineRule="auto" w:before="1" w:after="0"/>
        <w:ind w:left="746" w:right="0" w:hanging="526"/>
        <w:jc w:val="left"/>
        <w:rPr>
          <w:sz w:val="21"/>
        </w:rPr>
      </w:pPr>
      <w:r>
        <w:rPr>
          <w:spacing w:val="-3"/>
          <w:sz w:val="21"/>
        </w:rPr>
        <w:t>报告期末按行业分类的境内股票投资组合</w:t>
      </w:r>
    </w:p>
    <w:p>
      <w:pPr>
        <w:pStyle w:val="BodyText"/>
        <w:spacing w:before="9"/>
        <w:rPr>
          <w:sz w:val="7"/>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815" w:hRule="atLeast"/>
        </w:trPr>
        <w:tc>
          <w:tcPr>
            <w:tcW w:w="710" w:type="dxa"/>
          </w:tcPr>
          <w:p>
            <w:pPr>
              <w:pStyle w:val="TableParagraph"/>
              <w:spacing w:before="4"/>
              <w:jc w:val="left"/>
              <w:rPr>
                <w:rFonts w:ascii="宋体"/>
                <w:sz w:val="25"/>
              </w:rPr>
            </w:pPr>
          </w:p>
          <w:p>
            <w:pPr>
              <w:pStyle w:val="TableParagraph"/>
              <w:spacing w:before="0"/>
              <w:ind w:left="125" w:right="115"/>
              <w:jc w:val="center"/>
              <w:rPr>
                <w:rFonts w:ascii="宋体" w:eastAsia="宋体" w:hint="eastAsia"/>
                <w:sz w:val="21"/>
              </w:rPr>
            </w:pPr>
            <w:r>
              <w:rPr>
                <w:rFonts w:ascii="宋体" w:eastAsia="宋体" w:hint="eastAsia"/>
                <w:sz w:val="21"/>
              </w:rPr>
              <w:t>代码</w:t>
            </w:r>
          </w:p>
        </w:tc>
        <w:tc>
          <w:tcPr>
            <w:tcW w:w="3521" w:type="dxa"/>
          </w:tcPr>
          <w:p>
            <w:pPr>
              <w:pStyle w:val="TableParagraph"/>
              <w:spacing w:before="4"/>
              <w:jc w:val="left"/>
              <w:rPr>
                <w:rFonts w:ascii="宋体"/>
                <w:sz w:val="25"/>
              </w:rPr>
            </w:pPr>
          </w:p>
          <w:p>
            <w:pPr>
              <w:pStyle w:val="TableParagraph"/>
              <w:spacing w:before="0"/>
              <w:ind w:left="1321" w:right="1310"/>
              <w:jc w:val="center"/>
              <w:rPr>
                <w:rFonts w:ascii="宋体" w:eastAsia="宋体" w:hint="eastAsia"/>
                <w:sz w:val="21"/>
              </w:rPr>
            </w:pPr>
            <w:r>
              <w:rPr>
                <w:rFonts w:ascii="宋体" w:eastAsia="宋体" w:hint="eastAsia"/>
                <w:sz w:val="21"/>
              </w:rPr>
              <w:t>行业类别</w:t>
            </w:r>
          </w:p>
        </w:tc>
        <w:tc>
          <w:tcPr>
            <w:tcW w:w="2009" w:type="dxa"/>
          </w:tcPr>
          <w:p>
            <w:pPr>
              <w:pStyle w:val="TableParagraph"/>
              <w:spacing w:before="4"/>
              <w:jc w:val="left"/>
              <w:rPr>
                <w:rFonts w:ascii="宋体"/>
                <w:sz w:val="25"/>
              </w:rPr>
            </w:pPr>
          </w:p>
          <w:p>
            <w:pPr>
              <w:pStyle w:val="TableParagraph"/>
              <w:spacing w:before="0"/>
              <w:ind w:left="266"/>
              <w:jc w:val="left"/>
              <w:rPr>
                <w:rFonts w:ascii="宋体" w:eastAsia="宋体" w:hint="eastAsia"/>
                <w:sz w:val="21"/>
              </w:rPr>
            </w:pPr>
            <w:r>
              <w:rPr>
                <w:rFonts w:ascii="宋体" w:eastAsia="宋体" w:hint="eastAsia"/>
                <w:sz w:val="21"/>
              </w:rPr>
              <w:t>公允价值（元）</w:t>
            </w:r>
          </w:p>
        </w:tc>
        <w:tc>
          <w:tcPr>
            <w:tcW w:w="2076" w:type="dxa"/>
          </w:tcPr>
          <w:p>
            <w:pPr>
              <w:pStyle w:val="TableParagraph"/>
              <w:spacing w:before="123"/>
              <w:ind w:left="73" w:right="62"/>
              <w:jc w:val="center"/>
              <w:rPr>
                <w:rFonts w:ascii="宋体" w:eastAsia="宋体" w:hint="eastAsia"/>
                <w:sz w:val="21"/>
              </w:rPr>
            </w:pPr>
            <w:r>
              <w:rPr>
                <w:rFonts w:ascii="宋体" w:eastAsia="宋体" w:hint="eastAsia"/>
                <w:sz w:val="21"/>
              </w:rPr>
              <w:t>占基金资产净值比例</w:t>
            </w:r>
          </w:p>
          <w:p>
            <w:pPr>
              <w:pStyle w:val="TableParagraph"/>
              <w:spacing w:before="132"/>
              <w:ind w:left="73" w:right="60"/>
              <w:jc w:val="center"/>
              <w:rPr>
                <w:rFonts w:ascii="宋体" w:eastAsia="宋体" w:hint="eastAsia"/>
                <w:sz w:val="21"/>
              </w:rPr>
            </w:pPr>
            <w:r>
              <w:rPr>
                <w:rFonts w:ascii="宋体" w:eastAsia="宋体" w:hint="eastAsia"/>
                <w:sz w:val="21"/>
              </w:rPr>
              <w:t>（％）</w:t>
            </w:r>
          </w:p>
        </w:tc>
      </w:tr>
      <w:tr>
        <w:trPr>
          <w:trHeight w:val="510" w:hRule="atLeast"/>
        </w:trPr>
        <w:tc>
          <w:tcPr>
            <w:tcW w:w="710" w:type="dxa"/>
          </w:tcPr>
          <w:p>
            <w:pPr>
              <w:pStyle w:val="TableParagraph"/>
              <w:spacing w:before="185"/>
              <w:ind w:left="13"/>
              <w:jc w:val="center"/>
              <w:rPr>
                <w:sz w:val="21"/>
              </w:rPr>
            </w:pPr>
            <w:r>
              <w:rPr>
                <w:w w:val="100"/>
                <w:sz w:val="21"/>
              </w:rPr>
              <w:t>A</w:t>
            </w:r>
          </w:p>
        </w:tc>
        <w:tc>
          <w:tcPr>
            <w:tcW w:w="3521" w:type="dxa"/>
          </w:tcPr>
          <w:p>
            <w:pPr>
              <w:pStyle w:val="TableParagraph"/>
              <w:spacing w:before="171"/>
              <w:ind w:left="14"/>
              <w:jc w:val="left"/>
              <w:rPr>
                <w:rFonts w:ascii="宋体" w:eastAsia="宋体" w:hint="eastAsia"/>
                <w:sz w:val="21"/>
              </w:rPr>
            </w:pPr>
            <w:r>
              <w:rPr>
                <w:rFonts w:ascii="宋体" w:eastAsia="宋体" w:hint="eastAsia"/>
                <w:sz w:val="21"/>
              </w:rPr>
              <w:t>农、林、牧、渔业</w:t>
            </w:r>
          </w:p>
        </w:tc>
        <w:tc>
          <w:tcPr>
            <w:tcW w:w="2009" w:type="dxa"/>
          </w:tcPr>
          <w:p>
            <w:pPr>
              <w:pStyle w:val="TableParagraph"/>
              <w:spacing w:before="156"/>
              <w:ind w:right="-15"/>
              <w:rPr>
                <w:sz w:val="21"/>
              </w:rPr>
            </w:pPr>
            <w:r>
              <w:rPr>
                <w:w w:val="100"/>
                <w:sz w:val="21"/>
              </w:rPr>
              <w:t>-</w:t>
            </w:r>
          </w:p>
        </w:tc>
        <w:tc>
          <w:tcPr>
            <w:tcW w:w="2076" w:type="dxa"/>
          </w:tcPr>
          <w:p>
            <w:pPr>
              <w:pStyle w:val="TableParagraph"/>
              <w:spacing w:before="156"/>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B</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采矿业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C</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制造业</w:t>
            </w:r>
          </w:p>
        </w:tc>
        <w:tc>
          <w:tcPr>
            <w:tcW w:w="2009" w:type="dxa"/>
          </w:tcPr>
          <w:p>
            <w:pPr>
              <w:pStyle w:val="TableParagraph"/>
              <w:spacing w:before="94"/>
              <w:ind w:right="-15"/>
              <w:rPr>
                <w:sz w:val="21"/>
              </w:rPr>
            </w:pPr>
            <w:r>
              <w:rPr>
                <w:sz w:val="21"/>
              </w:rPr>
              <w:t>315,386,198.13</w:t>
            </w:r>
          </w:p>
        </w:tc>
        <w:tc>
          <w:tcPr>
            <w:tcW w:w="2076" w:type="dxa"/>
          </w:tcPr>
          <w:p>
            <w:pPr>
              <w:pStyle w:val="TableParagraph"/>
              <w:spacing w:before="137"/>
              <w:rPr>
                <w:sz w:val="21"/>
              </w:rPr>
            </w:pPr>
            <w:r>
              <w:rPr>
                <w:sz w:val="21"/>
              </w:rPr>
              <w:t>48.80</w:t>
            </w:r>
          </w:p>
        </w:tc>
      </w:tr>
      <w:tr>
        <w:trPr>
          <w:trHeight w:val="417" w:hRule="atLeast"/>
        </w:trPr>
        <w:tc>
          <w:tcPr>
            <w:tcW w:w="710" w:type="dxa"/>
          </w:tcPr>
          <w:p>
            <w:pPr>
              <w:pStyle w:val="TableParagraph"/>
              <w:spacing w:before="139"/>
              <w:ind w:left="13"/>
              <w:jc w:val="center"/>
              <w:rPr>
                <w:sz w:val="21"/>
              </w:rPr>
            </w:pPr>
            <w:r>
              <w:rPr>
                <w:w w:val="100"/>
                <w:sz w:val="21"/>
              </w:rPr>
              <w:t>D</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电力、热力、燃气及水生产和供应业</w:t>
            </w:r>
          </w:p>
        </w:tc>
        <w:tc>
          <w:tcPr>
            <w:tcW w:w="2009" w:type="dxa"/>
          </w:tcPr>
          <w:p>
            <w:pPr>
              <w:pStyle w:val="TableParagraph"/>
              <w:spacing w:before="94"/>
              <w:ind w:right="-15"/>
              <w:rPr>
                <w:sz w:val="21"/>
              </w:rPr>
            </w:pPr>
            <w:r>
              <w:rPr>
                <w:sz w:val="21"/>
              </w:rPr>
              <w:t>12,766.32</w:t>
            </w:r>
          </w:p>
        </w:tc>
        <w:tc>
          <w:tcPr>
            <w:tcW w:w="2076" w:type="dxa"/>
          </w:tcPr>
          <w:p>
            <w:pPr>
              <w:pStyle w:val="TableParagraph"/>
              <w:spacing w:before="94"/>
              <w:rPr>
                <w:sz w:val="21"/>
              </w:rPr>
            </w:pPr>
            <w:r>
              <w:rPr>
                <w:sz w:val="21"/>
              </w:rPr>
              <w:t>0.00</w:t>
            </w:r>
          </w:p>
        </w:tc>
      </w:tr>
      <w:tr>
        <w:trPr>
          <w:trHeight w:val="415" w:hRule="atLeast"/>
        </w:trPr>
        <w:tc>
          <w:tcPr>
            <w:tcW w:w="710" w:type="dxa"/>
          </w:tcPr>
          <w:p>
            <w:pPr>
              <w:pStyle w:val="TableParagraph"/>
              <w:spacing w:before="137"/>
              <w:ind w:left="14"/>
              <w:jc w:val="center"/>
              <w:rPr>
                <w:sz w:val="21"/>
              </w:rPr>
            </w:pPr>
            <w:r>
              <w:rPr>
                <w:w w:val="100"/>
                <w:sz w:val="21"/>
              </w:rPr>
              <w:t>E</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建筑业</w:t>
            </w:r>
          </w:p>
        </w:tc>
        <w:tc>
          <w:tcPr>
            <w:tcW w:w="2009" w:type="dxa"/>
          </w:tcPr>
          <w:p>
            <w:pPr>
              <w:pStyle w:val="TableParagraph"/>
              <w:spacing w:before="92"/>
              <w:ind w:right="-15"/>
              <w:rPr>
                <w:sz w:val="21"/>
              </w:rPr>
            </w:pPr>
            <w:r>
              <w:rPr>
                <w:w w:val="100"/>
                <w:sz w:val="21"/>
              </w:rPr>
              <w:t>-</w:t>
            </w:r>
          </w:p>
        </w:tc>
        <w:tc>
          <w:tcPr>
            <w:tcW w:w="2076" w:type="dxa"/>
          </w:tcPr>
          <w:p>
            <w:pPr>
              <w:pStyle w:val="TableParagraph"/>
              <w:spacing w:before="92"/>
              <w:rPr>
                <w:sz w:val="21"/>
              </w:rPr>
            </w:pPr>
            <w:r>
              <w:rPr>
                <w:w w:val="100"/>
                <w:sz w:val="21"/>
              </w:rPr>
              <w:t>-</w:t>
            </w:r>
          </w:p>
        </w:tc>
      </w:tr>
    </w:tbl>
    <w:p>
      <w:pPr>
        <w:spacing w:after="0"/>
        <w:rPr>
          <w:sz w:val="21"/>
        </w:rPr>
        <w:sectPr>
          <w:pgSz w:w="11910" w:h="16840"/>
          <w:pgMar w:header="877" w:footer="995" w:top="1420" w:bottom="1180" w:left="1580" w:right="1200"/>
        </w:sect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415" w:hRule="atLeast"/>
        </w:trPr>
        <w:tc>
          <w:tcPr>
            <w:tcW w:w="710" w:type="dxa"/>
          </w:tcPr>
          <w:p>
            <w:pPr>
              <w:pStyle w:val="TableParagraph"/>
              <w:spacing w:before="137"/>
              <w:ind w:left="297"/>
              <w:jc w:val="left"/>
              <w:rPr>
                <w:sz w:val="21"/>
              </w:rPr>
            </w:pPr>
            <w:r>
              <w:rPr>
                <w:w w:val="100"/>
                <w:sz w:val="21"/>
              </w:rPr>
              <w:t>F</w:t>
            </w: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批发和零售业</w:t>
            </w:r>
          </w:p>
        </w:tc>
        <w:tc>
          <w:tcPr>
            <w:tcW w:w="2009" w:type="dxa"/>
          </w:tcPr>
          <w:p>
            <w:pPr>
              <w:pStyle w:val="TableParagraph"/>
              <w:spacing w:before="94"/>
              <w:ind w:right="-15"/>
              <w:rPr>
                <w:sz w:val="21"/>
              </w:rPr>
            </w:pPr>
            <w:r>
              <w:rPr>
                <w:sz w:val="21"/>
              </w:rPr>
              <w:t>13,811,620.00</w:t>
            </w:r>
          </w:p>
        </w:tc>
        <w:tc>
          <w:tcPr>
            <w:tcW w:w="2076" w:type="dxa"/>
          </w:tcPr>
          <w:p>
            <w:pPr>
              <w:pStyle w:val="TableParagraph"/>
              <w:spacing w:before="94"/>
              <w:rPr>
                <w:sz w:val="21"/>
              </w:rPr>
            </w:pPr>
            <w:r>
              <w:rPr>
                <w:sz w:val="21"/>
              </w:rPr>
              <w:t>2.14</w:t>
            </w:r>
          </w:p>
        </w:tc>
      </w:tr>
      <w:tr>
        <w:trPr>
          <w:trHeight w:val="414" w:hRule="atLeast"/>
        </w:trPr>
        <w:tc>
          <w:tcPr>
            <w:tcW w:w="710" w:type="dxa"/>
          </w:tcPr>
          <w:p>
            <w:pPr>
              <w:pStyle w:val="TableParagraph"/>
              <w:spacing w:before="139"/>
              <w:ind w:left="280"/>
              <w:jc w:val="left"/>
              <w:rPr>
                <w:sz w:val="21"/>
              </w:rPr>
            </w:pPr>
            <w:r>
              <w:rPr>
                <w:w w:val="100"/>
                <w:sz w:val="21"/>
              </w:rPr>
              <w:t>G</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交通运输、仓储和邮政业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280"/>
              <w:jc w:val="left"/>
              <w:rPr>
                <w:sz w:val="21"/>
              </w:rPr>
            </w:pPr>
            <w:r>
              <w:rPr>
                <w:w w:val="100"/>
                <w:sz w:val="21"/>
              </w:rPr>
              <w:t>H</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住宿和餐饮业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321"/>
              <w:jc w:val="left"/>
              <w:rPr>
                <w:sz w:val="21"/>
              </w:rPr>
            </w:pPr>
            <w:r>
              <w:rPr>
                <w:w w:val="100"/>
                <w:sz w:val="21"/>
              </w:rPr>
              <w:t>I</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信息传输、软件和信息技术服务业</w:t>
            </w:r>
          </w:p>
        </w:tc>
        <w:tc>
          <w:tcPr>
            <w:tcW w:w="2009" w:type="dxa"/>
          </w:tcPr>
          <w:p>
            <w:pPr>
              <w:pStyle w:val="TableParagraph"/>
              <w:spacing w:before="94"/>
              <w:ind w:right="-15"/>
              <w:rPr>
                <w:sz w:val="21"/>
              </w:rPr>
            </w:pPr>
            <w:r>
              <w:rPr>
                <w:sz w:val="21"/>
              </w:rPr>
              <w:t>162,638,471.77</w:t>
            </w:r>
          </w:p>
        </w:tc>
        <w:tc>
          <w:tcPr>
            <w:tcW w:w="2076" w:type="dxa"/>
          </w:tcPr>
          <w:p>
            <w:pPr>
              <w:pStyle w:val="TableParagraph"/>
              <w:spacing w:before="94"/>
              <w:rPr>
                <w:sz w:val="21"/>
              </w:rPr>
            </w:pPr>
            <w:r>
              <w:rPr>
                <w:sz w:val="21"/>
              </w:rPr>
              <w:t>25.17</w:t>
            </w:r>
          </w:p>
        </w:tc>
      </w:tr>
      <w:tr>
        <w:trPr>
          <w:trHeight w:val="414" w:hRule="atLeast"/>
        </w:trPr>
        <w:tc>
          <w:tcPr>
            <w:tcW w:w="710" w:type="dxa"/>
          </w:tcPr>
          <w:p>
            <w:pPr>
              <w:pStyle w:val="TableParagraph"/>
              <w:spacing w:before="139"/>
              <w:ind w:left="314"/>
              <w:jc w:val="left"/>
              <w:rPr>
                <w:sz w:val="21"/>
              </w:rPr>
            </w:pPr>
            <w:r>
              <w:rPr>
                <w:w w:val="100"/>
                <w:sz w:val="21"/>
              </w:rPr>
              <w:t>J</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金融业</w:t>
            </w:r>
          </w:p>
        </w:tc>
        <w:tc>
          <w:tcPr>
            <w:tcW w:w="2009" w:type="dxa"/>
          </w:tcPr>
          <w:p>
            <w:pPr>
              <w:pStyle w:val="TableParagraph"/>
              <w:spacing w:before="94"/>
              <w:ind w:right="-15"/>
              <w:rPr>
                <w:sz w:val="21"/>
              </w:rPr>
            </w:pPr>
            <w:r>
              <w:rPr>
                <w:sz w:val="21"/>
              </w:rPr>
              <w:t>12,120,000.00</w:t>
            </w:r>
          </w:p>
        </w:tc>
        <w:tc>
          <w:tcPr>
            <w:tcW w:w="2076" w:type="dxa"/>
          </w:tcPr>
          <w:p>
            <w:pPr>
              <w:pStyle w:val="TableParagraph"/>
              <w:spacing w:before="94"/>
              <w:rPr>
                <w:sz w:val="21"/>
              </w:rPr>
            </w:pPr>
            <w:r>
              <w:rPr>
                <w:sz w:val="21"/>
              </w:rPr>
              <w:t>1.88</w:t>
            </w:r>
          </w:p>
        </w:tc>
      </w:tr>
      <w:tr>
        <w:trPr>
          <w:trHeight w:val="417" w:hRule="atLeast"/>
        </w:trPr>
        <w:tc>
          <w:tcPr>
            <w:tcW w:w="710" w:type="dxa"/>
          </w:tcPr>
          <w:p>
            <w:pPr>
              <w:pStyle w:val="TableParagraph"/>
              <w:spacing w:before="139"/>
              <w:ind w:left="280"/>
              <w:jc w:val="left"/>
              <w:rPr>
                <w:sz w:val="21"/>
              </w:rPr>
            </w:pPr>
            <w:r>
              <w:rPr>
                <w:w w:val="100"/>
                <w:sz w:val="21"/>
              </w:rPr>
              <w:t>K</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房地产业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7"/>
              <w:ind w:left="292"/>
              <w:jc w:val="left"/>
              <w:rPr>
                <w:sz w:val="21"/>
              </w:rPr>
            </w:pPr>
            <w:r>
              <w:rPr>
                <w:w w:val="100"/>
                <w:sz w:val="21"/>
              </w:rPr>
              <w:t>L</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租赁和商务服务业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4" w:hRule="atLeast"/>
        </w:trPr>
        <w:tc>
          <w:tcPr>
            <w:tcW w:w="710" w:type="dxa"/>
          </w:tcPr>
          <w:p>
            <w:pPr>
              <w:pStyle w:val="TableParagraph"/>
              <w:spacing w:before="137"/>
              <w:ind w:left="261"/>
              <w:jc w:val="left"/>
              <w:rPr>
                <w:sz w:val="21"/>
              </w:rPr>
            </w:pPr>
            <w:r>
              <w:rPr>
                <w:w w:val="100"/>
                <w:sz w:val="21"/>
              </w:rPr>
              <w:t>M</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科学研究和技术服务业</w:t>
            </w:r>
          </w:p>
        </w:tc>
        <w:tc>
          <w:tcPr>
            <w:tcW w:w="2009" w:type="dxa"/>
          </w:tcPr>
          <w:p>
            <w:pPr>
              <w:pStyle w:val="TableParagraph"/>
              <w:spacing w:before="91"/>
              <w:ind w:right="-15"/>
              <w:rPr>
                <w:sz w:val="21"/>
              </w:rPr>
            </w:pPr>
            <w:r>
              <w:rPr>
                <w:sz w:val="21"/>
              </w:rPr>
              <w:t>402,083.70</w:t>
            </w:r>
          </w:p>
        </w:tc>
        <w:tc>
          <w:tcPr>
            <w:tcW w:w="2076" w:type="dxa"/>
          </w:tcPr>
          <w:p>
            <w:pPr>
              <w:pStyle w:val="TableParagraph"/>
              <w:spacing w:before="91"/>
              <w:rPr>
                <w:sz w:val="21"/>
              </w:rPr>
            </w:pPr>
            <w:r>
              <w:rPr>
                <w:sz w:val="21"/>
              </w:rPr>
              <w:t>0.06</w:t>
            </w:r>
          </w:p>
        </w:tc>
      </w:tr>
      <w:tr>
        <w:trPr>
          <w:trHeight w:val="415" w:hRule="atLeast"/>
        </w:trPr>
        <w:tc>
          <w:tcPr>
            <w:tcW w:w="710" w:type="dxa"/>
          </w:tcPr>
          <w:p>
            <w:pPr>
              <w:pStyle w:val="TableParagraph"/>
              <w:spacing w:before="138"/>
              <w:ind w:left="280"/>
              <w:jc w:val="left"/>
              <w:rPr>
                <w:sz w:val="21"/>
              </w:rPr>
            </w:pPr>
            <w:r>
              <w:rPr>
                <w:w w:val="100"/>
                <w:sz w:val="21"/>
              </w:rPr>
              <w:t>N</w:t>
            </w: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水利、环境和公共设施管理业</w:t>
            </w:r>
          </w:p>
        </w:tc>
        <w:tc>
          <w:tcPr>
            <w:tcW w:w="2009" w:type="dxa"/>
          </w:tcPr>
          <w:p>
            <w:pPr>
              <w:pStyle w:val="TableParagraph"/>
              <w:spacing w:before="92"/>
              <w:ind w:right="-15"/>
              <w:rPr>
                <w:sz w:val="21"/>
              </w:rPr>
            </w:pPr>
            <w:r>
              <w:rPr>
                <w:sz w:val="21"/>
              </w:rPr>
              <w:t>147,789.60</w:t>
            </w:r>
          </w:p>
        </w:tc>
        <w:tc>
          <w:tcPr>
            <w:tcW w:w="2076" w:type="dxa"/>
          </w:tcPr>
          <w:p>
            <w:pPr>
              <w:pStyle w:val="TableParagraph"/>
              <w:spacing w:before="92"/>
              <w:rPr>
                <w:sz w:val="21"/>
              </w:rPr>
            </w:pPr>
            <w:r>
              <w:rPr>
                <w:sz w:val="21"/>
              </w:rPr>
              <w:t>0.02</w:t>
            </w:r>
          </w:p>
        </w:tc>
      </w:tr>
      <w:tr>
        <w:trPr>
          <w:trHeight w:val="414" w:hRule="atLeast"/>
        </w:trPr>
        <w:tc>
          <w:tcPr>
            <w:tcW w:w="710" w:type="dxa"/>
          </w:tcPr>
          <w:p>
            <w:pPr>
              <w:pStyle w:val="TableParagraph"/>
              <w:spacing w:before="137"/>
              <w:ind w:left="280"/>
              <w:jc w:val="left"/>
              <w:rPr>
                <w:sz w:val="21"/>
              </w:rPr>
            </w:pPr>
            <w:r>
              <w:rPr>
                <w:w w:val="100"/>
                <w:sz w:val="21"/>
              </w:rPr>
              <w:t>O</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居民服务、修理和其他服务业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4" w:hRule="atLeast"/>
        </w:trPr>
        <w:tc>
          <w:tcPr>
            <w:tcW w:w="710" w:type="dxa"/>
          </w:tcPr>
          <w:p>
            <w:pPr>
              <w:pStyle w:val="TableParagraph"/>
              <w:spacing w:before="137"/>
              <w:ind w:left="297"/>
              <w:jc w:val="left"/>
              <w:rPr>
                <w:sz w:val="21"/>
              </w:rPr>
            </w:pPr>
            <w:r>
              <w:rPr>
                <w:w w:val="100"/>
                <w:sz w:val="21"/>
              </w:rPr>
              <w:t>P</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教育</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7"/>
              <w:ind w:left="280"/>
              <w:jc w:val="left"/>
              <w:rPr>
                <w:sz w:val="21"/>
              </w:rPr>
            </w:pPr>
            <w:r>
              <w:rPr>
                <w:w w:val="100"/>
                <w:sz w:val="21"/>
              </w:rPr>
              <w:t>Q</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卫生和社会工作</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7"/>
              <w:ind w:left="285"/>
              <w:jc w:val="left"/>
              <w:rPr>
                <w:sz w:val="21"/>
              </w:rPr>
            </w:pPr>
            <w:r>
              <w:rPr>
                <w:w w:val="100"/>
                <w:sz w:val="21"/>
              </w:rPr>
              <w:t>R</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文化、体育和娱乐业</w:t>
            </w:r>
          </w:p>
        </w:tc>
        <w:tc>
          <w:tcPr>
            <w:tcW w:w="2009" w:type="dxa"/>
          </w:tcPr>
          <w:p>
            <w:pPr>
              <w:pStyle w:val="TableParagraph"/>
              <w:spacing w:before="94"/>
              <w:ind w:right="-15"/>
              <w:rPr>
                <w:sz w:val="21"/>
              </w:rPr>
            </w:pPr>
            <w:r>
              <w:rPr>
                <w:sz w:val="21"/>
              </w:rPr>
              <w:t>24,319,730.40</w:t>
            </w:r>
          </w:p>
        </w:tc>
        <w:tc>
          <w:tcPr>
            <w:tcW w:w="2076" w:type="dxa"/>
          </w:tcPr>
          <w:p>
            <w:pPr>
              <w:pStyle w:val="TableParagraph"/>
              <w:spacing w:before="94"/>
              <w:rPr>
                <w:sz w:val="21"/>
              </w:rPr>
            </w:pPr>
            <w:r>
              <w:rPr>
                <w:sz w:val="21"/>
              </w:rPr>
              <w:t>3.76</w:t>
            </w:r>
          </w:p>
        </w:tc>
      </w:tr>
      <w:tr>
        <w:trPr>
          <w:trHeight w:val="414" w:hRule="atLeast"/>
        </w:trPr>
        <w:tc>
          <w:tcPr>
            <w:tcW w:w="710" w:type="dxa"/>
          </w:tcPr>
          <w:p>
            <w:pPr>
              <w:pStyle w:val="TableParagraph"/>
              <w:spacing w:before="139"/>
              <w:ind w:left="297"/>
              <w:jc w:val="left"/>
              <w:rPr>
                <w:sz w:val="21"/>
              </w:rPr>
            </w:pPr>
            <w:r>
              <w:rPr>
                <w:w w:val="100"/>
                <w:sz w:val="21"/>
              </w:rPr>
              <w:t>S</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综合</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0"/>
              <w:jc w:val="left"/>
              <w:rPr>
                <w:sz w:val="20"/>
              </w:rPr>
            </w:pP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合计</w:t>
            </w:r>
          </w:p>
        </w:tc>
        <w:tc>
          <w:tcPr>
            <w:tcW w:w="2009" w:type="dxa"/>
          </w:tcPr>
          <w:p>
            <w:pPr>
              <w:pStyle w:val="TableParagraph"/>
              <w:spacing w:before="94"/>
              <w:ind w:right="-15"/>
              <w:rPr>
                <w:sz w:val="21"/>
              </w:rPr>
            </w:pPr>
            <w:r>
              <w:rPr>
                <w:sz w:val="21"/>
              </w:rPr>
              <w:t>528,838,659.92</w:t>
            </w:r>
          </w:p>
        </w:tc>
        <w:tc>
          <w:tcPr>
            <w:tcW w:w="2076" w:type="dxa"/>
          </w:tcPr>
          <w:p>
            <w:pPr>
              <w:pStyle w:val="TableParagraph"/>
              <w:spacing w:before="94"/>
              <w:rPr>
                <w:sz w:val="21"/>
              </w:rPr>
            </w:pPr>
            <w:r>
              <w:rPr>
                <w:sz w:val="21"/>
              </w:rPr>
              <w:t>81.83</w:t>
            </w:r>
          </w:p>
        </w:tc>
      </w:tr>
    </w:tbl>
    <w:p>
      <w:pPr>
        <w:pStyle w:val="ListParagraph"/>
        <w:numPr>
          <w:ilvl w:val="2"/>
          <w:numId w:val="24"/>
        </w:numPr>
        <w:tabs>
          <w:tab w:pos="746" w:val="left" w:leader="none"/>
        </w:tabs>
        <w:spacing w:line="240" w:lineRule="auto" w:before="109" w:after="0"/>
        <w:ind w:left="746" w:right="0" w:hanging="526"/>
        <w:jc w:val="left"/>
        <w:rPr>
          <w:sz w:val="21"/>
        </w:rPr>
      </w:pPr>
      <w:r>
        <w:rPr>
          <w:spacing w:val="-3"/>
          <w:sz w:val="21"/>
        </w:rPr>
        <w:t>报告期末按行业分类的港股通投资股票投资组合</w:t>
      </w:r>
    </w:p>
    <w:p>
      <w:pPr>
        <w:pStyle w:val="BodyText"/>
        <w:spacing w:before="10"/>
        <w:rPr>
          <w:sz w:val="7"/>
        </w:rPr>
      </w:pPr>
    </w:p>
    <w:tbl>
      <w:tblPr>
        <w:tblW w:w="0" w:type="auto"/>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9"/>
        <w:gridCol w:w="3971"/>
        <w:gridCol w:w="2487"/>
      </w:tblGrid>
      <w:tr>
        <w:trPr>
          <w:trHeight w:val="654" w:hRule="atLeast"/>
        </w:trPr>
        <w:tc>
          <w:tcPr>
            <w:tcW w:w="1889" w:type="dxa"/>
          </w:tcPr>
          <w:p>
            <w:pPr>
              <w:pStyle w:val="TableParagraph"/>
              <w:spacing w:before="7"/>
              <w:jc w:val="left"/>
              <w:rPr>
                <w:rFonts w:ascii="宋体"/>
                <w:sz w:val="16"/>
              </w:rPr>
            </w:pPr>
          </w:p>
          <w:p>
            <w:pPr>
              <w:pStyle w:val="TableParagraph"/>
              <w:spacing w:before="0"/>
              <w:ind w:left="530"/>
              <w:jc w:val="left"/>
              <w:rPr>
                <w:rFonts w:ascii="宋体" w:eastAsia="宋体" w:hint="eastAsia"/>
                <w:sz w:val="21"/>
              </w:rPr>
            </w:pPr>
            <w:r>
              <w:rPr>
                <w:rFonts w:ascii="宋体" w:eastAsia="宋体" w:hint="eastAsia"/>
                <w:sz w:val="21"/>
              </w:rPr>
              <w:t>行业类别</w:t>
            </w:r>
          </w:p>
        </w:tc>
        <w:tc>
          <w:tcPr>
            <w:tcW w:w="3971" w:type="dxa"/>
          </w:tcPr>
          <w:p>
            <w:pPr>
              <w:pStyle w:val="TableParagraph"/>
              <w:spacing w:before="7"/>
              <w:jc w:val="left"/>
              <w:rPr>
                <w:rFonts w:ascii="宋体"/>
                <w:sz w:val="16"/>
              </w:rPr>
            </w:pPr>
          </w:p>
          <w:p>
            <w:pPr>
              <w:pStyle w:val="TableParagraph"/>
              <w:spacing w:before="0"/>
              <w:ind w:left="1046"/>
              <w:jc w:val="left"/>
              <w:rPr>
                <w:rFonts w:ascii="宋体" w:eastAsia="宋体" w:hint="eastAsia"/>
                <w:sz w:val="21"/>
              </w:rPr>
            </w:pPr>
            <w:r>
              <w:rPr>
                <w:rFonts w:ascii="宋体" w:eastAsia="宋体" w:hint="eastAsia"/>
                <w:sz w:val="21"/>
              </w:rPr>
              <w:t>公允价值（人民币）</w:t>
            </w:r>
          </w:p>
        </w:tc>
        <w:tc>
          <w:tcPr>
            <w:tcW w:w="2487" w:type="dxa"/>
          </w:tcPr>
          <w:p>
            <w:pPr>
              <w:pStyle w:val="TableParagraph"/>
              <w:spacing w:before="56"/>
              <w:ind w:left="285" w:right="261"/>
              <w:jc w:val="center"/>
              <w:rPr>
                <w:rFonts w:ascii="宋体" w:eastAsia="宋体" w:hint="eastAsia"/>
                <w:sz w:val="21"/>
              </w:rPr>
            </w:pPr>
            <w:r>
              <w:rPr>
                <w:rFonts w:ascii="宋体" w:eastAsia="宋体" w:hint="eastAsia"/>
                <w:sz w:val="21"/>
              </w:rPr>
              <w:t>占基金资产净值比例</w:t>
            </w:r>
          </w:p>
          <w:p>
            <w:pPr>
              <w:pStyle w:val="TableParagraph"/>
              <w:spacing w:before="40"/>
              <w:ind w:left="285" w:right="260"/>
              <w:jc w:val="center"/>
              <w:rPr>
                <w:rFonts w:ascii="宋体" w:eastAsia="宋体" w:hint="eastAsia"/>
                <w:sz w:val="21"/>
              </w:rPr>
            </w:pPr>
            <w:r>
              <w:rPr>
                <w:rFonts w:ascii="宋体" w:eastAsia="宋体" w:hint="eastAsia"/>
                <w:sz w:val="21"/>
              </w:rPr>
              <w:t>（</w:t>
            </w:r>
            <w:r>
              <w:rPr>
                <w:sz w:val="21"/>
              </w:rPr>
              <w:t>%</w:t>
            </w:r>
            <w:r>
              <w:rPr>
                <w:rFonts w:ascii="宋体" w:eastAsia="宋体" w:hint="eastAsia"/>
                <w:sz w:val="21"/>
              </w:rPr>
              <w:t>）</w:t>
            </w:r>
          </w:p>
        </w:tc>
      </w:tr>
      <w:tr>
        <w:trPr>
          <w:trHeight w:val="311" w:hRule="atLeast"/>
        </w:trPr>
        <w:tc>
          <w:tcPr>
            <w:tcW w:w="1889" w:type="dxa"/>
          </w:tcPr>
          <w:p>
            <w:pPr>
              <w:pStyle w:val="TableParagraph"/>
              <w:spacing w:before="22"/>
              <w:ind w:left="522"/>
              <w:jc w:val="left"/>
              <w:rPr>
                <w:rFonts w:ascii="宋体" w:eastAsia="宋体" w:hint="eastAsia"/>
                <w:sz w:val="21"/>
              </w:rPr>
            </w:pPr>
            <w:r>
              <w:rPr>
                <w:rFonts w:ascii="宋体" w:eastAsia="宋体" w:hint="eastAsia"/>
                <w:sz w:val="21"/>
              </w:rPr>
              <w:t>信息技术</w:t>
            </w:r>
          </w:p>
        </w:tc>
        <w:tc>
          <w:tcPr>
            <w:tcW w:w="3971" w:type="dxa"/>
          </w:tcPr>
          <w:p>
            <w:pPr>
              <w:pStyle w:val="TableParagraph"/>
              <w:ind w:right="94"/>
              <w:rPr>
                <w:sz w:val="21"/>
              </w:rPr>
            </w:pPr>
            <w:r>
              <w:rPr>
                <w:sz w:val="21"/>
              </w:rPr>
              <w:t>6,435,933.82</w:t>
            </w:r>
          </w:p>
        </w:tc>
        <w:tc>
          <w:tcPr>
            <w:tcW w:w="2487" w:type="dxa"/>
          </w:tcPr>
          <w:p>
            <w:pPr>
              <w:pStyle w:val="TableParagraph"/>
              <w:ind w:right="94"/>
              <w:rPr>
                <w:sz w:val="21"/>
              </w:rPr>
            </w:pPr>
            <w:r>
              <w:rPr>
                <w:sz w:val="21"/>
              </w:rPr>
              <w:t>1.00</w:t>
            </w:r>
          </w:p>
        </w:tc>
      </w:tr>
      <w:tr>
        <w:trPr>
          <w:trHeight w:val="311" w:hRule="atLeast"/>
        </w:trPr>
        <w:tc>
          <w:tcPr>
            <w:tcW w:w="1889" w:type="dxa"/>
          </w:tcPr>
          <w:p>
            <w:pPr>
              <w:pStyle w:val="TableParagraph"/>
              <w:spacing w:before="22"/>
              <w:ind w:left="715" w:right="704"/>
              <w:jc w:val="center"/>
              <w:rPr>
                <w:rFonts w:ascii="宋体" w:eastAsia="宋体" w:hint="eastAsia"/>
                <w:sz w:val="21"/>
              </w:rPr>
            </w:pPr>
            <w:r>
              <w:rPr>
                <w:rFonts w:ascii="宋体" w:eastAsia="宋体" w:hint="eastAsia"/>
                <w:sz w:val="21"/>
              </w:rPr>
              <w:t>保健</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1" w:hRule="atLeast"/>
        </w:trPr>
        <w:tc>
          <w:tcPr>
            <w:tcW w:w="1889" w:type="dxa"/>
          </w:tcPr>
          <w:p>
            <w:pPr>
              <w:pStyle w:val="TableParagraph"/>
              <w:spacing w:before="22"/>
              <w:ind w:left="417"/>
              <w:jc w:val="left"/>
              <w:rPr>
                <w:rFonts w:ascii="宋体" w:eastAsia="宋体" w:hint="eastAsia"/>
                <w:sz w:val="21"/>
              </w:rPr>
            </w:pPr>
            <w:r>
              <w:rPr>
                <w:rFonts w:ascii="宋体" w:eastAsia="宋体" w:hint="eastAsia"/>
                <w:sz w:val="21"/>
              </w:rPr>
              <w:t>必需消费品</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1" w:hRule="atLeast"/>
        </w:trPr>
        <w:tc>
          <w:tcPr>
            <w:tcW w:w="1889" w:type="dxa"/>
          </w:tcPr>
          <w:p>
            <w:pPr>
              <w:pStyle w:val="TableParagraph"/>
              <w:spacing w:before="22"/>
              <w:ind w:left="715" w:right="704"/>
              <w:jc w:val="center"/>
              <w:rPr>
                <w:rFonts w:ascii="宋体" w:eastAsia="宋体" w:hint="eastAsia"/>
                <w:sz w:val="21"/>
              </w:rPr>
            </w:pPr>
            <w:r>
              <w:rPr>
                <w:rFonts w:ascii="宋体" w:eastAsia="宋体" w:hint="eastAsia"/>
                <w:sz w:val="21"/>
              </w:rPr>
              <w:t>材料</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1" w:hRule="atLeast"/>
        </w:trPr>
        <w:tc>
          <w:tcPr>
            <w:tcW w:w="1889" w:type="dxa"/>
          </w:tcPr>
          <w:p>
            <w:pPr>
              <w:pStyle w:val="TableParagraph"/>
              <w:spacing w:before="22"/>
              <w:ind w:left="628"/>
              <w:jc w:val="left"/>
              <w:rPr>
                <w:rFonts w:ascii="宋体" w:eastAsia="宋体" w:hint="eastAsia"/>
                <w:sz w:val="21"/>
              </w:rPr>
            </w:pPr>
            <w:r>
              <w:rPr>
                <w:rFonts w:ascii="宋体" w:eastAsia="宋体" w:hint="eastAsia"/>
                <w:sz w:val="21"/>
              </w:rPr>
              <w:t>房地产</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4" w:hRule="atLeast"/>
        </w:trPr>
        <w:tc>
          <w:tcPr>
            <w:tcW w:w="1889" w:type="dxa"/>
          </w:tcPr>
          <w:p>
            <w:pPr>
              <w:pStyle w:val="TableParagraph"/>
              <w:spacing w:before="25"/>
              <w:ind w:left="314"/>
              <w:jc w:val="left"/>
              <w:rPr>
                <w:rFonts w:ascii="宋体" w:eastAsia="宋体" w:hint="eastAsia"/>
                <w:sz w:val="21"/>
              </w:rPr>
            </w:pPr>
            <w:r>
              <w:rPr>
                <w:rFonts w:ascii="宋体" w:eastAsia="宋体" w:hint="eastAsia"/>
                <w:sz w:val="21"/>
              </w:rPr>
              <w:t>非必需消费品</w:t>
            </w:r>
          </w:p>
        </w:tc>
        <w:tc>
          <w:tcPr>
            <w:tcW w:w="3971" w:type="dxa"/>
          </w:tcPr>
          <w:p>
            <w:pPr>
              <w:pStyle w:val="TableParagraph"/>
              <w:spacing w:before="36"/>
              <w:ind w:right="96"/>
              <w:rPr>
                <w:sz w:val="21"/>
              </w:rPr>
            </w:pPr>
            <w:r>
              <w:rPr>
                <w:w w:val="100"/>
                <w:sz w:val="21"/>
              </w:rPr>
              <w:t>-</w:t>
            </w:r>
          </w:p>
        </w:tc>
        <w:tc>
          <w:tcPr>
            <w:tcW w:w="2487" w:type="dxa"/>
          </w:tcPr>
          <w:p>
            <w:pPr>
              <w:pStyle w:val="TableParagraph"/>
              <w:spacing w:before="36"/>
              <w:ind w:right="96"/>
              <w:rPr>
                <w:sz w:val="21"/>
              </w:rPr>
            </w:pPr>
            <w:r>
              <w:rPr>
                <w:w w:val="100"/>
                <w:sz w:val="21"/>
              </w:rPr>
              <w:t>-</w:t>
            </w:r>
          </w:p>
        </w:tc>
      </w:tr>
      <w:tr>
        <w:trPr>
          <w:trHeight w:val="311" w:hRule="atLeast"/>
        </w:trPr>
        <w:tc>
          <w:tcPr>
            <w:tcW w:w="1889" w:type="dxa"/>
          </w:tcPr>
          <w:p>
            <w:pPr>
              <w:pStyle w:val="TableParagraph"/>
              <w:spacing w:before="22"/>
              <w:ind w:left="715" w:right="704"/>
              <w:jc w:val="center"/>
              <w:rPr>
                <w:rFonts w:ascii="宋体" w:eastAsia="宋体" w:hint="eastAsia"/>
                <w:sz w:val="21"/>
              </w:rPr>
            </w:pPr>
            <w:r>
              <w:rPr>
                <w:rFonts w:ascii="宋体" w:eastAsia="宋体" w:hint="eastAsia"/>
                <w:sz w:val="21"/>
              </w:rPr>
              <w:t>工业</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2" w:hRule="atLeast"/>
        </w:trPr>
        <w:tc>
          <w:tcPr>
            <w:tcW w:w="1889" w:type="dxa"/>
          </w:tcPr>
          <w:p>
            <w:pPr>
              <w:pStyle w:val="TableParagraph"/>
              <w:spacing w:before="23"/>
              <w:ind w:left="522"/>
              <w:jc w:val="left"/>
              <w:rPr>
                <w:rFonts w:ascii="宋体" w:eastAsia="宋体" w:hint="eastAsia"/>
                <w:sz w:val="21"/>
              </w:rPr>
            </w:pPr>
            <w:r>
              <w:rPr>
                <w:rFonts w:ascii="宋体" w:eastAsia="宋体" w:hint="eastAsia"/>
                <w:sz w:val="21"/>
              </w:rPr>
              <w:t>公用事业</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1" w:hRule="atLeast"/>
        </w:trPr>
        <w:tc>
          <w:tcPr>
            <w:tcW w:w="1889" w:type="dxa"/>
          </w:tcPr>
          <w:p>
            <w:pPr>
              <w:pStyle w:val="TableParagraph"/>
              <w:spacing w:before="22"/>
              <w:ind w:left="715" w:right="704"/>
              <w:jc w:val="center"/>
              <w:rPr>
                <w:rFonts w:ascii="宋体" w:eastAsia="宋体" w:hint="eastAsia"/>
                <w:sz w:val="21"/>
              </w:rPr>
            </w:pPr>
            <w:r>
              <w:rPr>
                <w:rFonts w:ascii="宋体" w:eastAsia="宋体" w:hint="eastAsia"/>
                <w:sz w:val="21"/>
              </w:rPr>
              <w:t>金融</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1" w:hRule="atLeast"/>
        </w:trPr>
        <w:tc>
          <w:tcPr>
            <w:tcW w:w="1889" w:type="dxa"/>
          </w:tcPr>
          <w:p>
            <w:pPr>
              <w:pStyle w:val="TableParagraph"/>
              <w:spacing w:before="22"/>
              <w:ind w:left="715" w:right="704"/>
              <w:jc w:val="center"/>
              <w:rPr>
                <w:rFonts w:ascii="宋体" w:eastAsia="宋体" w:hint="eastAsia"/>
                <w:sz w:val="21"/>
              </w:rPr>
            </w:pPr>
            <w:r>
              <w:rPr>
                <w:rFonts w:ascii="宋体" w:eastAsia="宋体" w:hint="eastAsia"/>
                <w:sz w:val="21"/>
              </w:rPr>
              <w:t>能源</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1" w:hRule="atLeast"/>
        </w:trPr>
        <w:tc>
          <w:tcPr>
            <w:tcW w:w="1889" w:type="dxa"/>
          </w:tcPr>
          <w:p>
            <w:pPr>
              <w:pStyle w:val="TableParagraph"/>
              <w:spacing w:before="22"/>
              <w:ind w:left="522"/>
              <w:jc w:val="left"/>
              <w:rPr>
                <w:rFonts w:ascii="宋体" w:eastAsia="宋体" w:hint="eastAsia"/>
                <w:sz w:val="21"/>
              </w:rPr>
            </w:pPr>
            <w:r>
              <w:rPr>
                <w:rFonts w:ascii="宋体" w:eastAsia="宋体" w:hint="eastAsia"/>
                <w:sz w:val="21"/>
              </w:rPr>
              <w:t>通信服务</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42" w:hRule="atLeast"/>
        </w:trPr>
        <w:tc>
          <w:tcPr>
            <w:tcW w:w="1889" w:type="dxa"/>
          </w:tcPr>
          <w:p>
            <w:pPr>
              <w:pStyle w:val="TableParagraph"/>
              <w:spacing w:before="39"/>
              <w:ind w:left="467"/>
              <w:jc w:val="left"/>
              <w:rPr>
                <w:rFonts w:ascii="宋体" w:eastAsia="宋体" w:hint="eastAsia"/>
                <w:sz w:val="21"/>
              </w:rPr>
            </w:pPr>
            <w:r>
              <w:rPr>
                <w:rFonts w:ascii="宋体" w:eastAsia="宋体" w:hint="eastAsia"/>
                <w:sz w:val="21"/>
              </w:rPr>
              <w:t>合计</w:t>
            </w:r>
          </w:p>
        </w:tc>
        <w:tc>
          <w:tcPr>
            <w:tcW w:w="3971" w:type="dxa"/>
          </w:tcPr>
          <w:p>
            <w:pPr>
              <w:pStyle w:val="TableParagraph"/>
              <w:spacing w:before="67"/>
              <w:ind w:right="94"/>
              <w:rPr>
                <w:sz w:val="21"/>
              </w:rPr>
            </w:pPr>
            <w:r>
              <w:rPr>
                <w:sz w:val="21"/>
              </w:rPr>
              <w:t>6,435,933.82</w:t>
            </w:r>
          </w:p>
        </w:tc>
        <w:tc>
          <w:tcPr>
            <w:tcW w:w="2487" w:type="dxa"/>
          </w:tcPr>
          <w:p>
            <w:pPr>
              <w:pStyle w:val="TableParagraph"/>
              <w:spacing w:before="67"/>
              <w:ind w:right="94"/>
              <w:rPr>
                <w:sz w:val="21"/>
              </w:rPr>
            </w:pPr>
            <w:r>
              <w:rPr>
                <w:sz w:val="21"/>
              </w:rPr>
              <w:t>1.00</w:t>
            </w:r>
          </w:p>
        </w:tc>
      </w:tr>
    </w:tbl>
    <w:p>
      <w:pPr>
        <w:pStyle w:val="BodyText"/>
        <w:spacing w:before="99"/>
        <w:ind w:left="640"/>
      </w:pPr>
      <w:r>
        <w:rPr>
          <w:spacing w:val="-3"/>
          <w:w w:val="100"/>
        </w:rPr>
        <w:t>注：以上分类采用全球行业分类标准（</w:t>
      </w:r>
      <w:r>
        <w:rPr>
          <w:rFonts w:ascii="Times New Roman" w:eastAsia="Times New Roman"/>
          <w:w w:val="100"/>
        </w:rPr>
        <w:t>G</w:t>
      </w:r>
      <w:r>
        <w:rPr>
          <w:rFonts w:ascii="Times New Roman" w:eastAsia="Times New Roman"/>
          <w:spacing w:val="-4"/>
          <w:w w:val="100"/>
        </w:rPr>
        <w:t>I</w:t>
      </w:r>
      <w:r>
        <w:rPr>
          <w:rFonts w:ascii="Times New Roman" w:eastAsia="Times New Roman"/>
          <w:w w:val="100"/>
        </w:rPr>
        <w:t>C</w:t>
      </w:r>
      <w:r>
        <w:rPr>
          <w:rFonts w:ascii="Times New Roman" w:eastAsia="Times New Roman"/>
          <w:w w:val="100"/>
        </w:rPr>
        <w:t>S</w:t>
      </w:r>
      <w:r>
        <w:rPr>
          <w:spacing w:val="-106"/>
          <w:w w:val="100"/>
        </w:rPr>
        <w:t>）。</w:t>
      </w:r>
    </w:p>
    <w:p>
      <w:pPr>
        <w:pStyle w:val="BodyText"/>
        <w:spacing w:before="7"/>
        <w:rPr>
          <w:sz w:val="15"/>
        </w:rPr>
      </w:pPr>
    </w:p>
    <w:p>
      <w:pPr>
        <w:pStyle w:val="ListParagraph"/>
        <w:numPr>
          <w:ilvl w:val="1"/>
          <w:numId w:val="24"/>
        </w:numPr>
        <w:tabs>
          <w:tab w:pos="590" w:val="left" w:leader="none"/>
        </w:tabs>
        <w:spacing w:line="240" w:lineRule="auto" w:before="0" w:after="0"/>
        <w:ind w:left="590" w:right="0" w:hanging="370"/>
        <w:jc w:val="left"/>
        <w:rPr>
          <w:rFonts w:ascii="Times New Roman" w:eastAsia="Times New Roman"/>
          <w:sz w:val="21"/>
        </w:rPr>
      </w:pPr>
      <w:r>
        <w:rPr>
          <w:spacing w:val="-3"/>
          <w:sz w:val="21"/>
        </w:rPr>
        <w:t>报告期末按公允价值占基金资产净值比例大小排序的前十名股票投资明细</w:t>
      </w:r>
    </w:p>
    <w:p>
      <w:pPr>
        <w:pStyle w:val="BodyText"/>
        <w:spacing w:before="10"/>
        <w:rPr>
          <w:sz w:val="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964" w:hRule="atLeast"/>
        </w:trPr>
        <w:tc>
          <w:tcPr>
            <w:tcW w:w="708" w:type="dxa"/>
          </w:tcPr>
          <w:p>
            <w:pPr>
              <w:pStyle w:val="TableParagraph"/>
              <w:spacing w:before="7"/>
              <w:jc w:val="left"/>
              <w:rPr>
                <w:rFonts w:ascii="宋体"/>
                <w:sz w:val="28"/>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7"/>
              <w:jc w:val="left"/>
              <w:rPr>
                <w:rFonts w:ascii="宋体"/>
                <w:sz w:val="28"/>
              </w:rPr>
            </w:pPr>
          </w:p>
          <w:p>
            <w:pPr>
              <w:pStyle w:val="TableParagraph"/>
              <w:spacing w:before="0"/>
              <w:ind w:left="206" w:right="180"/>
              <w:jc w:val="center"/>
              <w:rPr>
                <w:rFonts w:ascii="宋体" w:eastAsia="宋体" w:hint="eastAsia"/>
                <w:sz w:val="21"/>
              </w:rPr>
            </w:pPr>
            <w:r>
              <w:rPr>
                <w:rFonts w:ascii="宋体" w:eastAsia="宋体" w:hint="eastAsia"/>
                <w:sz w:val="21"/>
              </w:rPr>
              <w:t>股票代码</w:t>
            </w:r>
          </w:p>
        </w:tc>
        <w:tc>
          <w:tcPr>
            <w:tcW w:w="1702" w:type="dxa"/>
          </w:tcPr>
          <w:p>
            <w:pPr>
              <w:pStyle w:val="TableParagraph"/>
              <w:spacing w:before="7"/>
              <w:jc w:val="left"/>
              <w:rPr>
                <w:rFonts w:ascii="宋体"/>
                <w:sz w:val="28"/>
              </w:rPr>
            </w:pPr>
          </w:p>
          <w:p>
            <w:pPr>
              <w:pStyle w:val="TableParagraph"/>
              <w:spacing w:before="0"/>
              <w:ind w:left="395" w:right="366"/>
              <w:jc w:val="center"/>
              <w:rPr>
                <w:rFonts w:ascii="宋体" w:eastAsia="宋体" w:hint="eastAsia"/>
                <w:sz w:val="21"/>
              </w:rPr>
            </w:pPr>
            <w:r>
              <w:rPr>
                <w:rFonts w:ascii="宋体" w:eastAsia="宋体" w:hint="eastAsia"/>
                <w:sz w:val="21"/>
              </w:rPr>
              <w:t>股票名称</w:t>
            </w:r>
          </w:p>
        </w:tc>
        <w:tc>
          <w:tcPr>
            <w:tcW w:w="1277" w:type="dxa"/>
          </w:tcPr>
          <w:p>
            <w:pPr>
              <w:pStyle w:val="TableParagraph"/>
              <w:spacing w:before="7"/>
              <w:jc w:val="left"/>
              <w:rPr>
                <w:rFonts w:ascii="宋体"/>
                <w:sz w:val="28"/>
              </w:rPr>
            </w:pPr>
          </w:p>
          <w:p>
            <w:pPr>
              <w:pStyle w:val="TableParagraph"/>
              <w:spacing w:before="0"/>
              <w:ind w:left="261"/>
              <w:jc w:val="left"/>
              <w:rPr>
                <w:sz w:val="21"/>
              </w:rPr>
            </w:pPr>
            <w:r>
              <w:rPr>
                <w:rFonts w:ascii="宋体" w:eastAsia="宋体" w:hint="eastAsia"/>
                <w:sz w:val="21"/>
              </w:rPr>
              <w:t>数量</w:t>
            </w:r>
            <w:r>
              <w:rPr>
                <w:sz w:val="21"/>
              </w:rPr>
              <w:t>(</w:t>
            </w:r>
            <w:r>
              <w:rPr>
                <w:rFonts w:ascii="宋体" w:eastAsia="宋体" w:hint="eastAsia"/>
                <w:sz w:val="21"/>
              </w:rPr>
              <w:t>股</w:t>
            </w:r>
            <w:r>
              <w:rPr>
                <w:sz w:val="21"/>
              </w:rPr>
              <w:t>)</w:t>
            </w:r>
          </w:p>
        </w:tc>
        <w:tc>
          <w:tcPr>
            <w:tcW w:w="1841" w:type="dxa"/>
          </w:tcPr>
          <w:p>
            <w:pPr>
              <w:pStyle w:val="TableParagraph"/>
              <w:spacing w:before="7"/>
              <w:jc w:val="left"/>
              <w:rPr>
                <w:rFonts w:ascii="宋体"/>
                <w:sz w:val="28"/>
              </w:rPr>
            </w:pPr>
          </w:p>
          <w:p>
            <w:pPr>
              <w:pStyle w:val="TableParagraph"/>
              <w:spacing w:before="0"/>
              <w:ind w:left="333"/>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1" w:type="dxa"/>
          </w:tcPr>
          <w:p>
            <w:pPr>
              <w:pStyle w:val="TableParagraph"/>
              <w:spacing w:before="130"/>
              <w:ind w:left="139" w:right="112"/>
              <w:jc w:val="center"/>
              <w:rPr>
                <w:rFonts w:ascii="宋体" w:eastAsia="宋体" w:hint="eastAsia"/>
                <w:sz w:val="21"/>
              </w:rPr>
            </w:pPr>
            <w:r>
              <w:rPr>
                <w:rFonts w:ascii="宋体" w:eastAsia="宋体" w:hint="eastAsia"/>
                <w:sz w:val="21"/>
              </w:rPr>
              <w:t>占基金资产净</w:t>
            </w:r>
          </w:p>
          <w:p>
            <w:pPr>
              <w:pStyle w:val="TableParagraph"/>
              <w:spacing w:before="4"/>
              <w:jc w:val="left"/>
              <w:rPr>
                <w:rFonts w:ascii="宋体"/>
                <w:sz w:val="15"/>
              </w:rPr>
            </w:pPr>
          </w:p>
          <w:p>
            <w:pPr>
              <w:pStyle w:val="TableParagraph"/>
              <w:spacing w:before="1"/>
              <w:ind w:left="139" w:right="112"/>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311" w:hRule="atLeast"/>
        </w:trPr>
        <w:tc>
          <w:tcPr>
            <w:tcW w:w="708" w:type="dxa"/>
          </w:tcPr>
          <w:p>
            <w:pPr>
              <w:pStyle w:val="TableParagraph"/>
              <w:ind w:left="7"/>
              <w:jc w:val="center"/>
              <w:rPr>
                <w:sz w:val="21"/>
              </w:rPr>
            </w:pPr>
            <w:r>
              <w:rPr>
                <w:w w:val="100"/>
                <w:sz w:val="21"/>
              </w:rPr>
              <w:t>1</w:t>
            </w:r>
          </w:p>
        </w:tc>
        <w:tc>
          <w:tcPr>
            <w:tcW w:w="1277" w:type="dxa"/>
          </w:tcPr>
          <w:p>
            <w:pPr>
              <w:pStyle w:val="TableParagraph"/>
              <w:ind w:left="189" w:right="180"/>
              <w:jc w:val="center"/>
              <w:rPr>
                <w:sz w:val="21"/>
              </w:rPr>
            </w:pPr>
            <w:r>
              <w:rPr>
                <w:sz w:val="21"/>
              </w:rPr>
              <w:t>002475</w:t>
            </w:r>
          </w:p>
        </w:tc>
        <w:tc>
          <w:tcPr>
            <w:tcW w:w="1702" w:type="dxa"/>
          </w:tcPr>
          <w:p>
            <w:pPr>
              <w:pStyle w:val="TableParagraph"/>
              <w:spacing w:before="22"/>
              <w:ind w:left="395" w:right="386"/>
              <w:jc w:val="center"/>
              <w:rPr>
                <w:rFonts w:ascii="宋体" w:eastAsia="宋体" w:hint="eastAsia"/>
                <w:sz w:val="21"/>
              </w:rPr>
            </w:pPr>
            <w:r>
              <w:rPr>
                <w:rFonts w:ascii="宋体" w:eastAsia="宋体" w:hint="eastAsia"/>
                <w:sz w:val="21"/>
              </w:rPr>
              <w:t>立讯精密</w:t>
            </w:r>
          </w:p>
        </w:tc>
        <w:tc>
          <w:tcPr>
            <w:tcW w:w="1277" w:type="dxa"/>
          </w:tcPr>
          <w:p>
            <w:pPr>
              <w:pStyle w:val="TableParagraph"/>
              <w:ind w:left="486"/>
              <w:jc w:val="left"/>
              <w:rPr>
                <w:sz w:val="21"/>
              </w:rPr>
            </w:pPr>
            <w:r>
              <w:rPr>
                <w:sz w:val="21"/>
              </w:rPr>
              <w:t>567,684</w:t>
            </w:r>
          </w:p>
        </w:tc>
        <w:tc>
          <w:tcPr>
            <w:tcW w:w="1841" w:type="dxa"/>
          </w:tcPr>
          <w:p>
            <w:pPr>
              <w:pStyle w:val="TableParagraph"/>
              <w:ind w:left="527"/>
              <w:jc w:val="left"/>
              <w:rPr>
                <w:sz w:val="21"/>
              </w:rPr>
            </w:pPr>
            <w:r>
              <w:rPr>
                <w:sz w:val="21"/>
              </w:rPr>
              <w:t>29,150,573.40</w:t>
            </w:r>
          </w:p>
        </w:tc>
        <w:tc>
          <w:tcPr>
            <w:tcW w:w="1561" w:type="dxa"/>
          </w:tcPr>
          <w:p>
            <w:pPr>
              <w:pStyle w:val="TableParagraph"/>
              <w:ind w:right="94"/>
              <w:rPr>
                <w:sz w:val="21"/>
              </w:rPr>
            </w:pPr>
            <w:r>
              <w:rPr>
                <w:sz w:val="21"/>
              </w:rPr>
              <w:t>4.51</w:t>
            </w:r>
          </w:p>
        </w:tc>
      </w:tr>
    </w:tbl>
    <w:p>
      <w:pPr>
        <w:spacing w:after="0"/>
        <w:rPr>
          <w:sz w:val="21"/>
        </w:rPr>
        <w:sectPr>
          <w:pgSz w:w="11910" w:h="16840"/>
          <w:pgMar w:header="877" w:footer="995" w:top="1420" w:bottom="1180" w:left="1580" w:right="120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312" w:hRule="atLeast"/>
        </w:trPr>
        <w:tc>
          <w:tcPr>
            <w:tcW w:w="708" w:type="dxa"/>
          </w:tcPr>
          <w:p>
            <w:pPr>
              <w:pStyle w:val="TableParagraph"/>
              <w:ind w:left="7"/>
              <w:jc w:val="center"/>
              <w:rPr>
                <w:sz w:val="21"/>
              </w:rPr>
            </w:pPr>
            <w:r>
              <w:rPr>
                <w:w w:val="100"/>
                <w:sz w:val="21"/>
              </w:rPr>
              <w:t>2</w:t>
            </w:r>
          </w:p>
        </w:tc>
        <w:tc>
          <w:tcPr>
            <w:tcW w:w="1277" w:type="dxa"/>
          </w:tcPr>
          <w:p>
            <w:pPr>
              <w:pStyle w:val="TableParagraph"/>
              <w:ind w:left="189" w:right="180"/>
              <w:jc w:val="center"/>
              <w:rPr>
                <w:sz w:val="21"/>
              </w:rPr>
            </w:pPr>
            <w:r>
              <w:rPr>
                <w:sz w:val="21"/>
              </w:rPr>
              <w:t>688111</w:t>
            </w:r>
          </w:p>
        </w:tc>
        <w:tc>
          <w:tcPr>
            <w:tcW w:w="1702" w:type="dxa"/>
          </w:tcPr>
          <w:p>
            <w:pPr>
              <w:pStyle w:val="TableParagraph"/>
              <w:spacing w:before="23"/>
              <w:ind w:left="395" w:right="386"/>
              <w:jc w:val="center"/>
              <w:rPr>
                <w:rFonts w:ascii="宋体" w:eastAsia="宋体" w:hint="eastAsia"/>
                <w:sz w:val="21"/>
              </w:rPr>
            </w:pPr>
            <w:r>
              <w:rPr>
                <w:rFonts w:ascii="宋体" w:eastAsia="宋体" w:hint="eastAsia"/>
                <w:sz w:val="21"/>
              </w:rPr>
              <w:t>金山办公</w:t>
            </w:r>
          </w:p>
        </w:tc>
        <w:tc>
          <w:tcPr>
            <w:tcW w:w="1277" w:type="dxa"/>
          </w:tcPr>
          <w:p>
            <w:pPr>
              <w:pStyle w:val="TableParagraph"/>
              <w:ind w:right="94"/>
              <w:rPr>
                <w:sz w:val="21"/>
              </w:rPr>
            </w:pPr>
            <w:r>
              <w:rPr>
                <w:sz w:val="21"/>
              </w:rPr>
              <w:t>81,299</w:t>
            </w:r>
          </w:p>
        </w:tc>
        <w:tc>
          <w:tcPr>
            <w:tcW w:w="1841" w:type="dxa"/>
          </w:tcPr>
          <w:p>
            <w:pPr>
              <w:pStyle w:val="TableParagraph"/>
              <w:ind w:right="91"/>
              <w:rPr>
                <w:sz w:val="21"/>
              </w:rPr>
            </w:pPr>
            <w:r>
              <w:rPr>
                <w:sz w:val="21"/>
              </w:rPr>
              <w:t>27,770,112.42</w:t>
            </w:r>
          </w:p>
        </w:tc>
        <w:tc>
          <w:tcPr>
            <w:tcW w:w="1561" w:type="dxa"/>
          </w:tcPr>
          <w:p>
            <w:pPr>
              <w:pStyle w:val="TableParagraph"/>
              <w:ind w:right="94"/>
              <w:rPr>
                <w:sz w:val="21"/>
              </w:rPr>
            </w:pPr>
            <w:r>
              <w:rPr>
                <w:sz w:val="21"/>
              </w:rPr>
              <w:t>4.30</w:t>
            </w:r>
          </w:p>
        </w:tc>
      </w:tr>
      <w:tr>
        <w:trPr>
          <w:trHeight w:val="311" w:hRule="atLeast"/>
        </w:trPr>
        <w:tc>
          <w:tcPr>
            <w:tcW w:w="708" w:type="dxa"/>
          </w:tcPr>
          <w:p>
            <w:pPr>
              <w:pStyle w:val="TableParagraph"/>
              <w:ind w:left="7"/>
              <w:jc w:val="center"/>
              <w:rPr>
                <w:sz w:val="21"/>
              </w:rPr>
            </w:pPr>
            <w:r>
              <w:rPr>
                <w:w w:val="100"/>
                <w:sz w:val="21"/>
              </w:rPr>
              <w:t>3</w:t>
            </w:r>
          </w:p>
        </w:tc>
        <w:tc>
          <w:tcPr>
            <w:tcW w:w="1277" w:type="dxa"/>
          </w:tcPr>
          <w:p>
            <w:pPr>
              <w:pStyle w:val="TableParagraph"/>
              <w:ind w:left="189" w:right="180"/>
              <w:jc w:val="center"/>
              <w:rPr>
                <w:sz w:val="21"/>
              </w:rPr>
            </w:pPr>
            <w:r>
              <w:rPr>
                <w:sz w:val="21"/>
              </w:rPr>
              <w:t>300750</w:t>
            </w:r>
          </w:p>
        </w:tc>
        <w:tc>
          <w:tcPr>
            <w:tcW w:w="1702" w:type="dxa"/>
          </w:tcPr>
          <w:p>
            <w:pPr>
              <w:pStyle w:val="TableParagraph"/>
              <w:spacing w:before="22"/>
              <w:ind w:left="395" w:right="386"/>
              <w:jc w:val="center"/>
              <w:rPr>
                <w:rFonts w:ascii="宋体" w:eastAsia="宋体" w:hint="eastAsia"/>
                <w:sz w:val="21"/>
              </w:rPr>
            </w:pPr>
            <w:r>
              <w:rPr>
                <w:rFonts w:ascii="宋体" w:eastAsia="宋体" w:hint="eastAsia"/>
                <w:sz w:val="21"/>
              </w:rPr>
              <w:t>宁德时代</w:t>
            </w:r>
          </w:p>
        </w:tc>
        <w:tc>
          <w:tcPr>
            <w:tcW w:w="1277" w:type="dxa"/>
          </w:tcPr>
          <w:p>
            <w:pPr>
              <w:pStyle w:val="TableParagraph"/>
              <w:ind w:right="94"/>
              <w:rPr>
                <w:sz w:val="21"/>
              </w:rPr>
            </w:pPr>
            <w:r>
              <w:rPr>
                <w:sz w:val="21"/>
              </w:rPr>
              <w:t>154,800</w:t>
            </w:r>
          </w:p>
        </w:tc>
        <w:tc>
          <w:tcPr>
            <w:tcW w:w="1841" w:type="dxa"/>
          </w:tcPr>
          <w:p>
            <w:pPr>
              <w:pStyle w:val="TableParagraph"/>
              <w:ind w:right="91"/>
              <w:rPr>
                <w:sz w:val="21"/>
              </w:rPr>
            </w:pPr>
            <w:r>
              <w:rPr>
                <w:sz w:val="21"/>
              </w:rPr>
              <w:t>26,990,928.00</w:t>
            </w:r>
          </w:p>
        </w:tc>
        <w:tc>
          <w:tcPr>
            <w:tcW w:w="1561" w:type="dxa"/>
          </w:tcPr>
          <w:p>
            <w:pPr>
              <w:pStyle w:val="TableParagraph"/>
              <w:ind w:right="94"/>
              <w:rPr>
                <w:sz w:val="21"/>
              </w:rPr>
            </w:pPr>
            <w:r>
              <w:rPr>
                <w:sz w:val="21"/>
              </w:rPr>
              <w:t>4.18</w:t>
            </w:r>
          </w:p>
        </w:tc>
      </w:tr>
      <w:tr>
        <w:trPr>
          <w:trHeight w:val="311" w:hRule="atLeast"/>
        </w:trPr>
        <w:tc>
          <w:tcPr>
            <w:tcW w:w="708" w:type="dxa"/>
          </w:tcPr>
          <w:p>
            <w:pPr>
              <w:pStyle w:val="TableParagraph"/>
              <w:ind w:left="7"/>
              <w:jc w:val="center"/>
              <w:rPr>
                <w:sz w:val="21"/>
              </w:rPr>
            </w:pPr>
            <w:r>
              <w:rPr>
                <w:w w:val="100"/>
                <w:sz w:val="21"/>
              </w:rPr>
              <w:t>4</w:t>
            </w:r>
          </w:p>
        </w:tc>
        <w:tc>
          <w:tcPr>
            <w:tcW w:w="1277" w:type="dxa"/>
          </w:tcPr>
          <w:p>
            <w:pPr>
              <w:pStyle w:val="TableParagraph"/>
              <w:ind w:left="189" w:right="180"/>
              <w:jc w:val="center"/>
              <w:rPr>
                <w:sz w:val="21"/>
              </w:rPr>
            </w:pPr>
            <w:r>
              <w:rPr>
                <w:sz w:val="21"/>
              </w:rPr>
              <w:t>002050</w:t>
            </w:r>
          </w:p>
        </w:tc>
        <w:tc>
          <w:tcPr>
            <w:tcW w:w="1702" w:type="dxa"/>
          </w:tcPr>
          <w:p>
            <w:pPr>
              <w:pStyle w:val="TableParagraph"/>
              <w:spacing w:before="22"/>
              <w:ind w:left="395" w:right="386"/>
              <w:jc w:val="center"/>
              <w:rPr>
                <w:rFonts w:ascii="宋体" w:eastAsia="宋体" w:hint="eastAsia"/>
                <w:sz w:val="21"/>
              </w:rPr>
            </w:pPr>
            <w:r>
              <w:rPr>
                <w:rFonts w:ascii="宋体" w:eastAsia="宋体" w:hint="eastAsia"/>
                <w:sz w:val="21"/>
              </w:rPr>
              <w:t>三花智控</w:t>
            </w:r>
          </w:p>
        </w:tc>
        <w:tc>
          <w:tcPr>
            <w:tcW w:w="1277" w:type="dxa"/>
          </w:tcPr>
          <w:p>
            <w:pPr>
              <w:pStyle w:val="TableParagraph"/>
              <w:ind w:right="94"/>
              <w:rPr>
                <w:sz w:val="21"/>
              </w:rPr>
            </w:pPr>
            <w:r>
              <w:rPr>
                <w:sz w:val="21"/>
              </w:rPr>
              <w:t>1,177,265</w:t>
            </w:r>
          </w:p>
        </w:tc>
        <w:tc>
          <w:tcPr>
            <w:tcW w:w="1841" w:type="dxa"/>
          </w:tcPr>
          <w:p>
            <w:pPr>
              <w:pStyle w:val="TableParagraph"/>
              <w:ind w:right="91"/>
              <w:rPr>
                <w:sz w:val="21"/>
              </w:rPr>
            </w:pPr>
            <w:r>
              <w:rPr>
                <w:sz w:val="21"/>
              </w:rPr>
              <w:t>25,782,103.50</w:t>
            </w:r>
          </w:p>
        </w:tc>
        <w:tc>
          <w:tcPr>
            <w:tcW w:w="1561" w:type="dxa"/>
          </w:tcPr>
          <w:p>
            <w:pPr>
              <w:pStyle w:val="TableParagraph"/>
              <w:ind w:right="94"/>
              <w:rPr>
                <w:sz w:val="21"/>
              </w:rPr>
            </w:pPr>
            <w:r>
              <w:rPr>
                <w:sz w:val="21"/>
              </w:rPr>
              <w:t>3.99</w:t>
            </w:r>
          </w:p>
        </w:tc>
      </w:tr>
      <w:tr>
        <w:trPr>
          <w:trHeight w:val="313" w:hRule="atLeast"/>
        </w:trPr>
        <w:tc>
          <w:tcPr>
            <w:tcW w:w="708" w:type="dxa"/>
          </w:tcPr>
          <w:p>
            <w:pPr>
              <w:pStyle w:val="TableParagraph"/>
              <w:spacing w:before="36"/>
              <w:ind w:left="7"/>
              <w:jc w:val="center"/>
              <w:rPr>
                <w:sz w:val="21"/>
              </w:rPr>
            </w:pPr>
            <w:r>
              <w:rPr>
                <w:w w:val="100"/>
                <w:sz w:val="21"/>
              </w:rPr>
              <w:t>5</w:t>
            </w:r>
          </w:p>
        </w:tc>
        <w:tc>
          <w:tcPr>
            <w:tcW w:w="1277" w:type="dxa"/>
          </w:tcPr>
          <w:p>
            <w:pPr>
              <w:pStyle w:val="TableParagraph"/>
              <w:spacing w:before="36"/>
              <w:ind w:left="189" w:right="180"/>
              <w:jc w:val="center"/>
              <w:rPr>
                <w:sz w:val="21"/>
              </w:rPr>
            </w:pPr>
            <w:r>
              <w:rPr>
                <w:sz w:val="21"/>
              </w:rPr>
              <w:t>603444</w:t>
            </w:r>
          </w:p>
        </w:tc>
        <w:tc>
          <w:tcPr>
            <w:tcW w:w="1702" w:type="dxa"/>
          </w:tcPr>
          <w:p>
            <w:pPr>
              <w:pStyle w:val="TableParagraph"/>
              <w:spacing w:before="25"/>
              <w:ind w:left="395" w:right="383"/>
              <w:jc w:val="center"/>
              <w:rPr>
                <w:rFonts w:ascii="宋体" w:eastAsia="宋体" w:hint="eastAsia"/>
                <w:sz w:val="21"/>
              </w:rPr>
            </w:pPr>
            <w:r>
              <w:rPr>
                <w:rFonts w:ascii="宋体" w:eastAsia="宋体" w:hint="eastAsia"/>
                <w:sz w:val="21"/>
              </w:rPr>
              <w:t>吉比特</w:t>
            </w:r>
          </w:p>
        </w:tc>
        <w:tc>
          <w:tcPr>
            <w:tcW w:w="1277" w:type="dxa"/>
          </w:tcPr>
          <w:p>
            <w:pPr>
              <w:pStyle w:val="TableParagraph"/>
              <w:spacing w:before="36"/>
              <w:ind w:right="94"/>
              <w:rPr>
                <w:sz w:val="21"/>
              </w:rPr>
            </w:pPr>
            <w:r>
              <w:rPr>
                <w:sz w:val="21"/>
              </w:rPr>
              <w:t>45,900</w:t>
            </w:r>
          </w:p>
        </w:tc>
        <w:tc>
          <w:tcPr>
            <w:tcW w:w="1841" w:type="dxa"/>
          </w:tcPr>
          <w:p>
            <w:pPr>
              <w:pStyle w:val="TableParagraph"/>
              <w:spacing w:before="36"/>
              <w:ind w:right="91"/>
              <w:rPr>
                <w:sz w:val="21"/>
              </w:rPr>
            </w:pPr>
            <w:r>
              <w:rPr>
                <w:sz w:val="21"/>
              </w:rPr>
              <w:t>25,199,559.00</w:t>
            </w:r>
          </w:p>
        </w:tc>
        <w:tc>
          <w:tcPr>
            <w:tcW w:w="1561" w:type="dxa"/>
          </w:tcPr>
          <w:p>
            <w:pPr>
              <w:pStyle w:val="TableParagraph"/>
              <w:spacing w:before="36"/>
              <w:ind w:right="94"/>
              <w:rPr>
                <w:sz w:val="21"/>
              </w:rPr>
            </w:pPr>
            <w:r>
              <w:rPr>
                <w:sz w:val="21"/>
              </w:rPr>
              <w:t>3.90</w:t>
            </w:r>
          </w:p>
        </w:tc>
      </w:tr>
      <w:tr>
        <w:trPr>
          <w:trHeight w:val="311" w:hRule="atLeast"/>
        </w:trPr>
        <w:tc>
          <w:tcPr>
            <w:tcW w:w="708" w:type="dxa"/>
          </w:tcPr>
          <w:p>
            <w:pPr>
              <w:pStyle w:val="TableParagraph"/>
              <w:ind w:left="7"/>
              <w:jc w:val="center"/>
              <w:rPr>
                <w:sz w:val="21"/>
              </w:rPr>
            </w:pPr>
            <w:r>
              <w:rPr>
                <w:w w:val="100"/>
                <w:sz w:val="21"/>
              </w:rPr>
              <w:t>6</w:t>
            </w:r>
          </w:p>
        </w:tc>
        <w:tc>
          <w:tcPr>
            <w:tcW w:w="1277" w:type="dxa"/>
          </w:tcPr>
          <w:p>
            <w:pPr>
              <w:pStyle w:val="TableParagraph"/>
              <w:ind w:left="189" w:right="180"/>
              <w:jc w:val="center"/>
              <w:rPr>
                <w:sz w:val="21"/>
              </w:rPr>
            </w:pPr>
            <w:r>
              <w:rPr>
                <w:sz w:val="21"/>
              </w:rPr>
              <w:t>603712</w:t>
            </w:r>
          </w:p>
        </w:tc>
        <w:tc>
          <w:tcPr>
            <w:tcW w:w="1702" w:type="dxa"/>
          </w:tcPr>
          <w:p>
            <w:pPr>
              <w:pStyle w:val="TableParagraph"/>
              <w:spacing w:before="22"/>
              <w:ind w:left="395" w:right="383"/>
              <w:jc w:val="center"/>
              <w:rPr>
                <w:rFonts w:ascii="宋体" w:eastAsia="宋体" w:hint="eastAsia"/>
                <w:sz w:val="21"/>
              </w:rPr>
            </w:pPr>
            <w:r>
              <w:rPr>
                <w:rFonts w:ascii="宋体" w:eastAsia="宋体" w:hint="eastAsia"/>
                <w:sz w:val="21"/>
              </w:rPr>
              <w:t>七一二</w:t>
            </w:r>
          </w:p>
        </w:tc>
        <w:tc>
          <w:tcPr>
            <w:tcW w:w="1277" w:type="dxa"/>
          </w:tcPr>
          <w:p>
            <w:pPr>
              <w:pStyle w:val="TableParagraph"/>
              <w:ind w:right="94"/>
              <w:rPr>
                <w:sz w:val="21"/>
              </w:rPr>
            </w:pPr>
            <w:r>
              <w:rPr>
                <w:sz w:val="21"/>
              </w:rPr>
              <w:t>649,100</w:t>
            </w:r>
          </w:p>
        </w:tc>
        <w:tc>
          <w:tcPr>
            <w:tcW w:w="1841" w:type="dxa"/>
          </w:tcPr>
          <w:p>
            <w:pPr>
              <w:pStyle w:val="TableParagraph"/>
              <w:ind w:right="91"/>
              <w:rPr>
                <w:sz w:val="21"/>
              </w:rPr>
            </w:pPr>
            <w:r>
              <w:rPr>
                <w:sz w:val="21"/>
              </w:rPr>
              <w:t>24,912,458.00</w:t>
            </w:r>
          </w:p>
        </w:tc>
        <w:tc>
          <w:tcPr>
            <w:tcW w:w="1561" w:type="dxa"/>
          </w:tcPr>
          <w:p>
            <w:pPr>
              <w:pStyle w:val="TableParagraph"/>
              <w:ind w:right="94"/>
              <w:rPr>
                <w:sz w:val="21"/>
              </w:rPr>
            </w:pPr>
            <w:r>
              <w:rPr>
                <w:sz w:val="21"/>
              </w:rPr>
              <w:t>3.85</w:t>
            </w:r>
          </w:p>
        </w:tc>
      </w:tr>
      <w:tr>
        <w:trPr>
          <w:trHeight w:val="311" w:hRule="atLeast"/>
        </w:trPr>
        <w:tc>
          <w:tcPr>
            <w:tcW w:w="708" w:type="dxa"/>
          </w:tcPr>
          <w:p>
            <w:pPr>
              <w:pStyle w:val="TableParagraph"/>
              <w:ind w:left="7"/>
              <w:jc w:val="center"/>
              <w:rPr>
                <w:sz w:val="21"/>
              </w:rPr>
            </w:pPr>
            <w:r>
              <w:rPr>
                <w:w w:val="100"/>
                <w:sz w:val="21"/>
              </w:rPr>
              <w:t>7</w:t>
            </w:r>
          </w:p>
        </w:tc>
        <w:tc>
          <w:tcPr>
            <w:tcW w:w="1277" w:type="dxa"/>
          </w:tcPr>
          <w:p>
            <w:pPr>
              <w:pStyle w:val="TableParagraph"/>
              <w:ind w:left="189" w:right="180"/>
              <w:jc w:val="center"/>
              <w:rPr>
                <w:sz w:val="21"/>
              </w:rPr>
            </w:pPr>
            <w:r>
              <w:rPr>
                <w:sz w:val="21"/>
              </w:rPr>
              <w:t>000100</w:t>
            </w:r>
          </w:p>
        </w:tc>
        <w:tc>
          <w:tcPr>
            <w:tcW w:w="1702" w:type="dxa"/>
          </w:tcPr>
          <w:p>
            <w:pPr>
              <w:pStyle w:val="TableParagraph"/>
              <w:spacing w:before="22"/>
              <w:ind w:left="395" w:right="386"/>
              <w:jc w:val="center"/>
              <w:rPr>
                <w:rFonts w:ascii="宋体" w:eastAsia="宋体" w:hint="eastAsia"/>
                <w:sz w:val="21"/>
              </w:rPr>
            </w:pPr>
            <w:r>
              <w:rPr>
                <w:sz w:val="21"/>
              </w:rPr>
              <w:t>TCL </w:t>
            </w:r>
            <w:r>
              <w:rPr>
                <w:rFonts w:ascii="宋体" w:eastAsia="宋体" w:hint="eastAsia"/>
                <w:sz w:val="21"/>
              </w:rPr>
              <w:t>科技</w:t>
            </w:r>
          </w:p>
        </w:tc>
        <w:tc>
          <w:tcPr>
            <w:tcW w:w="1277" w:type="dxa"/>
          </w:tcPr>
          <w:p>
            <w:pPr>
              <w:pStyle w:val="TableParagraph"/>
              <w:ind w:right="94"/>
              <w:rPr>
                <w:sz w:val="21"/>
              </w:rPr>
            </w:pPr>
            <w:r>
              <w:rPr>
                <w:sz w:val="21"/>
              </w:rPr>
              <w:t>3,967,200</w:t>
            </w:r>
          </w:p>
        </w:tc>
        <w:tc>
          <w:tcPr>
            <w:tcW w:w="1841" w:type="dxa"/>
          </w:tcPr>
          <w:p>
            <w:pPr>
              <w:pStyle w:val="TableParagraph"/>
              <w:ind w:right="91"/>
              <w:rPr>
                <w:sz w:val="21"/>
              </w:rPr>
            </w:pPr>
            <w:r>
              <w:rPr>
                <w:sz w:val="21"/>
              </w:rPr>
              <w:t>24,596,640.00</w:t>
            </w:r>
          </w:p>
        </w:tc>
        <w:tc>
          <w:tcPr>
            <w:tcW w:w="1561" w:type="dxa"/>
          </w:tcPr>
          <w:p>
            <w:pPr>
              <w:pStyle w:val="TableParagraph"/>
              <w:ind w:right="94"/>
              <w:rPr>
                <w:sz w:val="21"/>
              </w:rPr>
            </w:pPr>
            <w:r>
              <w:rPr>
                <w:sz w:val="21"/>
              </w:rPr>
              <w:t>3.81</w:t>
            </w:r>
          </w:p>
        </w:tc>
      </w:tr>
      <w:tr>
        <w:trPr>
          <w:trHeight w:val="311" w:hRule="atLeast"/>
        </w:trPr>
        <w:tc>
          <w:tcPr>
            <w:tcW w:w="708" w:type="dxa"/>
          </w:tcPr>
          <w:p>
            <w:pPr>
              <w:pStyle w:val="TableParagraph"/>
              <w:ind w:left="7"/>
              <w:jc w:val="center"/>
              <w:rPr>
                <w:sz w:val="21"/>
              </w:rPr>
            </w:pPr>
            <w:r>
              <w:rPr>
                <w:w w:val="100"/>
                <w:sz w:val="21"/>
              </w:rPr>
              <w:t>8</w:t>
            </w:r>
          </w:p>
        </w:tc>
        <w:tc>
          <w:tcPr>
            <w:tcW w:w="1277" w:type="dxa"/>
          </w:tcPr>
          <w:p>
            <w:pPr>
              <w:pStyle w:val="TableParagraph"/>
              <w:ind w:left="189" w:right="180"/>
              <w:jc w:val="center"/>
              <w:rPr>
                <w:sz w:val="21"/>
              </w:rPr>
            </w:pPr>
            <w:r>
              <w:rPr>
                <w:sz w:val="21"/>
              </w:rPr>
              <w:t>300413</w:t>
            </w:r>
          </w:p>
        </w:tc>
        <w:tc>
          <w:tcPr>
            <w:tcW w:w="1702" w:type="dxa"/>
          </w:tcPr>
          <w:p>
            <w:pPr>
              <w:pStyle w:val="TableParagraph"/>
              <w:spacing w:before="22"/>
              <w:ind w:left="395" w:right="386"/>
              <w:jc w:val="center"/>
              <w:rPr>
                <w:rFonts w:ascii="宋体" w:eastAsia="宋体" w:hint="eastAsia"/>
                <w:sz w:val="21"/>
              </w:rPr>
            </w:pPr>
            <w:r>
              <w:rPr>
                <w:rFonts w:ascii="宋体" w:eastAsia="宋体" w:hint="eastAsia"/>
                <w:sz w:val="21"/>
              </w:rPr>
              <w:t>芒果超媒</w:t>
            </w:r>
          </w:p>
        </w:tc>
        <w:tc>
          <w:tcPr>
            <w:tcW w:w="1277" w:type="dxa"/>
          </w:tcPr>
          <w:p>
            <w:pPr>
              <w:pStyle w:val="TableParagraph"/>
              <w:ind w:right="94"/>
              <w:rPr>
                <w:sz w:val="21"/>
              </w:rPr>
            </w:pPr>
            <w:r>
              <w:rPr>
                <w:sz w:val="21"/>
              </w:rPr>
              <w:t>373,002</w:t>
            </w:r>
          </w:p>
        </w:tc>
        <w:tc>
          <w:tcPr>
            <w:tcW w:w="1841" w:type="dxa"/>
          </w:tcPr>
          <w:p>
            <w:pPr>
              <w:pStyle w:val="TableParagraph"/>
              <w:ind w:right="91"/>
              <w:rPr>
                <w:sz w:val="21"/>
              </w:rPr>
            </w:pPr>
            <w:r>
              <w:rPr>
                <w:sz w:val="21"/>
              </w:rPr>
              <w:t>24,319,730.40</w:t>
            </w:r>
          </w:p>
        </w:tc>
        <w:tc>
          <w:tcPr>
            <w:tcW w:w="1561" w:type="dxa"/>
          </w:tcPr>
          <w:p>
            <w:pPr>
              <w:pStyle w:val="TableParagraph"/>
              <w:ind w:right="94"/>
              <w:rPr>
                <w:sz w:val="21"/>
              </w:rPr>
            </w:pPr>
            <w:r>
              <w:rPr>
                <w:sz w:val="21"/>
              </w:rPr>
              <w:t>3.76</w:t>
            </w:r>
          </w:p>
        </w:tc>
      </w:tr>
      <w:tr>
        <w:trPr>
          <w:trHeight w:val="311" w:hRule="atLeast"/>
        </w:trPr>
        <w:tc>
          <w:tcPr>
            <w:tcW w:w="708" w:type="dxa"/>
          </w:tcPr>
          <w:p>
            <w:pPr>
              <w:pStyle w:val="TableParagraph"/>
              <w:ind w:left="7"/>
              <w:jc w:val="center"/>
              <w:rPr>
                <w:sz w:val="21"/>
              </w:rPr>
            </w:pPr>
            <w:r>
              <w:rPr>
                <w:w w:val="100"/>
                <w:sz w:val="21"/>
              </w:rPr>
              <w:t>9</w:t>
            </w:r>
          </w:p>
        </w:tc>
        <w:tc>
          <w:tcPr>
            <w:tcW w:w="1277" w:type="dxa"/>
          </w:tcPr>
          <w:p>
            <w:pPr>
              <w:pStyle w:val="TableParagraph"/>
              <w:ind w:left="189" w:right="180"/>
              <w:jc w:val="center"/>
              <w:rPr>
                <w:sz w:val="21"/>
              </w:rPr>
            </w:pPr>
            <w:r>
              <w:rPr>
                <w:sz w:val="21"/>
              </w:rPr>
              <w:t>603659</w:t>
            </w:r>
          </w:p>
        </w:tc>
        <w:tc>
          <w:tcPr>
            <w:tcW w:w="1702" w:type="dxa"/>
          </w:tcPr>
          <w:p>
            <w:pPr>
              <w:pStyle w:val="TableParagraph"/>
              <w:spacing w:before="22"/>
              <w:ind w:left="395" w:right="383"/>
              <w:jc w:val="center"/>
              <w:rPr>
                <w:rFonts w:ascii="宋体" w:eastAsia="宋体" w:hint="eastAsia"/>
                <w:sz w:val="21"/>
              </w:rPr>
            </w:pPr>
            <w:r>
              <w:rPr>
                <w:rFonts w:ascii="宋体" w:eastAsia="宋体" w:hint="eastAsia"/>
                <w:sz w:val="21"/>
              </w:rPr>
              <w:t>璞泰来</w:t>
            </w:r>
          </w:p>
        </w:tc>
        <w:tc>
          <w:tcPr>
            <w:tcW w:w="1277" w:type="dxa"/>
          </w:tcPr>
          <w:p>
            <w:pPr>
              <w:pStyle w:val="TableParagraph"/>
              <w:ind w:right="94"/>
              <w:rPr>
                <w:sz w:val="21"/>
              </w:rPr>
            </w:pPr>
            <w:r>
              <w:rPr>
                <w:sz w:val="21"/>
              </w:rPr>
              <w:t>201,200</w:t>
            </w:r>
          </w:p>
        </w:tc>
        <w:tc>
          <w:tcPr>
            <w:tcW w:w="1841" w:type="dxa"/>
          </w:tcPr>
          <w:p>
            <w:pPr>
              <w:pStyle w:val="TableParagraph"/>
              <w:ind w:right="91"/>
              <w:rPr>
                <w:sz w:val="21"/>
              </w:rPr>
            </w:pPr>
            <w:r>
              <w:rPr>
                <w:sz w:val="21"/>
              </w:rPr>
              <w:t>20,727,624.00</w:t>
            </w:r>
          </w:p>
        </w:tc>
        <w:tc>
          <w:tcPr>
            <w:tcW w:w="1561" w:type="dxa"/>
          </w:tcPr>
          <w:p>
            <w:pPr>
              <w:pStyle w:val="TableParagraph"/>
              <w:ind w:right="94"/>
              <w:rPr>
                <w:sz w:val="21"/>
              </w:rPr>
            </w:pPr>
            <w:r>
              <w:rPr>
                <w:sz w:val="21"/>
              </w:rPr>
              <w:t>3.21</w:t>
            </w:r>
          </w:p>
        </w:tc>
      </w:tr>
      <w:tr>
        <w:trPr>
          <w:trHeight w:val="314" w:hRule="atLeast"/>
        </w:trPr>
        <w:tc>
          <w:tcPr>
            <w:tcW w:w="708" w:type="dxa"/>
          </w:tcPr>
          <w:p>
            <w:pPr>
              <w:pStyle w:val="TableParagraph"/>
              <w:ind w:left="113" w:right="106"/>
              <w:jc w:val="center"/>
              <w:rPr>
                <w:sz w:val="21"/>
              </w:rPr>
            </w:pPr>
            <w:r>
              <w:rPr>
                <w:sz w:val="21"/>
              </w:rPr>
              <w:t>10</w:t>
            </w:r>
          </w:p>
        </w:tc>
        <w:tc>
          <w:tcPr>
            <w:tcW w:w="1277" w:type="dxa"/>
          </w:tcPr>
          <w:p>
            <w:pPr>
              <w:pStyle w:val="TableParagraph"/>
              <w:ind w:left="189" w:right="180"/>
              <w:jc w:val="center"/>
              <w:rPr>
                <w:sz w:val="21"/>
              </w:rPr>
            </w:pPr>
            <w:r>
              <w:rPr>
                <w:sz w:val="21"/>
              </w:rPr>
              <w:t>002410</w:t>
            </w:r>
          </w:p>
        </w:tc>
        <w:tc>
          <w:tcPr>
            <w:tcW w:w="1702" w:type="dxa"/>
          </w:tcPr>
          <w:p>
            <w:pPr>
              <w:pStyle w:val="TableParagraph"/>
              <w:spacing w:before="22"/>
              <w:ind w:left="395" w:right="383"/>
              <w:jc w:val="center"/>
              <w:rPr>
                <w:rFonts w:ascii="宋体" w:eastAsia="宋体" w:hint="eastAsia"/>
                <w:sz w:val="21"/>
              </w:rPr>
            </w:pPr>
            <w:r>
              <w:rPr>
                <w:rFonts w:ascii="宋体" w:eastAsia="宋体" w:hint="eastAsia"/>
                <w:sz w:val="21"/>
              </w:rPr>
              <w:t>广联达</w:t>
            </w:r>
          </w:p>
        </w:tc>
        <w:tc>
          <w:tcPr>
            <w:tcW w:w="1277" w:type="dxa"/>
          </w:tcPr>
          <w:p>
            <w:pPr>
              <w:pStyle w:val="TableParagraph"/>
              <w:ind w:right="94"/>
              <w:rPr>
                <w:sz w:val="21"/>
              </w:rPr>
            </w:pPr>
            <w:r>
              <w:rPr>
                <w:sz w:val="21"/>
              </w:rPr>
              <w:t>291,045</w:t>
            </w:r>
          </w:p>
        </w:tc>
        <w:tc>
          <w:tcPr>
            <w:tcW w:w="1841" w:type="dxa"/>
          </w:tcPr>
          <w:p>
            <w:pPr>
              <w:pStyle w:val="TableParagraph"/>
              <w:ind w:right="91"/>
              <w:rPr>
                <w:sz w:val="21"/>
              </w:rPr>
            </w:pPr>
            <w:r>
              <w:rPr>
                <w:sz w:val="21"/>
              </w:rPr>
              <w:t>20,285,836.50</w:t>
            </w:r>
          </w:p>
        </w:tc>
        <w:tc>
          <w:tcPr>
            <w:tcW w:w="1561" w:type="dxa"/>
          </w:tcPr>
          <w:p>
            <w:pPr>
              <w:pStyle w:val="TableParagraph"/>
              <w:ind w:right="94"/>
              <w:rPr>
                <w:sz w:val="21"/>
              </w:rPr>
            </w:pPr>
            <w:r>
              <w:rPr>
                <w:sz w:val="21"/>
              </w:rPr>
              <w:t>3.14</w:t>
            </w:r>
          </w:p>
        </w:tc>
      </w:tr>
    </w:tbl>
    <w:p>
      <w:pPr>
        <w:pStyle w:val="BodyText"/>
        <w:spacing w:before="109"/>
        <w:ind w:left="640"/>
      </w:pPr>
      <w:r>
        <w:rPr/>
        <w:t>注：所用证券代码采用当地市场代码。</w:t>
      </w:r>
    </w:p>
    <w:p>
      <w:pPr>
        <w:pStyle w:val="BodyText"/>
        <w:spacing w:before="7"/>
        <w:rPr>
          <w:sz w:val="15"/>
        </w:rPr>
      </w:pPr>
    </w:p>
    <w:p>
      <w:pPr>
        <w:pStyle w:val="ListParagraph"/>
        <w:numPr>
          <w:ilvl w:val="1"/>
          <w:numId w:val="24"/>
        </w:numPr>
        <w:tabs>
          <w:tab w:pos="590" w:val="left" w:leader="none"/>
        </w:tabs>
        <w:spacing w:line="240" w:lineRule="auto" w:before="1" w:after="0"/>
        <w:ind w:left="590" w:right="0" w:hanging="370"/>
        <w:jc w:val="left"/>
        <w:rPr>
          <w:rFonts w:ascii="Times New Roman" w:eastAsia="Times New Roman"/>
          <w:sz w:val="21"/>
        </w:rPr>
      </w:pPr>
      <w:r>
        <w:rPr>
          <w:spacing w:val="-3"/>
          <w:sz w:val="21"/>
        </w:rPr>
        <w:t>报告期末按债券品种分类的债券投资组合</w:t>
      </w:r>
    </w:p>
    <w:p>
      <w:pPr>
        <w:pStyle w:val="BodyText"/>
        <w:spacing w:before="9"/>
        <w:rPr>
          <w:sz w:val="7"/>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
        <w:gridCol w:w="2999"/>
        <w:gridCol w:w="2951"/>
        <w:gridCol w:w="1545"/>
      </w:tblGrid>
      <w:tr>
        <w:trPr>
          <w:trHeight w:val="964" w:hRule="atLeast"/>
        </w:trPr>
        <w:tc>
          <w:tcPr>
            <w:tcW w:w="838" w:type="dxa"/>
          </w:tcPr>
          <w:p>
            <w:pPr>
              <w:pStyle w:val="TableParagraph"/>
              <w:spacing w:before="4"/>
              <w:jc w:val="left"/>
              <w:rPr>
                <w:rFonts w:ascii="宋体"/>
                <w:sz w:val="28"/>
              </w:rPr>
            </w:pPr>
          </w:p>
          <w:p>
            <w:pPr>
              <w:pStyle w:val="TableParagraph"/>
              <w:spacing w:before="0"/>
              <w:ind w:left="196" w:right="171"/>
              <w:jc w:val="center"/>
              <w:rPr>
                <w:rFonts w:ascii="宋体" w:eastAsia="宋体" w:hint="eastAsia"/>
                <w:sz w:val="21"/>
              </w:rPr>
            </w:pPr>
            <w:r>
              <w:rPr>
                <w:rFonts w:ascii="宋体" w:eastAsia="宋体" w:hint="eastAsia"/>
                <w:sz w:val="21"/>
              </w:rPr>
              <w:t>序号</w:t>
            </w:r>
          </w:p>
        </w:tc>
        <w:tc>
          <w:tcPr>
            <w:tcW w:w="2999" w:type="dxa"/>
          </w:tcPr>
          <w:p>
            <w:pPr>
              <w:pStyle w:val="TableParagraph"/>
              <w:spacing w:before="4"/>
              <w:jc w:val="left"/>
              <w:rPr>
                <w:rFonts w:ascii="宋体"/>
                <w:sz w:val="28"/>
              </w:rPr>
            </w:pPr>
          </w:p>
          <w:p>
            <w:pPr>
              <w:pStyle w:val="TableParagraph"/>
              <w:spacing w:before="0"/>
              <w:ind w:left="1067" w:right="1041"/>
              <w:jc w:val="center"/>
              <w:rPr>
                <w:rFonts w:ascii="宋体" w:eastAsia="宋体" w:hint="eastAsia"/>
                <w:sz w:val="21"/>
              </w:rPr>
            </w:pPr>
            <w:r>
              <w:rPr>
                <w:rFonts w:ascii="宋体" w:eastAsia="宋体" w:hint="eastAsia"/>
                <w:sz w:val="21"/>
              </w:rPr>
              <w:t>债券品种</w:t>
            </w:r>
          </w:p>
        </w:tc>
        <w:tc>
          <w:tcPr>
            <w:tcW w:w="2951" w:type="dxa"/>
          </w:tcPr>
          <w:p>
            <w:pPr>
              <w:pStyle w:val="TableParagraph"/>
              <w:spacing w:before="4"/>
              <w:jc w:val="left"/>
              <w:rPr>
                <w:rFonts w:ascii="宋体"/>
                <w:sz w:val="28"/>
              </w:rPr>
            </w:pPr>
          </w:p>
          <w:p>
            <w:pPr>
              <w:pStyle w:val="TableParagraph"/>
              <w:spacing w:before="0"/>
              <w:ind w:left="886"/>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45" w:type="dxa"/>
          </w:tcPr>
          <w:p>
            <w:pPr>
              <w:pStyle w:val="TableParagraph"/>
              <w:spacing w:before="130"/>
              <w:ind w:left="127" w:right="107"/>
              <w:jc w:val="center"/>
              <w:rPr>
                <w:rFonts w:ascii="宋体" w:eastAsia="宋体" w:hint="eastAsia"/>
                <w:sz w:val="21"/>
              </w:rPr>
            </w:pPr>
            <w:r>
              <w:rPr>
                <w:rFonts w:ascii="宋体" w:eastAsia="宋体" w:hint="eastAsia"/>
                <w:sz w:val="21"/>
              </w:rPr>
              <w:t>占基金资产净</w:t>
            </w:r>
          </w:p>
          <w:p>
            <w:pPr>
              <w:pStyle w:val="TableParagraph"/>
              <w:spacing w:before="4"/>
              <w:jc w:val="left"/>
              <w:rPr>
                <w:rFonts w:ascii="宋体"/>
                <w:sz w:val="15"/>
              </w:rPr>
            </w:pPr>
          </w:p>
          <w:p>
            <w:pPr>
              <w:pStyle w:val="TableParagraph"/>
              <w:spacing w:before="1"/>
              <w:ind w:left="127" w:right="104"/>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496" w:hRule="atLeast"/>
        </w:trPr>
        <w:tc>
          <w:tcPr>
            <w:tcW w:w="838" w:type="dxa"/>
          </w:tcPr>
          <w:p>
            <w:pPr>
              <w:pStyle w:val="TableParagraph"/>
              <w:spacing w:before="142"/>
              <w:ind w:left="21"/>
              <w:jc w:val="center"/>
              <w:rPr>
                <w:sz w:val="21"/>
              </w:rPr>
            </w:pPr>
            <w:r>
              <w:rPr>
                <w:w w:val="100"/>
                <w:sz w:val="21"/>
              </w:rPr>
              <w:t>1</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国家债券</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6" w:hRule="atLeast"/>
        </w:trPr>
        <w:tc>
          <w:tcPr>
            <w:tcW w:w="838" w:type="dxa"/>
          </w:tcPr>
          <w:p>
            <w:pPr>
              <w:pStyle w:val="TableParagraph"/>
              <w:spacing w:before="142"/>
              <w:ind w:left="21"/>
              <w:jc w:val="center"/>
              <w:rPr>
                <w:sz w:val="21"/>
              </w:rPr>
            </w:pPr>
            <w:r>
              <w:rPr>
                <w:w w:val="100"/>
                <w:sz w:val="21"/>
              </w:rPr>
              <w:t>2</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央行票据</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8" w:hRule="atLeast"/>
        </w:trPr>
        <w:tc>
          <w:tcPr>
            <w:tcW w:w="838" w:type="dxa"/>
          </w:tcPr>
          <w:p>
            <w:pPr>
              <w:pStyle w:val="TableParagraph"/>
              <w:spacing w:before="144"/>
              <w:ind w:left="21"/>
              <w:jc w:val="center"/>
              <w:rPr>
                <w:sz w:val="21"/>
              </w:rPr>
            </w:pPr>
            <w:r>
              <w:rPr>
                <w:w w:val="100"/>
                <w:sz w:val="21"/>
              </w:rPr>
              <w:t>3</w:t>
            </w:r>
          </w:p>
        </w:tc>
        <w:tc>
          <w:tcPr>
            <w:tcW w:w="2999" w:type="dxa"/>
          </w:tcPr>
          <w:p>
            <w:pPr>
              <w:pStyle w:val="TableParagraph"/>
              <w:spacing w:before="133"/>
              <w:ind w:left="124"/>
              <w:jc w:val="left"/>
              <w:rPr>
                <w:rFonts w:ascii="宋体" w:eastAsia="宋体" w:hint="eastAsia"/>
                <w:sz w:val="21"/>
              </w:rPr>
            </w:pPr>
            <w:r>
              <w:rPr>
                <w:rFonts w:ascii="宋体" w:eastAsia="宋体" w:hint="eastAsia"/>
                <w:sz w:val="21"/>
              </w:rPr>
              <w:t>金融债券</w:t>
            </w:r>
          </w:p>
        </w:tc>
        <w:tc>
          <w:tcPr>
            <w:tcW w:w="2951" w:type="dxa"/>
          </w:tcPr>
          <w:p>
            <w:pPr>
              <w:pStyle w:val="TableParagraph"/>
              <w:spacing w:before="144"/>
              <w:ind w:right="97"/>
              <w:rPr>
                <w:sz w:val="21"/>
              </w:rPr>
            </w:pPr>
            <w:r>
              <w:rPr>
                <w:w w:val="100"/>
                <w:sz w:val="21"/>
              </w:rPr>
              <w:t>-</w:t>
            </w:r>
          </w:p>
        </w:tc>
        <w:tc>
          <w:tcPr>
            <w:tcW w:w="1545" w:type="dxa"/>
          </w:tcPr>
          <w:p>
            <w:pPr>
              <w:pStyle w:val="TableParagraph"/>
              <w:spacing w:before="144"/>
              <w:ind w:right="98"/>
              <w:rPr>
                <w:sz w:val="21"/>
              </w:rPr>
            </w:pPr>
            <w:r>
              <w:rPr>
                <w:w w:val="100"/>
                <w:sz w:val="21"/>
              </w:rPr>
              <w:t>-</w:t>
            </w:r>
          </w:p>
        </w:tc>
      </w:tr>
      <w:tr>
        <w:trPr>
          <w:trHeight w:val="496" w:hRule="atLeast"/>
        </w:trPr>
        <w:tc>
          <w:tcPr>
            <w:tcW w:w="838" w:type="dxa"/>
          </w:tcPr>
          <w:p>
            <w:pPr>
              <w:pStyle w:val="TableParagraph"/>
              <w:spacing w:before="0"/>
              <w:jc w:val="left"/>
              <w:rPr>
                <w:sz w:val="20"/>
              </w:rPr>
            </w:pP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其中：政策性金融债</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6" w:hRule="atLeast"/>
        </w:trPr>
        <w:tc>
          <w:tcPr>
            <w:tcW w:w="838" w:type="dxa"/>
          </w:tcPr>
          <w:p>
            <w:pPr>
              <w:pStyle w:val="TableParagraph"/>
              <w:spacing w:before="142"/>
              <w:ind w:left="21"/>
              <w:jc w:val="center"/>
              <w:rPr>
                <w:sz w:val="21"/>
              </w:rPr>
            </w:pPr>
            <w:r>
              <w:rPr>
                <w:w w:val="100"/>
                <w:sz w:val="21"/>
              </w:rPr>
              <w:t>4</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企业债券</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6" w:hRule="atLeast"/>
        </w:trPr>
        <w:tc>
          <w:tcPr>
            <w:tcW w:w="838" w:type="dxa"/>
          </w:tcPr>
          <w:p>
            <w:pPr>
              <w:pStyle w:val="TableParagraph"/>
              <w:spacing w:before="142"/>
              <w:ind w:left="21"/>
              <w:jc w:val="center"/>
              <w:rPr>
                <w:sz w:val="21"/>
              </w:rPr>
            </w:pPr>
            <w:r>
              <w:rPr>
                <w:w w:val="100"/>
                <w:sz w:val="21"/>
              </w:rPr>
              <w:t>5</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企业短期融资券</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8" w:hRule="atLeast"/>
        </w:trPr>
        <w:tc>
          <w:tcPr>
            <w:tcW w:w="838" w:type="dxa"/>
          </w:tcPr>
          <w:p>
            <w:pPr>
              <w:pStyle w:val="TableParagraph"/>
              <w:spacing w:before="144"/>
              <w:ind w:left="21"/>
              <w:jc w:val="center"/>
              <w:rPr>
                <w:sz w:val="21"/>
              </w:rPr>
            </w:pPr>
            <w:r>
              <w:rPr>
                <w:w w:val="100"/>
                <w:sz w:val="21"/>
              </w:rPr>
              <w:t>6</w:t>
            </w:r>
          </w:p>
        </w:tc>
        <w:tc>
          <w:tcPr>
            <w:tcW w:w="2999" w:type="dxa"/>
          </w:tcPr>
          <w:p>
            <w:pPr>
              <w:pStyle w:val="TableParagraph"/>
              <w:spacing w:before="133"/>
              <w:ind w:left="124"/>
              <w:jc w:val="left"/>
              <w:rPr>
                <w:rFonts w:ascii="宋体" w:eastAsia="宋体" w:hint="eastAsia"/>
                <w:sz w:val="21"/>
              </w:rPr>
            </w:pPr>
            <w:r>
              <w:rPr>
                <w:rFonts w:ascii="宋体" w:eastAsia="宋体" w:hint="eastAsia"/>
                <w:sz w:val="21"/>
              </w:rPr>
              <w:t>中期票据</w:t>
            </w:r>
          </w:p>
        </w:tc>
        <w:tc>
          <w:tcPr>
            <w:tcW w:w="2951" w:type="dxa"/>
          </w:tcPr>
          <w:p>
            <w:pPr>
              <w:pStyle w:val="TableParagraph"/>
              <w:spacing w:before="144"/>
              <w:ind w:right="97"/>
              <w:rPr>
                <w:sz w:val="21"/>
              </w:rPr>
            </w:pPr>
            <w:r>
              <w:rPr>
                <w:w w:val="100"/>
                <w:sz w:val="21"/>
              </w:rPr>
              <w:t>-</w:t>
            </w:r>
          </w:p>
        </w:tc>
        <w:tc>
          <w:tcPr>
            <w:tcW w:w="1545" w:type="dxa"/>
          </w:tcPr>
          <w:p>
            <w:pPr>
              <w:pStyle w:val="TableParagraph"/>
              <w:spacing w:before="144"/>
              <w:ind w:right="98"/>
              <w:rPr>
                <w:sz w:val="21"/>
              </w:rPr>
            </w:pPr>
            <w:r>
              <w:rPr>
                <w:w w:val="100"/>
                <w:sz w:val="21"/>
              </w:rPr>
              <w:t>-</w:t>
            </w:r>
          </w:p>
        </w:tc>
      </w:tr>
      <w:tr>
        <w:trPr>
          <w:trHeight w:val="496" w:hRule="atLeast"/>
        </w:trPr>
        <w:tc>
          <w:tcPr>
            <w:tcW w:w="838" w:type="dxa"/>
          </w:tcPr>
          <w:p>
            <w:pPr>
              <w:pStyle w:val="TableParagraph"/>
              <w:spacing w:before="142"/>
              <w:ind w:left="21"/>
              <w:jc w:val="center"/>
              <w:rPr>
                <w:sz w:val="21"/>
              </w:rPr>
            </w:pPr>
            <w:r>
              <w:rPr>
                <w:w w:val="100"/>
                <w:sz w:val="21"/>
              </w:rPr>
              <w:t>7</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可转债（可交换债）</w:t>
            </w:r>
          </w:p>
        </w:tc>
        <w:tc>
          <w:tcPr>
            <w:tcW w:w="2951" w:type="dxa"/>
          </w:tcPr>
          <w:p>
            <w:pPr>
              <w:pStyle w:val="TableParagraph"/>
              <w:spacing w:before="142"/>
              <w:ind w:right="95"/>
              <w:rPr>
                <w:sz w:val="21"/>
              </w:rPr>
            </w:pPr>
            <w:r>
              <w:rPr>
                <w:sz w:val="21"/>
              </w:rPr>
              <w:t>1,638,901.64</w:t>
            </w:r>
          </w:p>
        </w:tc>
        <w:tc>
          <w:tcPr>
            <w:tcW w:w="1545" w:type="dxa"/>
          </w:tcPr>
          <w:p>
            <w:pPr>
              <w:pStyle w:val="TableParagraph"/>
              <w:spacing w:before="142"/>
              <w:ind w:right="97"/>
              <w:rPr>
                <w:sz w:val="21"/>
              </w:rPr>
            </w:pPr>
            <w:r>
              <w:rPr>
                <w:sz w:val="21"/>
              </w:rPr>
              <w:t>0.25</w:t>
            </w:r>
          </w:p>
        </w:tc>
      </w:tr>
      <w:tr>
        <w:trPr>
          <w:trHeight w:val="496" w:hRule="atLeast"/>
        </w:trPr>
        <w:tc>
          <w:tcPr>
            <w:tcW w:w="838" w:type="dxa"/>
          </w:tcPr>
          <w:p>
            <w:pPr>
              <w:pStyle w:val="TableParagraph"/>
              <w:spacing w:before="142"/>
              <w:ind w:left="21"/>
              <w:jc w:val="center"/>
              <w:rPr>
                <w:sz w:val="21"/>
              </w:rPr>
            </w:pPr>
            <w:r>
              <w:rPr>
                <w:w w:val="100"/>
                <w:sz w:val="21"/>
              </w:rPr>
              <w:t>8</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同业存单</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6" w:hRule="atLeast"/>
        </w:trPr>
        <w:tc>
          <w:tcPr>
            <w:tcW w:w="838" w:type="dxa"/>
          </w:tcPr>
          <w:p>
            <w:pPr>
              <w:pStyle w:val="TableParagraph"/>
              <w:spacing w:before="142"/>
              <w:ind w:left="21"/>
              <w:jc w:val="center"/>
              <w:rPr>
                <w:sz w:val="21"/>
              </w:rPr>
            </w:pPr>
            <w:r>
              <w:rPr>
                <w:w w:val="100"/>
                <w:sz w:val="21"/>
              </w:rPr>
              <w:t>9</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其他</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9" w:hRule="atLeast"/>
        </w:trPr>
        <w:tc>
          <w:tcPr>
            <w:tcW w:w="838" w:type="dxa"/>
          </w:tcPr>
          <w:p>
            <w:pPr>
              <w:pStyle w:val="TableParagraph"/>
              <w:spacing w:before="145"/>
              <w:ind w:left="192" w:right="171"/>
              <w:jc w:val="center"/>
              <w:rPr>
                <w:sz w:val="21"/>
              </w:rPr>
            </w:pPr>
            <w:r>
              <w:rPr>
                <w:sz w:val="21"/>
              </w:rPr>
              <w:t>10</w:t>
            </w:r>
          </w:p>
        </w:tc>
        <w:tc>
          <w:tcPr>
            <w:tcW w:w="2999" w:type="dxa"/>
          </w:tcPr>
          <w:p>
            <w:pPr>
              <w:pStyle w:val="TableParagraph"/>
              <w:spacing w:before="133"/>
              <w:ind w:left="124"/>
              <w:jc w:val="left"/>
              <w:rPr>
                <w:rFonts w:ascii="宋体" w:eastAsia="宋体" w:hint="eastAsia"/>
                <w:sz w:val="21"/>
              </w:rPr>
            </w:pPr>
            <w:r>
              <w:rPr>
                <w:rFonts w:ascii="宋体" w:eastAsia="宋体" w:hint="eastAsia"/>
                <w:sz w:val="21"/>
              </w:rPr>
              <w:t>合计</w:t>
            </w:r>
          </w:p>
        </w:tc>
        <w:tc>
          <w:tcPr>
            <w:tcW w:w="2951" w:type="dxa"/>
          </w:tcPr>
          <w:p>
            <w:pPr>
              <w:pStyle w:val="TableParagraph"/>
              <w:spacing w:before="145"/>
              <w:ind w:right="95"/>
              <w:rPr>
                <w:sz w:val="21"/>
              </w:rPr>
            </w:pPr>
            <w:r>
              <w:rPr>
                <w:sz w:val="21"/>
              </w:rPr>
              <w:t>1,638,901.64</w:t>
            </w:r>
          </w:p>
        </w:tc>
        <w:tc>
          <w:tcPr>
            <w:tcW w:w="1545" w:type="dxa"/>
          </w:tcPr>
          <w:p>
            <w:pPr>
              <w:pStyle w:val="TableParagraph"/>
              <w:spacing w:before="145"/>
              <w:ind w:right="97"/>
              <w:rPr>
                <w:sz w:val="21"/>
              </w:rPr>
            </w:pPr>
            <w:r>
              <w:rPr>
                <w:sz w:val="21"/>
              </w:rPr>
              <w:t>0.25</w:t>
            </w:r>
          </w:p>
        </w:tc>
      </w:tr>
    </w:tbl>
    <w:p>
      <w:pPr>
        <w:pStyle w:val="ListParagraph"/>
        <w:numPr>
          <w:ilvl w:val="1"/>
          <w:numId w:val="24"/>
        </w:numPr>
        <w:tabs>
          <w:tab w:pos="590" w:val="left" w:leader="none"/>
        </w:tabs>
        <w:spacing w:line="240" w:lineRule="auto" w:before="100" w:after="0"/>
        <w:ind w:left="590" w:right="0" w:hanging="370"/>
        <w:jc w:val="left"/>
        <w:rPr>
          <w:rFonts w:ascii="Times New Roman" w:eastAsia="Times New Roman"/>
          <w:sz w:val="21"/>
        </w:rPr>
      </w:pPr>
      <w:r>
        <w:rPr>
          <w:spacing w:val="-3"/>
          <w:sz w:val="21"/>
        </w:rPr>
        <w:t>报告期末按公允价值占基金资产净值比例大小排序的前五名债券投资明细</w:t>
      </w:r>
    </w:p>
    <w:p>
      <w:pPr>
        <w:pStyle w:val="BodyText"/>
        <w:spacing w:before="9"/>
        <w:rPr>
          <w:sz w:val="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1337"/>
        <w:gridCol w:w="1305"/>
        <w:gridCol w:w="1452"/>
        <w:gridCol w:w="1675"/>
        <w:gridCol w:w="1587"/>
      </w:tblGrid>
      <w:tr>
        <w:trPr>
          <w:trHeight w:val="964" w:hRule="atLeast"/>
        </w:trPr>
        <w:tc>
          <w:tcPr>
            <w:tcW w:w="1166" w:type="dxa"/>
          </w:tcPr>
          <w:p>
            <w:pPr>
              <w:pStyle w:val="TableParagraph"/>
              <w:spacing w:before="4"/>
              <w:jc w:val="left"/>
              <w:rPr>
                <w:rFonts w:ascii="宋体"/>
                <w:sz w:val="28"/>
              </w:rPr>
            </w:pPr>
          </w:p>
          <w:p>
            <w:pPr>
              <w:pStyle w:val="TableParagraph"/>
              <w:spacing w:before="0"/>
              <w:ind w:left="362" w:right="333"/>
              <w:jc w:val="center"/>
              <w:rPr>
                <w:rFonts w:ascii="宋体" w:eastAsia="宋体" w:hint="eastAsia"/>
                <w:sz w:val="21"/>
              </w:rPr>
            </w:pPr>
            <w:r>
              <w:rPr>
                <w:rFonts w:ascii="宋体" w:eastAsia="宋体" w:hint="eastAsia"/>
                <w:sz w:val="21"/>
              </w:rPr>
              <w:t>序号</w:t>
            </w:r>
          </w:p>
        </w:tc>
        <w:tc>
          <w:tcPr>
            <w:tcW w:w="1337" w:type="dxa"/>
          </w:tcPr>
          <w:p>
            <w:pPr>
              <w:pStyle w:val="TableParagraph"/>
              <w:spacing w:before="4"/>
              <w:jc w:val="left"/>
              <w:rPr>
                <w:rFonts w:ascii="宋体"/>
                <w:sz w:val="28"/>
              </w:rPr>
            </w:pPr>
          </w:p>
          <w:p>
            <w:pPr>
              <w:pStyle w:val="TableParagraph"/>
              <w:spacing w:before="0"/>
              <w:ind w:left="235" w:right="211"/>
              <w:jc w:val="center"/>
              <w:rPr>
                <w:rFonts w:ascii="宋体" w:eastAsia="宋体" w:hint="eastAsia"/>
                <w:sz w:val="21"/>
              </w:rPr>
            </w:pPr>
            <w:r>
              <w:rPr>
                <w:rFonts w:ascii="宋体" w:eastAsia="宋体" w:hint="eastAsia"/>
                <w:sz w:val="21"/>
              </w:rPr>
              <w:t>债券代码</w:t>
            </w:r>
          </w:p>
        </w:tc>
        <w:tc>
          <w:tcPr>
            <w:tcW w:w="1305" w:type="dxa"/>
          </w:tcPr>
          <w:p>
            <w:pPr>
              <w:pStyle w:val="TableParagraph"/>
              <w:spacing w:before="4"/>
              <w:jc w:val="left"/>
              <w:rPr>
                <w:rFonts w:ascii="宋体"/>
                <w:sz w:val="28"/>
              </w:rPr>
            </w:pPr>
          </w:p>
          <w:p>
            <w:pPr>
              <w:pStyle w:val="TableParagraph"/>
              <w:spacing w:before="0"/>
              <w:ind w:left="212" w:right="189"/>
              <w:jc w:val="center"/>
              <w:rPr>
                <w:rFonts w:ascii="宋体" w:eastAsia="宋体" w:hint="eastAsia"/>
                <w:sz w:val="21"/>
              </w:rPr>
            </w:pPr>
            <w:r>
              <w:rPr>
                <w:rFonts w:ascii="宋体" w:eastAsia="宋体" w:hint="eastAsia"/>
                <w:sz w:val="21"/>
              </w:rPr>
              <w:t>债券名称</w:t>
            </w:r>
          </w:p>
        </w:tc>
        <w:tc>
          <w:tcPr>
            <w:tcW w:w="1452" w:type="dxa"/>
          </w:tcPr>
          <w:p>
            <w:pPr>
              <w:pStyle w:val="TableParagraph"/>
              <w:spacing w:before="4"/>
              <w:jc w:val="left"/>
              <w:rPr>
                <w:rFonts w:ascii="宋体"/>
                <w:sz w:val="28"/>
              </w:rPr>
            </w:pPr>
          </w:p>
          <w:p>
            <w:pPr>
              <w:pStyle w:val="TableParagraph"/>
              <w:spacing w:before="0"/>
              <w:ind w:left="349"/>
              <w:jc w:val="left"/>
              <w:rPr>
                <w:sz w:val="21"/>
              </w:rPr>
            </w:pPr>
            <w:r>
              <w:rPr>
                <w:rFonts w:ascii="宋体" w:eastAsia="宋体" w:hint="eastAsia"/>
                <w:sz w:val="21"/>
              </w:rPr>
              <w:t>数量</w:t>
            </w:r>
            <w:r>
              <w:rPr>
                <w:sz w:val="21"/>
              </w:rPr>
              <w:t>(</w:t>
            </w:r>
            <w:r>
              <w:rPr>
                <w:rFonts w:ascii="宋体" w:eastAsia="宋体" w:hint="eastAsia"/>
                <w:sz w:val="21"/>
              </w:rPr>
              <w:t>张</w:t>
            </w:r>
            <w:r>
              <w:rPr>
                <w:sz w:val="21"/>
              </w:rPr>
              <w:t>)</w:t>
            </w:r>
          </w:p>
        </w:tc>
        <w:tc>
          <w:tcPr>
            <w:tcW w:w="1675" w:type="dxa"/>
          </w:tcPr>
          <w:p>
            <w:pPr>
              <w:pStyle w:val="TableParagraph"/>
              <w:spacing w:before="4"/>
              <w:jc w:val="left"/>
              <w:rPr>
                <w:rFonts w:ascii="宋体"/>
                <w:sz w:val="28"/>
              </w:rPr>
            </w:pPr>
          </w:p>
          <w:p>
            <w:pPr>
              <w:pStyle w:val="TableParagraph"/>
              <w:spacing w:before="0"/>
              <w:ind w:left="253"/>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87" w:type="dxa"/>
          </w:tcPr>
          <w:p>
            <w:pPr>
              <w:pStyle w:val="TableParagraph"/>
              <w:spacing w:before="130"/>
              <w:ind w:left="153" w:right="124"/>
              <w:jc w:val="center"/>
              <w:rPr>
                <w:rFonts w:ascii="宋体" w:eastAsia="宋体" w:hint="eastAsia"/>
                <w:sz w:val="21"/>
              </w:rPr>
            </w:pPr>
            <w:r>
              <w:rPr>
                <w:rFonts w:ascii="宋体" w:eastAsia="宋体" w:hint="eastAsia"/>
                <w:sz w:val="21"/>
              </w:rPr>
              <w:t>占基金资产净</w:t>
            </w:r>
          </w:p>
          <w:p>
            <w:pPr>
              <w:pStyle w:val="TableParagraph"/>
              <w:spacing w:before="4"/>
              <w:jc w:val="left"/>
              <w:rPr>
                <w:rFonts w:ascii="宋体"/>
                <w:sz w:val="15"/>
              </w:rPr>
            </w:pPr>
          </w:p>
          <w:p>
            <w:pPr>
              <w:pStyle w:val="TableParagraph"/>
              <w:spacing w:before="1"/>
              <w:ind w:left="153" w:right="124"/>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311" w:hRule="atLeast"/>
        </w:trPr>
        <w:tc>
          <w:tcPr>
            <w:tcW w:w="1166" w:type="dxa"/>
          </w:tcPr>
          <w:p>
            <w:pPr>
              <w:pStyle w:val="TableParagraph"/>
              <w:ind w:left="9"/>
              <w:jc w:val="center"/>
              <w:rPr>
                <w:sz w:val="21"/>
              </w:rPr>
            </w:pPr>
            <w:r>
              <w:rPr>
                <w:w w:val="100"/>
                <w:sz w:val="21"/>
              </w:rPr>
              <w:t>1</w:t>
            </w:r>
          </w:p>
        </w:tc>
        <w:tc>
          <w:tcPr>
            <w:tcW w:w="1337" w:type="dxa"/>
          </w:tcPr>
          <w:p>
            <w:pPr>
              <w:pStyle w:val="TableParagraph"/>
              <w:ind w:left="218" w:right="211"/>
              <w:jc w:val="center"/>
              <w:rPr>
                <w:sz w:val="21"/>
              </w:rPr>
            </w:pPr>
            <w:r>
              <w:rPr>
                <w:sz w:val="21"/>
              </w:rPr>
              <w:t>123041</w:t>
            </w:r>
          </w:p>
        </w:tc>
        <w:tc>
          <w:tcPr>
            <w:tcW w:w="1305" w:type="dxa"/>
          </w:tcPr>
          <w:p>
            <w:pPr>
              <w:pStyle w:val="TableParagraph"/>
              <w:spacing w:before="22"/>
              <w:ind w:left="205" w:right="196"/>
              <w:jc w:val="center"/>
              <w:rPr>
                <w:sz w:val="21"/>
              </w:rPr>
            </w:pPr>
            <w:r>
              <w:rPr>
                <w:rFonts w:ascii="宋体" w:eastAsia="宋体" w:hint="eastAsia"/>
                <w:sz w:val="21"/>
              </w:rPr>
              <w:t>东财转 </w:t>
            </w:r>
            <w:r>
              <w:rPr>
                <w:sz w:val="21"/>
              </w:rPr>
              <w:t>2</w:t>
            </w:r>
          </w:p>
        </w:tc>
        <w:tc>
          <w:tcPr>
            <w:tcW w:w="1452" w:type="dxa"/>
          </w:tcPr>
          <w:p>
            <w:pPr>
              <w:pStyle w:val="TableParagraph"/>
              <w:ind w:right="92"/>
              <w:rPr>
                <w:sz w:val="21"/>
              </w:rPr>
            </w:pPr>
            <w:r>
              <w:rPr>
                <w:sz w:val="21"/>
              </w:rPr>
              <w:t>5,435</w:t>
            </w:r>
          </w:p>
        </w:tc>
        <w:tc>
          <w:tcPr>
            <w:tcW w:w="1675" w:type="dxa"/>
          </w:tcPr>
          <w:p>
            <w:pPr>
              <w:pStyle w:val="TableParagraph"/>
              <w:ind w:right="89"/>
              <w:rPr>
                <w:sz w:val="21"/>
              </w:rPr>
            </w:pPr>
            <w:r>
              <w:rPr>
                <w:sz w:val="21"/>
              </w:rPr>
              <w:t>819,761.05</w:t>
            </w:r>
          </w:p>
        </w:tc>
        <w:tc>
          <w:tcPr>
            <w:tcW w:w="1587" w:type="dxa"/>
          </w:tcPr>
          <w:p>
            <w:pPr>
              <w:pStyle w:val="TableParagraph"/>
              <w:ind w:right="94"/>
              <w:rPr>
                <w:sz w:val="21"/>
              </w:rPr>
            </w:pPr>
            <w:r>
              <w:rPr>
                <w:sz w:val="21"/>
              </w:rPr>
              <w:t>0.13</w:t>
            </w:r>
          </w:p>
        </w:tc>
      </w:tr>
      <w:tr>
        <w:trPr>
          <w:trHeight w:val="311" w:hRule="atLeast"/>
        </w:trPr>
        <w:tc>
          <w:tcPr>
            <w:tcW w:w="1166" w:type="dxa"/>
          </w:tcPr>
          <w:p>
            <w:pPr>
              <w:pStyle w:val="TableParagraph"/>
              <w:ind w:left="9"/>
              <w:jc w:val="center"/>
              <w:rPr>
                <w:sz w:val="21"/>
              </w:rPr>
            </w:pPr>
            <w:r>
              <w:rPr>
                <w:w w:val="100"/>
                <w:sz w:val="21"/>
              </w:rPr>
              <w:t>2</w:t>
            </w:r>
          </w:p>
        </w:tc>
        <w:tc>
          <w:tcPr>
            <w:tcW w:w="1337" w:type="dxa"/>
          </w:tcPr>
          <w:p>
            <w:pPr>
              <w:pStyle w:val="TableParagraph"/>
              <w:ind w:left="218" w:right="211"/>
              <w:jc w:val="center"/>
              <w:rPr>
                <w:sz w:val="21"/>
              </w:rPr>
            </w:pPr>
            <w:r>
              <w:rPr>
                <w:sz w:val="21"/>
              </w:rPr>
              <w:t>113562</w:t>
            </w:r>
          </w:p>
        </w:tc>
        <w:tc>
          <w:tcPr>
            <w:tcW w:w="1305" w:type="dxa"/>
          </w:tcPr>
          <w:p>
            <w:pPr>
              <w:pStyle w:val="TableParagraph"/>
              <w:spacing w:before="22"/>
              <w:ind w:left="205" w:right="196"/>
              <w:jc w:val="center"/>
              <w:rPr>
                <w:rFonts w:ascii="宋体" w:eastAsia="宋体" w:hint="eastAsia"/>
                <w:sz w:val="21"/>
              </w:rPr>
            </w:pPr>
            <w:r>
              <w:rPr>
                <w:rFonts w:ascii="宋体" w:eastAsia="宋体" w:hint="eastAsia"/>
                <w:sz w:val="21"/>
              </w:rPr>
              <w:t>璞泰转债</w:t>
            </w:r>
          </w:p>
        </w:tc>
        <w:tc>
          <w:tcPr>
            <w:tcW w:w="1452" w:type="dxa"/>
          </w:tcPr>
          <w:p>
            <w:pPr>
              <w:pStyle w:val="TableParagraph"/>
              <w:ind w:right="92"/>
              <w:rPr>
                <w:sz w:val="21"/>
              </w:rPr>
            </w:pPr>
            <w:r>
              <w:rPr>
                <w:sz w:val="21"/>
              </w:rPr>
              <w:t>3,160</w:t>
            </w:r>
          </w:p>
        </w:tc>
        <w:tc>
          <w:tcPr>
            <w:tcW w:w="1675" w:type="dxa"/>
          </w:tcPr>
          <w:p>
            <w:pPr>
              <w:pStyle w:val="TableParagraph"/>
              <w:ind w:right="89"/>
              <w:rPr>
                <w:sz w:val="21"/>
              </w:rPr>
            </w:pPr>
            <w:r>
              <w:rPr>
                <w:sz w:val="21"/>
              </w:rPr>
              <w:t>424,640.80</w:t>
            </w:r>
          </w:p>
        </w:tc>
        <w:tc>
          <w:tcPr>
            <w:tcW w:w="1587" w:type="dxa"/>
          </w:tcPr>
          <w:p>
            <w:pPr>
              <w:pStyle w:val="TableParagraph"/>
              <w:ind w:right="94"/>
              <w:rPr>
                <w:sz w:val="21"/>
              </w:rPr>
            </w:pPr>
            <w:r>
              <w:rPr>
                <w:sz w:val="21"/>
              </w:rPr>
              <w:t>0.07</w:t>
            </w:r>
          </w:p>
        </w:tc>
      </w:tr>
      <w:tr>
        <w:trPr>
          <w:trHeight w:val="314" w:hRule="atLeast"/>
        </w:trPr>
        <w:tc>
          <w:tcPr>
            <w:tcW w:w="1166" w:type="dxa"/>
          </w:tcPr>
          <w:p>
            <w:pPr>
              <w:pStyle w:val="TableParagraph"/>
              <w:spacing w:before="36"/>
              <w:ind w:left="9"/>
              <w:jc w:val="center"/>
              <w:rPr>
                <w:sz w:val="21"/>
              </w:rPr>
            </w:pPr>
            <w:r>
              <w:rPr>
                <w:w w:val="100"/>
                <w:sz w:val="21"/>
              </w:rPr>
              <w:t>3</w:t>
            </w:r>
          </w:p>
        </w:tc>
        <w:tc>
          <w:tcPr>
            <w:tcW w:w="1337" w:type="dxa"/>
          </w:tcPr>
          <w:p>
            <w:pPr>
              <w:pStyle w:val="TableParagraph"/>
              <w:spacing w:before="36"/>
              <w:ind w:left="218" w:right="211"/>
              <w:jc w:val="center"/>
              <w:rPr>
                <w:sz w:val="21"/>
              </w:rPr>
            </w:pPr>
            <w:r>
              <w:rPr>
                <w:sz w:val="21"/>
              </w:rPr>
              <w:t>123039</w:t>
            </w:r>
          </w:p>
        </w:tc>
        <w:tc>
          <w:tcPr>
            <w:tcW w:w="1305" w:type="dxa"/>
          </w:tcPr>
          <w:p>
            <w:pPr>
              <w:pStyle w:val="TableParagraph"/>
              <w:spacing w:before="25"/>
              <w:ind w:left="205" w:right="196"/>
              <w:jc w:val="center"/>
              <w:rPr>
                <w:rFonts w:ascii="宋体" w:eastAsia="宋体" w:hint="eastAsia"/>
                <w:sz w:val="21"/>
              </w:rPr>
            </w:pPr>
            <w:r>
              <w:rPr>
                <w:rFonts w:ascii="宋体" w:eastAsia="宋体" w:hint="eastAsia"/>
                <w:sz w:val="21"/>
              </w:rPr>
              <w:t>开润转债</w:t>
            </w:r>
          </w:p>
        </w:tc>
        <w:tc>
          <w:tcPr>
            <w:tcW w:w="1452" w:type="dxa"/>
          </w:tcPr>
          <w:p>
            <w:pPr>
              <w:pStyle w:val="TableParagraph"/>
              <w:spacing w:before="36"/>
              <w:ind w:right="92"/>
              <w:rPr>
                <w:sz w:val="21"/>
              </w:rPr>
            </w:pPr>
            <w:r>
              <w:rPr>
                <w:sz w:val="21"/>
              </w:rPr>
              <w:t>3,609</w:t>
            </w:r>
          </w:p>
        </w:tc>
        <w:tc>
          <w:tcPr>
            <w:tcW w:w="1675" w:type="dxa"/>
          </w:tcPr>
          <w:p>
            <w:pPr>
              <w:pStyle w:val="TableParagraph"/>
              <w:spacing w:before="36"/>
              <w:ind w:right="89"/>
              <w:rPr>
                <w:sz w:val="21"/>
              </w:rPr>
            </w:pPr>
            <w:r>
              <w:rPr>
                <w:sz w:val="21"/>
              </w:rPr>
              <w:t>394,499.79</w:t>
            </w:r>
          </w:p>
        </w:tc>
        <w:tc>
          <w:tcPr>
            <w:tcW w:w="1587" w:type="dxa"/>
          </w:tcPr>
          <w:p>
            <w:pPr>
              <w:pStyle w:val="TableParagraph"/>
              <w:spacing w:before="36"/>
              <w:ind w:right="94"/>
              <w:rPr>
                <w:sz w:val="21"/>
              </w:rPr>
            </w:pPr>
            <w:r>
              <w:rPr>
                <w:sz w:val="21"/>
              </w:rPr>
              <w:t>0.06</w:t>
            </w:r>
          </w:p>
        </w:tc>
      </w:tr>
      <w:tr>
        <w:trPr>
          <w:trHeight w:val="311" w:hRule="atLeast"/>
        </w:trPr>
        <w:tc>
          <w:tcPr>
            <w:tcW w:w="1166" w:type="dxa"/>
          </w:tcPr>
          <w:p>
            <w:pPr>
              <w:pStyle w:val="TableParagraph"/>
              <w:ind w:left="9"/>
              <w:jc w:val="center"/>
              <w:rPr>
                <w:sz w:val="21"/>
              </w:rPr>
            </w:pPr>
            <w:r>
              <w:rPr>
                <w:w w:val="100"/>
                <w:sz w:val="21"/>
              </w:rPr>
              <w:t>4</w:t>
            </w:r>
          </w:p>
        </w:tc>
        <w:tc>
          <w:tcPr>
            <w:tcW w:w="1337" w:type="dxa"/>
          </w:tcPr>
          <w:p>
            <w:pPr>
              <w:pStyle w:val="TableParagraph"/>
              <w:ind w:left="5"/>
              <w:jc w:val="center"/>
              <w:rPr>
                <w:sz w:val="21"/>
              </w:rPr>
            </w:pPr>
            <w:r>
              <w:rPr>
                <w:w w:val="100"/>
                <w:sz w:val="21"/>
              </w:rPr>
              <w:t>-</w:t>
            </w:r>
          </w:p>
        </w:tc>
        <w:tc>
          <w:tcPr>
            <w:tcW w:w="1305" w:type="dxa"/>
          </w:tcPr>
          <w:p>
            <w:pPr>
              <w:pStyle w:val="TableParagraph"/>
              <w:ind w:left="5"/>
              <w:jc w:val="center"/>
              <w:rPr>
                <w:sz w:val="21"/>
              </w:rPr>
            </w:pPr>
            <w:r>
              <w:rPr>
                <w:w w:val="100"/>
                <w:sz w:val="21"/>
              </w:rPr>
              <w:t>-</w:t>
            </w:r>
          </w:p>
        </w:tc>
        <w:tc>
          <w:tcPr>
            <w:tcW w:w="1452" w:type="dxa"/>
          </w:tcPr>
          <w:p>
            <w:pPr>
              <w:pStyle w:val="TableParagraph"/>
              <w:ind w:right="93"/>
              <w:rPr>
                <w:sz w:val="21"/>
              </w:rPr>
            </w:pPr>
            <w:r>
              <w:rPr>
                <w:w w:val="100"/>
                <w:sz w:val="21"/>
              </w:rPr>
              <w:t>-</w:t>
            </w:r>
          </w:p>
        </w:tc>
        <w:tc>
          <w:tcPr>
            <w:tcW w:w="1675" w:type="dxa"/>
          </w:tcPr>
          <w:p>
            <w:pPr>
              <w:pStyle w:val="TableParagraph"/>
              <w:ind w:right="91"/>
              <w:rPr>
                <w:sz w:val="21"/>
              </w:rPr>
            </w:pPr>
            <w:r>
              <w:rPr>
                <w:w w:val="100"/>
                <w:sz w:val="21"/>
              </w:rPr>
              <w:t>-</w:t>
            </w:r>
          </w:p>
        </w:tc>
        <w:tc>
          <w:tcPr>
            <w:tcW w:w="1587" w:type="dxa"/>
          </w:tcPr>
          <w:p>
            <w:pPr>
              <w:pStyle w:val="TableParagraph"/>
              <w:ind w:right="95"/>
              <w:rPr>
                <w:sz w:val="21"/>
              </w:rPr>
            </w:pPr>
            <w:r>
              <w:rPr>
                <w:w w:val="100"/>
                <w:sz w:val="21"/>
              </w:rPr>
              <w:t>-</w:t>
            </w:r>
          </w:p>
        </w:tc>
      </w:tr>
      <w:tr>
        <w:trPr>
          <w:trHeight w:val="311" w:hRule="atLeast"/>
        </w:trPr>
        <w:tc>
          <w:tcPr>
            <w:tcW w:w="1166" w:type="dxa"/>
          </w:tcPr>
          <w:p>
            <w:pPr>
              <w:pStyle w:val="TableParagraph"/>
              <w:ind w:left="9"/>
              <w:jc w:val="center"/>
              <w:rPr>
                <w:sz w:val="21"/>
              </w:rPr>
            </w:pPr>
            <w:r>
              <w:rPr>
                <w:w w:val="100"/>
                <w:sz w:val="21"/>
              </w:rPr>
              <w:t>5</w:t>
            </w:r>
          </w:p>
        </w:tc>
        <w:tc>
          <w:tcPr>
            <w:tcW w:w="1337" w:type="dxa"/>
          </w:tcPr>
          <w:p>
            <w:pPr>
              <w:pStyle w:val="TableParagraph"/>
              <w:ind w:left="5"/>
              <w:jc w:val="center"/>
              <w:rPr>
                <w:sz w:val="21"/>
              </w:rPr>
            </w:pPr>
            <w:r>
              <w:rPr>
                <w:w w:val="100"/>
                <w:sz w:val="21"/>
              </w:rPr>
              <w:t>-</w:t>
            </w:r>
          </w:p>
        </w:tc>
        <w:tc>
          <w:tcPr>
            <w:tcW w:w="1305" w:type="dxa"/>
          </w:tcPr>
          <w:p>
            <w:pPr>
              <w:pStyle w:val="TableParagraph"/>
              <w:ind w:left="5"/>
              <w:jc w:val="center"/>
              <w:rPr>
                <w:sz w:val="21"/>
              </w:rPr>
            </w:pPr>
            <w:r>
              <w:rPr>
                <w:w w:val="100"/>
                <w:sz w:val="21"/>
              </w:rPr>
              <w:t>-</w:t>
            </w:r>
          </w:p>
        </w:tc>
        <w:tc>
          <w:tcPr>
            <w:tcW w:w="1452" w:type="dxa"/>
          </w:tcPr>
          <w:p>
            <w:pPr>
              <w:pStyle w:val="TableParagraph"/>
              <w:ind w:right="93"/>
              <w:rPr>
                <w:sz w:val="21"/>
              </w:rPr>
            </w:pPr>
            <w:r>
              <w:rPr>
                <w:w w:val="100"/>
                <w:sz w:val="21"/>
              </w:rPr>
              <w:t>-</w:t>
            </w:r>
          </w:p>
        </w:tc>
        <w:tc>
          <w:tcPr>
            <w:tcW w:w="1675" w:type="dxa"/>
          </w:tcPr>
          <w:p>
            <w:pPr>
              <w:pStyle w:val="TableParagraph"/>
              <w:ind w:right="91"/>
              <w:rPr>
                <w:sz w:val="21"/>
              </w:rPr>
            </w:pPr>
            <w:r>
              <w:rPr>
                <w:w w:val="100"/>
                <w:sz w:val="21"/>
              </w:rPr>
              <w:t>-</w:t>
            </w:r>
          </w:p>
        </w:tc>
        <w:tc>
          <w:tcPr>
            <w:tcW w:w="1587" w:type="dxa"/>
          </w:tcPr>
          <w:p>
            <w:pPr>
              <w:pStyle w:val="TableParagraph"/>
              <w:ind w:right="95"/>
              <w:rPr>
                <w:sz w:val="21"/>
              </w:rPr>
            </w:pPr>
            <w:r>
              <w:rPr>
                <w:w w:val="100"/>
                <w:sz w:val="21"/>
              </w:rPr>
              <w:t>-</w:t>
            </w:r>
          </w:p>
        </w:tc>
      </w:tr>
    </w:tbl>
    <w:p>
      <w:pPr>
        <w:spacing w:after="0"/>
        <w:rPr>
          <w:sz w:val="21"/>
        </w:rPr>
        <w:sectPr>
          <w:pgSz w:w="11910" w:h="16840"/>
          <w:pgMar w:header="877" w:footer="995" w:top="1420" w:bottom="1180" w:left="1580" w:right="1200"/>
        </w:sectPr>
      </w:pPr>
    </w:p>
    <w:p>
      <w:pPr>
        <w:pStyle w:val="ListParagraph"/>
        <w:numPr>
          <w:ilvl w:val="1"/>
          <w:numId w:val="24"/>
        </w:numPr>
        <w:tabs>
          <w:tab w:pos="590" w:val="left" w:leader="none"/>
        </w:tabs>
        <w:spacing w:line="417" w:lineRule="auto" w:before="110" w:after="0"/>
        <w:ind w:left="640" w:right="968" w:hanging="420"/>
        <w:jc w:val="left"/>
        <w:rPr>
          <w:rFonts w:ascii="Times New Roman" w:eastAsia="Times New Roman"/>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4"/>
        </w:numPr>
        <w:tabs>
          <w:tab w:pos="590" w:val="left" w:leader="none"/>
        </w:tabs>
        <w:spacing w:line="417" w:lineRule="auto" w:before="0" w:after="0"/>
        <w:ind w:left="640" w:right="1599" w:hanging="420"/>
        <w:jc w:val="left"/>
        <w:rPr>
          <w:rFonts w:ascii="Times New Roman" w:eastAsia="Times New Roman"/>
          <w:sz w:val="21"/>
        </w:rPr>
      </w:pPr>
      <w:r>
        <w:rPr>
          <w:spacing w:val="-3"/>
          <w:sz w:val="21"/>
        </w:rPr>
        <w:t>报告期末按公允价值占基金资产净值比例大小排序的前五名贵金属投资明细本基金本报告期末未持有贵金属。</w:t>
      </w:r>
    </w:p>
    <w:p>
      <w:pPr>
        <w:pStyle w:val="ListParagraph"/>
        <w:numPr>
          <w:ilvl w:val="1"/>
          <w:numId w:val="24"/>
        </w:numPr>
        <w:tabs>
          <w:tab w:pos="538" w:val="left" w:leader="none"/>
        </w:tabs>
        <w:spacing w:line="417" w:lineRule="auto" w:before="0" w:after="0"/>
        <w:ind w:left="640" w:right="1863" w:hanging="420"/>
        <w:jc w:val="left"/>
        <w:rPr>
          <w:rFonts w:ascii="Times New Roman" w:eastAsia="Times New Roman"/>
          <w:sz w:val="21"/>
        </w:rPr>
      </w:pPr>
      <w:r>
        <w:rPr>
          <w:spacing w:val="-3"/>
          <w:sz w:val="21"/>
        </w:rPr>
        <w:t>报告期末按公允价值占基金资产净值比例大小排序的前五名权证投资明细本基金本报告期末未持有权证。</w:t>
      </w:r>
    </w:p>
    <w:p>
      <w:pPr>
        <w:pStyle w:val="ListParagraph"/>
        <w:numPr>
          <w:ilvl w:val="1"/>
          <w:numId w:val="24"/>
        </w:numPr>
        <w:tabs>
          <w:tab w:pos="538" w:val="left" w:leader="none"/>
        </w:tabs>
        <w:spacing w:line="269" w:lineRule="exact" w:before="0" w:after="0"/>
        <w:ind w:left="537" w:right="0" w:hanging="318"/>
        <w:jc w:val="left"/>
        <w:rPr>
          <w:rFonts w:ascii="Times New Roman" w:eastAsia="Times New Roman"/>
          <w:sz w:val="21"/>
        </w:rPr>
      </w:pPr>
      <w:r>
        <w:rPr>
          <w:spacing w:val="-3"/>
          <w:sz w:val="21"/>
        </w:rPr>
        <w:t>报告期末本基金投资的股指期货交易情况说明</w:t>
      </w:r>
    </w:p>
    <w:p>
      <w:pPr>
        <w:pStyle w:val="BodyText"/>
        <w:spacing w:before="6"/>
        <w:rPr>
          <w:sz w:val="15"/>
        </w:rPr>
      </w:pPr>
    </w:p>
    <w:p>
      <w:pPr>
        <w:pStyle w:val="ListParagraph"/>
        <w:numPr>
          <w:ilvl w:val="2"/>
          <w:numId w:val="24"/>
        </w:numPr>
        <w:tabs>
          <w:tab w:pos="694" w:val="left" w:leader="none"/>
        </w:tabs>
        <w:spacing w:line="417" w:lineRule="auto" w:before="0" w:after="0"/>
        <w:ind w:left="640" w:right="4019" w:hanging="420"/>
        <w:jc w:val="left"/>
        <w:rPr>
          <w:sz w:val="21"/>
        </w:rPr>
      </w:pPr>
      <w:r>
        <w:rPr>
          <w:spacing w:val="-3"/>
          <w:sz w:val="21"/>
        </w:rPr>
        <w:t>报告期末本基金投资的股指期货持仓和损益明细本基金本报告期末无股指期货投资。</w:t>
      </w:r>
    </w:p>
    <w:p>
      <w:pPr>
        <w:pStyle w:val="ListParagraph"/>
        <w:numPr>
          <w:ilvl w:val="2"/>
          <w:numId w:val="24"/>
        </w:numPr>
        <w:tabs>
          <w:tab w:pos="694" w:val="left" w:leader="none"/>
        </w:tabs>
        <w:spacing w:line="269" w:lineRule="exact" w:before="0" w:after="0"/>
        <w:ind w:left="693" w:right="0" w:hanging="474"/>
        <w:jc w:val="left"/>
        <w:rPr>
          <w:sz w:val="21"/>
        </w:rPr>
      </w:pPr>
      <w:r>
        <w:rPr>
          <w:spacing w:val="-3"/>
          <w:sz w:val="21"/>
        </w:rPr>
        <w:t>本基金投资股指期货的投资政策</w:t>
      </w:r>
    </w:p>
    <w:p>
      <w:pPr>
        <w:pStyle w:val="BodyText"/>
        <w:spacing w:before="7"/>
        <w:rPr>
          <w:sz w:val="15"/>
        </w:rPr>
      </w:pPr>
    </w:p>
    <w:p>
      <w:pPr>
        <w:pStyle w:val="BodyText"/>
        <w:ind w:left="640"/>
      </w:pPr>
      <w:r>
        <w:rPr/>
        <w:t>本基金本报告期末无股指期货投资。</w:t>
      </w:r>
    </w:p>
    <w:p>
      <w:pPr>
        <w:pStyle w:val="BodyText"/>
        <w:spacing w:before="7"/>
        <w:rPr>
          <w:sz w:val="15"/>
        </w:rPr>
      </w:pPr>
    </w:p>
    <w:p>
      <w:pPr>
        <w:pStyle w:val="ListParagraph"/>
        <w:numPr>
          <w:ilvl w:val="1"/>
          <w:numId w:val="24"/>
        </w:numPr>
        <w:tabs>
          <w:tab w:pos="643" w:val="left" w:leader="none"/>
        </w:tabs>
        <w:spacing w:line="240" w:lineRule="auto" w:before="0" w:after="0"/>
        <w:ind w:left="642" w:right="0" w:hanging="423"/>
        <w:jc w:val="left"/>
        <w:rPr>
          <w:rFonts w:ascii="Times New Roman" w:eastAsia="Times New Roman"/>
          <w:sz w:val="21"/>
        </w:rPr>
      </w:pPr>
      <w:r>
        <w:rPr>
          <w:spacing w:val="-3"/>
          <w:sz w:val="21"/>
        </w:rPr>
        <w:t>报告期末本基金投资的国债期货交易情况说明</w:t>
      </w:r>
    </w:p>
    <w:p>
      <w:pPr>
        <w:pStyle w:val="BodyText"/>
        <w:spacing w:before="6"/>
        <w:rPr>
          <w:sz w:val="15"/>
        </w:rPr>
      </w:pPr>
    </w:p>
    <w:p>
      <w:pPr>
        <w:pStyle w:val="ListParagraph"/>
        <w:numPr>
          <w:ilvl w:val="2"/>
          <w:numId w:val="24"/>
        </w:numPr>
        <w:tabs>
          <w:tab w:pos="852" w:val="left" w:leader="none"/>
        </w:tabs>
        <w:spacing w:line="240" w:lineRule="auto" w:before="1" w:after="0"/>
        <w:ind w:left="851" w:right="0" w:hanging="632"/>
        <w:jc w:val="left"/>
        <w:rPr>
          <w:sz w:val="21"/>
        </w:rPr>
      </w:pPr>
      <w:r>
        <w:rPr>
          <w:spacing w:val="-3"/>
          <w:sz w:val="21"/>
        </w:rPr>
        <w:t>本期国债期货投资政策</w:t>
      </w:r>
    </w:p>
    <w:p>
      <w:pPr>
        <w:pStyle w:val="BodyText"/>
        <w:spacing w:before="6"/>
        <w:rPr>
          <w:sz w:val="15"/>
        </w:rPr>
      </w:pPr>
    </w:p>
    <w:p>
      <w:pPr>
        <w:pStyle w:val="BodyText"/>
        <w:ind w:left="640"/>
      </w:pPr>
      <w:r>
        <w:rPr/>
        <w:t>本基金本报告期末无国债期货投资。</w:t>
      </w:r>
    </w:p>
    <w:p>
      <w:pPr>
        <w:pStyle w:val="BodyText"/>
        <w:spacing w:before="7"/>
        <w:rPr>
          <w:sz w:val="15"/>
        </w:rPr>
      </w:pPr>
    </w:p>
    <w:p>
      <w:pPr>
        <w:pStyle w:val="ListParagraph"/>
        <w:numPr>
          <w:ilvl w:val="2"/>
          <w:numId w:val="24"/>
        </w:numPr>
        <w:tabs>
          <w:tab w:pos="852" w:val="left" w:leader="none"/>
        </w:tabs>
        <w:spacing w:line="417" w:lineRule="auto" w:before="1" w:after="0"/>
        <w:ind w:left="640" w:right="3858" w:hanging="420"/>
        <w:jc w:val="left"/>
        <w:rPr>
          <w:sz w:val="21"/>
        </w:rPr>
      </w:pPr>
      <w:r>
        <w:rPr>
          <w:spacing w:val="-4"/>
          <w:sz w:val="21"/>
        </w:rPr>
        <w:t>报告期末本基金投资的国债期货持仓和损益明细</w:t>
      </w:r>
      <w:r>
        <w:rPr>
          <w:spacing w:val="-3"/>
          <w:sz w:val="21"/>
        </w:rPr>
        <w:t>本基金本报告期末无国债期货投资。</w:t>
      </w:r>
    </w:p>
    <w:p>
      <w:pPr>
        <w:pStyle w:val="ListParagraph"/>
        <w:numPr>
          <w:ilvl w:val="2"/>
          <w:numId w:val="24"/>
        </w:numPr>
        <w:tabs>
          <w:tab w:pos="852" w:val="left" w:leader="none"/>
        </w:tabs>
        <w:spacing w:line="269" w:lineRule="exact" w:before="0" w:after="0"/>
        <w:ind w:left="851" w:right="0" w:hanging="632"/>
        <w:jc w:val="left"/>
        <w:rPr>
          <w:sz w:val="21"/>
        </w:rPr>
      </w:pPr>
      <w:r>
        <w:rPr>
          <w:spacing w:val="-3"/>
          <w:sz w:val="21"/>
        </w:rPr>
        <w:t>本期国债期货投资评价</w:t>
      </w:r>
    </w:p>
    <w:p>
      <w:pPr>
        <w:pStyle w:val="BodyText"/>
        <w:spacing w:before="6"/>
        <w:rPr>
          <w:sz w:val="15"/>
        </w:rPr>
      </w:pPr>
    </w:p>
    <w:p>
      <w:pPr>
        <w:pStyle w:val="BodyText"/>
        <w:ind w:left="640"/>
      </w:pPr>
      <w:r>
        <w:rPr/>
        <w:t>本基金本报告期末无国债期货投资。</w:t>
      </w:r>
    </w:p>
    <w:p>
      <w:pPr>
        <w:pStyle w:val="BodyText"/>
        <w:spacing w:before="7"/>
        <w:rPr>
          <w:sz w:val="15"/>
        </w:rPr>
      </w:pPr>
    </w:p>
    <w:p>
      <w:pPr>
        <w:pStyle w:val="ListParagraph"/>
        <w:numPr>
          <w:ilvl w:val="1"/>
          <w:numId w:val="24"/>
        </w:numPr>
        <w:tabs>
          <w:tab w:pos="634" w:val="left" w:leader="none"/>
        </w:tabs>
        <w:spacing w:line="240" w:lineRule="auto" w:before="0" w:after="0"/>
        <w:ind w:left="633" w:right="0" w:hanging="414"/>
        <w:jc w:val="left"/>
        <w:rPr>
          <w:rFonts w:ascii="Times New Roman" w:eastAsia="Times New Roman"/>
          <w:sz w:val="21"/>
        </w:rPr>
      </w:pPr>
      <w:r>
        <w:rPr>
          <w:spacing w:val="-3"/>
          <w:sz w:val="21"/>
        </w:rPr>
        <w:t>投资组合报告附注</w:t>
      </w:r>
    </w:p>
    <w:p>
      <w:pPr>
        <w:pStyle w:val="BodyText"/>
        <w:spacing w:before="7"/>
        <w:rPr>
          <w:sz w:val="15"/>
        </w:rPr>
      </w:pPr>
    </w:p>
    <w:p>
      <w:pPr>
        <w:pStyle w:val="ListParagraph"/>
        <w:numPr>
          <w:ilvl w:val="2"/>
          <w:numId w:val="24"/>
        </w:numPr>
        <w:tabs>
          <w:tab w:pos="799" w:val="left" w:leader="none"/>
        </w:tabs>
        <w:spacing w:line="417" w:lineRule="auto" w:before="0" w:after="0"/>
        <w:ind w:left="220" w:right="491" w:firstLine="0"/>
        <w:jc w:val="left"/>
        <w:rPr>
          <w:sz w:val="21"/>
        </w:rPr>
      </w:pPr>
      <w:r>
        <w:rPr>
          <w:spacing w:val="-7"/>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pStyle w:val="ListParagraph"/>
        <w:numPr>
          <w:ilvl w:val="2"/>
          <w:numId w:val="24"/>
        </w:numPr>
        <w:tabs>
          <w:tab w:pos="799" w:val="left" w:leader="none"/>
        </w:tabs>
        <w:spacing w:line="240" w:lineRule="auto" w:before="0" w:after="0"/>
        <w:ind w:left="798" w:right="0" w:hanging="579"/>
        <w:jc w:val="left"/>
        <w:rPr>
          <w:sz w:val="21"/>
        </w:rPr>
      </w:pPr>
      <w:r>
        <w:rPr>
          <w:spacing w:val="-3"/>
          <w:sz w:val="21"/>
        </w:rPr>
        <w:t>基金投资的前十名股票未超出基金合同规定的备选股票库。</w:t>
      </w:r>
    </w:p>
    <w:p>
      <w:pPr>
        <w:pStyle w:val="BodyText"/>
        <w:spacing w:before="6"/>
        <w:rPr>
          <w:sz w:val="15"/>
        </w:rPr>
      </w:pPr>
    </w:p>
    <w:p>
      <w:pPr>
        <w:pStyle w:val="ListParagraph"/>
        <w:numPr>
          <w:ilvl w:val="2"/>
          <w:numId w:val="24"/>
        </w:numPr>
        <w:tabs>
          <w:tab w:pos="792" w:val="left" w:leader="none"/>
        </w:tabs>
        <w:spacing w:line="240" w:lineRule="auto" w:before="1" w:after="0"/>
        <w:ind w:left="791" w:right="0" w:hanging="572"/>
        <w:jc w:val="left"/>
        <w:rPr>
          <w:sz w:val="21"/>
        </w:rPr>
      </w:pPr>
      <w:r>
        <w:rPr>
          <w:spacing w:val="-3"/>
          <w:sz w:val="21"/>
        </w:rPr>
        <w:t>其他资产构成</w:t>
      </w:r>
    </w:p>
    <w:p>
      <w:pPr>
        <w:pStyle w:val="BodyText"/>
        <w:spacing w:before="9"/>
        <w:rPr>
          <w:sz w:val="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30"/>
              <w:ind w:left="403" w:right="377"/>
              <w:jc w:val="center"/>
              <w:rPr>
                <w:rFonts w:ascii="宋体" w:eastAsia="宋体" w:hint="eastAsia"/>
                <w:sz w:val="21"/>
              </w:rPr>
            </w:pPr>
            <w:r>
              <w:rPr>
                <w:rFonts w:ascii="宋体" w:eastAsia="宋体" w:hint="eastAsia"/>
                <w:sz w:val="21"/>
              </w:rPr>
              <w:t>序号</w:t>
            </w:r>
          </w:p>
        </w:tc>
        <w:tc>
          <w:tcPr>
            <w:tcW w:w="2376" w:type="dxa"/>
          </w:tcPr>
          <w:p>
            <w:pPr>
              <w:pStyle w:val="TableParagraph"/>
              <w:spacing w:before="130"/>
              <w:ind w:left="968" w:right="938"/>
              <w:jc w:val="center"/>
              <w:rPr>
                <w:rFonts w:ascii="宋体" w:eastAsia="宋体" w:hint="eastAsia"/>
                <w:sz w:val="21"/>
              </w:rPr>
            </w:pPr>
            <w:r>
              <w:rPr>
                <w:rFonts w:ascii="宋体" w:eastAsia="宋体" w:hint="eastAsia"/>
                <w:sz w:val="21"/>
              </w:rPr>
              <w:t>名称</w:t>
            </w:r>
          </w:p>
        </w:tc>
        <w:tc>
          <w:tcPr>
            <w:tcW w:w="4788" w:type="dxa"/>
          </w:tcPr>
          <w:p>
            <w:pPr>
              <w:pStyle w:val="TableParagraph"/>
              <w:spacing w:before="130"/>
              <w:ind w:left="1998" w:right="196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6" w:hRule="atLeast"/>
        </w:trPr>
        <w:tc>
          <w:tcPr>
            <w:tcW w:w="1250" w:type="dxa"/>
          </w:tcPr>
          <w:p>
            <w:pPr>
              <w:pStyle w:val="TableParagraph"/>
              <w:spacing w:before="142"/>
              <w:ind w:left="21"/>
              <w:jc w:val="center"/>
              <w:rPr>
                <w:sz w:val="21"/>
              </w:rPr>
            </w:pPr>
            <w:r>
              <w:rPr>
                <w:w w:val="100"/>
                <w:sz w:val="21"/>
              </w:rPr>
              <w:t>1</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存出保证金</w:t>
            </w:r>
          </w:p>
        </w:tc>
        <w:tc>
          <w:tcPr>
            <w:tcW w:w="4788" w:type="dxa"/>
          </w:tcPr>
          <w:p>
            <w:pPr>
              <w:pStyle w:val="TableParagraph"/>
              <w:spacing w:before="142"/>
              <w:ind w:right="91"/>
              <w:rPr>
                <w:sz w:val="21"/>
              </w:rPr>
            </w:pPr>
            <w:r>
              <w:rPr>
                <w:sz w:val="21"/>
              </w:rPr>
              <w:t>249,647.57</w:t>
            </w:r>
          </w:p>
        </w:tc>
      </w:tr>
      <w:tr>
        <w:trPr>
          <w:trHeight w:val="498" w:hRule="atLeast"/>
        </w:trPr>
        <w:tc>
          <w:tcPr>
            <w:tcW w:w="1250" w:type="dxa"/>
          </w:tcPr>
          <w:p>
            <w:pPr>
              <w:pStyle w:val="TableParagraph"/>
              <w:spacing w:before="144"/>
              <w:ind w:left="21"/>
              <w:jc w:val="center"/>
              <w:rPr>
                <w:sz w:val="21"/>
              </w:rPr>
            </w:pPr>
            <w:r>
              <w:rPr>
                <w:w w:val="100"/>
                <w:sz w:val="21"/>
              </w:rPr>
              <w:t>2</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应收证券清算款</w:t>
            </w:r>
          </w:p>
        </w:tc>
        <w:tc>
          <w:tcPr>
            <w:tcW w:w="4788" w:type="dxa"/>
          </w:tcPr>
          <w:p>
            <w:pPr>
              <w:pStyle w:val="TableParagraph"/>
              <w:spacing w:before="144"/>
              <w:ind w:right="93"/>
              <w:rPr>
                <w:sz w:val="21"/>
              </w:rPr>
            </w:pPr>
            <w:r>
              <w:rPr>
                <w:w w:val="100"/>
                <w:sz w:val="21"/>
              </w:rPr>
              <w:t>-</w:t>
            </w:r>
          </w:p>
        </w:tc>
      </w:tr>
      <w:tr>
        <w:trPr>
          <w:trHeight w:val="494" w:hRule="atLeast"/>
        </w:trPr>
        <w:tc>
          <w:tcPr>
            <w:tcW w:w="1250" w:type="dxa"/>
            <w:tcBorders>
              <w:bottom w:val="single" w:sz="6" w:space="0" w:color="000000"/>
            </w:tcBorders>
          </w:tcPr>
          <w:p>
            <w:pPr>
              <w:pStyle w:val="TableParagraph"/>
              <w:spacing w:before="142"/>
              <w:ind w:left="21"/>
              <w:jc w:val="center"/>
              <w:rPr>
                <w:sz w:val="21"/>
              </w:rPr>
            </w:pPr>
            <w:r>
              <w:rPr>
                <w:w w:val="100"/>
                <w:sz w:val="21"/>
              </w:rPr>
              <w:t>3</w:t>
            </w:r>
          </w:p>
        </w:tc>
        <w:tc>
          <w:tcPr>
            <w:tcW w:w="2376" w:type="dxa"/>
            <w:tcBorders>
              <w:bottom w:val="single" w:sz="6" w:space="0" w:color="000000"/>
            </w:tcBorders>
          </w:tcPr>
          <w:p>
            <w:pPr>
              <w:pStyle w:val="TableParagraph"/>
              <w:spacing w:before="130"/>
              <w:ind w:left="122"/>
              <w:jc w:val="left"/>
              <w:rPr>
                <w:rFonts w:ascii="宋体" w:eastAsia="宋体" w:hint="eastAsia"/>
                <w:sz w:val="21"/>
              </w:rPr>
            </w:pPr>
            <w:r>
              <w:rPr>
                <w:rFonts w:ascii="宋体" w:eastAsia="宋体" w:hint="eastAsia"/>
                <w:sz w:val="21"/>
              </w:rPr>
              <w:t>应收股利</w:t>
            </w:r>
          </w:p>
        </w:tc>
        <w:tc>
          <w:tcPr>
            <w:tcW w:w="4788" w:type="dxa"/>
            <w:tcBorders>
              <w:bottom w:val="single" w:sz="6" w:space="0" w:color="000000"/>
            </w:tcBorders>
          </w:tcPr>
          <w:p>
            <w:pPr>
              <w:pStyle w:val="TableParagraph"/>
              <w:spacing w:before="142"/>
              <w:ind w:right="93"/>
              <w:rPr>
                <w:sz w:val="21"/>
              </w:rPr>
            </w:pPr>
            <w:r>
              <w:rPr>
                <w:w w:val="100"/>
                <w:sz w:val="21"/>
              </w:rPr>
              <w:t>-</w:t>
            </w:r>
          </w:p>
        </w:tc>
      </w:tr>
      <w:tr>
        <w:trPr>
          <w:trHeight w:val="494" w:hRule="atLeast"/>
        </w:trPr>
        <w:tc>
          <w:tcPr>
            <w:tcW w:w="1250" w:type="dxa"/>
            <w:tcBorders>
              <w:top w:val="single" w:sz="6" w:space="0" w:color="000000"/>
            </w:tcBorders>
          </w:tcPr>
          <w:p>
            <w:pPr>
              <w:pStyle w:val="TableParagraph"/>
              <w:spacing w:before="140"/>
              <w:ind w:left="21"/>
              <w:jc w:val="center"/>
              <w:rPr>
                <w:sz w:val="21"/>
              </w:rPr>
            </w:pPr>
            <w:r>
              <w:rPr>
                <w:w w:val="100"/>
                <w:sz w:val="21"/>
              </w:rPr>
              <w:t>4</w:t>
            </w:r>
          </w:p>
        </w:tc>
        <w:tc>
          <w:tcPr>
            <w:tcW w:w="2376" w:type="dxa"/>
            <w:tcBorders>
              <w:top w:val="single" w:sz="6" w:space="0" w:color="000000"/>
            </w:tcBorders>
          </w:tcPr>
          <w:p>
            <w:pPr>
              <w:pStyle w:val="TableParagraph"/>
              <w:spacing w:before="128"/>
              <w:ind w:left="122"/>
              <w:jc w:val="left"/>
              <w:rPr>
                <w:rFonts w:ascii="宋体" w:eastAsia="宋体" w:hint="eastAsia"/>
                <w:sz w:val="21"/>
              </w:rPr>
            </w:pPr>
            <w:r>
              <w:rPr>
                <w:rFonts w:ascii="宋体" w:eastAsia="宋体" w:hint="eastAsia"/>
                <w:sz w:val="21"/>
              </w:rPr>
              <w:t>应收利息</w:t>
            </w:r>
          </w:p>
        </w:tc>
        <w:tc>
          <w:tcPr>
            <w:tcW w:w="4788" w:type="dxa"/>
            <w:tcBorders>
              <w:top w:val="single" w:sz="6" w:space="0" w:color="000000"/>
            </w:tcBorders>
          </w:tcPr>
          <w:p>
            <w:pPr>
              <w:pStyle w:val="TableParagraph"/>
              <w:spacing w:before="140"/>
              <w:ind w:right="91"/>
              <w:rPr>
                <w:sz w:val="21"/>
              </w:rPr>
            </w:pPr>
            <w:r>
              <w:rPr>
                <w:sz w:val="21"/>
              </w:rPr>
              <w:t>11,887.45</w:t>
            </w:r>
          </w:p>
        </w:tc>
      </w:tr>
    </w:tbl>
    <w:p>
      <w:pPr>
        <w:spacing w:after="0"/>
        <w:rPr>
          <w:sz w:val="21"/>
        </w:rPr>
        <w:sectPr>
          <w:pgSz w:w="11910" w:h="16840"/>
          <w:pgMar w:header="877" w:footer="995" w:top="1420" w:bottom="1180" w:left="1580" w:right="120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42"/>
              <w:ind w:left="21"/>
              <w:jc w:val="center"/>
              <w:rPr>
                <w:sz w:val="21"/>
              </w:rPr>
            </w:pPr>
            <w:r>
              <w:rPr>
                <w:w w:val="100"/>
                <w:sz w:val="21"/>
              </w:rPr>
              <w:t>5</w:t>
            </w:r>
          </w:p>
        </w:tc>
        <w:tc>
          <w:tcPr>
            <w:tcW w:w="2376" w:type="dxa"/>
          </w:tcPr>
          <w:p>
            <w:pPr>
              <w:pStyle w:val="TableParagraph"/>
              <w:spacing w:before="131"/>
              <w:ind w:left="122"/>
              <w:jc w:val="left"/>
              <w:rPr>
                <w:rFonts w:ascii="宋体" w:eastAsia="宋体" w:hint="eastAsia"/>
                <w:sz w:val="21"/>
              </w:rPr>
            </w:pPr>
            <w:r>
              <w:rPr>
                <w:rFonts w:ascii="宋体" w:eastAsia="宋体" w:hint="eastAsia"/>
                <w:sz w:val="21"/>
              </w:rPr>
              <w:t>应收申购款</w:t>
            </w:r>
          </w:p>
        </w:tc>
        <w:tc>
          <w:tcPr>
            <w:tcW w:w="4788" w:type="dxa"/>
          </w:tcPr>
          <w:p>
            <w:pPr>
              <w:pStyle w:val="TableParagraph"/>
              <w:spacing w:before="142"/>
              <w:ind w:right="91"/>
              <w:rPr>
                <w:sz w:val="21"/>
              </w:rPr>
            </w:pPr>
            <w:r>
              <w:rPr>
                <w:sz w:val="21"/>
              </w:rPr>
              <w:t>15,316,401.62</w:t>
            </w:r>
          </w:p>
        </w:tc>
      </w:tr>
      <w:tr>
        <w:trPr>
          <w:trHeight w:val="496" w:hRule="atLeast"/>
        </w:trPr>
        <w:tc>
          <w:tcPr>
            <w:tcW w:w="1250" w:type="dxa"/>
          </w:tcPr>
          <w:p>
            <w:pPr>
              <w:pStyle w:val="TableParagraph"/>
              <w:spacing w:before="142"/>
              <w:ind w:left="21"/>
              <w:jc w:val="center"/>
              <w:rPr>
                <w:sz w:val="21"/>
              </w:rPr>
            </w:pPr>
            <w:r>
              <w:rPr>
                <w:w w:val="100"/>
                <w:sz w:val="21"/>
              </w:rPr>
              <w:t>6</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其他应收款</w:t>
            </w:r>
          </w:p>
        </w:tc>
        <w:tc>
          <w:tcPr>
            <w:tcW w:w="4788" w:type="dxa"/>
          </w:tcPr>
          <w:p>
            <w:pPr>
              <w:pStyle w:val="TableParagraph"/>
              <w:spacing w:before="142"/>
              <w:ind w:right="93"/>
              <w:rPr>
                <w:sz w:val="21"/>
              </w:rPr>
            </w:pPr>
            <w:r>
              <w:rPr>
                <w:w w:val="100"/>
                <w:sz w:val="21"/>
              </w:rPr>
              <w:t>-</w:t>
            </w:r>
          </w:p>
        </w:tc>
      </w:tr>
      <w:tr>
        <w:trPr>
          <w:trHeight w:val="498" w:hRule="atLeast"/>
        </w:trPr>
        <w:tc>
          <w:tcPr>
            <w:tcW w:w="1250" w:type="dxa"/>
          </w:tcPr>
          <w:p>
            <w:pPr>
              <w:pStyle w:val="TableParagraph"/>
              <w:spacing w:before="144"/>
              <w:ind w:left="21"/>
              <w:jc w:val="center"/>
              <w:rPr>
                <w:sz w:val="21"/>
              </w:rPr>
            </w:pPr>
            <w:r>
              <w:rPr>
                <w:w w:val="100"/>
                <w:sz w:val="21"/>
              </w:rPr>
              <w:t>7</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待摊费用</w:t>
            </w:r>
          </w:p>
        </w:tc>
        <w:tc>
          <w:tcPr>
            <w:tcW w:w="4788" w:type="dxa"/>
          </w:tcPr>
          <w:p>
            <w:pPr>
              <w:pStyle w:val="TableParagraph"/>
              <w:spacing w:before="144"/>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8</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其他</w:t>
            </w:r>
          </w:p>
        </w:tc>
        <w:tc>
          <w:tcPr>
            <w:tcW w:w="4788" w:type="dxa"/>
          </w:tcPr>
          <w:p>
            <w:pPr>
              <w:pStyle w:val="TableParagraph"/>
              <w:spacing w:before="142"/>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9</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合计</w:t>
            </w:r>
          </w:p>
        </w:tc>
        <w:tc>
          <w:tcPr>
            <w:tcW w:w="4788" w:type="dxa"/>
          </w:tcPr>
          <w:p>
            <w:pPr>
              <w:pStyle w:val="TableParagraph"/>
              <w:spacing w:before="142"/>
              <w:ind w:right="91"/>
              <w:rPr>
                <w:sz w:val="21"/>
              </w:rPr>
            </w:pPr>
            <w:r>
              <w:rPr>
                <w:sz w:val="21"/>
              </w:rPr>
              <w:t>15,577,936.64</w:t>
            </w:r>
          </w:p>
        </w:tc>
      </w:tr>
    </w:tbl>
    <w:p>
      <w:pPr>
        <w:pStyle w:val="ListParagraph"/>
        <w:numPr>
          <w:ilvl w:val="2"/>
          <w:numId w:val="24"/>
        </w:numPr>
        <w:tabs>
          <w:tab w:pos="792" w:val="left" w:leader="none"/>
        </w:tabs>
        <w:spacing w:line="240" w:lineRule="auto" w:before="109" w:after="0"/>
        <w:ind w:left="791" w:right="0" w:hanging="572"/>
        <w:jc w:val="left"/>
        <w:rPr>
          <w:sz w:val="21"/>
        </w:rPr>
      </w:pPr>
      <w:r>
        <w:rPr>
          <w:spacing w:val="-3"/>
          <w:sz w:val="21"/>
        </w:rPr>
        <w:t>报告期末持有的处于转股期的可转换债券明细</w:t>
      </w:r>
    </w:p>
    <w:p>
      <w:pPr>
        <w:pStyle w:val="BodyText"/>
        <w:spacing w:before="7"/>
        <w:rPr>
          <w:sz w:val="15"/>
        </w:rPr>
      </w:pPr>
    </w:p>
    <w:p>
      <w:pPr>
        <w:pStyle w:val="BodyText"/>
        <w:ind w:left="640"/>
      </w:pPr>
      <w:r>
        <w:rPr/>
        <w:t>本基金本报告期末未持有处于转股期的可转换债券。</w:t>
      </w:r>
    </w:p>
    <w:p>
      <w:pPr>
        <w:pStyle w:val="BodyText"/>
        <w:spacing w:before="7"/>
        <w:rPr>
          <w:sz w:val="15"/>
        </w:rPr>
      </w:pPr>
    </w:p>
    <w:p>
      <w:pPr>
        <w:pStyle w:val="ListParagraph"/>
        <w:numPr>
          <w:ilvl w:val="2"/>
          <w:numId w:val="24"/>
        </w:numPr>
        <w:tabs>
          <w:tab w:pos="792" w:val="left" w:leader="none"/>
        </w:tabs>
        <w:spacing w:line="240" w:lineRule="auto" w:before="0" w:after="0"/>
        <w:ind w:left="791" w:right="0" w:hanging="572"/>
        <w:jc w:val="left"/>
        <w:rPr>
          <w:sz w:val="21"/>
        </w:rPr>
      </w:pPr>
      <w:r>
        <w:rPr>
          <w:spacing w:val="-3"/>
          <w:sz w:val="21"/>
        </w:rPr>
        <w:t>报告期末前十名股票中存在流通受限情况的说明</w:t>
      </w:r>
    </w:p>
    <w:p>
      <w:pPr>
        <w:pStyle w:val="BodyText"/>
        <w:spacing w:before="7"/>
        <w:rPr>
          <w:sz w:val="15"/>
        </w:rPr>
      </w:pPr>
    </w:p>
    <w:p>
      <w:pPr>
        <w:pStyle w:val="BodyText"/>
        <w:ind w:left="640"/>
      </w:pPr>
      <w:r>
        <w:rPr/>
        <w:t>本基金本报告期末前十名股票中不存在流通受限情况。</w:t>
      </w:r>
    </w:p>
    <w:p>
      <w:pPr>
        <w:pStyle w:val="BodyText"/>
        <w:spacing w:before="7"/>
        <w:rPr>
          <w:sz w:val="15"/>
        </w:rPr>
      </w:pPr>
    </w:p>
    <w:p>
      <w:pPr>
        <w:pStyle w:val="ListParagraph"/>
        <w:numPr>
          <w:ilvl w:val="2"/>
          <w:numId w:val="24"/>
        </w:numPr>
        <w:tabs>
          <w:tab w:pos="792" w:val="left" w:leader="none"/>
        </w:tabs>
        <w:spacing w:line="240" w:lineRule="auto" w:before="0" w:after="0"/>
        <w:ind w:left="791" w:right="0" w:hanging="572"/>
        <w:jc w:val="left"/>
        <w:rPr>
          <w:sz w:val="21"/>
        </w:rPr>
      </w:pPr>
      <w:r>
        <w:rPr>
          <w:spacing w:val="-3"/>
          <w:sz w:val="21"/>
        </w:rPr>
        <w:t>投资组合报告附注的其他文字描述部分</w:t>
      </w:r>
    </w:p>
    <w:p>
      <w:pPr>
        <w:pStyle w:val="BodyText"/>
        <w:spacing w:before="6"/>
        <w:rPr>
          <w:sz w:val="15"/>
        </w:rPr>
      </w:pPr>
    </w:p>
    <w:p>
      <w:pPr>
        <w:pStyle w:val="BodyText"/>
        <w:spacing w:before="1"/>
        <w:ind w:left="640"/>
      </w:pPr>
      <w:r>
        <w:rPr/>
        <w:t>由于四舍五入的原因，分项之和与合计项之间可能存在尾差。</w:t>
      </w:r>
    </w:p>
    <w:p>
      <w:pPr>
        <w:pStyle w:val="BodyText"/>
        <w:rPr>
          <w:sz w:val="20"/>
        </w:rPr>
      </w:pPr>
    </w:p>
    <w:p>
      <w:pPr>
        <w:pStyle w:val="BodyText"/>
        <w:spacing w:before="7"/>
        <w:rPr>
          <w:sz w:val="20"/>
        </w:rPr>
      </w:pPr>
    </w:p>
    <w:p>
      <w:pPr>
        <w:pStyle w:val="Heading1"/>
        <w:spacing w:before="1"/>
      </w:pPr>
      <w:bookmarkStart w:name="_bookmark9" w:id="10"/>
      <w:bookmarkEnd w:id="10"/>
      <w:r>
        <w:rPr>
          <w:b w:val="0"/>
        </w:rPr>
      </w:r>
      <w:r>
        <w:rPr/>
        <w:t>十一、基金的业绩</w:t>
      </w:r>
    </w:p>
    <w:p>
      <w:pPr>
        <w:pStyle w:val="BodyText"/>
        <w:rPr>
          <w:b/>
          <w:sz w:val="20"/>
        </w:rPr>
      </w:pPr>
    </w:p>
    <w:p>
      <w:pPr>
        <w:pStyle w:val="BodyText"/>
        <w:spacing w:before="11"/>
        <w:rPr>
          <w:b/>
          <w:sz w:val="19"/>
        </w:rPr>
      </w:pPr>
    </w:p>
    <w:p>
      <w:pPr>
        <w:pStyle w:val="BodyText"/>
        <w:spacing w:line="417" w:lineRule="auto"/>
        <w:ind w:left="220" w:right="59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220" w:right="591" w:firstLine="419"/>
      </w:pPr>
      <w:r>
        <w:rPr/>
        <w:pict>
          <v:shape style="position:absolute;margin-left:89.783997pt;margin-top:41.820011pt;width:440.25pt;height:111.15pt;mso-position-horizontal-relative:page;mso-position-vertical-relative:paragraph;z-index:2517565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1135"/>
                    <w:gridCol w:w="991"/>
                    <w:gridCol w:w="1135"/>
                    <w:gridCol w:w="1415"/>
                    <w:gridCol w:w="993"/>
                    <w:gridCol w:w="990"/>
                  </w:tblGrid>
                  <w:tr>
                    <w:trPr>
                      <w:trHeight w:val="935" w:hRule="atLeast"/>
                    </w:trPr>
                    <w:tc>
                      <w:tcPr>
                        <w:tcW w:w="2127" w:type="dxa"/>
                      </w:tcPr>
                      <w:p>
                        <w:pPr>
                          <w:pStyle w:val="TableParagraph"/>
                          <w:spacing w:before="1"/>
                          <w:jc w:val="left"/>
                          <w:rPr>
                            <w:rFonts w:ascii="宋体"/>
                            <w:sz w:val="26"/>
                          </w:rPr>
                        </w:pPr>
                      </w:p>
                      <w:p>
                        <w:pPr>
                          <w:pStyle w:val="TableParagraph"/>
                          <w:spacing w:before="0"/>
                          <w:ind w:left="832" w:right="824"/>
                          <w:jc w:val="center"/>
                          <w:rPr>
                            <w:rFonts w:ascii="宋体" w:eastAsia="宋体" w:hint="eastAsia"/>
                            <w:sz w:val="21"/>
                          </w:rPr>
                        </w:pPr>
                        <w:r>
                          <w:rPr>
                            <w:rFonts w:ascii="宋体" w:eastAsia="宋体" w:hint="eastAsia"/>
                            <w:sz w:val="21"/>
                          </w:rPr>
                          <w:t>阶段</w:t>
                        </w:r>
                      </w:p>
                    </w:tc>
                    <w:tc>
                      <w:tcPr>
                        <w:tcW w:w="1135" w:type="dxa"/>
                      </w:tcPr>
                      <w:p>
                        <w:pPr>
                          <w:pStyle w:val="TableParagraph"/>
                          <w:spacing w:line="278" w:lineRule="auto" w:before="178"/>
                          <w:ind w:left="354" w:right="134" w:hanging="209"/>
                          <w:jc w:val="left"/>
                          <w:rPr>
                            <w:rFonts w:ascii="宋体" w:hAnsi="宋体" w:eastAsia="宋体" w:hint="eastAsia"/>
                            <w:sz w:val="21"/>
                          </w:rPr>
                        </w:pPr>
                        <w:r>
                          <w:rPr>
                            <w:rFonts w:ascii="宋体" w:hAnsi="宋体" w:eastAsia="宋体" w:hint="eastAsia"/>
                            <w:sz w:val="21"/>
                          </w:rPr>
                          <w:t>净值增长率①</w:t>
                        </w:r>
                      </w:p>
                    </w:tc>
                    <w:tc>
                      <w:tcPr>
                        <w:tcW w:w="991" w:type="dxa"/>
                      </w:tcPr>
                      <w:p>
                        <w:pPr>
                          <w:pStyle w:val="TableParagraph"/>
                          <w:spacing w:line="278" w:lineRule="auto" w:before="22"/>
                          <w:ind w:left="179" w:right="165"/>
                          <w:jc w:val="left"/>
                          <w:rPr>
                            <w:rFonts w:ascii="宋体" w:eastAsia="宋体" w:hint="eastAsia"/>
                            <w:sz w:val="21"/>
                          </w:rPr>
                        </w:pPr>
                        <w:r>
                          <w:rPr>
                            <w:rFonts w:ascii="宋体" w:eastAsia="宋体" w:hint="eastAsia"/>
                            <w:spacing w:val="-6"/>
                            <w:sz w:val="21"/>
                          </w:rPr>
                          <w:t>净值增长率标</w:t>
                        </w:r>
                      </w:p>
                      <w:p>
                        <w:pPr>
                          <w:pStyle w:val="TableParagraph"/>
                          <w:spacing w:line="269" w:lineRule="exact" w:before="0"/>
                          <w:ind w:left="179"/>
                          <w:jc w:val="left"/>
                          <w:rPr>
                            <w:rFonts w:ascii="宋体" w:hAnsi="宋体" w:eastAsia="宋体" w:hint="eastAsia"/>
                            <w:sz w:val="21"/>
                          </w:rPr>
                        </w:pPr>
                        <w:r>
                          <w:rPr>
                            <w:rFonts w:ascii="宋体" w:hAnsi="宋体" w:eastAsia="宋体" w:hint="eastAsia"/>
                            <w:sz w:val="21"/>
                          </w:rPr>
                          <w:t>准差②</w:t>
                        </w:r>
                      </w:p>
                    </w:tc>
                    <w:tc>
                      <w:tcPr>
                        <w:tcW w:w="1135" w:type="dxa"/>
                      </w:tcPr>
                      <w:p>
                        <w:pPr>
                          <w:pStyle w:val="TableParagraph"/>
                          <w:spacing w:line="278" w:lineRule="auto" w:before="22"/>
                          <w:ind w:left="146" w:right="134"/>
                          <w:jc w:val="center"/>
                          <w:rPr>
                            <w:rFonts w:ascii="宋体" w:eastAsia="宋体" w:hint="eastAsia"/>
                            <w:sz w:val="21"/>
                          </w:rPr>
                        </w:pPr>
                        <w:r>
                          <w:rPr>
                            <w:rFonts w:ascii="宋体" w:eastAsia="宋体" w:hint="eastAsia"/>
                            <w:sz w:val="21"/>
                          </w:rPr>
                          <w:t>业绩比较基准收益</w:t>
                        </w:r>
                      </w:p>
                      <w:p>
                        <w:pPr>
                          <w:pStyle w:val="TableParagraph"/>
                          <w:spacing w:line="269" w:lineRule="exact" w:before="0"/>
                          <w:ind w:left="142" w:right="134"/>
                          <w:jc w:val="center"/>
                          <w:rPr>
                            <w:rFonts w:ascii="宋体" w:hAnsi="宋体" w:eastAsia="宋体" w:hint="eastAsia"/>
                            <w:sz w:val="21"/>
                          </w:rPr>
                        </w:pPr>
                        <w:r>
                          <w:rPr>
                            <w:rFonts w:ascii="宋体" w:hAnsi="宋体" w:eastAsia="宋体" w:hint="eastAsia"/>
                            <w:sz w:val="21"/>
                          </w:rPr>
                          <w:t>率③</w:t>
                        </w:r>
                      </w:p>
                    </w:tc>
                    <w:tc>
                      <w:tcPr>
                        <w:tcW w:w="1415" w:type="dxa"/>
                      </w:tcPr>
                      <w:p>
                        <w:pPr>
                          <w:pStyle w:val="TableParagraph"/>
                          <w:spacing w:line="278" w:lineRule="auto" w:before="22"/>
                          <w:ind w:left="183" w:right="166"/>
                          <w:jc w:val="center"/>
                          <w:rPr>
                            <w:rFonts w:ascii="宋体" w:eastAsia="宋体" w:hint="eastAsia"/>
                            <w:sz w:val="21"/>
                          </w:rPr>
                        </w:pPr>
                        <w:r>
                          <w:rPr>
                            <w:rFonts w:ascii="宋体" w:eastAsia="宋体" w:hint="eastAsia"/>
                            <w:sz w:val="21"/>
                          </w:rPr>
                          <w:t>业绩比较基准收益率标</w:t>
                        </w:r>
                      </w:p>
                      <w:p>
                        <w:pPr>
                          <w:pStyle w:val="TableParagraph"/>
                          <w:spacing w:line="269" w:lineRule="exact" w:before="0"/>
                          <w:ind w:left="178" w:right="166"/>
                          <w:jc w:val="center"/>
                          <w:rPr>
                            <w:rFonts w:ascii="宋体" w:hAnsi="宋体" w:eastAsia="宋体" w:hint="eastAsia"/>
                            <w:sz w:val="21"/>
                          </w:rPr>
                        </w:pPr>
                        <w:r>
                          <w:rPr>
                            <w:rFonts w:ascii="宋体" w:hAnsi="宋体" w:eastAsia="宋体" w:hint="eastAsia"/>
                            <w:sz w:val="21"/>
                          </w:rPr>
                          <w:t>准差④</w:t>
                        </w:r>
                      </w:p>
                    </w:tc>
                    <w:tc>
                      <w:tcPr>
                        <w:tcW w:w="993" w:type="dxa"/>
                      </w:tcPr>
                      <w:p>
                        <w:pPr>
                          <w:pStyle w:val="TableParagraph"/>
                          <w:spacing w:before="1"/>
                          <w:jc w:val="left"/>
                          <w:rPr>
                            <w:rFonts w:ascii="宋体"/>
                            <w:sz w:val="26"/>
                          </w:rPr>
                        </w:pPr>
                      </w:p>
                      <w:p>
                        <w:pPr>
                          <w:pStyle w:val="TableParagraph"/>
                          <w:spacing w:before="0"/>
                          <w:ind w:left="253"/>
                          <w:jc w:val="left"/>
                          <w:rPr>
                            <w:rFonts w:ascii="宋体" w:hAnsi="宋体"/>
                            <w:sz w:val="21"/>
                          </w:rPr>
                        </w:pPr>
                        <w:r>
                          <w:rPr>
                            <w:rFonts w:ascii="宋体" w:hAnsi="宋体"/>
                            <w:sz w:val="21"/>
                          </w:rPr>
                          <w:t>①</w:t>
                        </w:r>
                        <w:r>
                          <w:rPr>
                            <w:sz w:val="21"/>
                          </w:rPr>
                          <w:t>-</w:t>
                        </w:r>
                        <w:r>
                          <w:rPr>
                            <w:rFonts w:ascii="宋体" w:hAnsi="宋体"/>
                            <w:sz w:val="21"/>
                          </w:rPr>
                          <w:t>③</w:t>
                        </w:r>
                      </w:p>
                    </w:tc>
                    <w:tc>
                      <w:tcPr>
                        <w:tcW w:w="990" w:type="dxa"/>
                      </w:tcPr>
                      <w:p>
                        <w:pPr>
                          <w:pStyle w:val="TableParagraph"/>
                          <w:spacing w:before="1"/>
                          <w:jc w:val="left"/>
                          <w:rPr>
                            <w:rFonts w:ascii="宋体"/>
                            <w:sz w:val="26"/>
                          </w:rPr>
                        </w:pPr>
                      </w:p>
                      <w:p>
                        <w:pPr>
                          <w:pStyle w:val="TableParagraph"/>
                          <w:spacing w:before="0"/>
                          <w:ind w:left="252"/>
                          <w:jc w:val="left"/>
                          <w:rPr>
                            <w:rFonts w:ascii="宋体" w:hAnsi="宋体"/>
                            <w:sz w:val="21"/>
                          </w:rPr>
                        </w:pPr>
                        <w:r>
                          <w:rPr>
                            <w:rFonts w:ascii="宋体" w:hAnsi="宋体"/>
                            <w:sz w:val="21"/>
                          </w:rPr>
                          <w:t>②</w:t>
                        </w:r>
                        <w:r>
                          <w:rPr>
                            <w:sz w:val="21"/>
                          </w:rPr>
                          <w:t>-</w:t>
                        </w:r>
                        <w:r>
                          <w:rPr>
                            <w:rFonts w:ascii="宋体" w:hAnsi="宋体"/>
                            <w:sz w:val="21"/>
                          </w:rPr>
                          <w:t>④</w:t>
                        </w:r>
                      </w:p>
                    </w:tc>
                  </w:tr>
                  <w:tr>
                    <w:trPr>
                      <w:trHeight w:val="624" w:hRule="atLeast"/>
                    </w:trPr>
                    <w:tc>
                      <w:tcPr>
                        <w:tcW w:w="2127" w:type="dxa"/>
                      </w:tcPr>
                      <w:p>
                        <w:pPr>
                          <w:pStyle w:val="TableParagraph"/>
                          <w:spacing w:before="22"/>
                          <w:ind w:left="196"/>
                          <w:jc w:val="left"/>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3</w:t>
                        </w:r>
                        <w:r>
                          <w:rPr>
                            <w:spacing w:val="-1"/>
                            <w:sz w:val="21"/>
                          </w:rPr>
                          <w:t> </w:t>
                        </w:r>
                        <w:r>
                          <w:rPr>
                            <w:rFonts w:ascii="宋体" w:eastAsia="宋体" w:hint="eastAsia"/>
                            <w:spacing w:val="-26"/>
                            <w:sz w:val="21"/>
                          </w:rPr>
                          <w:t>月 </w:t>
                        </w:r>
                        <w:r>
                          <w:rPr>
                            <w:sz w:val="21"/>
                          </w:rPr>
                          <w:t>5</w:t>
                        </w:r>
                        <w:r>
                          <w:rPr>
                            <w:spacing w:val="-1"/>
                            <w:sz w:val="21"/>
                          </w:rPr>
                          <w:t> </w:t>
                        </w:r>
                        <w:r>
                          <w:rPr>
                            <w:rFonts w:ascii="宋体" w:eastAsia="宋体" w:hint="eastAsia"/>
                            <w:sz w:val="21"/>
                          </w:rPr>
                          <w:t>日至</w:t>
                        </w:r>
                      </w:p>
                      <w:p>
                        <w:pPr>
                          <w:pStyle w:val="TableParagraph"/>
                          <w:spacing w:before="44"/>
                          <w:ind w:left="196"/>
                          <w:jc w:val="left"/>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5" w:type="dxa"/>
                      </w:tcPr>
                      <w:p>
                        <w:pPr>
                          <w:pStyle w:val="TableParagraph"/>
                          <w:spacing w:before="190"/>
                          <w:ind w:right="95"/>
                          <w:rPr>
                            <w:sz w:val="21"/>
                          </w:rPr>
                        </w:pPr>
                        <w:r>
                          <w:rPr>
                            <w:sz w:val="21"/>
                          </w:rPr>
                          <w:t>11.82%</w:t>
                        </w:r>
                      </w:p>
                    </w:tc>
                    <w:tc>
                      <w:tcPr>
                        <w:tcW w:w="991" w:type="dxa"/>
                      </w:tcPr>
                      <w:p>
                        <w:pPr>
                          <w:pStyle w:val="TableParagraph"/>
                          <w:spacing w:before="190"/>
                          <w:ind w:right="92"/>
                          <w:rPr>
                            <w:sz w:val="21"/>
                          </w:rPr>
                        </w:pPr>
                        <w:r>
                          <w:rPr>
                            <w:sz w:val="21"/>
                          </w:rPr>
                          <w:t>0.95%</w:t>
                        </w:r>
                      </w:p>
                    </w:tc>
                    <w:tc>
                      <w:tcPr>
                        <w:tcW w:w="1135" w:type="dxa"/>
                      </w:tcPr>
                      <w:p>
                        <w:pPr>
                          <w:pStyle w:val="TableParagraph"/>
                          <w:spacing w:before="190"/>
                          <w:ind w:right="94"/>
                          <w:rPr>
                            <w:sz w:val="21"/>
                          </w:rPr>
                        </w:pPr>
                        <w:r>
                          <w:rPr>
                            <w:sz w:val="21"/>
                          </w:rPr>
                          <w:t>10.94%</w:t>
                        </w:r>
                      </w:p>
                    </w:tc>
                    <w:tc>
                      <w:tcPr>
                        <w:tcW w:w="1415" w:type="dxa"/>
                      </w:tcPr>
                      <w:p>
                        <w:pPr>
                          <w:pStyle w:val="TableParagraph"/>
                          <w:spacing w:before="190"/>
                          <w:ind w:right="91"/>
                          <w:rPr>
                            <w:sz w:val="21"/>
                          </w:rPr>
                        </w:pPr>
                        <w:r>
                          <w:rPr>
                            <w:sz w:val="21"/>
                          </w:rPr>
                          <w:t>1.43%</w:t>
                        </w:r>
                      </w:p>
                    </w:tc>
                    <w:tc>
                      <w:tcPr>
                        <w:tcW w:w="993" w:type="dxa"/>
                      </w:tcPr>
                      <w:p>
                        <w:pPr>
                          <w:pStyle w:val="TableParagraph"/>
                          <w:spacing w:before="190"/>
                          <w:ind w:right="89"/>
                          <w:rPr>
                            <w:sz w:val="21"/>
                          </w:rPr>
                        </w:pPr>
                        <w:r>
                          <w:rPr>
                            <w:sz w:val="21"/>
                          </w:rPr>
                          <w:t>0.88%</w:t>
                        </w:r>
                      </w:p>
                    </w:tc>
                    <w:tc>
                      <w:tcPr>
                        <w:tcW w:w="990" w:type="dxa"/>
                      </w:tcPr>
                      <w:p>
                        <w:pPr>
                          <w:pStyle w:val="TableParagraph"/>
                          <w:spacing w:before="190"/>
                          <w:ind w:right="91"/>
                          <w:rPr>
                            <w:sz w:val="21"/>
                          </w:rPr>
                        </w:pPr>
                        <w:r>
                          <w:rPr>
                            <w:sz w:val="21"/>
                          </w:rPr>
                          <w:t>-0.48%</w:t>
                        </w:r>
                      </w:p>
                    </w:tc>
                  </w:tr>
                  <w:tr>
                    <w:trPr>
                      <w:trHeight w:val="623" w:hRule="atLeast"/>
                    </w:trPr>
                    <w:tc>
                      <w:tcPr>
                        <w:tcW w:w="2127" w:type="dxa"/>
                      </w:tcPr>
                      <w:p>
                        <w:pPr>
                          <w:pStyle w:val="TableParagraph"/>
                          <w:spacing w:before="22"/>
                          <w:ind w:left="196"/>
                          <w:jc w:val="left"/>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249"/>
                          <w:jc w:val="left"/>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5" w:type="dxa"/>
                      </w:tcPr>
                      <w:p>
                        <w:pPr>
                          <w:pStyle w:val="TableParagraph"/>
                          <w:spacing w:before="190"/>
                          <w:ind w:right="95"/>
                          <w:rPr>
                            <w:sz w:val="21"/>
                          </w:rPr>
                        </w:pPr>
                        <w:r>
                          <w:rPr>
                            <w:sz w:val="21"/>
                          </w:rPr>
                          <w:t>51.26%</w:t>
                        </w:r>
                      </w:p>
                    </w:tc>
                    <w:tc>
                      <w:tcPr>
                        <w:tcW w:w="991" w:type="dxa"/>
                      </w:tcPr>
                      <w:p>
                        <w:pPr>
                          <w:pStyle w:val="TableParagraph"/>
                          <w:spacing w:before="190"/>
                          <w:ind w:right="92"/>
                          <w:rPr>
                            <w:sz w:val="21"/>
                          </w:rPr>
                        </w:pPr>
                        <w:r>
                          <w:rPr>
                            <w:sz w:val="21"/>
                          </w:rPr>
                          <w:t>2.14%</w:t>
                        </w:r>
                      </w:p>
                    </w:tc>
                    <w:tc>
                      <w:tcPr>
                        <w:tcW w:w="1135" w:type="dxa"/>
                      </w:tcPr>
                      <w:p>
                        <w:pPr>
                          <w:pStyle w:val="TableParagraph"/>
                          <w:spacing w:before="190"/>
                          <w:ind w:right="94"/>
                          <w:rPr>
                            <w:sz w:val="21"/>
                          </w:rPr>
                        </w:pPr>
                        <w:r>
                          <w:rPr>
                            <w:sz w:val="21"/>
                          </w:rPr>
                          <w:t>14.30%</w:t>
                        </w:r>
                      </w:p>
                    </w:tc>
                    <w:tc>
                      <w:tcPr>
                        <w:tcW w:w="1415" w:type="dxa"/>
                      </w:tcPr>
                      <w:p>
                        <w:pPr>
                          <w:pStyle w:val="TableParagraph"/>
                          <w:spacing w:before="190"/>
                          <w:ind w:right="91"/>
                          <w:rPr>
                            <w:sz w:val="21"/>
                          </w:rPr>
                        </w:pPr>
                        <w:r>
                          <w:rPr>
                            <w:sz w:val="21"/>
                          </w:rPr>
                          <w:t>1.94%</w:t>
                        </w:r>
                      </w:p>
                    </w:tc>
                    <w:tc>
                      <w:tcPr>
                        <w:tcW w:w="993" w:type="dxa"/>
                      </w:tcPr>
                      <w:p>
                        <w:pPr>
                          <w:pStyle w:val="TableParagraph"/>
                          <w:spacing w:before="190"/>
                          <w:ind w:right="90"/>
                          <w:rPr>
                            <w:sz w:val="21"/>
                          </w:rPr>
                        </w:pPr>
                        <w:r>
                          <w:rPr>
                            <w:sz w:val="21"/>
                          </w:rPr>
                          <w:t>36.96%</w:t>
                        </w:r>
                      </w:p>
                    </w:tc>
                    <w:tc>
                      <w:tcPr>
                        <w:tcW w:w="990" w:type="dxa"/>
                      </w:tcPr>
                      <w:p>
                        <w:pPr>
                          <w:pStyle w:val="TableParagraph"/>
                          <w:spacing w:before="190"/>
                          <w:ind w:right="88"/>
                          <w:rPr>
                            <w:sz w:val="21"/>
                          </w:rPr>
                        </w:pPr>
                        <w:r>
                          <w:rPr>
                            <w:sz w:val="21"/>
                          </w:rPr>
                          <w:t>0.20%</w:t>
                        </w:r>
                      </w:p>
                    </w:tc>
                  </w:tr>
                </w:tbl>
                <w:p>
                  <w:pPr>
                    <w:pStyle w:val="BodyText"/>
                  </w:pPr>
                </w:p>
              </w:txbxContent>
            </v:textbox>
            <w10:wrap type="none"/>
          </v:shape>
        </w:pict>
      </w:r>
      <w:r>
        <w:rPr>
          <w:spacing w:val="-7"/>
        </w:rPr>
        <w:t>下述基金业绩指标不包括持有人认购或交易基金的各项费用，计入费用后实际收益水平</w:t>
      </w:r>
      <w:r>
        <w:rPr>
          <w:spacing w:val="-5"/>
        </w:rPr>
        <w:t>要低于所列数字。</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pStyle w:val="Heading1"/>
      </w:pPr>
      <w:bookmarkStart w:name="_bookmark10" w:id="11"/>
      <w:bookmarkEnd w:id="11"/>
      <w:r>
        <w:rPr>
          <w:b w:val="0"/>
        </w:rPr>
      </w:r>
      <w:r>
        <w:rPr/>
        <w:t>十二、基金的财产</w:t>
      </w:r>
    </w:p>
    <w:p>
      <w:pPr>
        <w:pStyle w:val="BodyText"/>
        <w:rPr>
          <w:b/>
          <w:sz w:val="20"/>
        </w:rPr>
      </w:pPr>
    </w:p>
    <w:p>
      <w:pPr>
        <w:pStyle w:val="BodyText"/>
        <w:spacing w:before="4"/>
        <w:rPr>
          <w:b/>
        </w:rPr>
      </w:pPr>
    </w:p>
    <w:p>
      <w:pPr>
        <w:pStyle w:val="BodyText"/>
        <w:spacing w:before="1"/>
        <w:ind w:left="640"/>
      </w:pPr>
      <w:r>
        <w:rPr/>
        <w:t>（一）基金资产总值</w:t>
      </w:r>
    </w:p>
    <w:p>
      <w:pPr>
        <w:pStyle w:val="BodyText"/>
        <w:spacing w:before="6"/>
        <w:rPr>
          <w:sz w:val="15"/>
        </w:rPr>
      </w:pPr>
    </w:p>
    <w:p>
      <w:pPr>
        <w:pStyle w:val="BodyText"/>
        <w:spacing w:line="417" w:lineRule="auto"/>
        <w:ind w:left="220" w:right="591" w:firstLine="419"/>
      </w:pPr>
      <w:r>
        <w:rPr>
          <w:spacing w:val="-8"/>
        </w:rPr>
        <w:t>基金资产总值是指购买的各类证券、期货及票据价值、银行存款本息和基金应收的申购</w:t>
      </w:r>
      <w:r>
        <w:rPr>
          <w:spacing w:val="-5"/>
        </w:rPr>
        <w:t>基金款以及其他投资所形成的价值总和。</w:t>
      </w:r>
    </w:p>
    <w:p>
      <w:pPr>
        <w:pStyle w:val="BodyText"/>
        <w:ind w:left="640"/>
      </w:pPr>
      <w:r>
        <w:rPr/>
        <w:t>（二）基金资产净值</w:t>
      </w:r>
    </w:p>
    <w:p>
      <w:pPr>
        <w:spacing w:after="0"/>
        <w:sectPr>
          <w:pgSz w:w="11910" w:h="16840"/>
          <w:pgMar w:header="877" w:footer="995" w:top="1420" w:bottom="1180" w:left="1580" w:right="1200"/>
        </w:sectPr>
      </w:pPr>
    </w:p>
    <w:p>
      <w:pPr>
        <w:pStyle w:val="BodyText"/>
        <w:spacing w:before="110"/>
        <w:ind w:left="640"/>
      </w:pPr>
      <w:r>
        <w:rPr/>
        <w:t>基金资产净值是指基金资产总值减去基金负债后的价值。</w:t>
      </w:r>
    </w:p>
    <w:p>
      <w:pPr>
        <w:pStyle w:val="BodyText"/>
        <w:spacing w:before="6"/>
        <w:rPr>
          <w:sz w:val="15"/>
        </w:rPr>
      </w:pPr>
    </w:p>
    <w:p>
      <w:pPr>
        <w:pStyle w:val="BodyText"/>
        <w:ind w:left="640"/>
      </w:pPr>
      <w:r>
        <w:rPr/>
        <w:t>（三）基金财产的账户</w:t>
      </w:r>
    </w:p>
    <w:p>
      <w:pPr>
        <w:pStyle w:val="BodyText"/>
        <w:spacing w:before="7"/>
        <w:rPr>
          <w:sz w:val="15"/>
        </w:rPr>
      </w:pPr>
    </w:p>
    <w:p>
      <w:pPr>
        <w:pStyle w:val="BodyText"/>
        <w:spacing w:line="417" w:lineRule="auto"/>
        <w:ind w:left="220" w:right="59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pPr>
        <w:pStyle w:val="BodyText"/>
        <w:spacing w:line="269" w:lineRule="exact"/>
        <w:ind w:left="640"/>
      </w:pPr>
      <w:r>
        <w:rPr/>
        <w:t>（四）基金财产的保管和处分</w:t>
      </w:r>
    </w:p>
    <w:p>
      <w:pPr>
        <w:pStyle w:val="BodyText"/>
        <w:spacing w:before="7"/>
        <w:rPr>
          <w:sz w:val="15"/>
        </w:rPr>
      </w:pPr>
    </w:p>
    <w:p>
      <w:pPr>
        <w:pStyle w:val="BodyText"/>
        <w:spacing w:line="417" w:lineRule="auto"/>
        <w:ind w:left="220" w:right="59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220" w:right="59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r>
        <w:rPr>
          <w:spacing w:val="-6"/>
        </w:rPr>
        <w:t>得相互抵销。</w:t>
      </w:r>
    </w:p>
    <w:p>
      <w:pPr>
        <w:pStyle w:val="BodyText"/>
        <w:spacing w:before="7"/>
        <w:rPr>
          <w:sz w:val="26"/>
        </w:rPr>
      </w:pPr>
    </w:p>
    <w:p>
      <w:pPr>
        <w:pStyle w:val="Heading1"/>
        <w:ind w:right="1133"/>
      </w:pPr>
      <w:bookmarkStart w:name="_bookmark11" w:id="12"/>
      <w:bookmarkEnd w:id="12"/>
      <w:r>
        <w:rPr>
          <w:b w:val="0"/>
        </w:rPr>
      </w:r>
      <w:r>
        <w:rPr/>
        <w:t>十三、基金资产的估值</w:t>
      </w:r>
    </w:p>
    <w:p>
      <w:pPr>
        <w:pStyle w:val="BodyText"/>
        <w:rPr>
          <w:b/>
          <w:sz w:val="20"/>
        </w:rPr>
      </w:pPr>
    </w:p>
    <w:p>
      <w:pPr>
        <w:pStyle w:val="BodyText"/>
        <w:spacing w:before="3"/>
        <w:rPr>
          <w:b/>
        </w:rPr>
      </w:pPr>
    </w:p>
    <w:p>
      <w:pPr>
        <w:pStyle w:val="BodyText"/>
        <w:ind w:left="640"/>
      </w:pPr>
      <w:r>
        <w:rPr/>
        <w:t>（一）估值日</w:t>
      </w:r>
    </w:p>
    <w:p>
      <w:pPr>
        <w:pStyle w:val="BodyText"/>
        <w:spacing w:before="6"/>
        <w:rPr>
          <w:sz w:val="15"/>
        </w:rPr>
      </w:pPr>
    </w:p>
    <w:p>
      <w:pPr>
        <w:pStyle w:val="BodyText"/>
        <w:spacing w:line="417" w:lineRule="auto"/>
        <w:ind w:left="220" w:right="594" w:firstLine="419"/>
      </w:pPr>
      <w:r>
        <w:rPr/>
        <w:t>本基金的估值日为本基金相关的证券交易场所的交易日以及国家法律法规规定需要对外披露基金净值的非交易日。</w:t>
      </w:r>
    </w:p>
    <w:p>
      <w:pPr>
        <w:pStyle w:val="BodyText"/>
        <w:spacing w:line="269" w:lineRule="exact"/>
        <w:ind w:left="640"/>
      </w:pPr>
      <w:r>
        <w:rPr/>
        <w:t>（二）估值对象</w:t>
      </w:r>
    </w:p>
    <w:p>
      <w:pPr>
        <w:pStyle w:val="BodyText"/>
        <w:spacing w:before="7"/>
        <w:rPr>
          <w:sz w:val="15"/>
        </w:rPr>
      </w:pPr>
    </w:p>
    <w:p>
      <w:pPr>
        <w:pStyle w:val="BodyText"/>
        <w:spacing w:line="417" w:lineRule="auto"/>
        <w:ind w:left="220" w:right="591" w:firstLine="419"/>
      </w:pPr>
      <w:r>
        <w:rPr>
          <w:spacing w:val="-20"/>
        </w:rPr>
        <w:t>基金所拥有的股票、权证、债券、货币市场工具、资产支持证券、股指期货、国债期货、</w:t>
      </w:r>
      <w:r>
        <w:rPr>
          <w:spacing w:val="-8"/>
        </w:rPr>
        <w:t>股票期权和银行存款本息、应收款项、其他投资等资产及负债。</w:t>
      </w:r>
    </w:p>
    <w:p>
      <w:pPr>
        <w:pStyle w:val="BodyText"/>
        <w:ind w:left="640"/>
      </w:pPr>
      <w:r>
        <w:rPr/>
        <w:t>（三）估值方法</w:t>
      </w:r>
    </w:p>
    <w:p>
      <w:pPr>
        <w:pStyle w:val="BodyText"/>
        <w:spacing w:before="7"/>
        <w:rPr>
          <w:sz w:val="15"/>
        </w:rPr>
      </w:pPr>
    </w:p>
    <w:p>
      <w:pPr>
        <w:pStyle w:val="BodyText"/>
        <w:ind w:left="640"/>
      </w:pPr>
      <w:r>
        <w:rPr>
          <w:rFonts w:ascii="Times New Roman" w:eastAsia="Times New Roman"/>
        </w:rPr>
        <w:t>1</w:t>
      </w:r>
      <w:r>
        <w:rPr/>
        <w:t>、证券交易所上市的有价证券的估值</w:t>
      </w:r>
    </w:p>
    <w:p>
      <w:pPr>
        <w:pStyle w:val="BodyText"/>
        <w:spacing w:before="7"/>
        <w:rPr>
          <w:sz w:val="15"/>
        </w:rPr>
      </w:pPr>
    </w:p>
    <w:p>
      <w:pPr>
        <w:pStyle w:val="ListParagraph"/>
        <w:numPr>
          <w:ilvl w:val="3"/>
          <w:numId w:val="24"/>
        </w:numPr>
        <w:tabs>
          <w:tab w:pos="1170" w:val="left" w:leader="none"/>
        </w:tabs>
        <w:spacing w:line="417" w:lineRule="auto" w:before="0" w:after="0"/>
        <w:ind w:left="220" w:right="591" w:firstLine="419"/>
        <w:jc w:val="both"/>
        <w:rPr>
          <w:sz w:val="21"/>
        </w:rPr>
      </w:pPr>
      <w:r>
        <w:rPr>
          <w:spacing w:val="-6"/>
          <w:sz w:val="21"/>
        </w:rPr>
        <w:t>交易所上市的有价证券</w:t>
      </w:r>
      <w:r>
        <w:rPr>
          <w:sz w:val="21"/>
        </w:rPr>
        <w:t>（</w:t>
      </w:r>
      <w:r>
        <w:rPr>
          <w:spacing w:val="-7"/>
          <w:sz w:val="21"/>
        </w:rPr>
        <w:t>包括股票、权证等</w:t>
      </w:r>
      <w:r>
        <w:rPr>
          <w:spacing w:val="-67"/>
          <w:sz w:val="21"/>
        </w:rPr>
        <w:t>）</w:t>
      </w:r>
      <w:r>
        <w:rPr>
          <w:spacing w:val="-10"/>
          <w:sz w:val="21"/>
        </w:rPr>
        <w:t>，以其估值日在证券交易所挂牌的 </w:t>
      </w:r>
      <w:r>
        <w:rPr>
          <w:spacing w:val="-13"/>
          <w:sz w:val="21"/>
        </w:rPr>
        <w:t>市价</w:t>
      </w:r>
      <w:r>
        <w:rPr>
          <w:sz w:val="21"/>
        </w:rPr>
        <w:t>（</w:t>
      </w:r>
      <w:r>
        <w:rPr>
          <w:spacing w:val="-3"/>
          <w:sz w:val="21"/>
        </w:rPr>
        <w:t>收盘价</w:t>
      </w:r>
      <w:r>
        <w:rPr>
          <w:spacing w:val="-25"/>
          <w:sz w:val="21"/>
        </w:rPr>
        <w:t>）</w:t>
      </w:r>
      <w:r>
        <w:rPr>
          <w:spacing w:val="-9"/>
          <w:sz w:val="21"/>
        </w:rPr>
        <w:t>估值；估值日无交易的，且最近交易日后经济环境未发生重大变化或证券发</w:t>
      </w:r>
      <w:r>
        <w:rPr>
          <w:spacing w:val="-6"/>
          <w:sz w:val="21"/>
        </w:rPr>
        <w:t>行机构未发生影响证券价格的重大事件的，以最近交易日的市价</w:t>
      </w:r>
      <w:r>
        <w:rPr>
          <w:sz w:val="21"/>
        </w:rPr>
        <w:t>（</w:t>
      </w:r>
      <w:r>
        <w:rPr>
          <w:spacing w:val="-3"/>
          <w:sz w:val="21"/>
        </w:rPr>
        <w:t>收盘价</w:t>
      </w:r>
      <w:r>
        <w:rPr>
          <w:spacing w:val="-25"/>
          <w:sz w:val="21"/>
        </w:rPr>
        <w:t>）</w:t>
      </w:r>
      <w:r>
        <w:rPr>
          <w:spacing w:val="-7"/>
          <w:sz w:val="21"/>
        </w:rPr>
        <w:t>估值；如最近交</w:t>
      </w:r>
      <w:r>
        <w:rPr>
          <w:spacing w:val="-8"/>
          <w:sz w:val="21"/>
        </w:rPr>
        <w:t>易日后经济环境发生了重大变化或证券发行机构发生影响证券价格的重大事件的，可参考类</w:t>
      </w:r>
      <w:r>
        <w:rPr>
          <w:spacing w:val="-3"/>
          <w:sz w:val="21"/>
        </w:rPr>
        <w:t>似投资品种的现行市价及重大变化因素，调整最近交易市价，确定公允价格。</w:t>
      </w:r>
    </w:p>
    <w:p>
      <w:pPr>
        <w:spacing w:after="0" w:line="417" w:lineRule="auto"/>
        <w:jc w:val="both"/>
        <w:rPr>
          <w:sz w:val="21"/>
        </w:rPr>
        <w:sectPr>
          <w:pgSz w:w="11910" w:h="16840"/>
          <w:pgMar w:header="877" w:footer="995" w:top="1420" w:bottom="1180" w:left="1580" w:right="1200"/>
        </w:sectPr>
      </w:pPr>
    </w:p>
    <w:p>
      <w:pPr>
        <w:pStyle w:val="ListParagraph"/>
        <w:numPr>
          <w:ilvl w:val="3"/>
          <w:numId w:val="24"/>
        </w:numPr>
        <w:tabs>
          <w:tab w:pos="1170" w:val="left" w:leader="none"/>
        </w:tabs>
        <w:spacing w:line="417" w:lineRule="auto" w:before="110" w:after="0"/>
        <w:ind w:left="220" w:right="591" w:firstLine="419"/>
        <w:jc w:val="both"/>
        <w:rPr>
          <w:sz w:val="21"/>
        </w:rPr>
      </w:pPr>
      <w:r>
        <w:rPr>
          <w:spacing w:val="-3"/>
          <w:sz w:val="21"/>
        </w:rPr>
        <w:t>交易所上市实行净价交易的债券按估值日第三方估值机构提供的相应品种当日的</w:t>
      </w:r>
      <w:r>
        <w:rPr>
          <w:spacing w:val="-10"/>
          <w:sz w:val="21"/>
        </w:rPr>
        <w:t>估值净价进行估值，估值日没有交易的，且最近交易日后经济环境未发生重大变化，按最近</w:t>
      </w:r>
      <w:r>
        <w:rPr>
          <w:spacing w:val="-12"/>
          <w:sz w:val="21"/>
        </w:rPr>
        <w:t>交易日的收盘价估值。如最近交易日后经济环境发生了重大变化的，可参考类似投资品种的</w:t>
      </w:r>
      <w:r>
        <w:rPr>
          <w:spacing w:val="-6"/>
          <w:sz w:val="21"/>
        </w:rPr>
        <w:t>现行市价及重大变化因素，调整最近交易市价，确定公允价格。</w:t>
      </w:r>
    </w:p>
    <w:p>
      <w:pPr>
        <w:pStyle w:val="ListParagraph"/>
        <w:numPr>
          <w:ilvl w:val="3"/>
          <w:numId w:val="24"/>
        </w:numPr>
        <w:tabs>
          <w:tab w:pos="1170" w:val="left" w:leader="none"/>
        </w:tabs>
        <w:spacing w:line="417" w:lineRule="auto" w:before="0" w:after="0"/>
        <w:ind w:left="220" w:right="488" w:firstLine="419"/>
        <w:jc w:val="left"/>
        <w:rPr>
          <w:sz w:val="21"/>
        </w:rPr>
      </w:pPr>
      <w:r>
        <w:rPr>
          <w:spacing w:val="-3"/>
          <w:sz w:val="21"/>
        </w:rPr>
        <w:t>交易所上市未实行净价交易的债券按估值日收盘价减去债券收盘价中所含的债券</w:t>
      </w:r>
      <w:r>
        <w:rPr>
          <w:spacing w:val="-9"/>
          <w:sz w:val="21"/>
        </w:rPr>
        <w:t>应收利息得到的净价进行估值；估值日没有交易的，且最近交易日后经济环境未发生重大变</w:t>
      </w:r>
      <w:r>
        <w:rPr>
          <w:spacing w:val="-5"/>
          <w:sz w:val="21"/>
        </w:rPr>
        <w:t>化，按最近交易日债券收盘价减去债券收盘价中所含的债券应收利息得到的净价进行估值。</w:t>
      </w:r>
      <w:r>
        <w:rPr>
          <w:spacing w:val="-9"/>
          <w:sz w:val="21"/>
        </w:rPr>
        <w:t>如最近交易日后经济环境发生了重大变化的，可参考类似投资品种的现行市价及重大变化因</w:t>
      </w:r>
      <w:r>
        <w:rPr>
          <w:spacing w:val="-5"/>
          <w:sz w:val="21"/>
        </w:rPr>
        <w:t>素，调整最近交易市价，确定公允价格。</w:t>
      </w:r>
    </w:p>
    <w:p>
      <w:pPr>
        <w:pStyle w:val="ListParagraph"/>
        <w:numPr>
          <w:ilvl w:val="3"/>
          <w:numId w:val="24"/>
        </w:numPr>
        <w:tabs>
          <w:tab w:pos="1170" w:val="left" w:leader="none"/>
        </w:tabs>
        <w:spacing w:line="417" w:lineRule="auto" w:before="0" w:after="0"/>
        <w:ind w:left="220" w:right="591" w:firstLine="419"/>
        <w:jc w:val="both"/>
        <w:rPr>
          <w:sz w:val="21"/>
        </w:rPr>
      </w:pPr>
      <w:r>
        <w:rPr>
          <w:spacing w:val="-3"/>
          <w:sz w:val="21"/>
        </w:rPr>
        <w:t>交易所上市不存在活跃市场的有价证券，采用估值技术确定公允价值。交易所上</w:t>
      </w:r>
      <w:r>
        <w:rPr>
          <w:spacing w:val="-11"/>
          <w:sz w:val="21"/>
        </w:rPr>
        <w:t>市的资产支持证券，采用估值技术确定公允价值，在估值技术难以可靠计量公允价值的情况</w:t>
      </w:r>
      <w:r>
        <w:rPr>
          <w:spacing w:val="-6"/>
          <w:sz w:val="21"/>
        </w:rPr>
        <w:t>下，按成本估值。</w:t>
      </w:r>
    </w:p>
    <w:p>
      <w:pPr>
        <w:pStyle w:val="BodyText"/>
        <w:spacing w:line="269" w:lineRule="exact"/>
        <w:ind w:left="640"/>
      </w:pPr>
      <w:r>
        <w:rPr>
          <w:rFonts w:ascii="Times New Roman" w:eastAsia="Times New Roman"/>
        </w:rPr>
        <w:t>2</w:t>
      </w:r>
      <w:r>
        <w:rPr/>
        <w:t>、处于未上市期间的有价证券应区分如下情况处理：</w:t>
      </w:r>
    </w:p>
    <w:p>
      <w:pPr>
        <w:pStyle w:val="BodyText"/>
        <w:spacing w:before="5"/>
        <w:rPr>
          <w:sz w:val="15"/>
        </w:rPr>
      </w:pPr>
    </w:p>
    <w:p>
      <w:pPr>
        <w:pStyle w:val="ListParagraph"/>
        <w:numPr>
          <w:ilvl w:val="0"/>
          <w:numId w:val="25"/>
        </w:numPr>
        <w:tabs>
          <w:tab w:pos="1170" w:val="left" w:leader="none"/>
        </w:tabs>
        <w:spacing w:line="417" w:lineRule="auto" w:before="1" w:after="0"/>
        <w:ind w:left="220" w:right="59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5"/>
        </w:numPr>
        <w:tabs>
          <w:tab w:pos="1170" w:val="left" w:leader="none"/>
        </w:tabs>
        <w:spacing w:line="417" w:lineRule="auto" w:before="0" w:after="0"/>
        <w:ind w:left="220" w:right="594"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25"/>
        </w:numPr>
        <w:tabs>
          <w:tab w:pos="1170" w:val="left" w:leader="none"/>
        </w:tabs>
        <w:spacing w:line="417" w:lineRule="auto" w:before="0" w:after="0"/>
        <w:ind w:left="220" w:right="591" w:firstLine="419"/>
        <w:jc w:val="both"/>
        <w:rPr>
          <w:sz w:val="21"/>
        </w:rPr>
      </w:pPr>
      <w:r>
        <w:rPr>
          <w:spacing w:val="-3"/>
          <w:sz w:val="21"/>
        </w:rPr>
        <w:t>首次公开发行有明确锁定期的股票，同一股票在交易所上市后，按交易所上市的</w:t>
      </w:r>
      <w:r>
        <w:rPr>
          <w:spacing w:val="-9"/>
          <w:sz w:val="21"/>
        </w:rPr>
        <w:t>同一股票的估值方法估值；流通受限的股票，包括非公开发行股票、首次公开发行股票时公</w:t>
      </w:r>
      <w:r>
        <w:rPr>
          <w:spacing w:val="-17"/>
          <w:sz w:val="21"/>
        </w:rPr>
        <w:t>司股东公开发售股份、通过大宗交易取得的带限售期的股票等</w:t>
      </w:r>
      <w:r>
        <w:rPr>
          <w:sz w:val="21"/>
        </w:rPr>
        <w:t>（</w:t>
      </w:r>
      <w:r>
        <w:rPr>
          <w:spacing w:val="-12"/>
          <w:sz w:val="21"/>
        </w:rPr>
        <w:t>不包括停牌、新发行未上市、</w:t>
      </w:r>
      <w:r>
        <w:rPr>
          <w:spacing w:val="-6"/>
          <w:w w:val="100"/>
          <w:sz w:val="21"/>
        </w:rPr>
        <w:t>回购交易中的质押券等流通受限股票</w:t>
      </w:r>
      <w:r>
        <w:rPr>
          <w:spacing w:val="-106"/>
          <w:w w:val="100"/>
          <w:sz w:val="21"/>
        </w:rPr>
        <w:t>）</w:t>
      </w:r>
      <w:r>
        <w:rPr>
          <w:spacing w:val="-3"/>
          <w:w w:val="100"/>
          <w:sz w:val="21"/>
        </w:rPr>
        <w:t>，按监管机构或行业协会有关规定确定公允价值。</w:t>
      </w:r>
    </w:p>
    <w:p>
      <w:pPr>
        <w:pStyle w:val="BodyText"/>
        <w:spacing w:line="417" w:lineRule="auto"/>
        <w:ind w:left="220" w:right="596" w:firstLine="419"/>
      </w:pPr>
      <w:r>
        <w:rPr>
          <w:rFonts w:ascii="Times New Roman" w:eastAsia="Times New Roman"/>
        </w:rPr>
        <w:t>3</w:t>
      </w:r>
      <w:r>
        <w:rPr/>
        <w:t>、全国银行间债券市场交易的债券、资产支持证券等固定收益品种，采用第三方估值机构提供的价格数据进行估值。</w:t>
      </w:r>
    </w:p>
    <w:p>
      <w:pPr>
        <w:pStyle w:val="BodyText"/>
        <w:spacing w:line="269" w:lineRule="exact"/>
        <w:ind w:left="640"/>
      </w:pPr>
      <w:r>
        <w:rPr>
          <w:rFonts w:ascii="Times New Roman" w:eastAsia="Times New Roman"/>
        </w:rPr>
        <w:t>4</w:t>
      </w:r>
      <w:r>
        <w:rPr/>
        <w:t>、同一债券同时在两个或两个以上市场交易的，按债券所处的市场分别估值。</w:t>
      </w:r>
    </w:p>
    <w:p>
      <w:pPr>
        <w:pStyle w:val="BodyText"/>
        <w:spacing w:before="6"/>
        <w:rPr>
          <w:sz w:val="15"/>
        </w:rPr>
      </w:pPr>
    </w:p>
    <w:p>
      <w:pPr>
        <w:pStyle w:val="BodyText"/>
        <w:spacing w:line="417" w:lineRule="auto"/>
        <w:ind w:left="220" w:right="594" w:firstLine="419"/>
      </w:pPr>
      <w:r>
        <w:rPr>
          <w:rFonts w:ascii="Times New Roman" w:eastAsia="Times New Roman"/>
        </w:rPr>
        <w:t>5</w:t>
      </w:r>
      <w:r>
        <w:rPr/>
        <w:t>、中小企业私募债券，采用估值技术确定公允价值，在估值技术难以可靠计量公允价值的情况下，按成本估值。</w:t>
      </w:r>
    </w:p>
    <w:p>
      <w:pPr>
        <w:pStyle w:val="BodyText"/>
        <w:spacing w:line="417" w:lineRule="auto"/>
        <w:ind w:left="220" w:right="594" w:firstLine="419"/>
      </w:pPr>
      <w:r>
        <w:rPr>
          <w:rFonts w:ascii="Times New Roman" w:eastAsia="Times New Roman"/>
        </w:rPr>
        <w:t>6</w:t>
      </w:r>
      <w:r>
        <w:rPr/>
        <w:t>、本基金投资股指期货、国债期货合约，一般以估值当日结算价进行估值，估值当日无结算价的，且最近交易日后经济环境未发生重大变化的，采用最近交易日结算价估值。</w:t>
      </w:r>
    </w:p>
    <w:p>
      <w:pPr>
        <w:pStyle w:val="BodyText"/>
        <w:ind w:left="640"/>
      </w:pPr>
      <w:r>
        <w:rPr>
          <w:rFonts w:ascii="Times New Roman" w:eastAsia="Times New Roman"/>
        </w:rPr>
        <w:t>7</w:t>
      </w:r>
      <w:r>
        <w:rPr/>
        <w:t>、本基金投资股票期权，根据相关法律法规以及监管部门的规定估值。</w:t>
      </w:r>
    </w:p>
    <w:p>
      <w:pPr>
        <w:pStyle w:val="BodyText"/>
        <w:spacing w:before="6"/>
        <w:rPr>
          <w:sz w:val="15"/>
        </w:rPr>
      </w:pPr>
    </w:p>
    <w:p>
      <w:pPr>
        <w:pStyle w:val="BodyText"/>
        <w:ind w:left="640"/>
      </w:pPr>
      <w:r>
        <w:rPr>
          <w:rFonts w:ascii="Times New Roman" w:eastAsia="Times New Roman"/>
        </w:rPr>
        <w:t>8</w:t>
      </w:r>
      <w:r>
        <w:rPr/>
        <w:t>、人民币对主要外汇的汇率应当以估值日中国人民银行或其授权机构公布的人民币汇</w:t>
      </w:r>
    </w:p>
    <w:p>
      <w:pPr>
        <w:spacing w:after="0"/>
        <w:sectPr>
          <w:pgSz w:w="11910" w:h="16840"/>
          <w:pgMar w:header="877" w:footer="995" w:top="1420" w:bottom="1180" w:left="1580" w:right="1200"/>
        </w:sectPr>
      </w:pPr>
    </w:p>
    <w:p>
      <w:pPr>
        <w:pStyle w:val="BodyText"/>
        <w:spacing w:before="110"/>
        <w:ind w:left="220"/>
      </w:pPr>
      <w:r>
        <w:rPr/>
        <w:t>率中间价为准。</w:t>
      </w:r>
    </w:p>
    <w:p>
      <w:pPr>
        <w:pStyle w:val="BodyText"/>
        <w:spacing w:before="6"/>
        <w:rPr>
          <w:sz w:val="15"/>
        </w:rPr>
      </w:pPr>
    </w:p>
    <w:p>
      <w:pPr>
        <w:pStyle w:val="BodyText"/>
        <w:ind w:left="640"/>
      </w:pPr>
      <w:r>
        <w:rPr>
          <w:rFonts w:ascii="Times New Roman" w:eastAsia="Times New Roman"/>
        </w:rPr>
        <w:t>9</w:t>
      </w:r>
      <w:r>
        <w:rPr/>
        <w:t>、本基金投资存托凭证的估值核算，依照境内上市交易的股票执行。</w:t>
      </w:r>
    </w:p>
    <w:p>
      <w:pPr>
        <w:pStyle w:val="BodyText"/>
        <w:spacing w:before="7"/>
        <w:rPr>
          <w:sz w:val="15"/>
        </w:rPr>
      </w:pPr>
    </w:p>
    <w:p>
      <w:pPr>
        <w:pStyle w:val="BodyText"/>
        <w:spacing w:line="417" w:lineRule="auto"/>
        <w:ind w:left="220" w:right="591" w:firstLine="419"/>
      </w:pPr>
      <w:r>
        <w:rPr>
          <w:rFonts w:ascii="Times New Roman" w:eastAsia="Times New Roman"/>
        </w:rPr>
        <w:t>10</w:t>
      </w:r>
      <w:r>
        <w:rPr>
          <w:spacing w:val="-11"/>
        </w:rPr>
        <w:t>、如有确凿证据表明按上述方法进行估值不能客观反映其公允价值的，基金管理人可</w:t>
      </w:r>
      <w:r>
        <w:rPr>
          <w:spacing w:val="-6"/>
        </w:rPr>
        <w:t>根据具体情况与基金托管人商定后，按最能反映公允价值的价格估值。</w:t>
      </w:r>
    </w:p>
    <w:p>
      <w:pPr>
        <w:pStyle w:val="BodyText"/>
        <w:spacing w:line="269" w:lineRule="exact"/>
        <w:ind w:left="640"/>
      </w:pPr>
      <w:r>
        <w:rPr>
          <w:rFonts w:ascii="Times New Roman" w:eastAsia="Times New Roman"/>
        </w:rPr>
        <w:t>11</w:t>
      </w:r>
      <w:r>
        <w:rPr/>
        <w:t>、其他资产按法律法规或监管机构有关规定进行估值。</w:t>
      </w:r>
    </w:p>
    <w:p>
      <w:pPr>
        <w:pStyle w:val="BodyText"/>
        <w:spacing w:before="7"/>
        <w:rPr>
          <w:sz w:val="15"/>
        </w:rPr>
      </w:pPr>
    </w:p>
    <w:p>
      <w:pPr>
        <w:pStyle w:val="BodyText"/>
        <w:spacing w:line="417" w:lineRule="auto"/>
        <w:ind w:left="220" w:right="591" w:firstLine="419"/>
      </w:pPr>
      <w:r>
        <w:rPr>
          <w:rFonts w:ascii="Times New Roman" w:eastAsia="Times New Roman"/>
        </w:rPr>
        <w:t>12</w:t>
      </w:r>
      <w:r>
        <w:rPr>
          <w:spacing w:val="-10"/>
        </w:rPr>
        <w:t>、当发生大额申购或赎回情形时，基金管理人可以采用摆动定价机制，以确保基金估</w:t>
      </w:r>
      <w:r>
        <w:rPr>
          <w:spacing w:val="-5"/>
        </w:rPr>
        <w:t>值的公平性。</w:t>
      </w:r>
    </w:p>
    <w:p>
      <w:pPr>
        <w:pStyle w:val="BodyText"/>
        <w:spacing w:line="417" w:lineRule="auto"/>
        <w:ind w:left="220" w:right="591" w:firstLine="419"/>
      </w:pPr>
      <w:r>
        <w:rPr>
          <w:rFonts w:ascii="Times New Roman" w:eastAsia="Times New Roman"/>
        </w:rPr>
        <w:t>13</w:t>
      </w:r>
      <w:r>
        <w:rPr>
          <w:spacing w:val="-10"/>
        </w:rPr>
        <w:t>、相关法律法规以及监管部门有强制规定的，从其规定。如有新增事项，按国家最新</w:t>
      </w:r>
      <w:r>
        <w:rPr>
          <w:spacing w:val="-5"/>
        </w:rPr>
        <w:t>规定估值。</w:t>
      </w:r>
    </w:p>
    <w:p>
      <w:pPr>
        <w:pStyle w:val="BodyText"/>
        <w:spacing w:line="417" w:lineRule="auto"/>
        <w:ind w:left="220" w:right="488" w:firstLine="419"/>
      </w:pPr>
      <w:r>
        <w:rPr>
          <w:spacing w:val="-6"/>
        </w:rPr>
        <w:t>如基金管理人或基金托管人发现基金估值违反基金合同订明的估值方法、程序及相关法</w:t>
      </w:r>
      <w:r>
        <w:rPr>
          <w:spacing w:val="-3"/>
        </w:rPr>
        <w:t>律法规的规定或者未能充分维护基金份额持有人利益时，应立即通知对方，共同查明原因， 双方协商解决。</w:t>
      </w:r>
    </w:p>
    <w:p>
      <w:pPr>
        <w:pStyle w:val="BodyText"/>
        <w:spacing w:line="417" w:lineRule="auto"/>
        <w:ind w:left="220" w:right="59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spacing w:line="269" w:lineRule="exact"/>
        <w:ind w:left="640"/>
      </w:pPr>
      <w:r>
        <w:rPr/>
        <w:t>（四</w:t>
      </w:r>
      <w:r>
        <w:rPr>
          <w:spacing w:val="-3"/>
        </w:rPr>
        <w:t>）</w:t>
      </w:r>
      <w:r>
        <w:rPr>
          <w:spacing w:val="-2"/>
        </w:rPr>
        <w:t>估值程序</w:t>
      </w:r>
    </w:p>
    <w:p>
      <w:pPr>
        <w:pStyle w:val="BodyText"/>
        <w:spacing w:before="6"/>
        <w:rPr>
          <w:sz w:val="15"/>
        </w:rPr>
      </w:pPr>
    </w:p>
    <w:p>
      <w:pPr>
        <w:pStyle w:val="BodyText"/>
        <w:spacing w:line="417" w:lineRule="auto"/>
        <w:ind w:left="220" w:right="594" w:firstLine="419"/>
      </w:pPr>
      <w:r>
        <w:rPr>
          <w:rFonts w:ascii="Times New Roman" w:eastAsia="Times New Roman"/>
        </w:rPr>
        <w:t>1</w:t>
      </w:r>
      <w:r>
        <w:rPr/>
        <w:t>、基金份额净值是按照每个工作日闭市后，基金资产净值除以当日基金份额的余额数量计算，精确到 </w:t>
      </w:r>
      <w:r>
        <w:rPr>
          <w:rFonts w:ascii="Times New Roman" w:eastAsia="Times New Roman"/>
        </w:rPr>
        <w:t>0.0001 </w:t>
      </w:r>
      <w:r>
        <w:rPr/>
        <w:t>元，小数点后第 </w:t>
      </w:r>
      <w:r>
        <w:rPr>
          <w:rFonts w:ascii="Times New Roman" w:eastAsia="Times New Roman"/>
        </w:rPr>
        <w:t>5 </w:t>
      </w:r>
      <w:r>
        <w:rPr/>
        <w:t>位四舍五入。国家另有规定的，从其规定。</w:t>
      </w:r>
    </w:p>
    <w:p>
      <w:pPr>
        <w:pStyle w:val="BodyText"/>
        <w:spacing w:line="269" w:lineRule="exact"/>
        <w:ind w:left="640"/>
      </w:pPr>
      <w:r>
        <w:rPr/>
        <w:t>每个工作日计算基金资产净值及基金份额净值，并按规定公告。</w:t>
      </w:r>
    </w:p>
    <w:p>
      <w:pPr>
        <w:pStyle w:val="BodyText"/>
        <w:spacing w:before="7"/>
        <w:rPr>
          <w:sz w:val="15"/>
        </w:rPr>
      </w:pPr>
    </w:p>
    <w:p>
      <w:pPr>
        <w:pStyle w:val="BodyText"/>
        <w:spacing w:line="417" w:lineRule="auto"/>
        <w:ind w:left="220" w:right="591" w:firstLine="419"/>
        <w:jc w:val="both"/>
      </w:pPr>
      <w:r>
        <w:rPr>
          <w:rFonts w:ascii="Times New Roman" w:eastAsia="Times New Roman"/>
        </w:rPr>
        <w:t>2</w:t>
      </w:r>
      <w:r>
        <w:rPr>
          <w:spacing w:val="-3"/>
        </w:rPr>
        <w:t>、基金管理人应每个工作日对基金资产估值。但基金管理人根据法律法规或基金合同</w:t>
      </w:r>
      <w:r>
        <w:rPr>
          <w:spacing w:val="-10"/>
        </w:rPr>
        <w:t>的规定暂停估值时除外。基金管理人每个工作日对基金资产估值后，将基金份额净值结果发</w:t>
      </w:r>
      <w:r>
        <w:rPr>
          <w:spacing w:val="-5"/>
        </w:rPr>
        <w:t>送基金托管人，经基金托管人复核无误后，由基金管理人按规定对外公布。</w:t>
      </w:r>
    </w:p>
    <w:p>
      <w:pPr>
        <w:pStyle w:val="BodyText"/>
        <w:ind w:left="640"/>
      </w:pPr>
      <w:r>
        <w:rPr/>
        <w:t>（五）估值错误的处理</w:t>
      </w:r>
    </w:p>
    <w:p>
      <w:pPr>
        <w:pStyle w:val="BodyText"/>
        <w:spacing w:before="7"/>
        <w:rPr>
          <w:sz w:val="15"/>
        </w:rPr>
      </w:pPr>
    </w:p>
    <w:p>
      <w:pPr>
        <w:pStyle w:val="BodyText"/>
        <w:spacing w:line="417" w:lineRule="auto"/>
        <w:ind w:left="220" w:right="488" w:firstLine="419"/>
      </w:pPr>
      <w:r>
        <w:rPr>
          <w:spacing w:val="-3"/>
        </w:rPr>
        <w:t>基金管理人和基金托管人将采取必要、适当、合理的措施确保基金资产估值的准确性、</w:t>
      </w:r>
      <w:r>
        <w:rPr>
          <w:spacing w:val="-8"/>
        </w:rPr>
        <w:t>及时性。当基金份额净值小数点后 </w:t>
      </w:r>
      <w:r>
        <w:rPr>
          <w:rFonts w:ascii="Times New Roman" w:eastAsia="Times New Roman"/>
        </w:rPr>
        <w:t>4 </w:t>
      </w:r>
      <w:r>
        <w:rPr>
          <w:spacing w:val="-2"/>
        </w:rPr>
        <w:t>位以内</w:t>
      </w:r>
      <w:r>
        <w:rPr>
          <w:rFonts w:ascii="Times New Roman" w:eastAsia="Times New Roman"/>
        </w:rPr>
        <w:t>(</w:t>
      </w:r>
      <w:r>
        <w:rPr>
          <w:spacing w:val="-17"/>
        </w:rPr>
        <w:t>含第 </w:t>
      </w:r>
      <w:r>
        <w:rPr>
          <w:rFonts w:ascii="Times New Roman" w:eastAsia="Times New Roman"/>
        </w:rPr>
        <w:t>4 </w:t>
      </w:r>
      <w:r>
        <w:rPr/>
        <w:t>位</w:t>
      </w:r>
      <w:r>
        <w:rPr>
          <w:rFonts w:ascii="Times New Roman" w:eastAsia="Times New Roman"/>
        </w:rPr>
        <w:t>)</w:t>
      </w:r>
      <w:r>
        <w:rPr>
          <w:spacing w:val="-5"/>
        </w:rPr>
        <w:t>发生估值错误时，视为基金份额净值错误。</w:t>
      </w:r>
    </w:p>
    <w:p>
      <w:pPr>
        <w:pStyle w:val="BodyText"/>
        <w:spacing w:line="269" w:lineRule="exact"/>
        <w:ind w:left="640"/>
      </w:pPr>
      <w:r>
        <w:rPr/>
        <w:t>基金合同的当事人应按照以下约定处理：</w:t>
      </w:r>
    </w:p>
    <w:p>
      <w:pPr>
        <w:pStyle w:val="BodyText"/>
        <w:spacing w:before="7"/>
        <w:rPr>
          <w:sz w:val="15"/>
        </w:rPr>
      </w:pPr>
    </w:p>
    <w:p>
      <w:pPr>
        <w:pStyle w:val="BodyText"/>
        <w:ind w:left="640"/>
      </w:pPr>
      <w:r>
        <w:rPr>
          <w:rFonts w:ascii="Times New Roman" w:eastAsia="Times New Roman"/>
        </w:rPr>
        <w:t>1</w:t>
      </w:r>
      <w:r>
        <w:rPr/>
        <w:t>、估值错误类型</w:t>
      </w:r>
    </w:p>
    <w:p>
      <w:pPr>
        <w:pStyle w:val="BodyText"/>
        <w:spacing w:before="6"/>
        <w:rPr>
          <w:sz w:val="15"/>
        </w:rPr>
      </w:pPr>
    </w:p>
    <w:p>
      <w:pPr>
        <w:pStyle w:val="BodyText"/>
        <w:spacing w:before="1"/>
        <w:ind w:left="640"/>
      </w:pPr>
      <w:r>
        <w:rPr/>
        <w:t>本基金运作过程中，如果由于基金管理人或基金托管人、或登记机构、或销售机构、或</w:t>
      </w:r>
    </w:p>
    <w:p>
      <w:pPr>
        <w:spacing w:after="0"/>
        <w:sectPr>
          <w:pgSz w:w="11910" w:h="16840"/>
          <w:pgMar w:header="877" w:footer="995" w:top="1420" w:bottom="1180" w:left="1580" w:right="1200"/>
        </w:sectPr>
      </w:pPr>
    </w:p>
    <w:p>
      <w:pPr>
        <w:pStyle w:val="BodyText"/>
        <w:spacing w:line="417" w:lineRule="auto" w:before="110"/>
        <w:ind w:left="220" w:right="489"/>
      </w:pPr>
      <w:r>
        <w:rPr>
          <w:spacing w:val="-8"/>
        </w:rPr>
        <w:t>投资人自身的过错造成估值错误，导致其他当事人遭受损失的，过错的责任人应当对由于该</w:t>
      </w:r>
      <w:r>
        <w:rPr>
          <w:spacing w:val="-7"/>
        </w:rPr>
        <w:t>估值错误遭受损失当事人</w:t>
      </w:r>
      <w:r>
        <w:rPr>
          <w:rFonts w:ascii="Times New Roman" w:hAnsi="Times New Roman" w:eastAsia="Times New Roman"/>
        </w:rPr>
        <w:t>(</w:t>
      </w:r>
      <w:r>
        <w:rPr/>
        <w:t>“受损方”</w:t>
      </w:r>
      <w:r>
        <w:rPr>
          <w:rFonts w:ascii="Times New Roman" w:hAnsi="Times New Roman" w:eastAsia="Times New Roman"/>
        </w:rPr>
        <w:t>)</w:t>
      </w:r>
      <w:r>
        <w:rPr>
          <w:spacing w:val="-1"/>
        </w:rPr>
        <w:t>的直接损失按下述“估值错误处理原则”给予赔偿， </w:t>
      </w:r>
      <w:r>
        <w:rPr>
          <w:spacing w:val="-2"/>
        </w:rPr>
        <w:t>承担赔偿责任。</w:t>
      </w:r>
    </w:p>
    <w:p>
      <w:pPr>
        <w:pStyle w:val="BodyText"/>
        <w:spacing w:line="417" w:lineRule="auto"/>
        <w:ind w:left="220" w:right="591" w:firstLine="419"/>
      </w:pPr>
      <w:r>
        <w:rPr>
          <w:spacing w:val="-16"/>
        </w:rPr>
        <w:t>上述估值错误的主要类型包括但不限于：资料申报差错、数据传输差错、数据计算差错、</w:t>
      </w:r>
      <w:r>
        <w:rPr>
          <w:spacing w:val="-7"/>
        </w:rPr>
        <w:t>系统故障差错、下达指令差错等。</w:t>
      </w:r>
    </w:p>
    <w:p>
      <w:pPr>
        <w:pStyle w:val="BodyText"/>
        <w:spacing w:line="269" w:lineRule="exact"/>
        <w:ind w:left="640"/>
      </w:pPr>
      <w:r>
        <w:rPr>
          <w:rFonts w:ascii="Times New Roman" w:eastAsia="Times New Roman"/>
        </w:rPr>
        <w:t>2</w:t>
      </w:r>
      <w:r>
        <w:rPr/>
        <w:t>、估值错误处理原则</w:t>
      </w:r>
    </w:p>
    <w:p>
      <w:pPr>
        <w:pStyle w:val="BodyText"/>
        <w:spacing w:before="6"/>
        <w:rPr>
          <w:sz w:val="15"/>
        </w:rPr>
      </w:pPr>
    </w:p>
    <w:p>
      <w:pPr>
        <w:pStyle w:val="ListParagraph"/>
        <w:numPr>
          <w:ilvl w:val="0"/>
          <w:numId w:val="26"/>
        </w:numPr>
        <w:tabs>
          <w:tab w:pos="1170" w:val="left" w:leader="none"/>
        </w:tabs>
        <w:spacing w:line="417" w:lineRule="auto" w:before="0" w:after="0"/>
        <w:ind w:left="220" w:right="59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pStyle w:val="ListParagraph"/>
        <w:numPr>
          <w:ilvl w:val="0"/>
          <w:numId w:val="26"/>
        </w:numPr>
        <w:tabs>
          <w:tab w:pos="1170" w:val="left" w:leader="none"/>
        </w:tabs>
        <w:spacing w:line="417" w:lineRule="auto" w:before="0" w:after="0"/>
        <w:ind w:left="220" w:right="59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6"/>
        </w:numPr>
        <w:tabs>
          <w:tab w:pos="1170" w:val="left" w:leader="none"/>
        </w:tabs>
        <w:spacing w:line="417" w:lineRule="auto" w:before="0" w:after="0"/>
        <w:ind w:left="220" w:right="490"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6"/>
          <w:sz w:val="21"/>
        </w:rPr>
        <w:t>造成其他当事人的利益损失</w:t>
      </w:r>
      <w:r>
        <w:rPr>
          <w:rFonts w:ascii="Times New Roman" w:hAnsi="Times New Roman" w:eastAsia="Times New Roman"/>
          <w:spacing w:val="-5"/>
          <w:sz w:val="21"/>
        </w:rPr>
        <w:t>(</w:t>
      </w:r>
      <w:r>
        <w:rPr>
          <w:spacing w:val="-4"/>
          <w:sz w:val="21"/>
        </w:rPr>
        <w:t>“受损方”</w:t>
      </w:r>
      <w:r>
        <w:rPr>
          <w:rFonts w:ascii="Times New Roman" w:hAnsi="Times New Roman" w:eastAsia="Times New Roman"/>
          <w:spacing w:val="-5"/>
          <w:sz w:val="21"/>
        </w:rPr>
        <w:t>)</w:t>
      </w:r>
      <w:r>
        <w:rPr>
          <w:spacing w:val="-4"/>
          <w:sz w:val="21"/>
        </w:rPr>
        <w:t>，则估值错误责任方应赔偿受损方的损失，并在其</w:t>
      </w:r>
      <w:r>
        <w:rPr>
          <w:spacing w:val="-6"/>
          <w:sz w:val="21"/>
        </w:rPr>
        <w:t>支付的赔偿金额的范围内对获得不当得利的当事人享有要求交付不当得利的权利；如果获得</w:t>
      </w:r>
      <w:r>
        <w:rPr>
          <w:spacing w:val="-8"/>
          <w:sz w:val="21"/>
        </w:rPr>
        <w:t>不当得利的当事人已经将此部分不当得利返还给受损方，则受损方应当将其已经获得的赔偿</w:t>
      </w:r>
      <w:r>
        <w:rPr>
          <w:spacing w:val="-5"/>
          <w:sz w:val="21"/>
        </w:rPr>
        <w:t>额加上已经获得的不当得利返还的总和超过其实际损失的差额部分支付给估值错误责任方。</w:t>
      </w:r>
    </w:p>
    <w:p>
      <w:pPr>
        <w:pStyle w:val="ListParagraph"/>
        <w:numPr>
          <w:ilvl w:val="0"/>
          <w:numId w:val="26"/>
        </w:numPr>
        <w:tabs>
          <w:tab w:pos="1170" w:val="left" w:leader="none"/>
        </w:tabs>
        <w:spacing w:line="268" w:lineRule="exact" w:before="0" w:after="0"/>
        <w:ind w:left="1169" w:right="0" w:hanging="530"/>
        <w:jc w:val="left"/>
        <w:rPr>
          <w:sz w:val="21"/>
        </w:rPr>
      </w:pPr>
      <w:r>
        <w:rPr>
          <w:spacing w:val="-3"/>
          <w:sz w:val="21"/>
        </w:rPr>
        <w:t>估值错误调整采用尽量恢复至假设未发生估值错误的正确情形的方式。</w:t>
      </w:r>
    </w:p>
    <w:p>
      <w:pPr>
        <w:pStyle w:val="BodyText"/>
        <w:spacing w:before="6"/>
        <w:rPr>
          <w:sz w:val="15"/>
        </w:rPr>
      </w:pPr>
    </w:p>
    <w:p>
      <w:pPr>
        <w:pStyle w:val="BodyText"/>
        <w:ind w:left="640"/>
      </w:pPr>
      <w:r>
        <w:rPr>
          <w:rFonts w:ascii="Times New Roman" w:eastAsia="Times New Roman"/>
        </w:rPr>
        <w:t>3</w:t>
      </w:r>
      <w:r>
        <w:rPr/>
        <w:t>、估值错误处理程序</w:t>
      </w:r>
    </w:p>
    <w:p>
      <w:pPr>
        <w:pStyle w:val="BodyText"/>
        <w:spacing w:before="7"/>
        <w:rPr>
          <w:sz w:val="15"/>
        </w:rPr>
      </w:pPr>
    </w:p>
    <w:p>
      <w:pPr>
        <w:pStyle w:val="BodyText"/>
        <w:ind w:left="640"/>
      </w:pPr>
      <w:r>
        <w:rPr/>
        <w:t>估值错误被发现后，有关的当事人应当及时进行处理，处理的程序如下：</w:t>
      </w:r>
    </w:p>
    <w:p>
      <w:pPr>
        <w:pStyle w:val="BodyText"/>
        <w:spacing w:before="7"/>
        <w:rPr>
          <w:sz w:val="15"/>
        </w:rPr>
      </w:pPr>
    </w:p>
    <w:p>
      <w:pPr>
        <w:pStyle w:val="ListParagraph"/>
        <w:numPr>
          <w:ilvl w:val="0"/>
          <w:numId w:val="27"/>
        </w:numPr>
        <w:tabs>
          <w:tab w:pos="1170" w:val="left" w:leader="none"/>
        </w:tabs>
        <w:spacing w:line="417" w:lineRule="auto" w:before="0" w:after="0"/>
        <w:ind w:left="220" w:right="59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7"/>
        </w:numPr>
        <w:tabs>
          <w:tab w:pos="1170" w:val="left" w:leader="none"/>
        </w:tabs>
        <w:spacing w:line="269" w:lineRule="exact" w:before="0" w:after="0"/>
        <w:ind w:left="1169" w:right="0" w:hanging="530"/>
        <w:jc w:val="left"/>
        <w:rPr>
          <w:sz w:val="21"/>
        </w:rPr>
      </w:pPr>
      <w:r>
        <w:rPr>
          <w:spacing w:val="-3"/>
          <w:sz w:val="21"/>
        </w:rPr>
        <w:t>根据估值错误处理原则或当事人协商的方法对因估值错误造成的损失进行评估；</w:t>
      </w:r>
    </w:p>
    <w:p>
      <w:pPr>
        <w:pStyle w:val="BodyText"/>
        <w:spacing w:before="7"/>
        <w:rPr>
          <w:sz w:val="15"/>
        </w:rPr>
      </w:pPr>
    </w:p>
    <w:p>
      <w:pPr>
        <w:pStyle w:val="ListParagraph"/>
        <w:numPr>
          <w:ilvl w:val="0"/>
          <w:numId w:val="27"/>
        </w:numPr>
        <w:tabs>
          <w:tab w:pos="1170" w:val="left" w:leader="none"/>
        </w:tabs>
        <w:spacing w:line="417" w:lineRule="auto" w:before="0" w:after="0"/>
        <w:ind w:left="220" w:right="59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7"/>
        </w:numPr>
        <w:tabs>
          <w:tab w:pos="1170" w:val="left" w:leader="none"/>
        </w:tabs>
        <w:spacing w:line="417" w:lineRule="auto" w:before="0" w:after="0"/>
        <w:ind w:left="220" w:right="594" w:firstLine="419"/>
        <w:jc w:val="left"/>
        <w:rPr>
          <w:sz w:val="21"/>
        </w:rPr>
      </w:pPr>
      <w:r>
        <w:rPr>
          <w:spacing w:val="-3"/>
          <w:sz w:val="21"/>
        </w:rPr>
        <w:t>根据估值错误处理的方法，需要修改基金登记机构交易数据的，由基金登记机构进行更正。</w:t>
      </w:r>
    </w:p>
    <w:p>
      <w:pPr>
        <w:pStyle w:val="BodyText"/>
        <w:ind w:left="640"/>
      </w:pPr>
      <w:r>
        <w:rPr>
          <w:rFonts w:ascii="Times New Roman" w:eastAsia="Times New Roman"/>
        </w:rPr>
        <w:t>4</w:t>
      </w:r>
      <w:r>
        <w:rPr/>
        <w:t>、基金份额净值估值错误处理的方法如下：</w:t>
      </w:r>
    </w:p>
    <w:p>
      <w:pPr>
        <w:spacing w:after="0"/>
        <w:sectPr>
          <w:pgSz w:w="11910" w:h="16840"/>
          <w:pgMar w:header="877" w:footer="995" w:top="1420" w:bottom="1180" w:left="1580" w:right="1200"/>
        </w:sectPr>
      </w:pPr>
    </w:p>
    <w:p>
      <w:pPr>
        <w:pStyle w:val="ListParagraph"/>
        <w:numPr>
          <w:ilvl w:val="0"/>
          <w:numId w:val="28"/>
        </w:numPr>
        <w:tabs>
          <w:tab w:pos="1170" w:val="left" w:leader="none"/>
        </w:tabs>
        <w:spacing w:line="417" w:lineRule="auto" w:before="110" w:after="0"/>
        <w:ind w:left="220" w:right="59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28"/>
        </w:numPr>
        <w:tabs>
          <w:tab w:pos="1170" w:val="left" w:leader="none"/>
        </w:tabs>
        <w:spacing w:line="417" w:lineRule="auto" w:before="0" w:after="0"/>
        <w:ind w:left="220" w:right="591" w:firstLine="419"/>
        <w:jc w:val="both"/>
        <w:rPr>
          <w:sz w:val="21"/>
        </w:rPr>
      </w:pPr>
      <w:r>
        <w:rPr>
          <w:spacing w:val="-2"/>
          <w:sz w:val="21"/>
        </w:rPr>
        <w:t>错误偏差达到基金份额净值的 </w:t>
      </w:r>
      <w:r>
        <w:rPr>
          <w:rFonts w:ascii="Times New Roman" w:eastAsia="Times New Roman"/>
          <w:sz w:val="21"/>
        </w:rPr>
        <w:t>0.25%</w:t>
      </w:r>
      <w:r>
        <w:rPr>
          <w:spacing w:val="-3"/>
          <w:sz w:val="21"/>
        </w:rPr>
        <w:t>时，基金管理人应当通报基金托管人并报中</w:t>
      </w:r>
      <w:r>
        <w:rPr>
          <w:spacing w:val="-2"/>
          <w:sz w:val="21"/>
        </w:rPr>
        <w:t>国证监会备案；错误偏差达到基金份额净值的 </w:t>
      </w:r>
      <w:r>
        <w:rPr>
          <w:rFonts w:ascii="Times New Roman" w:eastAsia="Times New Roman"/>
          <w:sz w:val="21"/>
        </w:rPr>
        <w:t>0.5%</w:t>
      </w:r>
      <w:r>
        <w:rPr>
          <w:spacing w:val="-3"/>
          <w:sz w:val="21"/>
        </w:rPr>
        <w:t>时，基金管理人应当公告，并报中国证监会备案。</w:t>
      </w:r>
    </w:p>
    <w:p>
      <w:pPr>
        <w:pStyle w:val="ListParagraph"/>
        <w:numPr>
          <w:ilvl w:val="0"/>
          <w:numId w:val="28"/>
        </w:numPr>
        <w:tabs>
          <w:tab w:pos="1170" w:val="left" w:leader="none"/>
        </w:tabs>
        <w:spacing w:line="269" w:lineRule="exact" w:before="0" w:after="0"/>
        <w:ind w:left="1169" w:right="0" w:hanging="530"/>
        <w:jc w:val="left"/>
        <w:rPr>
          <w:sz w:val="21"/>
        </w:rPr>
      </w:pPr>
      <w:r>
        <w:rPr>
          <w:spacing w:val="-3"/>
          <w:sz w:val="21"/>
        </w:rPr>
        <w:t>前述内容如法律法规或监管机关另有规定的，从其规定处理。</w:t>
      </w:r>
    </w:p>
    <w:p>
      <w:pPr>
        <w:pStyle w:val="BodyText"/>
        <w:spacing w:before="6"/>
        <w:rPr>
          <w:sz w:val="15"/>
        </w:rPr>
      </w:pPr>
    </w:p>
    <w:p>
      <w:pPr>
        <w:pStyle w:val="BodyText"/>
        <w:ind w:left="640"/>
      </w:pPr>
      <w:r>
        <w:rPr/>
        <w:t>（六）暂停估值的情形</w:t>
      </w:r>
    </w:p>
    <w:p>
      <w:pPr>
        <w:pStyle w:val="BodyText"/>
        <w:spacing w:before="7"/>
        <w:rPr>
          <w:sz w:val="15"/>
        </w:rPr>
      </w:pPr>
    </w:p>
    <w:p>
      <w:pPr>
        <w:pStyle w:val="BodyText"/>
        <w:ind w:left="640"/>
      </w:pPr>
      <w:r>
        <w:rPr>
          <w:rFonts w:ascii="Times New Roman" w:eastAsia="Times New Roman"/>
        </w:rPr>
        <w:t>1</w:t>
      </w:r>
      <w:r>
        <w:rPr/>
        <w:t>、基金投资所涉及的证券、期货交易市场遇法定节假日或因其他原因暂停营业时；</w:t>
      </w:r>
    </w:p>
    <w:p>
      <w:pPr>
        <w:pStyle w:val="BodyText"/>
        <w:spacing w:before="7"/>
        <w:rPr>
          <w:sz w:val="15"/>
        </w:rPr>
      </w:pPr>
    </w:p>
    <w:p>
      <w:pPr>
        <w:pStyle w:val="BodyText"/>
        <w:ind w:left="640"/>
      </w:pPr>
      <w:r>
        <w:rPr>
          <w:rFonts w:ascii="Times New Roman" w:eastAsia="Times New Roman"/>
        </w:rPr>
        <w:t>2</w:t>
      </w:r>
      <w:r>
        <w:rPr/>
        <w:t>、因不可抗力致使基金管理人、基金托管人无法准确评估基金资产价值时；</w:t>
      </w:r>
    </w:p>
    <w:p>
      <w:pPr>
        <w:pStyle w:val="BodyText"/>
        <w:spacing w:before="7"/>
        <w:rPr>
          <w:sz w:val="15"/>
        </w:rPr>
      </w:pPr>
    </w:p>
    <w:p>
      <w:pPr>
        <w:pStyle w:val="BodyText"/>
        <w:spacing w:line="417" w:lineRule="auto"/>
        <w:ind w:left="220" w:right="591" w:firstLine="419"/>
        <w:jc w:val="both"/>
      </w:pPr>
      <w:r>
        <w:rPr>
          <w:rFonts w:ascii="Times New Roman" w:eastAsia="Times New Roman"/>
        </w:rPr>
        <w:t>3</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spacing w:line="269" w:lineRule="exact"/>
        <w:ind w:left="640"/>
      </w:pPr>
      <w:r>
        <w:rPr>
          <w:rFonts w:ascii="Times New Roman" w:eastAsia="Times New Roman"/>
        </w:rPr>
        <w:t>4</w:t>
      </w:r>
      <w:r>
        <w:rPr/>
        <w:t>、中国证监会和基金合同认定的其他情形。</w:t>
      </w:r>
    </w:p>
    <w:p>
      <w:pPr>
        <w:pStyle w:val="BodyText"/>
        <w:spacing w:before="7"/>
        <w:rPr>
          <w:sz w:val="15"/>
        </w:rPr>
      </w:pPr>
    </w:p>
    <w:p>
      <w:pPr>
        <w:pStyle w:val="BodyText"/>
        <w:ind w:left="640"/>
      </w:pPr>
      <w:r>
        <w:rPr/>
        <w:t>（七）基金净值的确认</w:t>
      </w:r>
    </w:p>
    <w:p>
      <w:pPr>
        <w:pStyle w:val="BodyText"/>
        <w:spacing w:before="7"/>
        <w:rPr>
          <w:sz w:val="15"/>
        </w:rPr>
      </w:pPr>
    </w:p>
    <w:p>
      <w:pPr>
        <w:pStyle w:val="BodyText"/>
        <w:spacing w:line="417" w:lineRule="auto"/>
        <w:ind w:left="220" w:right="488" w:firstLine="419"/>
      </w:pPr>
      <w:r>
        <w:rPr>
          <w:spacing w:val="-3"/>
        </w:rPr>
        <w:t>用于基金信息披露的基金净值信息由基金管理人负责计算，基金托管人负责进行复核。基金管理人应于每个开放日交易结束后计算当日的基金资产净值和基金份额净值并发送给 </w:t>
      </w:r>
      <w:r>
        <w:rPr>
          <w:spacing w:val="-11"/>
        </w:rPr>
        <w:t>基金托管人。基金托管人对净值计算结果复核确认后发送给基金管理人，由基金管理人对基</w:t>
      </w:r>
      <w:r>
        <w:rPr>
          <w:spacing w:val="-6"/>
        </w:rPr>
        <w:t>金净值予以公布。</w:t>
      </w:r>
    </w:p>
    <w:p>
      <w:pPr>
        <w:pStyle w:val="BodyText"/>
        <w:spacing w:line="268" w:lineRule="exact"/>
        <w:ind w:left="534"/>
      </w:pPr>
      <w:r>
        <w:rPr/>
        <w:t>（八）特殊情况的处理</w:t>
      </w:r>
    </w:p>
    <w:p>
      <w:pPr>
        <w:pStyle w:val="BodyText"/>
        <w:spacing w:before="6"/>
        <w:rPr>
          <w:sz w:val="15"/>
        </w:rPr>
      </w:pPr>
    </w:p>
    <w:p>
      <w:pPr>
        <w:pStyle w:val="BodyText"/>
        <w:spacing w:line="417" w:lineRule="auto" w:before="1"/>
        <w:ind w:left="220" w:right="593" w:firstLine="419"/>
        <w:jc w:val="both"/>
      </w:pPr>
      <w:r>
        <w:rPr>
          <w:rFonts w:ascii="Times New Roman" w:eastAsia="Times New Roman"/>
        </w:rPr>
        <w:t>1</w:t>
      </w:r>
      <w:r>
        <w:rPr>
          <w:spacing w:val="-10"/>
        </w:rPr>
        <w:t>、基金管理人或基金托管人按估值方法的第 </w:t>
      </w:r>
      <w:r>
        <w:rPr>
          <w:rFonts w:ascii="Times New Roman" w:eastAsia="Times New Roman"/>
        </w:rPr>
        <w:t>10 </w:t>
      </w:r>
      <w:r>
        <w:rPr>
          <w:spacing w:val="-9"/>
        </w:rPr>
        <w:t>项进行估值时，所造成的误差不作为基</w:t>
      </w:r>
      <w:r>
        <w:rPr>
          <w:spacing w:val="-5"/>
        </w:rPr>
        <w:t>金资产估值错误处理。</w:t>
      </w:r>
    </w:p>
    <w:p>
      <w:pPr>
        <w:pStyle w:val="BodyText"/>
        <w:spacing w:line="417" w:lineRule="auto"/>
        <w:ind w:left="220" w:right="591" w:firstLine="419"/>
        <w:jc w:val="both"/>
      </w:pPr>
      <w:r>
        <w:rPr>
          <w:rFonts w:ascii="Times New Roman" w:eastAsia="Times New Roman"/>
        </w:rPr>
        <w:t>2</w:t>
      </w:r>
      <w:r>
        <w:rPr>
          <w:spacing w:val="-3"/>
        </w:rPr>
        <w:t>、由于证券、期货交易所及登记结算公司发送的数据错误或由于其他不可抗力原因， </w:t>
      </w:r>
      <w:r>
        <w:rPr>
          <w:spacing w:val="-8"/>
        </w:rPr>
        <w:t>基金管理人和基金托管人虽然已经采取必要、适当、合理的措施进行检查，但是未能发现该</w:t>
      </w:r>
      <w:r>
        <w:rPr>
          <w:spacing w:val="-10"/>
        </w:rPr>
        <w:t>错误而造成的基金份额净值计算错误，基金管理人、基金托管人免除赔偿责任。但基金管理</w:t>
      </w:r>
      <w:r>
        <w:rPr>
          <w:spacing w:val="-5"/>
        </w:rPr>
        <w:t>人、基金托管人应积极采取必要的措施减轻或消除由此造成的影响。</w:t>
      </w:r>
    </w:p>
    <w:p>
      <w:pPr>
        <w:pStyle w:val="BodyText"/>
        <w:spacing w:before="7"/>
        <w:rPr>
          <w:sz w:val="26"/>
        </w:rPr>
      </w:pPr>
    </w:p>
    <w:p>
      <w:pPr>
        <w:pStyle w:val="Heading1"/>
        <w:ind w:right="1133"/>
      </w:pPr>
      <w:bookmarkStart w:name="_bookmark12" w:id="13"/>
      <w:bookmarkEnd w:id="13"/>
      <w:r>
        <w:rPr>
          <w:b w:val="0"/>
        </w:rPr>
      </w:r>
      <w:r>
        <w:rPr/>
        <w:t>十四、基金的收益与分配</w:t>
      </w:r>
    </w:p>
    <w:p>
      <w:pPr>
        <w:pStyle w:val="BodyText"/>
        <w:rPr>
          <w:b/>
          <w:sz w:val="20"/>
        </w:rPr>
      </w:pPr>
    </w:p>
    <w:p>
      <w:pPr>
        <w:pStyle w:val="BodyText"/>
        <w:spacing w:before="2"/>
        <w:rPr>
          <w:b/>
        </w:rPr>
      </w:pPr>
    </w:p>
    <w:p>
      <w:pPr>
        <w:pStyle w:val="BodyText"/>
        <w:ind w:left="693"/>
      </w:pPr>
      <w:r>
        <w:rPr/>
        <w:t>（一）基金利润的构成</w:t>
      </w:r>
    </w:p>
    <w:p>
      <w:pPr>
        <w:pStyle w:val="BodyText"/>
        <w:spacing w:before="7"/>
        <w:rPr>
          <w:sz w:val="15"/>
        </w:rPr>
      </w:pPr>
    </w:p>
    <w:p>
      <w:pPr>
        <w:pStyle w:val="BodyText"/>
        <w:ind w:left="693"/>
      </w:pPr>
      <w:r>
        <w:rPr/>
        <w:t>基金利润指基金利息收入、投资收益、公允价值变动收益和其他收入扣除相关费用后</w:t>
      </w:r>
    </w:p>
    <w:p>
      <w:pPr>
        <w:spacing w:after="0"/>
        <w:sectPr>
          <w:pgSz w:w="11910" w:h="16840"/>
          <w:pgMar w:header="877" w:footer="995" w:top="1420" w:bottom="1180" w:left="1580" w:right="1200"/>
        </w:sectPr>
      </w:pPr>
    </w:p>
    <w:p>
      <w:pPr>
        <w:pStyle w:val="BodyText"/>
        <w:spacing w:before="110"/>
        <w:ind w:left="220"/>
      </w:pPr>
      <w:r>
        <w:rPr/>
        <w:t>的余额，基金已实现收益指基金利润减去公允价值变动收益后的余额。</w:t>
      </w:r>
    </w:p>
    <w:p>
      <w:pPr>
        <w:pStyle w:val="BodyText"/>
        <w:spacing w:before="6"/>
        <w:rPr>
          <w:sz w:val="15"/>
        </w:rPr>
      </w:pPr>
    </w:p>
    <w:p>
      <w:pPr>
        <w:pStyle w:val="BodyText"/>
        <w:ind w:left="693"/>
      </w:pPr>
      <w:r>
        <w:rPr/>
        <w:t>（二）基金可供分配利润</w:t>
      </w:r>
    </w:p>
    <w:p>
      <w:pPr>
        <w:pStyle w:val="BodyText"/>
        <w:spacing w:before="7"/>
        <w:rPr>
          <w:sz w:val="15"/>
        </w:rPr>
      </w:pPr>
    </w:p>
    <w:p>
      <w:pPr>
        <w:pStyle w:val="BodyText"/>
        <w:spacing w:line="417" w:lineRule="auto"/>
        <w:ind w:left="220" w:right="595" w:firstLine="472"/>
      </w:pPr>
      <w:r>
        <w:rPr/>
        <w:t>基金可供分配利润指截至收益分配基准日基金未分配利润与未分配利润中已实现收益的孰低数。</w:t>
      </w:r>
    </w:p>
    <w:p>
      <w:pPr>
        <w:pStyle w:val="BodyText"/>
        <w:spacing w:line="269" w:lineRule="exact"/>
        <w:ind w:left="693"/>
      </w:pPr>
      <w:r>
        <w:rPr/>
        <w:t>（三）基金收益分配原则</w:t>
      </w:r>
    </w:p>
    <w:p>
      <w:pPr>
        <w:pStyle w:val="BodyText"/>
        <w:spacing w:before="7"/>
        <w:rPr>
          <w:sz w:val="15"/>
        </w:rPr>
      </w:pPr>
    </w:p>
    <w:p>
      <w:pPr>
        <w:pStyle w:val="BodyText"/>
        <w:spacing w:line="417" w:lineRule="auto"/>
        <w:ind w:left="220" w:right="591" w:firstLine="472"/>
        <w:jc w:val="both"/>
      </w:pPr>
      <w:r>
        <w:rPr>
          <w:rFonts w:ascii="Times New Roman" w:eastAsia="Times New Roman"/>
        </w:rPr>
        <w:t>1</w:t>
      </w:r>
      <w:r>
        <w:rPr>
          <w:spacing w:val="-4"/>
        </w:rPr>
        <w:t>、在符合有关基金分红条件的前提下，本基金每年收益分配次数最多为 </w:t>
      </w:r>
      <w:r>
        <w:rPr>
          <w:rFonts w:ascii="Times New Roman" w:eastAsia="Times New Roman"/>
        </w:rPr>
        <w:t>12 </w:t>
      </w:r>
      <w:r>
        <w:rPr>
          <w:spacing w:val="-1"/>
        </w:rPr>
        <w:t>次，每次</w:t>
      </w:r>
      <w:r>
        <w:rPr>
          <w:spacing w:val="-4"/>
        </w:rPr>
        <w:t>收益分配比例不得低于该次可供分配利润的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left="220" w:right="591" w:firstLine="472"/>
        <w:jc w:val="both"/>
      </w:pPr>
      <w:r>
        <w:rPr>
          <w:rFonts w:ascii="Times New Roman" w:eastAsia="Times New Roman"/>
        </w:rPr>
        <w:t>2</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pPr>
        <w:pStyle w:val="BodyText"/>
        <w:spacing w:line="417" w:lineRule="auto"/>
        <w:ind w:left="220" w:right="591" w:firstLine="472"/>
      </w:pPr>
      <w:r>
        <w:rPr>
          <w:rFonts w:ascii="Times New Roman" w:eastAsia="Times New Roman"/>
        </w:rPr>
        <w:t>3</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spacing w:line="269" w:lineRule="exact"/>
        <w:ind w:left="693"/>
      </w:pPr>
      <w:r>
        <w:rPr>
          <w:rFonts w:ascii="Times New Roman" w:eastAsia="Times New Roman"/>
        </w:rPr>
        <w:t>4</w:t>
      </w:r>
      <w:r>
        <w:rPr/>
        <w:t>、每一基金份额享有同等分配权。</w:t>
      </w:r>
    </w:p>
    <w:p>
      <w:pPr>
        <w:pStyle w:val="BodyText"/>
        <w:spacing w:before="6"/>
        <w:rPr>
          <w:sz w:val="15"/>
        </w:rPr>
      </w:pPr>
    </w:p>
    <w:p>
      <w:pPr>
        <w:pStyle w:val="BodyText"/>
        <w:spacing w:before="1"/>
        <w:ind w:left="693"/>
      </w:pPr>
      <w:r>
        <w:rPr>
          <w:rFonts w:ascii="Times New Roman" w:eastAsia="Times New Roman"/>
        </w:rPr>
        <w:t>5</w:t>
      </w:r>
      <w:r>
        <w:rPr/>
        <w:t>、法律法规或监管机关另有规定的，从其规定。</w:t>
      </w:r>
    </w:p>
    <w:p>
      <w:pPr>
        <w:pStyle w:val="BodyText"/>
        <w:spacing w:before="6"/>
        <w:rPr>
          <w:sz w:val="15"/>
        </w:rPr>
      </w:pPr>
    </w:p>
    <w:p>
      <w:pPr>
        <w:pStyle w:val="BodyText"/>
        <w:spacing w:line="417" w:lineRule="auto"/>
        <w:ind w:left="220" w:right="591" w:firstLine="419"/>
      </w:pPr>
      <w:r>
        <w:rPr>
          <w:spacing w:val="-6"/>
        </w:rPr>
        <w:t>在不违反法律法规且对现有基金份额持有人利益无实质性不利影响的情况下，基金管理</w:t>
      </w:r>
      <w:r>
        <w:rPr>
          <w:spacing w:val="-4"/>
        </w:rPr>
        <w:t>人、登记机构可对基金收益分配原则进行调整，不需召开基金份额持有人大会。</w:t>
      </w:r>
    </w:p>
    <w:p>
      <w:pPr>
        <w:pStyle w:val="BodyText"/>
        <w:spacing w:line="269" w:lineRule="exact"/>
        <w:ind w:left="693"/>
      </w:pPr>
      <w:r>
        <w:rPr/>
        <w:t>（四）收益分配方案</w:t>
      </w:r>
    </w:p>
    <w:p>
      <w:pPr>
        <w:pStyle w:val="BodyText"/>
        <w:spacing w:before="7"/>
        <w:rPr>
          <w:sz w:val="15"/>
        </w:rPr>
      </w:pPr>
    </w:p>
    <w:p>
      <w:pPr>
        <w:pStyle w:val="BodyText"/>
        <w:spacing w:line="417" w:lineRule="auto"/>
        <w:ind w:left="220" w:right="450" w:firstLine="472"/>
      </w:pPr>
      <w:r>
        <w:rPr/>
        <w:t>基金收益分配方案中应载明截止收益分配基准日的可供分配利润、基金收益分配对象、分配时间、分配数额及比例、分配方式等内容。</w:t>
      </w:r>
    </w:p>
    <w:p>
      <w:pPr>
        <w:pStyle w:val="BodyText"/>
        <w:spacing w:line="269" w:lineRule="exact"/>
        <w:ind w:left="693"/>
      </w:pPr>
      <w:r>
        <w:rPr/>
        <w:t>（五）收益分配方案的确定、公告与实施</w:t>
      </w:r>
    </w:p>
    <w:p>
      <w:pPr>
        <w:pStyle w:val="BodyText"/>
        <w:spacing w:before="7"/>
        <w:rPr>
          <w:sz w:val="15"/>
        </w:rPr>
      </w:pPr>
    </w:p>
    <w:p>
      <w:pPr>
        <w:pStyle w:val="BodyText"/>
        <w:spacing w:line="417" w:lineRule="auto" w:before="1"/>
        <w:ind w:left="220" w:right="593" w:firstLine="472"/>
      </w:pPr>
      <w:r>
        <w:rPr>
          <w:spacing w:val="-4"/>
        </w:rPr>
        <w:t>本基金收益分配方案由基金管理人拟定，并由基金托管人复核，在 </w:t>
      </w:r>
      <w:r>
        <w:rPr>
          <w:rFonts w:ascii="Times New Roman" w:eastAsia="Times New Roman"/>
        </w:rPr>
        <w:t>2</w:t>
      </w:r>
      <w:r>
        <w:rPr>
          <w:rFonts w:ascii="Times New Roman" w:eastAsia="Times New Roman"/>
          <w:spacing w:val="51"/>
        </w:rPr>
        <w:t> </w:t>
      </w:r>
      <w:r>
        <w:rPr>
          <w:spacing w:val="-3"/>
        </w:rPr>
        <w:t>日内在指定媒介</w:t>
      </w:r>
      <w:r>
        <w:rPr/>
        <w:t>公告。</w:t>
      </w:r>
    </w:p>
    <w:p>
      <w:pPr>
        <w:pStyle w:val="BodyText"/>
        <w:spacing w:line="269" w:lineRule="exact"/>
        <w:ind w:left="693"/>
      </w:pPr>
      <w:r>
        <w:rPr/>
        <w:t>基金红利发放日距离收益分配基准日（即可供分配利润计算截止日）的时间不得超过</w:t>
      </w:r>
    </w:p>
    <w:p>
      <w:pPr>
        <w:pStyle w:val="BodyText"/>
        <w:spacing w:before="6"/>
        <w:rPr>
          <w:sz w:val="15"/>
        </w:rPr>
      </w:pPr>
    </w:p>
    <w:p>
      <w:pPr>
        <w:pStyle w:val="ListParagraph"/>
        <w:numPr>
          <w:ilvl w:val="0"/>
          <w:numId w:val="1"/>
        </w:numPr>
        <w:tabs>
          <w:tab w:pos="485" w:val="left" w:leader="none"/>
        </w:tabs>
        <w:spacing w:line="240" w:lineRule="auto" w:before="0" w:after="0"/>
        <w:ind w:left="484" w:right="0" w:hanging="265"/>
        <w:jc w:val="left"/>
        <w:rPr>
          <w:sz w:val="21"/>
        </w:rPr>
      </w:pPr>
      <w:r>
        <w:rPr>
          <w:spacing w:val="-3"/>
          <w:sz w:val="21"/>
        </w:rPr>
        <w:t>个工作日。</w:t>
      </w:r>
    </w:p>
    <w:p>
      <w:pPr>
        <w:pStyle w:val="BodyText"/>
        <w:spacing w:before="7"/>
        <w:rPr>
          <w:sz w:val="15"/>
        </w:rPr>
      </w:pPr>
    </w:p>
    <w:p>
      <w:pPr>
        <w:pStyle w:val="BodyText"/>
        <w:ind w:left="693"/>
      </w:pPr>
      <w:r>
        <w:rPr/>
        <w:t>（六）基金收益分配中发生的费用</w:t>
      </w:r>
    </w:p>
    <w:p>
      <w:pPr>
        <w:pStyle w:val="BodyText"/>
        <w:spacing w:before="7"/>
        <w:rPr>
          <w:sz w:val="15"/>
        </w:rPr>
      </w:pPr>
    </w:p>
    <w:p>
      <w:pPr>
        <w:pStyle w:val="BodyText"/>
        <w:spacing w:line="417" w:lineRule="auto"/>
        <w:ind w:left="220" w:right="591" w:firstLine="472"/>
        <w:jc w:val="both"/>
      </w:pPr>
      <w:r>
        <w:rPr>
          <w:spacing w:val="-1"/>
        </w:rPr>
        <w:t>基金收益分配时所发生的银行转账或其他手续费用由投资者自行承担。当投资者的现</w:t>
      </w:r>
      <w:r>
        <w:rPr>
          <w:spacing w:val="-10"/>
        </w:rPr>
        <w:t>金红利小于一定金额，不足以支付银行转账或其他手续费用时，基金登记机构可将基金份额</w:t>
      </w:r>
      <w:r>
        <w:rPr>
          <w:spacing w:val="-5"/>
        </w:rPr>
        <w:t>持有人的现金红利自动转为基金份额。红利再投资的计算方法，依照《业务规则》执行。</w:t>
      </w:r>
    </w:p>
    <w:p>
      <w:pPr>
        <w:spacing w:after="0" w:line="417" w:lineRule="auto"/>
        <w:jc w:val="both"/>
        <w:sectPr>
          <w:pgSz w:w="11910" w:h="16840"/>
          <w:pgMar w:header="877" w:footer="995" w:top="1420" w:bottom="1180" w:left="1580" w:right="1200"/>
        </w:sectPr>
      </w:pPr>
    </w:p>
    <w:p>
      <w:pPr>
        <w:pStyle w:val="Heading1"/>
        <w:spacing w:before="110"/>
        <w:ind w:right="1133"/>
      </w:pPr>
      <w:bookmarkStart w:name="_bookmark13" w:id="14"/>
      <w:bookmarkEnd w:id="14"/>
      <w:r>
        <w:rPr>
          <w:b w:val="0"/>
        </w:rPr>
      </w:r>
      <w:r>
        <w:rPr/>
        <w:t>十五、基金的费用与税收</w:t>
      </w:r>
    </w:p>
    <w:p>
      <w:pPr>
        <w:pStyle w:val="BodyText"/>
        <w:rPr>
          <w:b/>
          <w:sz w:val="20"/>
        </w:rPr>
      </w:pPr>
    </w:p>
    <w:p>
      <w:pPr>
        <w:pStyle w:val="BodyText"/>
        <w:spacing w:before="7"/>
        <w:rPr>
          <w:b/>
          <w:sz w:val="15"/>
        </w:rPr>
      </w:pPr>
    </w:p>
    <w:p>
      <w:pPr>
        <w:pStyle w:val="BodyText"/>
        <w:spacing w:before="72"/>
        <w:ind w:left="640"/>
      </w:pPr>
      <w:r>
        <w:rPr/>
        <w:t>（一）基金费用的种类</w:t>
      </w:r>
    </w:p>
    <w:p>
      <w:pPr>
        <w:pStyle w:val="BodyText"/>
        <w:spacing w:before="7"/>
        <w:rPr>
          <w:sz w:val="15"/>
        </w:rPr>
      </w:pPr>
    </w:p>
    <w:p>
      <w:pPr>
        <w:pStyle w:val="BodyText"/>
        <w:ind w:left="640"/>
      </w:pPr>
      <w:r>
        <w:rPr>
          <w:rFonts w:ascii="Times New Roman" w:eastAsia="Times New Roman"/>
        </w:rPr>
        <w:t>1</w:t>
      </w:r>
      <w:r>
        <w:rPr>
          <w:spacing w:val="-3"/>
        </w:rPr>
        <w:t>、基金管理人的管理费；</w:t>
      </w:r>
    </w:p>
    <w:p>
      <w:pPr>
        <w:pStyle w:val="BodyText"/>
        <w:spacing w:before="6"/>
        <w:rPr>
          <w:sz w:val="15"/>
        </w:rPr>
      </w:pPr>
    </w:p>
    <w:p>
      <w:pPr>
        <w:pStyle w:val="BodyText"/>
        <w:ind w:left="640"/>
      </w:pPr>
      <w:r>
        <w:rPr>
          <w:rFonts w:ascii="Times New Roman" w:eastAsia="Times New Roman"/>
        </w:rPr>
        <w:t>2</w:t>
      </w:r>
      <w:r>
        <w:rPr>
          <w:spacing w:val="-3"/>
        </w:rPr>
        <w:t>、基金托管人的托管费；</w:t>
      </w:r>
    </w:p>
    <w:p>
      <w:pPr>
        <w:pStyle w:val="BodyText"/>
        <w:spacing w:before="7"/>
        <w:rPr>
          <w:sz w:val="15"/>
        </w:rPr>
      </w:pPr>
    </w:p>
    <w:p>
      <w:pPr>
        <w:pStyle w:val="BodyText"/>
        <w:spacing w:line="417" w:lineRule="auto"/>
        <w:ind w:left="220" w:right="591" w:firstLine="419"/>
      </w:pPr>
      <w:r>
        <w:rPr>
          <w:rFonts w:ascii="Times New Roman" w:eastAsia="Times New Roman"/>
        </w:rPr>
        <w:t>3</w:t>
      </w:r>
      <w:r>
        <w:rPr>
          <w:spacing w:val="-9"/>
        </w:rPr>
        <w:t>、除法律法规、中国证监会另有规定外</w:t>
      </w:r>
      <w:r>
        <w:rPr>
          <w:spacing w:val="-14"/>
        </w:rPr>
        <w:t>，《基金合同》生效后与基金相关的信息披露费用；</w:t>
      </w:r>
    </w:p>
    <w:p>
      <w:pPr>
        <w:pStyle w:val="BodyText"/>
        <w:spacing w:line="269" w:lineRule="exact"/>
        <w:ind w:left="640"/>
      </w:pPr>
      <w:r>
        <w:rPr>
          <w:rFonts w:ascii="Times New Roman" w:eastAsia="Times New Roman"/>
        </w:rPr>
        <w:t>4</w:t>
      </w:r>
      <w:r>
        <w:rPr/>
        <w:t>、《基金合同》生效后与基金相关的会计师费、律师费和诉讼费；</w:t>
      </w:r>
    </w:p>
    <w:p>
      <w:pPr>
        <w:pStyle w:val="BodyText"/>
        <w:spacing w:before="7"/>
        <w:rPr>
          <w:sz w:val="15"/>
        </w:rPr>
      </w:pPr>
    </w:p>
    <w:p>
      <w:pPr>
        <w:pStyle w:val="BodyText"/>
        <w:spacing w:before="1"/>
        <w:ind w:left="640"/>
      </w:pPr>
      <w:r>
        <w:rPr>
          <w:rFonts w:ascii="Times New Roman" w:eastAsia="Times New Roman"/>
        </w:rPr>
        <w:t>5</w:t>
      </w:r>
      <w:r>
        <w:rPr/>
        <w:t>、基金份额持有人大会费用；</w:t>
      </w:r>
    </w:p>
    <w:p>
      <w:pPr>
        <w:pStyle w:val="BodyText"/>
        <w:spacing w:before="6"/>
        <w:rPr>
          <w:sz w:val="15"/>
        </w:rPr>
      </w:pPr>
    </w:p>
    <w:p>
      <w:pPr>
        <w:pStyle w:val="BodyText"/>
        <w:spacing w:line="417" w:lineRule="auto"/>
        <w:ind w:left="220" w:right="593" w:firstLine="419"/>
      </w:pPr>
      <w:r>
        <w:rPr>
          <w:rFonts w:ascii="Times New Roman" w:eastAsia="Times New Roman"/>
        </w:rPr>
        <w:t>6</w:t>
      </w:r>
      <w:r>
        <w:rPr>
          <w:spacing w:val="-5"/>
        </w:rPr>
        <w:t>、基金的证券、期货交易费用</w:t>
      </w:r>
      <w:r>
        <w:rPr>
          <w:rFonts w:ascii="Times New Roman" w:eastAsia="Times New Roman"/>
        </w:rPr>
        <w:t>(</w:t>
      </w:r>
      <w:r>
        <w:rPr>
          <w:spacing w:val="-7"/>
        </w:rPr>
        <w:t>包括但不限于经手费、印花税、证管费、过户费、手续</w:t>
      </w:r>
      <w:r>
        <w:rPr>
          <w:spacing w:val="-5"/>
        </w:rPr>
        <w:t>费、券商佣金、权证交易的结算费、证券</w:t>
      </w:r>
      <w:r>
        <w:rPr>
          <w:rFonts w:ascii="Times New Roman" w:eastAsia="Times New Roman"/>
          <w:spacing w:val="-4"/>
        </w:rPr>
        <w:t>/</w:t>
      </w:r>
      <w:r>
        <w:rPr>
          <w:spacing w:val="-3"/>
        </w:rPr>
        <w:t>期货账户相关费用及其他类似性质的费用等</w:t>
      </w:r>
      <w:r>
        <w:rPr>
          <w:rFonts w:ascii="Times New Roman" w:eastAsia="Times New Roman"/>
        </w:rPr>
        <w:t>)</w:t>
      </w:r>
      <w:r>
        <w:rPr/>
        <w:t>；</w:t>
      </w:r>
    </w:p>
    <w:p>
      <w:pPr>
        <w:pStyle w:val="BodyText"/>
        <w:spacing w:line="269" w:lineRule="exact"/>
        <w:ind w:left="640"/>
      </w:pPr>
      <w:r>
        <w:rPr>
          <w:rFonts w:ascii="Times New Roman" w:eastAsia="Times New Roman"/>
        </w:rPr>
        <w:t>7</w:t>
      </w:r>
      <w:r>
        <w:rPr/>
        <w:t>、基金的银行汇划费用；</w:t>
      </w:r>
    </w:p>
    <w:p>
      <w:pPr>
        <w:pStyle w:val="BodyText"/>
        <w:spacing w:before="7"/>
        <w:rPr>
          <w:sz w:val="15"/>
        </w:rPr>
      </w:pPr>
    </w:p>
    <w:p>
      <w:pPr>
        <w:pStyle w:val="BodyText"/>
        <w:ind w:left="640"/>
      </w:pPr>
      <w:r>
        <w:rPr>
          <w:rFonts w:ascii="Times New Roman" w:eastAsia="Times New Roman"/>
        </w:rPr>
        <w:t>8</w:t>
      </w:r>
      <w:r>
        <w:rPr/>
        <w:t>、按照国家有关规定和《基金合同》约定，可以在基金财产中列支的其他费用。</w:t>
      </w:r>
    </w:p>
    <w:p>
      <w:pPr>
        <w:pStyle w:val="BodyText"/>
        <w:spacing w:before="7"/>
        <w:rPr>
          <w:sz w:val="15"/>
        </w:rPr>
      </w:pPr>
    </w:p>
    <w:p>
      <w:pPr>
        <w:pStyle w:val="BodyText"/>
        <w:spacing w:line="417" w:lineRule="auto"/>
        <w:ind w:left="220" w:right="591" w:firstLine="419"/>
      </w:pPr>
      <w:r>
        <w:rPr>
          <w:spacing w:val="-9"/>
        </w:rPr>
        <w:t>在中国证监会允许的前提下，本基金可以从基金财产中计提销售服务费，不需召开持有</w:t>
      </w:r>
      <w:r>
        <w:rPr>
          <w:spacing w:val="-5"/>
        </w:rPr>
        <w:t>人大会，具体计提方法、计提标准在招募说明书或相关公告中载明。</w:t>
      </w:r>
    </w:p>
    <w:p>
      <w:pPr>
        <w:pStyle w:val="BodyText"/>
        <w:ind w:left="640"/>
      </w:pPr>
      <w:r>
        <w:rPr/>
        <w:t>（二）基金费用计提方法、计提标准和支付方式</w:t>
      </w:r>
    </w:p>
    <w:p>
      <w:pPr>
        <w:pStyle w:val="BodyText"/>
        <w:spacing w:before="6"/>
        <w:rPr>
          <w:sz w:val="15"/>
        </w:rPr>
      </w:pPr>
    </w:p>
    <w:p>
      <w:pPr>
        <w:pStyle w:val="BodyText"/>
        <w:spacing w:before="1"/>
        <w:ind w:left="640"/>
      </w:pPr>
      <w:r>
        <w:rPr>
          <w:rFonts w:ascii="Times New Roman" w:eastAsia="Times New Roman"/>
        </w:rPr>
        <w:t>1</w:t>
      </w:r>
      <w:r>
        <w:rPr/>
        <w:t>、基金管理人的管理费</w:t>
      </w:r>
    </w:p>
    <w:p>
      <w:pPr>
        <w:pStyle w:val="BodyText"/>
        <w:spacing w:before="6"/>
        <w:rPr>
          <w:sz w:val="15"/>
        </w:rPr>
      </w:pPr>
    </w:p>
    <w:p>
      <w:pPr>
        <w:pStyle w:val="BodyText"/>
        <w:spacing w:line="417" w:lineRule="auto"/>
        <w:ind w:left="640" w:right="452"/>
      </w:pPr>
      <w:r>
        <w:rPr/>
        <w:t>本基金的管理费按前一日基金资产净值的 </w:t>
      </w:r>
      <w:r>
        <w:rPr>
          <w:rFonts w:ascii="Times New Roman" w:hAnsi="Times New Roman" w:eastAsia="Times New Roman"/>
        </w:rPr>
        <w:t>1.50%</w:t>
      </w:r>
      <w:r>
        <w:rPr/>
        <w:t>年费率计提。管理费的计算方法如下： </w:t>
      </w: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1.50%</w:t>
      </w:r>
      <w:r>
        <w:rPr/>
        <w:t>÷当年天数</w:t>
      </w:r>
    </w:p>
    <w:p>
      <w:pPr>
        <w:pStyle w:val="BodyText"/>
        <w:spacing w:line="269" w:lineRule="exact"/>
        <w:ind w:left="640"/>
      </w:pPr>
      <w:r>
        <w:rPr>
          <w:rFonts w:ascii="Times New Roman" w:eastAsia="Times New Roman"/>
        </w:rPr>
        <w:t>H </w:t>
      </w:r>
      <w:r>
        <w:rPr/>
        <w:t>为每日应计提的基金管理费</w:t>
      </w:r>
    </w:p>
    <w:p>
      <w:pPr>
        <w:pStyle w:val="BodyText"/>
        <w:spacing w:before="7"/>
        <w:rPr>
          <w:sz w:val="15"/>
        </w:rPr>
      </w:pPr>
    </w:p>
    <w:p>
      <w:pPr>
        <w:pStyle w:val="BodyText"/>
        <w:ind w:left="640"/>
        <w:jc w:val="both"/>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220" w:right="591" w:firstLine="419"/>
        <w:jc w:val="both"/>
      </w:pPr>
      <w:r>
        <w:rPr>
          <w:spacing w:val="-9"/>
        </w:rPr>
        <w:t>基金管理费每日计提，逐日累计至每月月末，按月支付。经基金管理人与基金托管人核</w:t>
      </w:r>
      <w:r>
        <w:rPr>
          <w:spacing w:val="-13"/>
        </w:rPr>
        <w:t>对一致后，由基金托管人于次月首日起 </w:t>
      </w:r>
      <w:r>
        <w:rPr>
          <w:rFonts w:ascii="Times New Roman" w:eastAsia="Times New Roman"/>
        </w:rPr>
        <w:t>2-5 </w:t>
      </w:r>
      <w:r>
        <w:rPr>
          <w:spacing w:val="-3"/>
        </w:rPr>
        <w:t>个工作日内从基金财产中一次性支付给基金管理人。若遇法定节假日、公休假等，支付日期顺延。</w:t>
      </w:r>
    </w:p>
    <w:p>
      <w:pPr>
        <w:pStyle w:val="BodyText"/>
        <w:ind w:left="640"/>
      </w:pPr>
      <w:r>
        <w:rPr>
          <w:rFonts w:ascii="Times New Roman" w:eastAsia="Times New Roman"/>
        </w:rPr>
        <w:t>2</w:t>
      </w:r>
      <w:r>
        <w:rPr/>
        <w:t>、基金托管人的托管费</w:t>
      </w:r>
    </w:p>
    <w:p>
      <w:pPr>
        <w:pStyle w:val="BodyText"/>
        <w:spacing w:before="7"/>
        <w:rPr>
          <w:sz w:val="15"/>
        </w:rPr>
      </w:pPr>
    </w:p>
    <w:p>
      <w:pPr>
        <w:pStyle w:val="BodyText"/>
        <w:spacing w:line="417" w:lineRule="auto"/>
        <w:ind w:left="640" w:right="384"/>
      </w:pPr>
      <w:r>
        <w:rPr>
          <w:spacing w:val="-4"/>
        </w:rPr>
        <w:t>本基金的托管费按前一日基金资产净值的 </w:t>
      </w:r>
      <w:r>
        <w:rPr>
          <w:rFonts w:ascii="Times New Roman" w:hAnsi="Times New Roman" w:eastAsia="Times New Roman"/>
        </w:rPr>
        <w:t>0.25%</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w:t>
      </w:r>
      <w:r>
        <w:rPr>
          <w:spacing w:val="-9"/>
        </w:rPr>
        <w:t>×</w:t>
      </w:r>
      <w:r>
        <w:rPr>
          <w:rFonts w:ascii="Times New Roman" w:hAnsi="Times New Roman" w:eastAsia="Times New Roman"/>
          <w:spacing w:val="-9"/>
        </w:rPr>
        <w:t>0.25%</w:t>
      </w:r>
      <w:r>
        <w:rPr>
          <w:spacing w:val="-4"/>
        </w:rPr>
        <w:t>÷当年天数</w:t>
      </w:r>
    </w:p>
    <w:p>
      <w:pPr>
        <w:pStyle w:val="BodyText"/>
        <w:spacing w:line="269" w:lineRule="exact"/>
        <w:ind w:left="640"/>
      </w:pPr>
      <w:r>
        <w:rPr>
          <w:rFonts w:ascii="Times New Roman" w:eastAsia="Times New Roman"/>
        </w:rPr>
        <w:t>H </w:t>
      </w:r>
      <w:r>
        <w:rPr/>
        <w:t>为每日应计提的基金托管费</w:t>
      </w:r>
    </w:p>
    <w:p>
      <w:pPr>
        <w:pStyle w:val="BodyText"/>
        <w:spacing w:before="7"/>
        <w:rPr>
          <w:sz w:val="15"/>
        </w:rPr>
      </w:pPr>
    </w:p>
    <w:p>
      <w:pPr>
        <w:pStyle w:val="BodyText"/>
        <w:ind w:left="640"/>
        <w:jc w:val="both"/>
      </w:pPr>
      <w:r>
        <w:rPr>
          <w:rFonts w:ascii="Times New Roman" w:eastAsia="Times New Roman"/>
        </w:rPr>
        <w:t>E </w:t>
      </w:r>
      <w:r>
        <w:rPr/>
        <w:t>为前一日的基金资产净值</w:t>
      </w:r>
    </w:p>
    <w:p>
      <w:pPr>
        <w:pStyle w:val="BodyText"/>
        <w:spacing w:before="6"/>
        <w:rPr>
          <w:sz w:val="15"/>
        </w:rPr>
      </w:pPr>
    </w:p>
    <w:p>
      <w:pPr>
        <w:pStyle w:val="BodyText"/>
        <w:spacing w:before="1"/>
        <w:ind w:left="640"/>
      </w:pPr>
      <w:r>
        <w:rPr/>
        <w:t>基金托管费每日计提，逐日累计至每月月末，按月支付。经基金管理人与基金托管人核</w:t>
      </w:r>
    </w:p>
    <w:p>
      <w:pPr>
        <w:spacing w:after="0"/>
        <w:sectPr>
          <w:pgSz w:w="11910" w:h="16840"/>
          <w:pgMar w:header="877" w:footer="995" w:top="1420" w:bottom="1180" w:left="1580" w:right="1200"/>
        </w:sectPr>
      </w:pPr>
    </w:p>
    <w:p>
      <w:pPr>
        <w:pStyle w:val="BodyText"/>
        <w:spacing w:line="417" w:lineRule="auto" w:before="110"/>
        <w:ind w:left="220" w:right="593"/>
      </w:pPr>
      <w:r>
        <w:rPr>
          <w:spacing w:val="-9"/>
        </w:rPr>
        <w:t>对一致后，由基金托管人于次月首日起 </w:t>
      </w:r>
      <w:r>
        <w:rPr>
          <w:rFonts w:ascii="Times New Roman" w:eastAsia="Times New Roman"/>
        </w:rPr>
        <w:t>2-5 </w:t>
      </w:r>
      <w:r>
        <w:rPr>
          <w:spacing w:val="-5"/>
        </w:rPr>
        <w:t>个工作日内从基金财产中一次性支取。若遇法定</w:t>
      </w:r>
      <w:r>
        <w:rPr>
          <w:spacing w:val="-4"/>
        </w:rPr>
        <w:t>节假日、公休日等，支付日期顺延。</w:t>
      </w:r>
    </w:p>
    <w:p>
      <w:pPr>
        <w:pStyle w:val="BodyText"/>
        <w:spacing w:line="417" w:lineRule="auto"/>
        <w:ind w:left="220" w:right="591" w:firstLine="419"/>
      </w:pPr>
      <w:r>
        <w:rPr>
          <w:spacing w:val="-43"/>
          <w:w w:val="100"/>
        </w:rPr>
        <w:t>上述“</w:t>
      </w:r>
      <w:r>
        <w:rPr>
          <w:w w:val="100"/>
        </w:rPr>
        <w:t>（一</w:t>
      </w:r>
      <w:r>
        <w:rPr>
          <w:spacing w:val="-22"/>
          <w:w w:val="100"/>
        </w:rPr>
        <w:t>）</w:t>
      </w:r>
      <w:r>
        <w:rPr>
          <w:spacing w:val="-6"/>
          <w:w w:val="100"/>
        </w:rPr>
        <w:t>基金费用的种类”中第</w:t>
      </w:r>
      <w:r>
        <w:rPr>
          <w:spacing w:val="-6"/>
        </w:rPr>
        <w:t> </w:t>
      </w:r>
      <w:r>
        <w:rPr>
          <w:rFonts w:ascii="Times New Roman" w:hAnsi="Times New Roman" w:eastAsia="Times New Roman"/>
          <w:spacing w:val="-3"/>
          <w:w w:val="100"/>
        </w:rPr>
        <w:t>3</w:t>
      </w:r>
      <w:r>
        <w:rPr>
          <w:w w:val="100"/>
        </w:rPr>
        <w:t>－</w:t>
      </w:r>
      <w:r>
        <w:rPr>
          <w:rFonts w:ascii="Times New Roman" w:hAnsi="Times New Roman" w:eastAsia="Times New Roman"/>
          <w:w w:val="100"/>
        </w:rPr>
        <w:t>8</w:t>
      </w:r>
      <w:r>
        <w:rPr>
          <w:rFonts w:ascii="Times New Roman" w:hAnsi="Times New Roman" w:eastAsia="Times New Roman"/>
        </w:rPr>
        <w:t> </w:t>
      </w:r>
      <w:r>
        <w:rPr>
          <w:spacing w:val="-7"/>
          <w:w w:val="100"/>
        </w:rPr>
        <w:t>项费用，根据有关法规及相应协议规定，按费</w:t>
      </w:r>
      <w:r>
        <w:rPr>
          <w:spacing w:val="-5"/>
        </w:rPr>
        <w:t>用实际支出金额列入当期费用，由基金托管人从基金财产中支付。</w:t>
      </w:r>
    </w:p>
    <w:p>
      <w:pPr>
        <w:pStyle w:val="BodyText"/>
        <w:spacing w:line="417" w:lineRule="auto"/>
        <w:ind w:left="640" w:right="5750"/>
      </w:pPr>
      <w:r>
        <w:rPr/>
        <w:t>（三）不列入基金费用的项目下列费用不列入基金费用：</w:t>
      </w:r>
    </w:p>
    <w:p>
      <w:pPr>
        <w:pStyle w:val="BodyText"/>
        <w:spacing w:line="417" w:lineRule="auto"/>
        <w:ind w:left="220" w:right="594" w:firstLine="419"/>
      </w:pPr>
      <w:r>
        <w:rPr>
          <w:rFonts w:ascii="Times New Roman" w:eastAsia="Times New Roman"/>
        </w:rPr>
        <w:t>1</w:t>
      </w:r>
      <w:r>
        <w:rPr/>
        <w:t>、基金管理人和基金托管人因未履行或未完全履行义务导致的费用支出或基金财产的损失；</w:t>
      </w:r>
    </w:p>
    <w:p>
      <w:pPr>
        <w:pStyle w:val="BodyText"/>
        <w:ind w:left="640"/>
      </w:pPr>
      <w:r>
        <w:rPr>
          <w:rFonts w:ascii="Times New Roman" w:eastAsia="Times New Roman"/>
        </w:rPr>
        <w:t>2</w:t>
      </w:r>
      <w:r>
        <w:rPr/>
        <w:t>、基金管理人和基金托管人处理与基金运作无关的事项发生的费用；</w:t>
      </w:r>
    </w:p>
    <w:p>
      <w:pPr>
        <w:pStyle w:val="BodyText"/>
        <w:spacing w:before="6"/>
        <w:rPr>
          <w:sz w:val="15"/>
        </w:rPr>
      </w:pPr>
    </w:p>
    <w:p>
      <w:pPr>
        <w:pStyle w:val="BodyText"/>
        <w:ind w:left="640"/>
      </w:pPr>
      <w:r>
        <w:rPr>
          <w:rFonts w:ascii="Times New Roman" w:eastAsia="Times New Roman"/>
        </w:rPr>
        <w:t>3</w:t>
      </w:r>
      <w:r>
        <w:rPr/>
        <w:t>、《基金合同》生效前的相关费用；</w:t>
      </w:r>
    </w:p>
    <w:p>
      <w:pPr>
        <w:pStyle w:val="BodyText"/>
        <w:spacing w:before="6"/>
        <w:rPr>
          <w:sz w:val="15"/>
        </w:rPr>
      </w:pPr>
    </w:p>
    <w:p>
      <w:pPr>
        <w:pStyle w:val="BodyText"/>
        <w:ind w:left="640"/>
      </w:pPr>
      <w:r>
        <w:rPr>
          <w:rFonts w:ascii="Times New Roman" w:eastAsia="Times New Roman"/>
        </w:rPr>
        <w:t>4</w:t>
      </w:r>
      <w:r>
        <w:rPr/>
        <w:t>、其他根据相关法律法规及中国证监会的有关规定不得列入基金费用的项目。</w:t>
      </w:r>
    </w:p>
    <w:p>
      <w:pPr>
        <w:pStyle w:val="BodyText"/>
        <w:spacing w:before="7"/>
        <w:rPr>
          <w:sz w:val="15"/>
        </w:rPr>
      </w:pPr>
    </w:p>
    <w:p>
      <w:pPr>
        <w:pStyle w:val="BodyText"/>
        <w:ind w:left="640"/>
      </w:pPr>
      <w:r>
        <w:rPr/>
        <w:t>（四）基金税收</w:t>
      </w:r>
    </w:p>
    <w:p>
      <w:pPr>
        <w:pStyle w:val="BodyText"/>
        <w:spacing w:before="7"/>
        <w:rPr>
          <w:sz w:val="15"/>
        </w:rPr>
      </w:pPr>
    </w:p>
    <w:p>
      <w:pPr>
        <w:spacing w:line="525" w:lineRule="auto" w:before="0"/>
        <w:ind w:left="3213" w:right="1126" w:hanging="2574"/>
        <w:jc w:val="left"/>
        <w:rPr>
          <w:b/>
          <w:sz w:val="21"/>
        </w:rPr>
      </w:pPr>
      <w:r>
        <w:rPr>
          <w:sz w:val="21"/>
        </w:rPr>
        <w:t>本基金运作过程中涉及的各纳税主体，其纳税义务按国家税收法律、法规执行。</w:t>
      </w:r>
      <w:bookmarkStart w:name="_bookmark14" w:id="15"/>
      <w:bookmarkEnd w:id="15"/>
      <w:r>
        <w:rPr>
          <w:sz w:val="21"/>
        </w:rPr>
      </w:r>
      <w:r>
        <w:rPr>
          <w:b/>
          <w:sz w:val="21"/>
        </w:rPr>
        <w:t>十六、基金的会计与审计</w:t>
      </w:r>
    </w:p>
    <w:p>
      <w:pPr>
        <w:pStyle w:val="BodyText"/>
        <w:spacing w:line="267" w:lineRule="exact"/>
        <w:ind w:left="640"/>
      </w:pPr>
      <w:r>
        <w:rPr/>
        <w:t>（一）基金会计政策</w:t>
      </w:r>
    </w:p>
    <w:p>
      <w:pPr>
        <w:pStyle w:val="BodyText"/>
        <w:spacing w:before="7"/>
        <w:rPr>
          <w:sz w:val="15"/>
        </w:rPr>
      </w:pPr>
    </w:p>
    <w:p>
      <w:pPr>
        <w:pStyle w:val="BodyText"/>
        <w:ind w:left="640"/>
      </w:pPr>
      <w:r>
        <w:rPr>
          <w:rFonts w:ascii="Times New Roman" w:eastAsia="Times New Roman"/>
        </w:rPr>
        <w:t>1</w:t>
      </w:r>
      <w:r>
        <w:rPr/>
        <w:t>、基金管理人为本基金的基金会计责任方；</w:t>
      </w:r>
    </w:p>
    <w:p>
      <w:pPr>
        <w:pStyle w:val="BodyText"/>
        <w:spacing w:before="6"/>
        <w:rPr>
          <w:sz w:val="15"/>
        </w:rPr>
      </w:pPr>
    </w:p>
    <w:p>
      <w:pPr>
        <w:pStyle w:val="BodyText"/>
        <w:ind w:left="64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7"/>
        <w:rPr>
          <w:sz w:val="15"/>
        </w:rPr>
      </w:pPr>
    </w:p>
    <w:p>
      <w:pPr>
        <w:pStyle w:val="BodyText"/>
        <w:ind w:left="640"/>
      </w:pPr>
      <w:r>
        <w:rPr>
          <w:rFonts w:ascii="Times New Roman" w:eastAsia="Times New Roman"/>
        </w:rPr>
        <w:t>3</w:t>
      </w:r>
      <w:r>
        <w:rPr/>
        <w:t>、基金核算以人民币为记账本位币，以人民币元为记账单位；</w:t>
      </w:r>
    </w:p>
    <w:p>
      <w:pPr>
        <w:pStyle w:val="BodyText"/>
        <w:spacing w:before="7"/>
        <w:rPr>
          <w:sz w:val="15"/>
        </w:rPr>
      </w:pPr>
    </w:p>
    <w:p>
      <w:pPr>
        <w:pStyle w:val="BodyText"/>
        <w:ind w:left="640"/>
      </w:pPr>
      <w:r>
        <w:rPr>
          <w:rFonts w:ascii="Times New Roman" w:eastAsia="Times New Roman"/>
        </w:rPr>
        <w:t>4</w:t>
      </w:r>
      <w:r>
        <w:rPr/>
        <w:t>、会计制度执行国家有关会计制度；</w:t>
      </w:r>
    </w:p>
    <w:p>
      <w:pPr>
        <w:pStyle w:val="BodyText"/>
        <w:spacing w:before="7"/>
        <w:rPr>
          <w:sz w:val="15"/>
        </w:rPr>
      </w:pPr>
    </w:p>
    <w:p>
      <w:pPr>
        <w:pStyle w:val="BodyText"/>
        <w:ind w:left="640"/>
      </w:pPr>
      <w:r>
        <w:rPr>
          <w:rFonts w:ascii="Times New Roman" w:eastAsia="Times New Roman"/>
        </w:rPr>
        <w:t>5</w:t>
      </w:r>
      <w:r>
        <w:rPr/>
        <w:t>、本基金独立建账、独立核算；</w:t>
      </w:r>
    </w:p>
    <w:p>
      <w:pPr>
        <w:pStyle w:val="BodyText"/>
        <w:spacing w:before="6"/>
        <w:rPr>
          <w:sz w:val="15"/>
        </w:rPr>
      </w:pPr>
    </w:p>
    <w:p>
      <w:pPr>
        <w:pStyle w:val="BodyText"/>
        <w:spacing w:line="417" w:lineRule="auto"/>
        <w:ind w:left="220" w:right="59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before="1"/>
        <w:ind w:left="220" w:right="594" w:firstLine="419"/>
      </w:pPr>
      <w:r>
        <w:rPr>
          <w:rFonts w:ascii="Times New Roman" w:eastAsia="Times New Roman"/>
        </w:rPr>
        <w:t>7</w:t>
      </w:r>
      <w:r>
        <w:rPr/>
        <w:t>、基金托管人每月与基金管理人就基金的会计核算、报表编制等进行核对并以书面方式确认。</w:t>
      </w:r>
    </w:p>
    <w:p>
      <w:pPr>
        <w:pStyle w:val="BodyText"/>
        <w:spacing w:line="269" w:lineRule="exact"/>
        <w:ind w:left="640"/>
      </w:pPr>
      <w:r>
        <w:rPr/>
        <w:t>（二）基金的年度审计</w:t>
      </w:r>
    </w:p>
    <w:p>
      <w:pPr>
        <w:pStyle w:val="BodyText"/>
        <w:spacing w:before="6"/>
        <w:rPr>
          <w:sz w:val="15"/>
        </w:rPr>
      </w:pPr>
    </w:p>
    <w:p>
      <w:pPr>
        <w:pStyle w:val="BodyText"/>
        <w:spacing w:line="417" w:lineRule="auto"/>
        <w:ind w:left="220" w:right="594" w:firstLine="419"/>
      </w:pPr>
      <w:r>
        <w:rPr>
          <w:rFonts w:ascii="Times New Roman" w:eastAsia="Times New Roman"/>
        </w:rPr>
        <w:t>1</w:t>
      </w:r>
      <w:r>
        <w:rPr/>
        <w:t>、基金管理人聘请与基金管理人、基金托管人相互独立的具有证券从业资格的会计师事务所及其注册会计师对本基金的年度财务报表进行审计。</w:t>
      </w:r>
    </w:p>
    <w:p>
      <w:pPr>
        <w:pStyle w:val="BodyText"/>
        <w:spacing w:line="269" w:lineRule="exact"/>
        <w:ind w:left="640"/>
      </w:pPr>
      <w:r>
        <w:rPr>
          <w:rFonts w:ascii="Times New Roman" w:eastAsia="Times New Roman"/>
        </w:rPr>
        <w:t>2</w:t>
      </w:r>
      <w:r>
        <w:rPr/>
        <w:t>、会计师事务所更换经办注册会计师，应事先征得基金管理人同意。</w:t>
      </w:r>
    </w:p>
    <w:p>
      <w:pPr>
        <w:pStyle w:val="BodyText"/>
        <w:spacing w:before="7"/>
        <w:rPr>
          <w:sz w:val="15"/>
        </w:rPr>
      </w:pPr>
    </w:p>
    <w:p>
      <w:pPr>
        <w:pStyle w:val="BodyText"/>
        <w:spacing w:before="1"/>
        <w:ind w:left="640"/>
      </w:pPr>
      <w:r>
        <w:rPr>
          <w:rFonts w:ascii="Times New Roman" w:eastAsia="Times New Roman"/>
        </w:rPr>
        <w:t>3</w:t>
      </w:r>
      <w:r>
        <w:rPr/>
        <w:t>、基金管理人认为有充足理由更换会计师事务所，须通报基金托管人。更换会计师事</w:t>
      </w:r>
    </w:p>
    <w:p>
      <w:pPr>
        <w:spacing w:after="0"/>
        <w:sectPr>
          <w:pgSz w:w="11910" w:h="16840"/>
          <w:pgMar w:header="877" w:footer="995" w:top="1420" w:bottom="1180" w:left="1580" w:right="1200"/>
        </w:sectPr>
      </w:pPr>
    </w:p>
    <w:p>
      <w:pPr>
        <w:pStyle w:val="BodyText"/>
        <w:spacing w:before="110"/>
        <w:ind w:left="220"/>
      </w:pPr>
      <w:r>
        <w:rPr/>
        <w:t>务所需在 </w:t>
      </w:r>
      <w:r>
        <w:rPr>
          <w:rFonts w:ascii="Times New Roman" w:eastAsia="Times New Roman"/>
        </w:rPr>
        <w:t>2 </w:t>
      </w:r>
      <w:r>
        <w:rPr/>
        <w:t>日内在指定媒介公告。</w:t>
      </w:r>
    </w:p>
    <w:p>
      <w:pPr>
        <w:pStyle w:val="BodyText"/>
        <w:spacing w:before="11"/>
        <w:rPr>
          <w:sz w:val="24"/>
        </w:rPr>
      </w:pPr>
    </w:p>
    <w:p>
      <w:pPr>
        <w:pStyle w:val="Heading1"/>
        <w:ind w:right="1133"/>
      </w:pPr>
      <w:bookmarkStart w:name="_bookmark15" w:id="16"/>
      <w:bookmarkEnd w:id="16"/>
      <w:r>
        <w:rPr>
          <w:b w:val="0"/>
        </w:rPr>
      </w:r>
      <w:r>
        <w:rPr/>
        <w:t>十七、基金的信息披露</w:t>
      </w:r>
    </w:p>
    <w:p>
      <w:pPr>
        <w:pStyle w:val="BodyText"/>
        <w:spacing w:before="11"/>
        <w:rPr>
          <w:b/>
          <w:sz w:val="24"/>
        </w:rPr>
      </w:pPr>
    </w:p>
    <w:p>
      <w:pPr>
        <w:pStyle w:val="BodyText"/>
        <w:spacing w:line="417" w:lineRule="auto" w:before="1"/>
        <w:ind w:left="220" w:right="595" w:firstLine="419"/>
      </w:pPr>
      <w:r>
        <w:rPr/>
        <w:t>（</w:t>
      </w:r>
      <w:r>
        <w:rPr>
          <w:spacing w:val="-3"/>
        </w:rPr>
        <w:t>一</w:t>
      </w:r>
      <w:r>
        <w:rPr>
          <w:spacing w:val="-60"/>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spacing w:line="269" w:lineRule="exact"/>
        <w:ind w:left="640"/>
      </w:pPr>
      <w:r>
        <w:rPr/>
        <w:t>（二）信息披露义务人</w:t>
      </w:r>
    </w:p>
    <w:p>
      <w:pPr>
        <w:pStyle w:val="BodyText"/>
        <w:spacing w:before="6"/>
        <w:rPr>
          <w:sz w:val="15"/>
        </w:rPr>
      </w:pPr>
    </w:p>
    <w:p>
      <w:pPr>
        <w:pStyle w:val="BodyText"/>
        <w:spacing w:line="417" w:lineRule="auto"/>
        <w:ind w:left="220" w:right="59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before="1"/>
        <w:ind w:left="220" w:right="591" w:firstLine="419"/>
        <w:jc w:val="both"/>
      </w:pPr>
      <w:r>
        <w:rPr>
          <w:spacing w:val="-7"/>
        </w:rPr>
        <w:t>本基金信息披露义务人应当以保护基金份额持有人利益为根本出发点，按照法律、行政</w:t>
      </w:r>
      <w:r>
        <w:rPr>
          <w:spacing w:val="-11"/>
        </w:rPr>
        <w:t>法规和中国证监会的规定披露基金信息，并保证所披露信息的真实性、准确性、完整性、及</w:t>
      </w:r>
      <w:r>
        <w:rPr>
          <w:spacing w:val="-3"/>
        </w:rPr>
        <w:t>时性、简明性和易得性。</w:t>
      </w:r>
    </w:p>
    <w:p>
      <w:pPr>
        <w:pStyle w:val="BodyText"/>
        <w:spacing w:line="417" w:lineRule="auto"/>
        <w:ind w:left="220" w:right="591"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pPr>
        <w:pStyle w:val="BodyText"/>
        <w:spacing w:line="269" w:lineRule="exact"/>
        <w:ind w:left="640"/>
      </w:pPr>
      <w:r>
        <w:rPr/>
        <w:t>（三）本基金信息披露义务人承诺公开披露的基金信息，不得有下列行为：</w:t>
      </w:r>
    </w:p>
    <w:p>
      <w:pPr>
        <w:pStyle w:val="BodyText"/>
        <w:spacing w:before="6"/>
        <w:rPr>
          <w:sz w:val="15"/>
        </w:rPr>
      </w:pPr>
    </w:p>
    <w:p>
      <w:pPr>
        <w:pStyle w:val="BodyText"/>
        <w:ind w:left="640"/>
      </w:pPr>
      <w:r>
        <w:rPr>
          <w:rFonts w:ascii="Times New Roman" w:eastAsia="Times New Roman"/>
        </w:rPr>
        <w:t>1</w:t>
      </w:r>
      <w:r>
        <w:rPr/>
        <w:t>、虚假记载、误导性陈述或者重大遗漏；</w:t>
      </w:r>
    </w:p>
    <w:p>
      <w:pPr>
        <w:pStyle w:val="BodyText"/>
        <w:spacing w:before="7"/>
        <w:rPr>
          <w:sz w:val="15"/>
        </w:rPr>
      </w:pPr>
    </w:p>
    <w:p>
      <w:pPr>
        <w:pStyle w:val="BodyText"/>
        <w:ind w:left="640"/>
      </w:pPr>
      <w:r>
        <w:rPr>
          <w:rFonts w:ascii="Times New Roman" w:eastAsia="Times New Roman"/>
        </w:rPr>
        <w:t>2</w:t>
      </w:r>
      <w:r>
        <w:rPr/>
        <w:t>、对证券投资业绩进行预测；</w:t>
      </w:r>
    </w:p>
    <w:p>
      <w:pPr>
        <w:pStyle w:val="BodyText"/>
        <w:spacing w:before="7"/>
        <w:rPr>
          <w:sz w:val="15"/>
        </w:rPr>
      </w:pPr>
    </w:p>
    <w:p>
      <w:pPr>
        <w:pStyle w:val="BodyText"/>
        <w:ind w:left="640"/>
      </w:pPr>
      <w:r>
        <w:rPr>
          <w:rFonts w:ascii="Times New Roman" w:eastAsia="Times New Roman"/>
        </w:rPr>
        <w:t>3</w:t>
      </w:r>
      <w:r>
        <w:rPr/>
        <w:t>、违规承诺收益或者承担损失；</w:t>
      </w:r>
    </w:p>
    <w:p>
      <w:pPr>
        <w:pStyle w:val="BodyText"/>
        <w:spacing w:before="6"/>
        <w:rPr>
          <w:sz w:val="15"/>
        </w:rPr>
      </w:pPr>
    </w:p>
    <w:p>
      <w:pPr>
        <w:pStyle w:val="BodyText"/>
        <w:ind w:left="640"/>
      </w:pPr>
      <w:r>
        <w:rPr>
          <w:rFonts w:ascii="Times New Roman" w:eastAsia="Times New Roman"/>
        </w:rPr>
        <w:t>4</w:t>
      </w:r>
      <w:r>
        <w:rPr/>
        <w:t>、诋毁其他基金管理人、基金托管人或者基金销售机构；</w:t>
      </w:r>
    </w:p>
    <w:p>
      <w:pPr>
        <w:pStyle w:val="BodyText"/>
        <w:spacing w:before="7"/>
        <w:rPr>
          <w:sz w:val="15"/>
        </w:rPr>
      </w:pPr>
    </w:p>
    <w:p>
      <w:pPr>
        <w:pStyle w:val="BodyText"/>
        <w:ind w:left="640"/>
      </w:pPr>
      <w:r>
        <w:rPr>
          <w:rFonts w:ascii="Times New Roman" w:eastAsia="Times New Roman"/>
        </w:rPr>
        <w:t>5</w:t>
      </w:r>
      <w:r>
        <w:rPr/>
        <w:t>、登载任何自然人、法人和非法人组织的祝贺性、恭维性或推荐性文字；</w:t>
      </w:r>
    </w:p>
    <w:p>
      <w:pPr>
        <w:pStyle w:val="BodyText"/>
        <w:spacing w:before="7"/>
        <w:rPr>
          <w:sz w:val="15"/>
        </w:rPr>
      </w:pPr>
    </w:p>
    <w:p>
      <w:pPr>
        <w:pStyle w:val="BodyText"/>
        <w:ind w:left="640"/>
      </w:pPr>
      <w:r>
        <w:rPr>
          <w:rFonts w:ascii="Times New Roman" w:eastAsia="Times New Roman"/>
        </w:rPr>
        <w:t>6</w:t>
      </w:r>
      <w:r>
        <w:rPr/>
        <w:t>、中国证监会禁止的其他行为。</w:t>
      </w:r>
    </w:p>
    <w:p>
      <w:pPr>
        <w:pStyle w:val="BodyText"/>
        <w:spacing w:before="7"/>
        <w:rPr>
          <w:sz w:val="15"/>
        </w:rPr>
      </w:pPr>
    </w:p>
    <w:p>
      <w:pPr>
        <w:pStyle w:val="BodyText"/>
        <w:spacing w:line="417" w:lineRule="auto"/>
        <w:ind w:left="220" w:right="591" w:firstLine="419"/>
      </w:pPr>
      <w:r>
        <w:rPr/>
        <w:t>（</w:t>
      </w:r>
      <w:r>
        <w:rPr>
          <w:spacing w:val="-3"/>
        </w:rPr>
        <w:t>四</w:t>
      </w:r>
      <w:r>
        <w:rPr>
          <w:spacing w:val="-32"/>
        </w:rPr>
        <w:t>）</w:t>
      </w:r>
      <w:r>
        <w:rPr>
          <w:spacing w:val="-6"/>
        </w:rPr>
        <w:t>本基金公开披露的信息应采用中文文本。如同时采用外文文本的，基金信息披露</w:t>
      </w:r>
      <w:r>
        <w:rPr>
          <w:spacing w:val="-7"/>
        </w:rPr>
        <w:t>义务人应保证不同文本的内容一致。不同文本之间发生歧义的，以中文文本为准。。</w:t>
      </w:r>
    </w:p>
    <w:p>
      <w:pPr>
        <w:pStyle w:val="BodyText"/>
        <w:ind w:left="640"/>
      </w:pPr>
      <w:r>
        <w:rPr/>
        <w:t>本基金公开披露的信息采用阿拉伯数字；除特别说明外，货币单位为人民币元。</w:t>
      </w:r>
    </w:p>
    <w:p>
      <w:pPr>
        <w:pStyle w:val="BodyText"/>
        <w:spacing w:before="7"/>
        <w:rPr>
          <w:sz w:val="15"/>
        </w:rPr>
      </w:pPr>
    </w:p>
    <w:p>
      <w:pPr>
        <w:pStyle w:val="BodyText"/>
        <w:spacing w:line="417" w:lineRule="auto"/>
        <w:ind w:left="640" w:right="5961"/>
      </w:pPr>
      <w:r>
        <w:rPr/>
        <w:t>（五）公开披露的基金信息公开披露的基金信息包括：</w:t>
      </w:r>
    </w:p>
    <w:p>
      <w:pPr>
        <w:pStyle w:val="BodyText"/>
        <w:spacing w:line="269" w:lineRule="exact"/>
        <w:ind w:left="640"/>
      </w:pPr>
      <w:r>
        <w:rPr>
          <w:rFonts w:ascii="Times New Roman" w:eastAsia="Times New Roman"/>
        </w:rPr>
        <w:t>1</w:t>
      </w:r>
      <w:r>
        <w:rPr/>
        <w:t>、基金招募说明书、《基金合同》、基金托管协议</w:t>
      </w:r>
    </w:p>
    <w:p>
      <w:pPr>
        <w:pStyle w:val="BodyText"/>
        <w:spacing w:before="6"/>
        <w:rPr>
          <w:sz w:val="15"/>
        </w:rPr>
      </w:pPr>
    </w:p>
    <w:p>
      <w:pPr>
        <w:pStyle w:val="ListParagraph"/>
        <w:numPr>
          <w:ilvl w:val="0"/>
          <w:numId w:val="29"/>
        </w:numPr>
        <w:tabs>
          <w:tab w:pos="1170" w:val="left" w:leader="none"/>
        </w:tabs>
        <w:spacing w:line="417" w:lineRule="auto" w:before="0" w:after="0"/>
        <w:ind w:left="220" w:right="59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spacing w:after="0" w:line="417" w:lineRule="auto"/>
        <w:jc w:val="both"/>
        <w:rPr>
          <w:sz w:val="21"/>
        </w:rPr>
        <w:sectPr>
          <w:pgSz w:w="11910" w:h="16840"/>
          <w:pgMar w:header="877" w:footer="995" w:top="1420" w:bottom="1180" w:left="1580" w:right="1200"/>
        </w:sectPr>
      </w:pPr>
    </w:p>
    <w:p>
      <w:pPr>
        <w:pStyle w:val="ListParagraph"/>
        <w:numPr>
          <w:ilvl w:val="0"/>
          <w:numId w:val="29"/>
        </w:numPr>
        <w:tabs>
          <w:tab w:pos="1170" w:val="left" w:leader="none"/>
        </w:tabs>
        <w:spacing w:line="417" w:lineRule="auto" w:before="110" w:after="0"/>
        <w:ind w:left="220" w:right="59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Times New Roman" w:eastAsia="Times New Roman"/>
          <w:sz w:val="21"/>
        </w:rPr>
        <w:t>3</w:t>
      </w:r>
      <w:r>
        <w:rPr>
          <w:rFonts w:ascii="Times New Roman" w:eastAsia="Times New Roman"/>
          <w:spacing w:val="17"/>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29"/>
        </w:numPr>
        <w:tabs>
          <w:tab w:pos="1170" w:val="left" w:leader="none"/>
        </w:tabs>
        <w:spacing w:line="417" w:lineRule="auto" w:before="0" w:after="0"/>
        <w:ind w:left="220" w:right="594"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ind w:left="640"/>
      </w:pPr>
      <w:r>
        <w:rPr>
          <w:rFonts w:ascii="Times New Roman" w:eastAsia="Times New Roman"/>
        </w:rPr>
        <w:t>2</w:t>
      </w:r>
      <w:r>
        <w:rPr/>
        <w:t>、基金产品资料概要</w:t>
      </w:r>
    </w:p>
    <w:p>
      <w:pPr>
        <w:pStyle w:val="BodyText"/>
        <w:spacing w:before="6"/>
        <w:rPr>
          <w:sz w:val="15"/>
        </w:rPr>
      </w:pPr>
    </w:p>
    <w:p>
      <w:pPr>
        <w:pStyle w:val="BodyText"/>
        <w:spacing w:line="417" w:lineRule="auto"/>
        <w:ind w:left="220" w:right="488"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8" w:lineRule="exact"/>
        <w:ind w:left="640"/>
      </w:pPr>
      <w:r>
        <w:rPr/>
        <w:t>关于基金产品资料概要编制、披露与更新的要求，自中国证监会规定之日起开始执行。</w:t>
      </w:r>
    </w:p>
    <w:p>
      <w:pPr>
        <w:pStyle w:val="BodyText"/>
        <w:spacing w:before="7"/>
        <w:rPr>
          <w:sz w:val="15"/>
        </w:rPr>
      </w:pPr>
    </w:p>
    <w:p>
      <w:pPr>
        <w:pStyle w:val="BodyText"/>
        <w:ind w:left="640"/>
      </w:pPr>
      <w:r>
        <w:rPr>
          <w:rFonts w:ascii="Times New Roman" w:eastAsia="Times New Roman"/>
        </w:rPr>
        <w:t>3</w:t>
      </w:r>
      <w:r>
        <w:rPr/>
        <w:t>、基金份额发售公告</w:t>
      </w:r>
    </w:p>
    <w:p>
      <w:pPr>
        <w:pStyle w:val="BodyText"/>
        <w:spacing w:before="7"/>
        <w:rPr>
          <w:sz w:val="15"/>
        </w:rPr>
      </w:pPr>
    </w:p>
    <w:p>
      <w:pPr>
        <w:pStyle w:val="BodyText"/>
        <w:spacing w:line="417" w:lineRule="auto"/>
        <w:ind w:left="220" w:right="591" w:firstLine="419"/>
      </w:pPr>
      <w:r>
        <w:rPr>
          <w:spacing w:val="-7"/>
        </w:rPr>
        <w:t>基金管理人应当就基金份额发售的具体事宜编制基金份额发售公告，并在披露招募说明</w:t>
      </w:r>
      <w:r>
        <w:rPr>
          <w:spacing w:val="-5"/>
        </w:rPr>
        <w:t>书的当日登载于指定媒介上。</w:t>
      </w:r>
    </w:p>
    <w:p>
      <w:pPr>
        <w:pStyle w:val="BodyText"/>
        <w:spacing w:line="269" w:lineRule="exact"/>
        <w:ind w:left="640"/>
      </w:pPr>
      <w:r>
        <w:rPr>
          <w:rFonts w:ascii="Times New Roman" w:eastAsia="Times New Roman"/>
        </w:rPr>
        <w:t>4</w:t>
      </w:r>
      <w:r>
        <w:rPr>
          <w:spacing w:val="-13"/>
        </w:rPr>
        <w:t>、《基金合同》生效公告</w:t>
      </w:r>
    </w:p>
    <w:p>
      <w:pPr>
        <w:pStyle w:val="BodyText"/>
        <w:spacing w:before="6"/>
        <w:rPr>
          <w:sz w:val="15"/>
        </w:rPr>
      </w:pPr>
    </w:p>
    <w:p>
      <w:pPr>
        <w:pStyle w:val="BodyText"/>
        <w:spacing w:line="417" w:lineRule="auto" w:before="1"/>
        <w:ind w:left="220" w:right="591" w:firstLine="419"/>
      </w:pPr>
      <w:r>
        <w:rPr>
          <w:spacing w:val="-7"/>
        </w:rPr>
        <w:t>基金管理人应当在收到中国证监会确认文件的次日在指定媒介上登载《基金合同》生效公告。</w:t>
      </w:r>
    </w:p>
    <w:p>
      <w:pPr>
        <w:pStyle w:val="BodyText"/>
        <w:spacing w:line="269" w:lineRule="exact"/>
        <w:ind w:left="640"/>
      </w:pPr>
      <w:r>
        <w:rPr>
          <w:rFonts w:ascii="Times New Roman" w:eastAsia="Times New Roman"/>
        </w:rPr>
        <w:t>5</w:t>
      </w:r>
      <w:r>
        <w:rPr/>
        <w:t>、基金净值信息</w:t>
      </w:r>
    </w:p>
    <w:p>
      <w:pPr>
        <w:pStyle w:val="BodyText"/>
        <w:spacing w:before="7"/>
        <w:rPr>
          <w:sz w:val="15"/>
        </w:rPr>
      </w:pPr>
    </w:p>
    <w:p>
      <w:pPr>
        <w:pStyle w:val="BodyText"/>
        <w:spacing w:line="417" w:lineRule="auto"/>
        <w:ind w:left="220" w:right="59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spacing w:line="417" w:lineRule="auto"/>
        <w:ind w:left="220" w:right="59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spacing w:line="269" w:lineRule="exact"/>
        <w:ind w:left="640"/>
      </w:pPr>
      <w:r>
        <w:rPr>
          <w:rFonts w:ascii="Times New Roman" w:eastAsia="Times New Roman"/>
        </w:rPr>
        <w:t>5</w:t>
      </w:r>
      <w:r>
        <w:rPr/>
        <w:t>、基金份额申购、赎回价格</w:t>
      </w:r>
    </w:p>
    <w:p>
      <w:pPr>
        <w:pStyle w:val="BodyText"/>
        <w:spacing w:before="6"/>
        <w:rPr>
          <w:sz w:val="15"/>
        </w:rPr>
      </w:pPr>
    </w:p>
    <w:p>
      <w:pPr>
        <w:pStyle w:val="BodyText"/>
        <w:spacing w:line="417" w:lineRule="auto"/>
        <w:ind w:left="220" w:right="59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ind w:left="640"/>
      </w:pPr>
      <w:r>
        <w:rPr>
          <w:rFonts w:ascii="Times New Roman" w:eastAsia="Times New Roman"/>
        </w:rPr>
        <w:t>7</w:t>
      </w:r>
      <w:r>
        <w:rPr/>
        <w:t>、基金定期报告，包括基金年度报告、基金中期报告和基金季度报告（含资产组合季</w:t>
      </w:r>
    </w:p>
    <w:p>
      <w:pPr>
        <w:spacing w:after="0"/>
        <w:sectPr>
          <w:pgSz w:w="11910" w:h="16840"/>
          <w:pgMar w:header="877" w:footer="995" w:top="1420" w:bottom="1180" w:left="1580" w:right="1200"/>
        </w:sectPr>
      </w:pPr>
    </w:p>
    <w:p>
      <w:pPr>
        <w:pStyle w:val="BodyText"/>
        <w:spacing w:before="110"/>
        <w:ind w:left="220"/>
      </w:pPr>
      <w:r>
        <w:rPr/>
        <w:t>度报告）</w:t>
      </w:r>
    </w:p>
    <w:p>
      <w:pPr>
        <w:pStyle w:val="BodyText"/>
        <w:spacing w:before="6"/>
        <w:rPr>
          <w:sz w:val="15"/>
        </w:rPr>
      </w:pPr>
    </w:p>
    <w:p>
      <w:pPr>
        <w:pStyle w:val="BodyText"/>
        <w:spacing w:line="417" w:lineRule="auto"/>
        <w:ind w:left="220" w:right="591" w:firstLine="419"/>
        <w:jc w:val="both"/>
      </w:pPr>
      <w:r>
        <w:rPr>
          <w:spacing w:val="-5"/>
        </w:rPr>
        <w:t>基金管理人应当在每年结束之日起 </w:t>
      </w:r>
      <w:r>
        <w:rPr>
          <w:rFonts w:ascii="Times New Roman" w:eastAsia="Times New Roman"/>
        </w:rPr>
        <w:t>3</w:t>
      </w:r>
      <w:r>
        <w:rPr>
          <w:rFonts w:ascii="Times New Roman" w:eastAsia="Times New Roman"/>
          <w:spacing w:val="1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220" w:right="591" w:firstLine="419"/>
        <w:jc w:val="both"/>
      </w:pPr>
      <w:r>
        <w:rPr>
          <w:spacing w:val="-5"/>
        </w:rPr>
        <w:t>基金管理人应当在上半年结束之日起 </w:t>
      </w:r>
      <w:r>
        <w:rPr>
          <w:rFonts w:ascii="Times New Roman" w:eastAsia="Times New Roman"/>
        </w:rPr>
        <w:t>2</w:t>
      </w:r>
      <w:r>
        <w:rPr>
          <w:rFonts w:ascii="Times New Roman" w:eastAsia="Times New Roman"/>
          <w:spacing w:val="19"/>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220" w:right="591" w:firstLine="419"/>
        <w:jc w:val="both"/>
      </w:pPr>
      <w:r>
        <w:rPr>
          <w:spacing w:val="-5"/>
        </w:rPr>
        <w:t>基金管理人应当在季度结束之日起 </w:t>
      </w:r>
      <w:r>
        <w:rPr>
          <w:rFonts w:ascii="Times New Roman" w:eastAsia="Times New Roman"/>
        </w:rPr>
        <w:t>15 </w:t>
      </w:r>
      <w:r>
        <w:rPr>
          <w:spacing w:val="-3"/>
        </w:rPr>
        <w:t>个工作日内，编制完成基金季度报告，将季度报告登载在指定网站上，并将季度报告提示性公告登载在指定报刊上。</w:t>
      </w:r>
    </w:p>
    <w:p>
      <w:pPr>
        <w:pStyle w:val="BodyText"/>
        <w:spacing w:line="417" w:lineRule="auto"/>
        <w:ind w:left="220" w:right="591" w:firstLine="419"/>
        <w:jc w:val="both"/>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220" w:right="594" w:firstLine="419"/>
      </w:pPr>
      <w:r>
        <w:rPr/>
        <w:t>基金管理人应当在基金年度报告和中期报告中披露基金组合资产情况及其流动性风险分析等。</w:t>
      </w:r>
    </w:p>
    <w:p>
      <w:pPr>
        <w:pStyle w:val="BodyText"/>
        <w:spacing w:line="417" w:lineRule="auto"/>
        <w:ind w:left="220" w:right="591" w:firstLine="419"/>
        <w:jc w:val="both"/>
      </w:pPr>
      <w:r>
        <w:rPr>
          <w:spacing w:val="1"/>
        </w:rPr>
        <w:t>如报告期内出现单一投资者持有基金份额比例达到或超过基金总份额 </w:t>
      </w:r>
      <w:r>
        <w:rPr>
          <w:rFonts w:ascii="Times New Roman" w:hAnsi="Times New Roman" w:eastAsia="Times New Roman"/>
        </w:rPr>
        <w:t>20%</w:t>
      </w:r>
      <w:r>
        <w:rPr>
          <w:spacing w:val="-3"/>
        </w:rPr>
        <w:t>的情形，为</w:t>
      </w:r>
      <w:r>
        <w:rPr>
          <w:spacing w:val="-10"/>
        </w:rPr>
        <w:t>保障其他投资者权益，基金管理人至少应当在基金定期报告“影响投资者决策的其他重要信息”项下披露该投资者的类别、报告期末持有份额及占比、报告期内持有份额变化情况及产</w:t>
      </w:r>
      <w:r>
        <w:rPr>
          <w:spacing w:val="-5"/>
        </w:rPr>
        <w:t>品的特有风险，中国证监会认定的特殊情形除外。</w:t>
      </w:r>
    </w:p>
    <w:p>
      <w:pPr>
        <w:pStyle w:val="BodyText"/>
        <w:spacing w:line="269" w:lineRule="exact"/>
        <w:ind w:left="640"/>
      </w:pPr>
      <w:r>
        <w:rPr>
          <w:rFonts w:ascii="Times New Roman" w:eastAsia="Times New Roman"/>
        </w:rPr>
        <w:t>8</w:t>
      </w:r>
      <w:r>
        <w:rPr/>
        <w:t>、临时报告</w:t>
      </w:r>
    </w:p>
    <w:p>
      <w:pPr>
        <w:pStyle w:val="BodyText"/>
        <w:spacing w:before="6"/>
        <w:rPr>
          <w:sz w:val="15"/>
        </w:rPr>
      </w:pPr>
    </w:p>
    <w:p>
      <w:pPr>
        <w:pStyle w:val="BodyText"/>
        <w:spacing w:line="417" w:lineRule="auto"/>
        <w:ind w:left="220" w:right="59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417" w:lineRule="auto"/>
        <w:ind w:left="220" w:right="59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0"/>
        </w:numPr>
        <w:tabs>
          <w:tab w:pos="1170" w:val="left" w:leader="none"/>
        </w:tabs>
        <w:spacing w:line="240" w:lineRule="auto" w:before="0" w:after="0"/>
        <w:ind w:left="1169" w:right="0" w:hanging="530"/>
        <w:jc w:val="left"/>
        <w:rPr>
          <w:sz w:val="21"/>
        </w:rPr>
      </w:pPr>
      <w:r>
        <w:rPr>
          <w:spacing w:val="-3"/>
          <w:sz w:val="21"/>
        </w:rPr>
        <w:t>基金份额持有人大会的召开及决定的事项；</w:t>
      </w:r>
    </w:p>
    <w:p>
      <w:pPr>
        <w:pStyle w:val="BodyText"/>
        <w:spacing w:before="6"/>
        <w:rPr>
          <w:sz w:val="15"/>
        </w:rPr>
      </w:pPr>
    </w:p>
    <w:p>
      <w:pPr>
        <w:pStyle w:val="ListParagraph"/>
        <w:numPr>
          <w:ilvl w:val="0"/>
          <w:numId w:val="30"/>
        </w:numPr>
        <w:tabs>
          <w:tab w:pos="1170" w:val="left" w:leader="none"/>
        </w:tabs>
        <w:spacing w:line="240" w:lineRule="auto" w:before="1" w:after="0"/>
        <w:ind w:left="1169" w:right="0" w:hanging="530"/>
        <w:jc w:val="left"/>
        <w:rPr>
          <w:sz w:val="21"/>
        </w:rPr>
      </w:pPr>
      <w:r>
        <w:rPr>
          <w:spacing w:val="-3"/>
          <w:sz w:val="21"/>
        </w:rPr>
        <w:t>《基金合同》终止、基金清算；</w:t>
      </w:r>
    </w:p>
    <w:p>
      <w:pPr>
        <w:pStyle w:val="BodyText"/>
        <w:spacing w:before="6"/>
        <w:rPr>
          <w:sz w:val="15"/>
        </w:rPr>
      </w:pPr>
    </w:p>
    <w:p>
      <w:pPr>
        <w:pStyle w:val="ListParagraph"/>
        <w:numPr>
          <w:ilvl w:val="0"/>
          <w:numId w:val="30"/>
        </w:numPr>
        <w:tabs>
          <w:tab w:pos="1170" w:val="left" w:leader="none"/>
        </w:tabs>
        <w:spacing w:line="240" w:lineRule="auto" w:before="0" w:after="0"/>
        <w:ind w:left="1169" w:right="0" w:hanging="530"/>
        <w:jc w:val="left"/>
        <w:rPr>
          <w:sz w:val="21"/>
        </w:rPr>
      </w:pPr>
      <w:r>
        <w:rPr>
          <w:spacing w:val="-3"/>
          <w:sz w:val="21"/>
        </w:rPr>
        <w:t>转换基金运作方式、基金合并；</w:t>
      </w:r>
    </w:p>
    <w:p>
      <w:pPr>
        <w:pStyle w:val="BodyText"/>
        <w:spacing w:before="7"/>
        <w:rPr>
          <w:sz w:val="15"/>
        </w:rPr>
      </w:pPr>
    </w:p>
    <w:p>
      <w:pPr>
        <w:pStyle w:val="ListParagraph"/>
        <w:numPr>
          <w:ilvl w:val="0"/>
          <w:numId w:val="30"/>
        </w:numPr>
        <w:tabs>
          <w:tab w:pos="1170" w:val="left" w:leader="none"/>
        </w:tabs>
        <w:spacing w:line="240" w:lineRule="auto" w:before="0" w:after="0"/>
        <w:ind w:left="1169" w:right="0" w:hanging="530"/>
        <w:jc w:val="left"/>
        <w:rPr>
          <w:sz w:val="21"/>
        </w:rPr>
      </w:pPr>
      <w:r>
        <w:rPr>
          <w:spacing w:val="-3"/>
          <w:sz w:val="21"/>
        </w:rPr>
        <w:t>更换基金管理人、基金托管人、基金份额登记机构，基金改聘会计师事务所；</w:t>
      </w:r>
    </w:p>
    <w:p>
      <w:pPr>
        <w:pStyle w:val="BodyText"/>
        <w:spacing w:before="7"/>
        <w:rPr>
          <w:sz w:val="15"/>
        </w:rPr>
      </w:pPr>
    </w:p>
    <w:p>
      <w:pPr>
        <w:pStyle w:val="ListParagraph"/>
        <w:numPr>
          <w:ilvl w:val="0"/>
          <w:numId w:val="30"/>
        </w:numPr>
        <w:tabs>
          <w:tab w:pos="1170" w:val="left" w:leader="none"/>
        </w:tabs>
        <w:spacing w:line="417" w:lineRule="auto" w:before="0" w:after="0"/>
        <w:ind w:left="220" w:right="59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0"/>
        </w:numPr>
        <w:tabs>
          <w:tab w:pos="1170" w:val="left" w:leader="none"/>
        </w:tabs>
        <w:spacing w:line="269" w:lineRule="exact" w:before="0" w:after="0"/>
        <w:ind w:left="1169" w:right="0" w:hanging="530"/>
        <w:jc w:val="left"/>
        <w:rPr>
          <w:sz w:val="21"/>
        </w:rPr>
      </w:pPr>
      <w:r>
        <w:rPr>
          <w:spacing w:val="-3"/>
          <w:sz w:val="21"/>
        </w:rPr>
        <w:t>基金管理人、基金托管人的法定名称、住所发生变更；</w:t>
      </w:r>
    </w:p>
    <w:p>
      <w:pPr>
        <w:pStyle w:val="BodyText"/>
        <w:spacing w:before="7"/>
        <w:rPr>
          <w:sz w:val="15"/>
        </w:rPr>
      </w:pPr>
    </w:p>
    <w:p>
      <w:pPr>
        <w:pStyle w:val="ListParagraph"/>
        <w:numPr>
          <w:ilvl w:val="0"/>
          <w:numId w:val="30"/>
        </w:numPr>
        <w:tabs>
          <w:tab w:pos="1170" w:val="left" w:leader="none"/>
        </w:tabs>
        <w:spacing w:line="240" w:lineRule="auto" w:before="0" w:after="0"/>
        <w:ind w:left="1169" w:right="0" w:hanging="530"/>
        <w:jc w:val="left"/>
        <w:rPr>
          <w:sz w:val="21"/>
        </w:rPr>
      </w:pPr>
      <w:r>
        <w:rPr>
          <w:spacing w:val="-3"/>
          <w:sz w:val="21"/>
        </w:rPr>
        <w:t>基金管理公司变更持有百分之五以上股权的股东、变更公司的实际控制人；</w:t>
      </w:r>
    </w:p>
    <w:p>
      <w:pPr>
        <w:pStyle w:val="BodyText"/>
        <w:spacing w:before="7"/>
        <w:rPr>
          <w:sz w:val="15"/>
        </w:rPr>
      </w:pPr>
    </w:p>
    <w:p>
      <w:pPr>
        <w:pStyle w:val="ListParagraph"/>
        <w:numPr>
          <w:ilvl w:val="0"/>
          <w:numId w:val="30"/>
        </w:numPr>
        <w:tabs>
          <w:tab w:pos="1170" w:val="left" w:leader="none"/>
        </w:tabs>
        <w:spacing w:line="240" w:lineRule="auto" w:before="0" w:after="0"/>
        <w:ind w:left="1169" w:right="0" w:hanging="530"/>
        <w:jc w:val="left"/>
        <w:rPr>
          <w:sz w:val="21"/>
        </w:rPr>
      </w:pPr>
      <w:r>
        <w:rPr>
          <w:spacing w:val="-3"/>
          <w:sz w:val="21"/>
        </w:rPr>
        <w:t>基金管理人高级管理人员、基金经理和基金托管人专门基金托管部门负责人发生</w:t>
      </w:r>
    </w:p>
    <w:p>
      <w:pPr>
        <w:spacing w:after="0" w:line="240" w:lineRule="auto"/>
        <w:jc w:val="left"/>
        <w:rPr>
          <w:sz w:val="21"/>
        </w:rPr>
        <w:sectPr>
          <w:pgSz w:w="11910" w:h="16840"/>
          <w:pgMar w:header="877" w:footer="995" w:top="1420" w:bottom="1180" w:left="1580" w:right="1200"/>
        </w:sectPr>
      </w:pPr>
    </w:p>
    <w:p>
      <w:pPr>
        <w:pStyle w:val="BodyText"/>
        <w:spacing w:before="110"/>
        <w:ind w:left="220"/>
      </w:pPr>
      <w:r>
        <w:rPr/>
        <w:t>变动；</w:t>
      </w:r>
    </w:p>
    <w:p>
      <w:pPr>
        <w:pStyle w:val="BodyText"/>
        <w:spacing w:before="6"/>
        <w:rPr>
          <w:sz w:val="15"/>
        </w:rPr>
      </w:pPr>
    </w:p>
    <w:p>
      <w:pPr>
        <w:pStyle w:val="ListParagraph"/>
        <w:numPr>
          <w:ilvl w:val="0"/>
          <w:numId w:val="30"/>
        </w:numPr>
        <w:tabs>
          <w:tab w:pos="1170" w:val="left" w:leader="none"/>
        </w:tabs>
        <w:spacing w:line="240" w:lineRule="auto" w:before="0" w:after="0"/>
        <w:ind w:left="1169" w:right="0" w:hanging="530"/>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3"/>
          <w:sz w:val="21"/>
        </w:rPr>
        <w:t> </w:t>
      </w:r>
      <w:r>
        <w:rPr>
          <w:spacing w:val="-8"/>
          <w:sz w:val="21"/>
        </w:rPr>
        <w:t>个月内变更超过百分之五十，基金管理人、基金托管</w:t>
      </w:r>
    </w:p>
    <w:p>
      <w:pPr>
        <w:pStyle w:val="BodyText"/>
        <w:spacing w:before="7"/>
        <w:rPr>
          <w:sz w:val="15"/>
        </w:rPr>
      </w:pPr>
    </w:p>
    <w:p>
      <w:pPr>
        <w:pStyle w:val="BodyText"/>
        <w:ind w:left="220"/>
      </w:pPr>
      <w:r>
        <w:rPr/>
        <w:t>人专门基金托管部门的主要业务人员在最近 </w:t>
      </w:r>
      <w:r>
        <w:rPr>
          <w:rFonts w:ascii="Times New Roman" w:eastAsia="Times New Roman"/>
        </w:rPr>
        <w:t>12 </w:t>
      </w:r>
      <w:r>
        <w:rPr/>
        <w:t>个月内变动超过百分之三十；</w:t>
      </w:r>
    </w:p>
    <w:p>
      <w:pPr>
        <w:pStyle w:val="BodyText"/>
        <w:spacing w:before="7"/>
        <w:rPr>
          <w:sz w:val="15"/>
        </w:rPr>
      </w:pPr>
    </w:p>
    <w:p>
      <w:pPr>
        <w:pStyle w:val="ListParagraph"/>
        <w:numPr>
          <w:ilvl w:val="0"/>
          <w:numId w:val="30"/>
        </w:numPr>
        <w:tabs>
          <w:tab w:pos="1275" w:val="left" w:leader="none"/>
        </w:tabs>
        <w:spacing w:line="240" w:lineRule="auto" w:before="0" w:after="0"/>
        <w:ind w:left="1275" w:right="0" w:hanging="635"/>
        <w:jc w:val="left"/>
        <w:rPr>
          <w:sz w:val="21"/>
        </w:rPr>
      </w:pPr>
      <w:r>
        <w:rPr>
          <w:spacing w:val="-3"/>
          <w:sz w:val="21"/>
        </w:rPr>
        <w:t>涉及基金财产、基金管理业务、基金托管业务的诉讼或仲裁；</w:t>
      </w:r>
    </w:p>
    <w:p>
      <w:pPr>
        <w:pStyle w:val="BodyText"/>
        <w:spacing w:before="7"/>
        <w:rPr>
          <w:sz w:val="15"/>
        </w:rPr>
      </w:pPr>
    </w:p>
    <w:p>
      <w:pPr>
        <w:pStyle w:val="ListParagraph"/>
        <w:numPr>
          <w:ilvl w:val="0"/>
          <w:numId w:val="30"/>
        </w:numPr>
        <w:tabs>
          <w:tab w:pos="1266" w:val="left" w:leader="none"/>
        </w:tabs>
        <w:spacing w:line="417" w:lineRule="auto" w:before="0" w:after="0"/>
        <w:ind w:left="220" w:right="591" w:firstLine="419"/>
        <w:jc w:val="both"/>
        <w:rPr>
          <w:sz w:val="21"/>
        </w:rPr>
      </w:pPr>
      <w:r>
        <w:rPr>
          <w:spacing w:val="-6"/>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0"/>
        </w:numPr>
        <w:tabs>
          <w:tab w:pos="1273" w:val="left" w:leader="none"/>
        </w:tabs>
        <w:spacing w:line="417" w:lineRule="auto" w:before="0" w:after="0"/>
        <w:ind w:left="220" w:right="59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0"/>
        </w:numPr>
        <w:tabs>
          <w:tab w:pos="1275" w:val="left" w:leader="none"/>
        </w:tabs>
        <w:spacing w:line="269" w:lineRule="exact" w:before="0" w:after="0"/>
        <w:ind w:left="1275" w:right="0" w:hanging="635"/>
        <w:jc w:val="left"/>
        <w:rPr>
          <w:sz w:val="21"/>
        </w:rPr>
      </w:pPr>
      <w:r>
        <w:rPr>
          <w:spacing w:val="-3"/>
          <w:sz w:val="21"/>
        </w:rPr>
        <w:t>基金收益分配事项；</w:t>
      </w:r>
    </w:p>
    <w:p>
      <w:pPr>
        <w:pStyle w:val="BodyText"/>
        <w:spacing w:before="6"/>
        <w:rPr>
          <w:sz w:val="15"/>
        </w:rPr>
      </w:pPr>
    </w:p>
    <w:p>
      <w:pPr>
        <w:pStyle w:val="ListParagraph"/>
        <w:numPr>
          <w:ilvl w:val="0"/>
          <w:numId w:val="30"/>
        </w:numPr>
        <w:tabs>
          <w:tab w:pos="1275" w:val="left" w:leader="none"/>
        </w:tabs>
        <w:spacing w:line="240" w:lineRule="auto" w:before="1" w:after="0"/>
        <w:ind w:left="1275" w:right="0" w:hanging="635"/>
        <w:jc w:val="left"/>
        <w:rPr>
          <w:sz w:val="21"/>
        </w:rPr>
      </w:pPr>
      <w:r>
        <w:rPr>
          <w:spacing w:val="-3"/>
          <w:sz w:val="21"/>
        </w:rPr>
        <w:t>管理费、托管费、申购费、赎回费等费用计提标准、计提方式和费率发生变更；</w:t>
      </w:r>
    </w:p>
    <w:p>
      <w:pPr>
        <w:pStyle w:val="BodyText"/>
        <w:spacing w:before="6"/>
        <w:rPr>
          <w:sz w:val="15"/>
        </w:rPr>
      </w:pPr>
    </w:p>
    <w:p>
      <w:pPr>
        <w:pStyle w:val="ListParagraph"/>
        <w:numPr>
          <w:ilvl w:val="0"/>
          <w:numId w:val="30"/>
        </w:numPr>
        <w:tabs>
          <w:tab w:pos="1275" w:val="left" w:leader="none"/>
        </w:tabs>
        <w:spacing w:line="240" w:lineRule="auto" w:before="0" w:after="0"/>
        <w:ind w:left="1275" w:right="0" w:hanging="635"/>
        <w:jc w:val="left"/>
        <w:rPr>
          <w:sz w:val="21"/>
        </w:rPr>
      </w:pPr>
      <w:r>
        <w:rPr>
          <w:spacing w:val="-3"/>
          <w:sz w:val="21"/>
        </w:rPr>
        <w:t>基金份额净值计价错误达基金份额净值百分之零点五；</w:t>
      </w:r>
    </w:p>
    <w:p>
      <w:pPr>
        <w:pStyle w:val="BodyText"/>
        <w:spacing w:before="7"/>
        <w:rPr>
          <w:sz w:val="15"/>
        </w:rPr>
      </w:pPr>
    </w:p>
    <w:p>
      <w:pPr>
        <w:pStyle w:val="ListParagraph"/>
        <w:numPr>
          <w:ilvl w:val="0"/>
          <w:numId w:val="30"/>
        </w:numPr>
        <w:tabs>
          <w:tab w:pos="1275" w:val="left" w:leader="none"/>
        </w:tabs>
        <w:spacing w:line="240" w:lineRule="auto" w:before="0" w:after="0"/>
        <w:ind w:left="1275" w:right="0" w:hanging="635"/>
        <w:jc w:val="left"/>
        <w:rPr>
          <w:sz w:val="21"/>
        </w:rPr>
      </w:pPr>
      <w:r>
        <w:rPr>
          <w:spacing w:val="-3"/>
          <w:sz w:val="21"/>
        </w:rPr>
        <w:t>本基金开始办理申购、赎回；</w:t>
      </w:r>
    </w:p>
    <w:p>
      <w:pPr>
        <w:pStyle w:val="BodyText"/>
        <w:spacing w:before="7"/>
        <w:rPr>
          <w:sz w:val="15"/>
        </w:rPr>
      </w:pPr>
    </w:p>
    <w:p>
      <w:pPr>
        <w:pStyle w:val="ListParagraph"/>
        <w:numPr>
          <w:ilvl w:val="0"/>
          <w:numId w:val="30"/>
        </w:numPr>
        <w:tabs>
          <w:tab w:pos="1275" w:val="left" w:leader="none"/>
        </w:tabs>
        <w:spacing w:line="240" w:lineRule="auto" w:before="0" w:after="0"/>
        <w:ind w:left="1275" w:right="0" w:hanging="635"/>
        <w:jc w:val="left"/>
        <w:rPr>
          <w:sz w:val="21"/>
        </w:rPr>
      </w:pPr>
      <w:r>
        <w:rPr>
          <w:spacing w:val="-3"/>
          <w:sz w:val="21"/>
        </w:rPr>
        <w:t>本基金发生巨额赎回并延期办理；</w:t>
      </w:r>
    </w:p>
    <w:p>
      <w:pPr>
        <w:pStyle w:val="BodyText"/>
        <w:spacing w:before="7"/>
        <w:rPr>
          <w:sz w:val="15"/>
        </w:rPr>
      </w:pPr>
    </w:p>
    <w:p>
      <w:pPr>
        <w:pStyle w:val="ListParagraph"/>
        <w:numPr>
          <w:ilvl w:val="0"/>
          <w:numId w:val="30"/>
        </w:numPr>
        <w:tabs>
          <w:tab w:pos="1275" w:val="left" w:leader="none"/>
        </w:tabs>
        <w:spacing w:line="240" w:lineRule="auto" w:before="0" w:after="0"/>
        <w:ind w:left="1275" w:right="0" w:hanging="635"/>
        <w:jc w:val="left"/>
        <w:rPr>
          <w:sz w:val="21"/>
        </w:rPr>
      </w:pPr>
      <w:r>
        <w:rPr>
          <w:spacing w:val="-3"/>
          <w:sz w:val="21"/>
        </w:rPr>
        <w:t>本基金连续发生巨额赎回并暂停接受赎回申请或延缓支付赎回款项；</w:t>
      </w:r>
    </w:p>
    <w:p>
      <w:pPr>
        <w:pStyle w:val="BodyText"/>
        <w:spacing w:before="7"/>
        <w:rPr>
          <w:sz w:val="15"/>
        </w:rPr>
      </w:pPr>
    </w:p>
    <w:p>
      <w:pPr>
        <w:pStyle w:val="ListParagraph"/>
        <w:numPr>
          <w:ilvl w:val="0"/>
          <w:numId w:val="30"/>
        </w:numPr>
        <w:tabs>
          <w:tab w:pos="1275" w:val="left" w:leader="none"/>
        </w:tabs>
        <w:spacing w:line="240" w:lineRule="auto" w:before="0" w:after="0"/>
        <w:ind w:left="1275" w:right="0" w:hanging="635"/>
        <w:jc w:val="left"/>
        <w:rPr>
          <w:sz w:val="21"/>
        </w:rPr>
      </w:pPr>
      <w:r>
        <w:rPr>
          <w:spacing w:val="-3"/>
          <w:sz w:val="21"/>
        </w:rPr>
        <w:t>本基金暂停接受申购、赎回申请或重新接受申购、赎回申请；</w:t>
      </w:r>
    </w:p>
    <w:p>
      <w:pPr>
        <w:pStyle w:val="BodyText"/>
        <w:spacing w:before="6"/>
        <w:rPr>
          <w:sz w:val="15"/>
        </w:rPr>
      </w:pPr>
    </w:p>
    <w:p>
      <w:pPr>
        <w:pStyle w:val="ListParagraph"/>
        <w:numPr>
          <w:ilvl w:val="0"/>
          <w:numId w:val="30"/>
        </w:numPr>
        <w:tabs>
          <w:tab w:pos="1275" w:val="left" w:leader="none"/>
        </w:tabs>
        <w:spacing w:line="240" w:lineRule="auto" w:before="0" w:after="0"/>
        <w:ind w:left="1275" w:right="0" w:hanging="635"/>
        <w:jc w:val="left"/>
        <w:rPr>
          <w:sz w:val="21"/>
        </w:rPr>
      </w:pPr>
      <w:r>
        <w:rPr>
          <w:spacing w:val="-3"/>
          <w:sz w:val="21"/>
        </w:rPr>
        <w:t>基金份额的拆分；</w:t>
      </w:r>
    </w:p>
    <w:p>
      <w:pPr>
        <w:pStyle w:val="BodyText"/>
        <w:spacing w:before="7"/>
        <w:rPr>
          <w:sz w:val="15"/>
        </w:rPr>
      </w:pPr>
    </w:p>
    <w:p>
      <w:pPr>
        <w:pStyle w:val="ListParagraph"/>
        <w:numPr>
          <w:ilvl w:val="0"/>
          <w:numId w:val="30"/>
        </w:numPr>
        <w:tabs>
          <w:tab w:pos="1275" w:val="left" w:leader="none"/>
        </w:tabs>
        <w:spacing w:line="240" w:lineRule="auto" w:before="0" w:after="0"/>
        <w:ind w:left="1275" w:right="0" w:hanging="635"/>
        <w:jc w:val="left"/>
        <w:rPr>
          <w:sz w:val="21"/>
        </w:rPr>
      </w:pPr>
      <w:r>
        <w:rPr>
          <w:spacing w:val="-3"/>
          <w:sz w:val="21"/>
        </w:rPr>
        <w:t>基金变更份额类别设置；</w:t>
      </w:r>
    </w:p>
    <w:p>
      <w:pPr>
        <w:pStyle w:val="BodyText"/>
        <w:spacing w:before="7"/>
        <w:rPr>
          <w:sz w:val="15"/>
        </w:rPr>
      </w:pPr>
    </w:p>
    <w:p>
      <w:pPr>
        <w:pStyle w:val="ListParagraph"/>
        <w:numPr>
          <w:ilvl w:val="0"/>
          <w:numId w:val="30"/>
        </w:numPr>
        <w:tabs>
          <w:tab w:pos="1275" w:val="left" w:leader="none"/>
        </w:tabs>
        <w:spacing w:line="240" w:lineRule="auto" w:before="0" w:after="0"/>
        <w:ind w:left="1275" w:right="0" w:hanging="635"/>
        <w:jc w:val="left"/>
        <w:rPr>
          <w:sz w:val="21"/>
        </w:rPr>
      </w:pPr>
      <w:r>
        <w:rPr>
          <w:spacing w:val="-3"/>
          <w:sz w:val="21"/>
        </w:rPr>
        <w:t>基金管理人采用摆动定价机制进行估值；</w:t>
      </w:r>
    </w:p>
    <w:p>
      <w:pPr>
        <w:pStyle w:val="BodyText"/>
        <w:spacing w:before="7"/>
        <w:rPr>
          <w:sz w:val="15"/>
        </w:rPr>
      </w:pPr>
    </w:p>
    <w:p>
      <w:pPr>
        <w:pStyle w:val="ListParagraph"/>
        <w:numPr>
          <w:ilvl w:val="0"/>
          <w:numId w:val="30"/>
        </w:numPr>
        <w:tabs>
          <w:tab w:pos="1275" w:val="left" w:leader="none"/>
        </w:tabs>
        <w:spacing w:line="240" w:lineRule="auto" w:before="0" w:after="0"/>
        <w:ind w:left="1275" w:right="0" w:hanging="635"/>
        <w:jc w:val="left"/>
        <w:rPr>
          <w:sz w:val="21"/>
        </w:rPr>
      </w:pPr>
      <w:r>
        <w:rPr>
          <w:spacing w:val="-3"/>
          <w:sz w:val="21"/>
        </w:rPr>
        <w:t>本基金发生涉及基金申购、赎回事项调整或潜在影响投资者赎回等重大事项；</w:t>
      </w:r>
    </w:p>
    <w:p>
      <w:pPr>
        <w:pStyle w:val="BodyText"/>
        <w:spacing w:before="7"/>
        <w:rPr>
          <w:sz w:val="15"/>
        </w:rPr>
      </w:pPr>
    </w:p>
    <w:p>
      <w:pPr>
        <w:pStyle w:val="ListParagraph"/>
        <w:numPr>
          <w:ilvl w:val="0"/>
          <w:numId w:val="30"/>
        </w:numPr>
        <w:tabs>
          <w:tab w:pos="1273" w:val="left" w:leader="none"/>
        </w:tabs>
        <w:spacing w:line="417" w:lineRule="auto" w:before="0" w:after="0"/>
        <w:ind w:left="220" w:right="59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spacing w:line="269" w:lineRule="exact"/>
        <w:ind w:left="640"/>
      </w:pPr>
      <w:r>
        <w:rPr>
          <w:rFonts w:ascii="Times New Roman" w:eastAsia="Times New Roman"/>
        </w:rPr>
        <w:t>9</w:t>
      </w:r>
      <w:r>
        <w:rPr/>
        <w:t>、澄清公告</w:t>
      </w:r>
    </w:p>
    <w:p>
      <w:pPr>
        <w:pStyle w:val="BodyText"/>
        <w:spacing w:before="7"/>
        <w:rPr>
          <w:sz w:val="15"/>
        </w:rPr>
      </w:pPr>
    </w:p>
    <w:p>
      <w:pPr>
        <w:pStyle w:val="BodyText"/>
        <w:spacing w:line="417" w:lineRule="auto"/>
        <w:ind w:left="220" w:right="384" w:firstLine="419"/>
      </w:pPr>
      <w:r>
        <w:rPr>
          <w:spacing w:val="-12"/>
        </w:rPr>
        <w:t>在《基金合同》存续期限内，任何公共媒介中出现的或者在市场上流传的消息可能对基 </w:t>
      </w:r>
      <w:r>
        <w:rPr>
          <w:spacing w:val="-11"/>
        </w:rPr>
        <w:t>金份额价格产生误导性影响或者引起较大波动，以及可能损害基金份额持有人权益的，相关 </w:t>
      </w:r>
      <w:r>
        <w:rPr>
          <w:spacing w:val="-10"/>
        </w:rPr>
        <w:t>信息披露义务人知悉后应当立即对该消息进行公开澄清，并将有关情况立即报告中国证监会。</w:t>
      </w:r>
    </w:p>
    <w:p>
      <w:pPr>
        <w:pStyle w:val="BodyText"/>
        <w:spacing w:line="269" w:lineRule="exact"/>
        <w:ind w:left="640"/>
      </w:pPr>
      <w:r>
        <w:rPr>
          <w:rFonts w:ascii="Times New Roman" w:eastAsia="Times New Roman"/>
        </w:rPr>
        <w:t>10</w:t>
      </w:r>
      <w:r>
        <w:rPr/>
        <w:t>、清算报告</w:t>
      </w:r>
    </w:p>
    <w:p>
      <w:pPr>
        <w:pStyle w:val="BodyText"/>
        <w:spacing w:before="7"/>
        <w:rPr>
          <w:sz w:val="15"/>
        </w:rPr>
      </w:pPr>
    </w:p>
    <w:p>
      <w:pPr>
        <w:pStyle w:val="BodyText"/>
        <w:spacing w:line="417" w:lineRule="auto"/>
        <w:ind w:left="220" w:right="591" w:firstLine="419"/>
      </w:pPr>
      <w:r>
        <w:rPr>
          <w:spacing w:val="-7"/>
        </w:rPr>
        <w:t>基金财产清算小组应当将清算报告登载在指定网站上，并将清算报告提示性公告登载在</w:t>
      </w:r>
      <w:r>
        <w:rPr>
          <w:spacing w:val="-5"/>
        </w:rPr>
        <w:t>指定报刊上。</w:t>
      </w:r>
    </w:p>
    <w:p>
      <w:pPr>
        <w:spacing w:after="0" w:line="417" w:lineRule="auto"/>
        <w:sectPr>
          <w:pgSz w:w="11910" w:h="16840"/>
          <w:pgMar w:header="877" w:footer="995" w:top="1420" w:bottom="1180" w:left="1580" w:right="1200"/>
        </w:sectPr>
      </w:pPr>
    </w:p>
    <w:p>
      <w:pPr>
        <w:pStyle w:val="BodyText"/>
        <w:spacing w:before="110"/>
        <w:ind w:left="640"/>
      </w:pPr>
      <w:r>
        <w:rPr>
          <w:rFonts w:ascii="Times New Roman" w:eastAsia="Times New Roman"/>
        </w:rPr>
        <w:t>11</w:t>
      </w:r>
      <w:r>
        <w:rPr/>
        <w:t>、基金份额持有人大会决议</w:t>
      </w:r>
    </w:p>
    <w:p>
      <w:pPr>
        <w:pStyle w:val="BodyText"/>
        <w:spacing w:before="6"/>
        <w:rPr>
          <w:sz w:val="15"/>
        </w:rPr>
      </w:pPr>
    </w:p>
    <w:p>
      <w:pPr>
        <w:pStyle w:val="BodyText"/>
        <w:spacing w:line="417" w:lineRule="auto"/>
        <w:ind w:left="220" w:right="591" w:firstLine="419"/>
      </w:pPr>
      <w:r>
        <w:rPr>
          <w:spacing w:val="-8"/>
        </w:rPr>
        <w:t>基金份额持有人大会决定的事项，应当依法报国务院证券监督管理机构备案，并予以公告。</w:t>
      </w:r>
    </w:p>
    <w:p>
      <w:pPr>
        <w:pStyle w:val="BodyText"/>
        <w:spacing w:line="269" w:lineRule="exact"/>
        <w:ind w:left="640"/>
      </w:pPr>
      <w:r>
        <w:rPr>
          <w:rFonts w:ascii="Times New Roman" w:eastAsia="Times New Roman"/>
        </w:rPr>
        <w:t>12</w:t>
      </w:r>
      <w:r>
        <w:rPr/>
        <w:t>、投资中小企业私募债券的相关公告</w:t>
      </w:r>
    </w:p>
    <w:p>
      <w:pPr>
        <w:pStyle w:val="BodyText"/>
        <w:spacing w:before="7"/>
        <w:rPr>
          <w:sz w:val="15"/>
        </w:rPr>
      </w:pPr>
    </w:p>
    <w:p>
      <w:pPr>
        <w:pStyle w:val="BodyText"/>
        <w:spacing w:line="417" w:lineRule="auto"/>
        <w:ind w:left="220" w:right="591" w:firstLine="419"/>
      </w:pPr>
      <w:r>
        <w:rPr>
          <w:spacing w:val="-7"/>
        </w:rPr>
        <w:t>基金管理人在本基金投资中小企业私募债券后两个交易日内，在中国证监会指定媒介披</w:t>
      </w:r>
      <w:r>
        <w:rPr>
          <w:spacing w:val="-5"/>
        </w:rPr>
        <w:t>露所投资中小企业私募债券的名称、数量、期限、收益率等信息。</w:t>
      </w:r>
    </w:p>
    <w:p>
      <w:pPr>
        <w:pStyle w:val="BodyText"/>
        <w:spacing w:line="417" w:lineRule="auto"/>
        <w:ind w:left="220" w:right="591" w:firstLine="419"/>
      </w:pPr>
      <w:r>
        <w:rPr>
          <w:spacing w:val="-9"/>
        </w:rPr>
        <w:t>本基金应当在季度报告、中期报告、年度报告等定期报告和招募说明书</w:t>
      </w:r>
      <w:r>
        <w:rPr/>
        <w:t>（</w:t>
      </w:r>
      <w:r>
        <w:rPr>
          <w:spacing w:val="-2"/>
        </w:rPr>
        <w:t>更新</w:t>
      </w:r>
      <w:r>
        <w:rPr>
          <w:spacing w:val="-25"/>
        </w:rPr>
        <w:t>）</w:t>
      </w:r>
      <w:r>
        <w:rPr>
          <w:spacing w:val="-2"/>
        </w:rPr>
        <w:t>等文件</w:t>
      </w:r>
      <w:r>
        <w:rPr>
          <w:spacing w:val="-3"/>
        </w:rPr>
        <w:t>中披露中小企业私募债券的投资情况。</w:t>
      </w:r>
    </w:p>
    <w:p>
      <w:pPr>
        <w:pStyle w:val="BodyText"/>
        <w:ind w:left="640"/>
      </w:pPr>
      <w:r>
        <w:rPr>
          <w:rFonts w:ascii="Times New Roman" w:eastAsia="Times New Roman"/>
        </w:rPr>
        <w:t>13</w:t>
      </w:r>
      <w:r>
        <w:rPr/>
        <w:t>、投资股指期货的相关公告</w:t>
      </w:r>
    </w:p>
    <w:p>
      <w:pPr>
        <w:pStyle w:val="BodyText"/>
        <w:spacing w:before="7"/>
        <w:rPr>
          <w:sz w:val="15"/>
        </w:rPr>
      </w:pPr>
    </w:p>
    <w:p>
      <w:pPr>
        <w:pStyle w:val="BodyText"/>
        <w:spacing w:line="417" w:lineRule="auto"/>
        <w:ind w:left="220" w:right="59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等文件中披露的股</w:t>
      </w:r>
      <w:r>
        <w:rPr>
          <w:spacing w:val="-10"/>
        </w:rPr>
        <w:t>指期货交易情况，应当包括投资政策、持仓情况、损益情况、风险指标等，并充分揭示股指</w:t>
      </w:r>
      <w:r>
        <w:rPr>
          <w:spacing w:val="-5"/>
        </w:rPr>
        <w:t>期货交易对本基金总体风险的影响以及是否符合既定的投资政策和投资目标等。</w:t>
      </w:r>
    </w:p>
    <w:p>
      <w:pPr>
        <w:pStyle w:val="BodyText"/>
        <w:spacing w:line="269" w:lineRule="exact"/>
        <w:ind w:left="640"/>
      </w:pPr>
      <w:r>
        <w:rPr>
          <w:rFonts w:ascii="Times New Roman" w:eastAsia="Times New Roman"/>
        </w:rPr>
        <w:t>14</w:t>
      </w:r>
      <w:r>
        <w:rPr/>
        <w:t>、投资国债期货的相关公告</w:t>
      </w:r>
    </w:p>
    <w:p>
      <w:pPr>
        <w:pStyle w:val="BodyText"/>
        <w:spacing w:before="6"/>
        <w:rPr>
          <w:sz w:val="15"/>
        </w:rPr>
      </w:pPr>
    </w:p>
    <w:p>
      <w:pPr>
        <w:pStyle w:val="BodyText"/>
        <w:spacing w:line="417" w:lineRule="auto" w:before="1"/>
        <w:ind w:left="220" w:right="59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等文件中披露的国</w:t>
      </w:r>
      <w:r>
        <w:rPr>
          <w:spacing w:val="-10"/>
        </w:rPr>
        <w:t>债期货交易情况，应当包括投资政策、持仓情况、损益情况、风险指标等，并充分揭示国债</w:t>
      </w:r>
      <w:r>
        <w:rPr>
          <w:spacing w:val="-5"/>
        </w:rPr>
        <w:t>期货交易对本基金总体风险的影响以及是否符合既定的投资政策和投资目标等。</w:t>
      </w:r>
    </w:p>
    <w:p>
      <w:pPr>
        <w:pStyle w:val="BodyText"/>
        <w:ind w:left="640"/>
      </w:pPr>
      <w:r>
        <w:rPr>
          <w:rFonts w:ascii="Times New Roman" w:eastAsia="Times New Roman"/>
        </w:rPr>
        <w:t>15</w:t>
      </w:r>
      <w:r>
        <w:rPr/>
        <w:t>、股票期权投资情况</w:t>
      </w:r>
    </w:p>
    <w:p>
      <w:pPr>
        <w:pStyle w:val="BodyText"/>
        <w:spacing w:before="6"/>
        <w:rPr>
          <w:sz w:val="15"/>
        </w:rPr>
      </w:pPr>
    </w:p>
    <w:p>
      <w:pPr>
        <w:pStyle w:val="BodyText"/>
        <w:spacing w:line="417" w:lineRule="auto"/>
        <w:ind w:left="220" w:right="382" w:firstLine="419"/>
      </w:pPr>
      <w:r>
        <w:rPr>
          <w:spacing w:val="-6"/>
        </w:rPr>
        <w:t>基金管理人应在定期信息披露文件中披露参与股票期权交易的有关情况，包括投资政策、</w:t>
      </w:r>
      <w:r>
        <w:rPr>
          <w:spacing w:val="-12"/>
        </w:rPr>
        <w:t>持仓情况、损益情况、风险指标、估值方法等，并充分揭示股票期权交易对基金总体风险的 </w:t>
      </w:r>
      <w:r>
        <w:rPr>
          <w:spacing w:val="-7"/>
        </w:rPr>
        <w:t>影响等。</w:t>
      </w:r>
    </w:p>
    <w:p>
      <w:pPr>
        <w:pStyle w:val="BodyText"/>
        <w:spacing w:line="269" w:lineRule="exact"/>
        <w:ind w:left="640"/>
      </w:pPr>
      <w:r>
        <w:rPr>
          <w:rFonts w:ascii="Times New Roman" w:eastAsia="Times New Roman"/>
        </w:rPr>
        <w:t>16</w:t>
      </w:r>
      <w:r>
        <w:rPr/>
        <w:t>、资产支持证券的相关公告</w:t>
      </w:r>
    </w:p>
    <w:p>
      <w:pPr>
        <w:pStyle w:val="BodyText"/>
        <w:spacing w:before="7"/>
        <w:rPr>
          <w:sz w:val="15"/>
        </w:rPr>
      </w:pPr>
    </w:p>
    <w:p>
      <w:pPr>
        <w:pStyle w:val="BodyText"/>
        <w:spacing w:line="417" w:lineRule="auto" w:before="1"/>
        <w:ind w:left="220" w:right="591" w:firstLine="419"/>
        <w:jc w:val="both"/>
      </w:pPr>
      <w:r>
        <w:rPr>
          <w:spacing w:val="-6"/>
        </w:rPr>
        <w:t>基金管理人应在基金年报及中期报告中披露其持有的资产支持证券总额、资产支持证券</w:t>
      </w:r>
      <w:r>
        <w:rPr>
          <w:spacing w:val="-8"/>
        </w:rPr>
        <w:t>市值占基金净资产的比例和报告期内所有的资产支持证券明细。基金管理人应在基金季度报</w:t>
      </w:r>
      <w:r>
        <w:rPr>
          <w:spacing w:val="-10"/>
        </w:rPr>
        <w:t>告中披露本基金持有的资产支持证券总额、资产支持证券市值占基金净资产的比例和报告期</w:t>
      </w:r>
      <w:r>
        <w:rPr>
          <w:spacing w:val="-8"/>
        </w:rPr>
        <w:t>末按市值占基金净资产比例大小排序的前 </w:t>
      </w:r>
      <w:r>
        <w:rPr>
          <w:rFonts w:ascii="Times New Roman" w:eastAsia="Times New Roman"/>
        </w:rPr>
        <w:t>10 </w:t>
      </w:r>
      <w:r>
        <w:rPr>
          <w:spacing w:val="-3"/>
        </w:rPr>
        <w:t>名资产支持证券明细。</w:t>
      </w:r>
    </w:p>
    <w:p>
      <w:pPr>
        <w:pStyle w:val="BodyText"/>
        <w:spacing w:line="268" w:lineRule="exact"/>
        <w:ind w:left="640"/>
      </w:pPr>
      <w:r>
        <w:rPr>
          <w:rFonts w:ascii="Times New Roman" w:eastAsia="Times New Roman"/>
        </w:rPr>
        <w:t>17</w:t>
      </w:r>
      <w:r>
        <w:rPr/>
        <w:t>、投资流通受限证券的相关公告</w:t>
      </w:r>
    </w:p>
    <w:p>
      <w:pPr>
        <w:pStyle w:val="BodyText"/>
        <w:spacing w:before="6"/>
        <w:rPr>
          <w:sz w:val="15"/>
        </w:rPr>
      </w:pPr>
    </w:p>
    <w:p>
      <w:pPr>
        <w:pStyle w:val="BodyText"/>
        <w:spacing w:line="417" w:lineRule="auto"/>
        <w:ind w:left="220" w:right="591" w:firstLine="419"/>
        <w:jc w:val="both"/>
      </w:pPr>
      <w:r>
        <w:rPr>
          <w:spacing w:val="-7"/>
        </w:rPr>
        <w:t>基金管理公司应在基金投资非公开发行股票后两个交易日内，在中国证监会指定媒介披</w:t>
      </w:r>
      <w:r>
        <w:rPr>
          <w:spacing w:val="-11"/>
        </w:rPr>
        <w:t>露所投资非公开发行股票的名称、数量、总成本、账面价值，以及总成本和账面价值占基金</w:t>
      </w:r>
      <w:r>
        <w:rPr>
          <w:spacing w:val="-13"/>
        </w:rPr>
        <w:t>资产净值的比例、锁定期等信息。”</w:t>
      </w:r>
    </w:p>
    <w:p>
      <w:pPr>
        <w:pStyle w:val="BodyText"/>
        <w:ind w:left="640"/>
      </w:pPr>
      <w:r>
        <w:rPr>
          <w:rFonts w:ascii="Times New Roman" w:eastAsia="Times New Roman"/>
        </w:rPr>
        <w:t>18</w:t>
      </w:r>
      <w:r>
        <w:rPr/>
        <w:t>、投资港股通标的股票的相关公告</w:t>
      </w:r>
    </w:p>
    <w:p>
      <w:pPr>
        <w:spacing w:after="0"/>
        <w:sectPr>
          <w:pgSz w:w="11910" w:h="16840"/>
          <w:pgMar w:header="877" w:footer="995" w:top="1420" w:bottom="1180" w:left="1580" w:right="1200"/>
        </w:sectPr>
      </w:pPr>
    </w:p>
    <w:p>
      <w:pPr>
        <w:pStyle w:val="BodyText"/>
        <w:spacing w:line="417" w:lineRule="auto" w:before="110"/>
        <w:ind w:left="220" w:right="591" w:firstLine="419"/>
      </w:pPr>
      <w:r>
        <w:rPr>
          <w:spacing w:val="-8"/>
        </w:rPr>
        <w:t>基金管理人应当在季度报告、中期报告、年度报告等定期报告和招募说明书</w:t>
      </w:r>
      <w:r>
        <w:rPr/>
        <w:t>（</w:t>
      </w:r>
      <w:r>
        <w:rPr>
          <w:spacing w:val="-2"/>
        </w:rPr>
        <w:t>更新</w:t>
      </w:r>
      <w:r>
        <w:rPr>
          <w:spacing w:val="-25"/>
        </w:rPr>
        <w:t>）</w:t>
      </w:r>
      <w:r>
        <w:rPr/>
        <w:t>等</w:t>
      </w:r>
      <w:r>
        <w:rPr>
          <w:spacing w:val="-3"/>
        </w:rPr>
        <w:t>文件中披露参与港股通交易的相关情况。</w:t>
      </w:r>
    </w:p>
    <w:p>
      <w:pPr>
        <w:pStyle w:val="BodyText"/>
        <w:spacing w:line="269" w:lineRule="exact"/>
        <w:ind w:left="640"/>
      </w:pPr>
      <w:r>
        <w:rPr>
          <w:rFonts w:ascii="Times New Roman" w:eastAsia="Times New Roman"/>
        </w:rPr>
        <w:t>19</w:t>
      </w:r>
      <w:r>
        <w:rPr/>
        <w:t>、中国证监会规定的其他信息。</w:t>
      </w:r>
    </w:p>
    <w:p>
      <w:pPr>
        <w:pStyle w:val="BodyText"/>
        <w:spacing w:before="6"/>
        <w:rPr>
          <w:sz w:val="15"/>
        </w:rPr>
      </w:pPr>
    </w:p>
    <w:p>
      <w:pPr>
        <w:pStyle w:val="BodyText"/>
        <w:ind w:left="640"/>
      </w:pPr>
      <w:r>
        <w:rPr/>
        <w:t>（六）信息披露事务管理</w:t>
      </w:r>
    </w:p>
    <w:p>
      <w:pPr>
        <w:pStyle w:val="BodyText"/>
        <w:spacing w:before="7"/>
        <w:rPr>
          <w:sz w:val="15"/>
        </w:rPr>
      </w:pPr>
    </w:p>
    <w:p>
      <w:pPr>
        <w:pStyle w:val="BodyText"/>
        <w:spacing w:line="417" w:lineRule="auto"/>
        <w:ind w:left="220" w:right="59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220" w:right="59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220" w:right="59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220" w:right="591" w:firstLine="419"/>
      </w:pPr>
      <w:r>
        <w:rPr>
          <w:spacing w:val="-10"/>
        </w:rPr>
        <w:t>基金管理人、基金托管人应当在指定报刊中选择披露信息的报刊，本基金只需选择一家报刊。</w:t>
      </w:r>
    </w:p>
    <w:p>
      <w:pPr>
        <w:pStyle w:val="BodyText"/>
        <w:spacing w:line="417" w:lineRule="auto"/>
        <w:ind w:left="220" w:right="48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17" w:lineRule="auto"/>
        <w:ind w:left="220" w:right="59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spacing w:line="269" w:lineRule="exact"/>
        <w:ind w:left="640"/>
      </w:pPr>
      <w:r>
        <w:rPr/>
        <w:t>（七）信息披露文件的存放与查阅</w:t>
      </w:r>
    </w:p>
    <w:p>
      <w:pPr>
        <w:pStyle w:val="BodyText"/>
        <w:spacing w:before="6"/>
        <w:rPr>
          <w:sz w:val="15"/>
        </w:rPr>
      </w:pPr>
    </w:p>
    <w:p>
      <w:pPr>
        <w:pStyle w:val="BodyText"/>
        <w:spacing w:line="417" w:lineRule="auto"/>
        <w:ind w:left="220" w:right="59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ind w:left="693"/>
      </w:pPr>
      <w:r>
        <w:rPr/>
        <w:t>（八）法律法规或监管部门对信息披露另有规定的，从其规定。</w:t>
      </w:r>
    </w:p>
    <w:p>
      <w:pPr>
        <w:pStyle w:val="BodyText"/>
        <w:rPr>
          <w:sz w:val="20"/>
        </w:rPr>
      </w:pPr>
    </w:p>
    <w:p>
      <w:pPr>
        <w:pStyle w:val="BodyText"/>
        <w:spacing w:before="1"/>
        <w:rPr>
          <w:sz w:val="22"/>
        </w:rPr>
      </w:pPr>
    </w:p>
    <w:p>
      <w:pPr>
        <w:pStyle w:val="Heading1"/>
        <w:spacing w:before="1"/>
      </w:pPr>
      <w:bookmarkStart w:name="_bookmark16" w:id="17"/>
      <w:bookmarkEnd w:id="17"/>
      <w:r>
        <w:rPr>
          <w:b w:val="0"/>
        </w:rPr>
      </w:r>
      <w:r>
        <w:rPr/>
        <w:t>十八、风险揭示</w:t>
      </w:r>
    </w:p>
    <w:p>
      <w:pPr>
        <w:pStyle w:val="BodyText"/>
        <w:rPr>
          <w:b/>
          <w:sz w:val="20"/>
        </w:rPr>
      </w:pPr>
    </w:p>
    <w:p>
      <w:pPr>
        <w:pStyle w:val="BodyText"/>
        <w:spacing w:before="2"/>
        <w:rPr>
          <w:b/>
        </w:rPr>
      </w:pPr>
    </w:p>
    <w:p>
      <w:pPr>
        <w:pStyle w:val="BodyText"/>
        <w:ind w:left="640"/>
      </w:pPr>
      <w:r>
        <w:rPr/>
        <w:t>（一）投资于本基金的主要风险</w:t>
      </w:r>
    </w:p>
    <w:p>
      <w:pPr>
        <w:pStyle w:val="BodyText"/>
        <w:spacing w:before="7"/>
        <w:rPr>
          <w:sz w:val="15"/>
        </w:rPr>
      </w:pPr>
    </w:p>
    <w:p>
      <w:pPr>
        <w:pStyle w:val="BodyText"/>
        <w:ind w:left="640"/>
      </w:pPr>
      <w:r>
        <w:rPr>
          <w:rFonts w:ascii="Times New Roman" w:eastAsia="Times New Roman"/>
        </w:rPr>
        <w:t>1</w:t>
      </w:r>
      <w:r>
        <w:rPr/>
        <w:t>、市场风险</w:t>
      </w:r>
    </w:p>
    <w:p>
      <w:pPr>
        <w:pStyle w:val="BodyText"/>
        <w:spacing w:before="6"/>
        <w:rPr>
          <w:sz w:val="15"/>
        </w:rPr>
      </w:pPr>
    </w:p>
    <w:p>
      <w:pPr>
        <w:pStyle w:val="BodyText"/>
        <w:spacing w:line="417" w:lineRule="auto" w:before="1"/>
        <w:ind w:left="220" w:right="591" w:firstLine="419"/>
      </w:pPr>
      <w:r>
        <w:rPr>
          <w:spacing w:val="-8"/>
        </w:rPr>
        <w:t>证券市场价格因受各种因素的影响而引起的波动，将使本基金资产面临潜在的风险。市</w:t>
      </w:r>
      <w:r>
        <w:rPr>
          <w:spacing w:val="-5"/>
        </w:rPr>
        <w:t>场风险可以分为股票投资风险和债券投资风险。</w:t>
      </w:r>
    </w:p>
    <w:p>
      <w:pPr>
        <w:spacing w:after="0" w:line="417" w:lineRule="auto"/>
        <w:sectPr>
          <w:pgSz w:w="11910" w:h="16840"/>
          <w:pgMar w:header="877" w:footer="995" w:top="1420" w:bottom="1180" w:left="1580" w:right="1200"/>
        </w:sectPr>
      </w:pPr>
    </w:p>
    <w:p>
      <w:pPr>
        <w:pStyle w:val="BodyText"/>
        <w:spacing w:before="110"/>
        <w:ind w:left="640"/>
      </w:pPr>
      <w:r>
        <w:rPr/>
        <w:t>股票投资风险主要包括：</w:t>
      </w:r>
    </w:p>
    <w:p>
      <w:pPr>
        <w:pStyle w:val="BodyText"/>
        <w:spacing w:before="6"/>
        <w:rPr>
          <w:sz w:val="15"/>
        </w:rPr>
      </w:pPr>
    </w:p>
    <w:p>
      <w:pPr>
        <w:pStyle w:val="ListParagraph"/>
        <w:numPr>
          <w:ilvl w:val="0"/>
          <w:numId w:val="31"/>
        </w:numPr>
        <w:tabs>
          <w:tab w:pos="1170" w:val="left" w:leader="none"/>
        </w:tabs>
        <w:spacing w:line="417" w:lineRule="auto" w:before="0" w:after="0"/>
        <w:ind w:left="220" w:right="594" w:firstLine="419"/>
        <w:jc w:val="left"/>
        <w:rPr>
          <w:sz w:val="21"/>
        </w:rPr>
      </w:pPr>
      <w:r>
        <w:rPr>
          <w:spacing w:val="-3"/>
          <w:sz w:val="21"/>
        </w:rPr>
        <w:t>国家货币政策、财政政策、产业政策等的变化对证券市场产生一定的影响，导致市场价格水平波动的风险。</w:t>
      </w:r>
    </w:p>
    <w:p>
      <w:pPr>
        <w:pStyle w:val="ListParagraph"/>
        <w:numPr>
          <w:ilvl w:val="0"/>
          <w:numId w:val="31"/>
        </w:numPr>
        <w:tabs>
          <w:tab w:pos="1170" w:val="left" w:leader="none"/>
        </w:tabs>
        <w:spacing w:line="269" w:lineRule="exact" w:before="0" w:after="0"/>
        <w:ind w:left="1169" w:right="0" w:hanging="530"/>
        <w:jc w:val="left"/>
        <w:rPr>
          <w:sz w:val="21"/>
        </w:rPr>
      </w:pPr>
      <w:r>
        <w:rPr>
          <w:spacing w:val="-3"/>
          <w:sz w:val="21"/>
        </w:rPr>
        <w:t>宏观经济运行周期性波动，对股票市场的收益水平产生影响的风险。</w:t>
      </w:r>
    </w:p>
    <w:p>
      <w:pPr>
        <w:pStyle w:val="BodyText"/>
        <w:spacing w:before="7"/>
        <w:rPr>
          <w:sz w:val="15"/>
        </w:rPr>
      </w:pPr>
    </w:p>
    <w:p>
      <w:pPr>
        <w:pStyle w:val="ListParagraph"/>
        <w:numPr>
          <w:ilvl w:val="0"/>
          <w:numId w:val="31"/>
        </w:numPr>
        <w:tabs>
          <w:tab w:pos="1170" w:val="left" w:leader="none"/>
        </w:tabs>
        <w:spacing w:line="417" w:lineRule="auto" w:before="0" w:after="0"/>
        <w:ind w:left="220" w:right="594" w:firstLine="419"/>
        <w:jc w:val="left"/>
        <w:rPr>
          <w:sz w:val="21"/>
        </w:rPr>
      </w:pPr>
      <w:r>
        <w:rPr>
          <w:spacing w:val="-3"/>
          <w:sz w:val="21"/>
        </w:rPr>
        <w:t>上市公司的经营状况受多种因素影响，如市场、技术、竞争、管理、财务等都会导致公司盈利发生变化，从而导致股票价格变动的风险。</w:t>
      </w:r>
    </w:p>
    <w:p>
      <w:pPr>
        <w:pStyle w:val="BodyText"/>
        <w:spacing w:line="269" w:lineRule="exact"/>
        <w:ind w:left="640"/>
      </w:pPr>
      <w:r>
        <w:rPr/>
        <w:t>债券投资风险主要包括：</w:t>
      </w:r>
    </w:p>
    <w:p>
      <w:pPr>
        <w:pStyle w:val="BodyText"/>
        <w:spacing w:before="7"/>
        <w:rPr>
          <w:sz w:val="15"/>
        </w:rPr>
      </w:pPr>
    </w:p>
    <w:p>
      <w:pPr>
        <w:pStyle w:val="ListParagraph"/>
        <w:numPr>
          <w:ilvl w:val="0"/>
          <w:numId w:val="32"/>
        </w:numPr>
        <w:tabs>
          <w:tab w:pos="1170" w:val="left" w:leader="none"/>
        </w:tabs>
        <w:spacing w:line="240" w:lineRule="auto" w:before="1" w:after="0"/>
        <w:ind w:left="1169" w:right="0" w:hanging="530"/>
        <w:jc w:val="left"/>
        <w:rPr>
          <w:sz w:val="21"/>
        </w:rPr>
      </w:pPr>
      <w:r>
        <w:rPr>
          <w:spacing w:val="-3"/>
          <w:sz w:val="21"/>
        </w:rPr>
        <w:t>市场平均利率水平变化导致债券价格变化的风险。</w:t>
      </w:r>
    </w:p>
    <w:p>
      <w:pPr>
        <w:pStyle w:val="BodyText"/>
        <w:spacing w:before="6"/>
        <w:rPr>
          <w:sz w:val="15"/>
        </w:rPr>
      </w:pPr>
    </w:p>
    <w:p>
      <w:pPr>
        <w:pStyle w:val="ListParagraph"/>
        <w:numPr>
          <w:ilvl w:val="0"/>
          <w:numId w:val="32"/>
        </w:numPr>
        <w:tabs>
          <w:tab w:pos="1170" w:val="left" w:leader="none"/>
        </w:tabs>
        <w:spacing w:line="417" w:lineRule="auto" w:before="0" w:after="0"/>
        <w:ind w:left="220" w:right="594" w:firstLine="419"/>
        <w:jc w:val="left"/>
        <w:rPr>
          <w:sz w:val="21"/>
        </w:rPr>
      </w:pPr>
      <w:r>
        <w:rPr>
          <w:spacing w:val="-3"/>
          <w:sz w:val="21"/>
        </w:rPr>
        <w:t>债券市场不同期限、不同类属债券之间的利差变动导致相应期限和类属债券价格变化的风险。</w:t>
      </w:r>
    </w:p>
    <w:p>
      <w:pPr>
        <w:pStyle w:val="ListParagraph"/>
        <w:numPr>
          <w:ilvl w:val="0"/>
          <w:numId w:val="32"/>
        </w:numPr>
        <w:tabs>
          <w:tab w:pos="1170" w:val="left" w:leader="none"/>
        </w:tabs>
        <w:spacing w:line="417" w:lineRule="auto" w:before="0" w:after="0"/>
        <w:ind w:left="220" w:right="594" w:firstLine="419"/>
        <w:jc w:val="left"/>
        <w:rPr>
          <w:sz w:val="21"/>
        </w:rPr>
      </w:pPr>
      <w:r>
        <w:rPr>
          <w:spacing w:val="-3"/>
          <w:sz w:val="21"/>
        </w:rPr>
        <w:t>债券之发行人出现违约、拒绝支付到期本息，或由于债券发行人信用质量降低导致债券价格下降的风险。</w:t>
      </w:r>
    </w:p>
    <w:p>
      <w:pPr>
        <w:pStyle w:val="BodyText"/>
        <w:spacing w:line="269" w:lineRule="exact"/>
        <w:ind w:left="640"/>
      </w:pPr>
      <w:r>
        <w:rPr>
          <w:rFonts w:ascii="Times New Roman" w:eastAsia="Times New Roman"/>
        </w:rPr>
        <w:t>2</w:t>
      </w:r>
      <w:r>
        <w:rPr/>
        <w:t>、流动性风险</w:t>
      </w:r>
    </w:p>
    <w:p>
      <w:pPr>
        <w:pStyle w:val="BodyText"/>
        <w:spacing w:before="7"/>
        <w:rPr>
          <w:sz w:val="15"/>
        </w:rPr>
      </w:pPr>
    </w:p>
    <w:p>
      <w:pPr>
        <w:pStyle w:val="BodyText"/>
        <w:spacing w:line="417" w:lineRule="auto"/>
        <w:ind w:left="220" w:right="591" w:firstLine="419"/>
      </w:pPr>
      <w:r>
        <w:rPr>
          <w:spacing w:val="-9"/>
        </w:rPr>
        <w:t>在市场或者个券流动性不足的情况下，基金管理人可能无法迅速地以合理成本调整基金</w:t>
      </w:r>
      <w:r>
        <w:rPr>
          <w:spacing w:val="-5"/>
        </w:rPr>
        <w:t>投资组合，从而对基金收益造成不利影响。</w:t>
      </w:r>
    </w:p>
    <w:p>
      <w:pPr>
        <w:pStyle w:val="BodyText"/>
        <w:spacing w:line="417" w:lineRule="auto"/>
        <w:ind w:left="220" w:right="591" w:firstLine="419"/>
      </w:pPr>
      <w:r>
        <w:rPr>
          <w:spacing w:val="-9"/>
        </w:rPr>
        <w:t>由于开放式基金的特殊要求，本基金必须保持一定的现金比例以应付赎回要求，在管理</w:t>
      </w:r>
      <w:r>
        <w:rPr>
          <w:spacing w:val="-5"/>
        </w:rPr>
        <w:t>现金头寸时，有可能存在现金不足的风险或现金过多所导致的收益下降风险。</w:t>
      </w:r>
    </w:p>
    <w:p>
      <w:pPr>
        <w:pStyle w:val="BodyText"/>
        <w:spacing w:line="417" w:lineRule="auto"/>
        <w:ind w:left="220" w:right="591" w:firstLine="419"/>
        <w:jc w:val="both"/>
      </w:pPr>
      <w:r>
        <w:rPr>
          <w:spacing w:val="-9"/>
        </w:rPr>
        <w:t>此外，本基金的投资范围为具有良好流动性的金融工具，包含港股通机制下的股票，其中，香港市场的交易日及交易时间与境内市场会有不同，在香港市场休市、暂停交易或交收</w:t>
      </w:r>
      <w:r>
        <w:rPr>
          <w:spacing w:val="-5"/>
        </w:rPr>
        <w:t>时，基金还可能发生延迟支付赎回款项或暂停赎回等风险。</w:t>
      </w:r>
    </w:p>
    <w:p>
      <w:pPr>
        <w:pStyle w:val="ListParagraph"/>
        <w:numPr>
          <w:ilvl w:val="0"/>
          <w:numId w:val="33"/>
        </w:numPr>
        <w:tabs>
          <w:tab w:pos="1170" w:val="left" w:leader="none"/>
        </w:tabs>
        <w:spacing w:line="254" w:lineRule="exact" w:before="0" w:after="0"/>
        <w:ind w:left="1169" w:right="0" w:hanging="530"/>
        <w:jc w:val="left"/>
        <w:rPr>
          <w:sz w:val="21"/>
        </w:rPr>
      </w:pPr>
      <w:r>
        <w:rPr>
          <w:spacing w:val="-3"/>
          <w:sz w:val="21"/>
        </w:rPr>
        <w:t>基金申购、赎回安排</w:t>
      </w:r>
    </w:p>
    <w:p>
      <w:pPr>
        <w:pStyle w:val="BodyText"/>
        <w:spacing w:line="388" w:lineRule="auto" w:before="168"/>
        <w:ind w:left="220" w:right="594" w:firstLine="419"/>
      </w:pPr>
      <w:r>
        <w:rPr>
          <w:spacing w:val="-19"/>
        </w:rPr>
        <w:t>投资人具体请参见基金合同“第六部分、基金份额的申购与赎回”和本招募说明书“八、</w:t>
      </w:r>
      <w:r>
        <w:rPr>
          <w:spacing w:val="-15"/>
          <w:w w:val="100"/>
        </w:rPr>
        <w:t>基金份额的申购、赎回与转换”，详细了解本基金的申购以及赎回安排。</w:t>
      </w:r>
    </w:p>
    <w:p>
      <w:pPr>
        <w:pStyle w:val="BodyText"/>
        <w:spacing w:line="388" w:lineRule="auto" w:before="2"/>
        <w:ind w:left="220" w:right="591" w:firstLine="419"/>
        <w:jc w:val="both"/>
      </w:pPr>
      <w:r>
        <w:rPr>
          <w:spacing w:val="-11"/>
        </w:rPr>
        <w:t>在本基金发生流动性风险时，基金管理人可以综合利用备用的流动性风险管理工具以减</w:t>
      </w:r>
      <w:r>
        <w:rPr>
          <w:spacing w:val="-12"/>
        </w:rPr>
        <w:t>少或应对基金的流动性风险，投资者可能面临巨额赎回申请被延期办理、赎回申请被暂停接</w:t>
      </w:r>
      <w:r>
        <w:rPr>
          <w:spacing w:val="-22"/>
        </w:rPr>
        <w:t>受、赎回款项被延缓支付、被收取短期赎回费、基金估值被暂停、基金采用摆动定价等风险。</w:t>
      </w:r>
      <w:r>
        <w:rPr>
          <w:spacing w:val="-8"/>
        </w:rPr>
        <w:t>投资者应该了解自身的流动性偏好，并评估是否与本基金的流动性风险匹配。</w:t>
      </w:r>
    </w:p>
    <w:p>
      <w:pPr>
        <w:pStyle w:val="ListParagraph"/>
        <w:numPr>
          <w:ilvl w:val="0"/>
          <w:numId w:val="33"/>
        </w:numPr>
        <w:tabs>
          <w:tab w:pos="1170" w:val="left" w:leader="none"/>
        </w:tabs>
        <w:spacing w:line="240" w:lineRule="auto" w:before="3" w:after="0"/>
        <w:ind w:left="1169" w:right="0" w:hanging="530"/>
        <w:jc w:val="left"/>
        <w:rPr>
          <w:sz w:val="21"/>
        </w:rPr>
      </w:pPr>
      <w:r>
        <w:rPr>
          <w:spacing w:val="-3"/>
          <w:sz w:val="21"/>
        </w:rPr>
        <w:t>拟投资市场、行业及资产的流动性风险评估</w:t>
      </w:r>
    </w:p>
    <w:p>
      <w:pPr>
        <w:pStyle w:val="BodyText"/>
        <w:spacing w:line="388" w:lineRule="auto" w:before="168"/>
        <w:ind w:left="220" w:right="591" w:firstLine="419"/>
      </w:pPr>
      <w:r>
        <w:rPr>
          <w:spacing w:val="-8"/>
        </w:rPr>
        <w:t>本基金主要投资对象为具有良好流动性的金融工具，一般情况下拟投资资产具有较好的</w:t>
      </w:r>
      <w:r>
        <w:rPr>
          <w:spacing w:val="-12"/>
        </w:rPr>
        <w:t>流动性，本基金管理人在投资时也会充分考虑投资标的的流动性，但是在特殊市场环境下本</w:t>
      </w:r>
    </w:p>
    <w:p>
      <w:pPr>
        <w:spacing w:after="0" w:line="388" w:lineRule="auto"/>
        <w:sectPr>
          <w:pgSz w:w="11910" w:h="16840"/>
          <w:pgMar w:header="877" w:footer="995" w:top="1420" w:bottom="1180" w:left="1580" w:right="1200"/>
        </w:sectPr>
      </w:pPr>
    </w:p>
    <w:p>
      <w:pPr>
        <w:pStyle w:val="BodyText"/>
        <w:spacing w:line="388" w:lineRule="auto" w:before="95"/>
        <w:ind w:left="220" w:right="591"/>
        <w:jc w:val="both"/>
      </w:pPr>
      <w:r>
        <w:rPr>
          <w:spacing w:val="-8"/>
        </w:rPr>
        <w:t>基金仍有可能出现流动性不足的情形。本基金管理人将根据历史经验和现实条件，制定出现</w:t>
      </w:r>
      <w:r>
        <w:rPr>
          <w:spacing w:val="-10"/>
        </w:rPr>
        <w:t>金持有量的上下限计划，在该限制范围内进行现金比例调控或现金与证券的转化。同时，本基金管理人会进行标的的分散化投资并结合对各类标的资产的预期流动性合理进行资产配</w:t>
      </w:r>
      <w:r>
        <w:rPr>
          <w:spacing w:val="-5"/>
        </w:rPr>
        <w:t>置，以防范流动性风险。</w:t>
      </w:r>
    </w:p>
    <w:p>
      <w:pPr>
        <w:pStyle w:val="ListParagraph"/>
        <w:numPr>
          <w:ilvl w:val="0"/>
          <w:numId w:val="33"/>
        </w:numPr>
        <w:tabs>
          <w:tab w:pos="1170" w:val="left" w:leader="none"/>
        </w:tabs>
        <w:spacing w:line="240" w:lineRule="auto" w:before="4" w:after="0"/>
        <w:ind w:left="1169" w:right="0" w:hanging="530"/>
        <w:jc w:val="left"/>
        <w:rPr>
          <w:sz w:val="21"/>
        </w:rPr>
      </w:pPr>
      <w:r>
        <w:rPr>
          <w:spacing w:val="-3"/>
          <w:sz w:val="21"/>
        </w:rPr>
        <w:t>巨额赎回情形下的流动性风险管理措施</w:t>
      </w:r>
    </w:p>
    <w:p>
      <w:pPr>
        <w:pStyle w:val="BodyText"/>
        <w:spacing w:before="168"/>
        <w:ind w:left="640"/>
      </w:pPr>
      <w:r>
        <w:rPr/>
        <w:t>当本基金发生巨额赎回情形时，基金管理人可以采用以下流动性风险管理措施：</w:t>
      </w:r>
    </w:p>
    <w:p>
      <w:pPr>
        <w:pStyle w:val="BodyText"/>
        <w:spacing w:before="167"/>
        <w:ind w:left="640"/>
      </w:pPr>
      <w:r>
        <w:rPr/>
        <w:t>①延期办理巨额赎回申请；</w:t>
      </w:r>
    </w:p>
    <w:p>
      <w:pPr>
        <w:pStyle w:val="BodyText"/>
        <w:spacing w:before="168"/>
        <w:ind w:left="640"/>
      </w:pPr>
      <w:r>
        <w:rPr>
          <w:spacing w:val="-3"/>
        </w:rPr>
        <w:t>②暂停接受赎回申请；</w:t>
      </w:r>
    </w:p>
    <w:p>
      <w:pPr>
        <w:pStyle w:val="BodyText"/>
        <w:spacing w:before="169"/>
        <w:ind w:left="640"/>
      </w:pPr>
      <w:r>
        <w:rPr>
          <w:spacing w:val="-3"/>
        </w:rPr>
        <w:t>③延缓支付赎回款项；</w:t>
      </w:r>
    </w:p>
    <w:p>
      <w:pPr>
        <w:pStyle w:val="BodyText"/>
        <w:spacing w:before="167"/>
        <w:ind w:left="640"/>
      </w:pPr>
      <w:r>
        <w:rPr/>
        <w:t>④摆动定价；</w:t>
      </w:r>
    </w:p>
    <w:p>
      <w:pPr>
        <w:pStyle w:val="BodyText"/>
        <w:spacing w:before="168"/>
        <w:ind w:left="640"/>
      </w:pPr>
      <w:r>
        <w:rPr/>
        <w:t>⑤中国证监会认定的其他措施。</w:t>
      </w:r>
    </w:p>
    <w:p>
      <w:pPr>
        <w:pStyle w:val="ListParagraph"/>
        <w:numPr>
          <w:ilvl w:val="0"/>
          <w:numId w:val="33"/>
        </w:numPr>
        <w:tabs>
          <w:tab w:pos="1170" w:val="left" w:leader="none"/>
        </w:tabs>
        <w:spacing w:line="240" w:lineRule="auto" w:before="168" w:after="0"/>
        <w:ind w:left="1169" w:right="0" w:hanging="530"/>
        <w:jc w:val="left"/>
        <w:rPr>
          <w:sz w:val="21"/>
        </w:rPr>
      </w:pPr>
      <w:r>
        <w:rPr>
          <w:spacing w:val="-3"/>
          <w:sz w:val="21"/>
        </w:rPr>
        <w:t>实施备用的流动性风险管理工具的情形、程序及对投资者的潜在影响</w:t>
      </w:r>
    </w:p>
    <w:p>
      <w:pPr>
        <w:pStyle w:val="BodyText"/>
        <w:spacing w:line="388" w:lineRule="auto" w:before="167"/>
        <w:ind w:left="220" w:right="59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spacing w:before="4"/>
        <w:ind w:left="640"/>
      </w:pPr>
      <w:r>
        <w:rPr/>
        <w:t>①延期办理巨额赎回申请</w:t>
      </w:r>
    </w:p>
    <w:p>
      <w:pPr>
        <w:pStyle w:val="BodyText"/>
        <w:spacing w:line="388" w:lineRule="auto" w:before="167"/>
        <w:ind w:left="220" w:right="591" w:firstLine="419"/>
      </w:pPr>
      <w:r>
        <w:rPr>
          <w:spacing w:val="-9"/>
        </w:rPr>
        <w:t>投资人具体请参见基金合同“第六部分、基金份额的申购与赎回”中“九、巨额赎回的</w:t>
      </w:r>
      <w:r>
        <w:rPr>
          <w:spacing w:val="-13"/>
          <w:w w:val="100"/>
        </w:rPr>
        <w:t>情形及处理方式”，详细了解本基金延期办理巨额赎回申请的情形及程序。</w:t>
      </w:r>
    </w:p>
    <w:p>
      <w:pPr>
        <w:pStyle w:val="BodyText"/>
        <w:spacing w:line="388" w:lineRule="auto" w:before="2"/>
        <w:ind w:left="220" w:right="591" w:firstLine="419"/>
      </w:pPr>
      <w:r>
        <w:rPr>
          <w:spacing w:val="-10"/>
        </w:rPr>
        <w:t>在此情形下，投资者的全部或部分赎回申请可能将被延期办理，同时投资人完成基金赎</w:t>
      </w:r>
      <w:r>
        <w:rPr>
          <w:spacing w:val="-5"/>
        </w:rPr>
        <w:t>回时的基金份额净值可能与其提交赎回申请时的基金份额净值不同。</w:t>
      </w:r>
    </w:p>
    <w:p>
      <w:pPr>
        <w:pStyle w:val="BodyText"/>
        <w:spacing w:before="2"/>
        <w:ind w:left="640"/>
      </w:pPr>
      <w:r>
        <w:rPr/>
        <w:t>②暂停接受赎回申请</w:t>
      </w:r>
    </w:p>
    <w:p>
      <w:pPr>
        <w:pStyle w:val="BodyText"/>
        <w:spacing w:line="388" w:lineRule="auto" w:before="168"/>
        <w:ind w:left="220" w:right="59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或延缓支付赎回款项的情形”和“九、巨额赎回的情形及处理方式”，详细了解本基金暂停</w:t>
      </w:r>
      <w:r>
        <w:rPr>
          <w:spacing w:val="-5"/>
        </w:rPr>
        <w:t>接受赎回申请的情形及程序。</w:t>
      </w:r>
    </w:p>
    <w:p>
      <w:pPr>
        <w:pStyle w:val="BodyText"/>
        <w:spacing w:line="388" w:lineRule="auto" w:before="3"/>
        <w:ind w:left="220" w:right="59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spacing w:before="2"/>
        <w:ind w:left="640"/>
      </w:pPr>
      <w:r>
        <w:rPr/>
        <w:t>③延缓支付赎回款项</w:t>
      </w:r>
    </w:p>
    <w:p>
      <w:pPr>
        <w:pStyle w:val="BodyText"/>
        <w:spacing w:line="388" w:lineRule="auto" w:before="168"/>
        <w:ind w:left="220" w:right="59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或延缓支付赎回款项的情形”和“九、巨额赎回的情形及处理方式”，详细了解本基金延缓</w:t>
      </w:r>
      <w:r>
        <w:rPr>
          <w:spacing w:val="-5"/>
        </w:rPr>
        <w:t>支付赎回款项的情形及程序。</w:t>
      </w:r>
    </w:p>
    <w:p>
      <w:pPr>
        <w:pStyle w:val="BodyText"/>
        <w:spacing w:before="3"/>
        <w:ind w:left="640"/>
      </w:pPr>
      <w:r>
        <w:rPr/>
        <w:t>在此情形下，投资人接收赎回款项的时间将可能比一般正常情形下有所延迟。</w:t>
      </w:r>
    </w:p>
    <w:p>
      <w:pPr>
        <w:pStyle w:val="BodyText"/>
        <w:spacing w:before="168"/>
        <w:ind w:left="640"/>
      </w:pPr>
      <w:r>
        <w:rPr/>
        <w:t>④收取短期赎回费</w:t>
      </w:r>
    </w:p>
    <w:p>
      <w:pPr>
        <w:spacing w:after="0"/>
        <w:sectPr>
          <w:pgSz w:w="11910" w:h="16840"/>
          <w:pgMar w:header="877" w:footer="995" w:top="1420" w:bottom="1180" w:left="1580" w:right="1200"/>
        </w:sectPr>
      </w:pPr>
    </w:p>
    <w:p>
      <w:pPr>
        <w:pStyle w:val="BodyText"/>
        <w:spacing w:line="388" w:lineRule="auto" w:before="95"/>
        <w:ind w:left="220" w:right="528" w:firstLine="419"/>
      </w:pPr>
      <w:r>
        <w:rPr/>
        <w:t>本基金对持续持有期少于 </w:t>
      </w:r>
      <w:r>
        <w:rPr>
          <w:rFonts w:ascii="Times New Roman" w:eastAsia="Times New Roman"/>
        </w:rPr>
        <w:t>7 </w:t>
      </w:r>
      <w:r>
        <w:rPr/>
        <w:t>日的投资者收取不低于 </w:t>
      </w:r>
      <w:r>
        <w:rPr>
          <w:rFonts w:ascii="Times New Roman" w:eastAsia="Times New Roman"/>
        </w:rPr>
        <w:t>1.5%</w:t>
      </w:r>
      <w:r>
        <w:rPr/>
        <w:t>的赎回费，并将上述赎回费全额计入基金财产。</w:t>
      </w:r>
    </w:p>
    <w:p>
      <w:pPr>
        <w:pStyle w:val="BodyText"/>
        <w:spacing w:before="2"/>
        <w:ind w:left="640"/>
      </w:pPr>
      <w:r>
        <w:rPr/>
        <w:t>⑤暂停基金估值</w:t>
      </w:r>
    </w:p>
    <w:p>
      <w:pPr>
        <w:pStyle w:val="BodyText"/>
        <w:spacing w:line="388" w:lineRule="auto" w:before="168"/>
        <w:ind w:left="220" w:right="591" w:firstLine="419"/>
      </w:pPr>
      <w:r>
        <w:rPr>
          <w:spacing w:val="-26"/>
          <w:w w:val="100"/>
        </w:rPr>
        <w:t>投资人具体请参见基金合同“第十四部分、基金资产估值”中的“六、暂停估值的情形”，</w:t>
      </w:r>
      <w:r>
        <w:rPr>
          <w:spacing w:val="-9"/>
        </w:rPr>
        <w:t>详细了解本基金暂停估值的情形及程序。</w:t>
      </w:r>
    </w:p>
    <w:p>
      <w:pPr>
        <w:pStyle w:val="BodyText"/>
        <w:spacing w:line="388" w:lineRule="auto" w:before="2"/>
        <w:ind w:left="220" w:right="591" w:firstLine="419"/>
      </w:pPr>
      <w:r>
        <w:rPr>
          <w:spacing w:val="-10"/>
        </w:rPr>
        <w:t>在此情形下，投资人没有可供参考的基金份额净值，基金申购赎回申请或被暂停，或被</w:t>
      </w:r>
      <w:r>
        <w:rPr>
          <w:spacing w:val="-5"/>
        </w:rPr>
        <w:t>延缓支付赎回款项。</w:t>
      </w:r>
    </w:p>
    <w:p>
      <w:pPr>
        <w:pStyle w:val="BodyText"/>
        <w:spacing w:before="2"/>
        <w:ind w:left="640"/>
      </w:pPr>
      <w:r>
        <w:rPr>
          <w:spacing w:val="-1"/>
        </w:rPr>
        <w:t>⑥摆动定价</w:t>
      </w:r>
    </w:p>
    <w:p>
      <w:pPr>
        <w:pStyle w:val="BodyText"/>
        <w:spacing w:line="388" w:lineRule="auto" w:before="168"/>
        <w:ind w:left="220" w:right="591" w:firstLine="419"/>
      </w:pPr>
      <w:r>
        <w:rPr>
          <w:spacing w:val="-8"/>
        </w:rPr>
        <w:t>当本基金发生大额申购或赎回情形时，基金管理人可以采用摆动定价机制，以确保基金</w:t>
      </w:r>
      <w:r>
        <w:rPr>
          <w:spacing w:val="-5"/>
        </w:rPr>
        <w:t>估值的公平性。</w:t>
      </w:r>
    </w:p>
    <w:p>
      <w:pPr>
        <w:pStyle w:val="BodyText"/>
        <w:spacing w:line="388" w:lineRule="auto" w:before="2"/>
        <w:ind w:left="220" w:right="48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pStyle w:val="BodyText"/>
        <w:spacing w:before="3"/>
        <w:ind w:left="640"/>
      </w:pPr>
      <w:r>
        <w:rPr/>
        <w:t>⑦中国证监会认定的其他措施。</w:t>
      </w:r>
    </w:p>
    <w:p>
      <w:pPr>
        <w:pStyle w:val="BodyText"/>
        <w:spacing w:before="3"/>
        <w:rPr>
          <w:sz w:val="14"/>
        </w:rPr>
      </w:pPr>
    </w:p>
    <w:p>
      <w:pPr>
        <w:pStyle w:val="BodyText"/>
        <w:spacing w:before="1"/>
        <w:ind w:left="640"/>
      </w:pPr>
      <w:r>
        <w:rPr>
          <w:rFonts w:ascii="Times New Roman" w:eastAsia="Times New Roman"/>
        </w:rPr>
        <w:t>3</w:t>
      </w:r>
      <w:r>
        <w:rPr/>
        <w:t>、积极管理风险</w:t>
      </w:r>
    </w:p>
    <w:p>
      <w:pPr>
        <w:pStyle w:val="BodyText"/>
        <w:spacing w:before="6"/>
        <w:rPr>
          <w:sz w:val="15"/>
        </w:rPr>
      </w:pPr>
    </w:p>
    <w:p>
      <w:pPr>
        <w:pStyle w:val="BodyText"/>
        <w:spacing w:line="417" w:lineRule="auto"/>
        <w:ind w:left="220" w:right="591" w:firstLine="419"/>
        <w:jc w:val="both"/>
      </w:pPr>
      <w:r>
        <w:rPr>
          <w:spacing w:val="-9"/>
        </w:rPr>
        <w:t>在精选个股的实际操作过程中，基金管理人可能限于知识、技术、经验等因素而影响其</w:t>
      </w:r>
      <w:r>
        <w:rPr>
          <w:spacing w:val="-12"/>
        </w:rPr>
        <w:t>对相关信息、经济形势和证券价格走势的判断，其精选出的个股的业绩表现不一定持续优于</w:t>
      </w:r>
      <w:r>
        <w:rPr>
          <w:spacing w:val="-6"/>
        </w:rPr>
        <w:t>其他股票。</w:t>
      </w:r>
    </w:p>
    <w:p>
      <w:pPr>
        <w:pStyle w:val="BodyText"/>
        <w:spacing w:line="269" w:lineRule="exact"/>
        <w:ind w:left="640"/>
      </w:pPr>
      <w:r>
        <w:rPr>
          <w:rFonts w:ascii="Times New Roman" w:eastAsia="Times New Roman"/>
        </w:rPr>
        <w:t>4</w:t>
      </w:r>
      <w:r>
        <w:rPr/>
        <w:t>、中小企业私募债券投资风险</w:t>
      </w:r>
    </w:p>
    <w:p>
      <w:pPr>
        <w:pStyle w:val="BodyText"/>
        <w:spacing w:before="7"/>
        <w:rPr>
          <w:sz w:val="15"/>
        </w:rPr>
      </w:pPr>
    </w:p>
    <w:p>
      <w:pPr>
        <w:pStyle w:val="BodyText"/>
        <w:spacing w:line="417" w:lineRule="auto"/>
        <w:ind w:left="220" w:right="591" w:firstLine="419"/>
        <w:jc w:val="both"/>
      </w:pPr>
      <w:r>
        <w:rPr>
          <w:spacing w:val="-7"/>
        </w:rPr>
        <w:t>基金所投资的中小企业私募债券之债务人出现违约，或在交易过程中发生交收违约，或</w:t>
      </w:r>
      <w:r>
        <w:rPr>
          <w:spacing w:val="-9"/>
        </w:rPr>
        <w:t>由于中小企业私募债券信用质量降低导致价格下降，可能造成基金财产损失。此外，受市场</w:t>
      </w:r>
      <w:r>
        <w:rPr>
          <w:spacing w:val="-13"/>
        </w:rPr>
        <w:t>规模及交易活跃程度的影响，中小企业私募债券可能无法在同一价格水平上进行较大数量的</w:t>
      </w:r>
      <w:r>
        <w:rPr>
          <w:spacing w:val="-6"/>
        </w:rPr>
        <w:t>买入或卖出，存在一定的流动性风险，从而对基金收益造成影响。</w:t>
      </w:r>
    </w:p>
    <w:p>
      <w:pPr>
        <w:pStyle w:val="BodyText"/>
        <w:ind w:left="640"/>
      </w:pPr>
      <w:r>
        <w:rPr>
          <w:rFonts w:ascii="Times New Roman" w:eastAsia="Times New Roman"/>
        </w:rPr>
        <w:t>5</w:t>
      </w:r>
      <w:r>
        <w:rPr/>
        <w:t>、资产支持证券投资风险</w:t>
      </w:r>
    </w:p>
    <w:p>
      <w:pPr>
        <w:pStyle w:val="BodyText"/>
        <w:spacing w:before="7"/>
        <w:rPr>
          <w:sz w:val="15"/>
        </w:rPr>
      </w:pPr>
    </w:p>
    <w:p>
      <w:pPr>
        <w:pStyle w:val="ListParagraph"/>
        <w:numPr>
          <w:ilvl w:val="0"/>
          <w:numId w:val="34"/>
        </w:numPr>
        <w:tabs>
          <w:tab w:pos="1170" w:val="left" w:leader="none"/>
        </w:tabs>
        <w:spacing w:line="417" w:lineRule="auto" w:before="0" w:after="0"/>
        <w:ind w:left="220" w:right="594" w:firstLine="419"/>
        <w:jc w:val="left"/>
        <w:rPr>
          <w:sz w:val="21"/>
        </w:rPr>
      </w:pPr>
      <w:r>
        <w:rPr>
          <w:spacing w:val="-3"/>
          <w:sz w:val="21"/>
        </w:rPr>
        <w:t>流动性风险：即证券的流动性下降从而给证券持有人带来损失</w:t>
      </w:r>
      <w:r>
        <w:rPr>
          <w:sz w:val="21"/>
        </w:rPr>
        <w:t>（</w:t>
      </w:r>
      <w:r>
        <w:rPr>
          <w:spacing w:val="-3"/>
          <w:sz w:val="21"/>
        </w:rPr>
        <w:t>如证券不能卖出或贬值出售等）的可能性。</w:t>
      </w:r>
    </w:p>
    <w:p>
      <w:pPr>
        <w:pStyle w:val="ListParagraph"/>
        <w:numPr>
          <w:ilvl w:val="0"/>
          <w:numId w:val="34"/>
        </w:numPr>
        <w:tabs>
          <w:tab w:pos="1170" w:val="left" w:leader="none"/>
        </w:tabs>
        <w:spacing w:line="417" w:lineRule="auto" w:before="0" w:after="0"/>
        <w:ind w:left="220" w:right="593" w:firstLine="419"/>
        <w:jc w:val="both"/>
        <w:rPr>
          <w:sz w:val="21"/>
        </w:rPr>
      </w:pPr>
      <w:r>
        <w:rPr>
          <w:sz w:val="21"/>
        </w:rPr>
        <w:t>证券提前赎回风险：若某些交易赋予</w:t>
      </w:r>
      <w:r>
        <w:rPr>
          <w:rFonts w:ascii="Times New Roman" w:eastAsia="Times New Roman"/>
          <w:sz w:val="21"/>
        </w:rPr>
        <w:t>SPV</w:t>
      </w:r>
      <w:r>
        <w:rPr>
          <w:spacing w:val="-3"/>
          <w:sz w:val="21"/>
        </w:rPr>
        <w:t>在资产支持证券发行后一定期限内以一</w:t>
      </w:r>
      <w:r>
        <w:rPr>
          <w:spacing w:val="-6"/>
          <w:sz w:val="21"/>
        </w:rPr>
        <w:t>定价格向投资者收购部分或全部证券的权利，则在市场条件许可的情况下，</w:t>
      </w:r>
      <w:r>
        <w:rPr>
          <w:rFonts w:ascii="Times New Roman" w:eastAsia="Times New Roman"/>
          <w:spacing w:val="-9"/>
          <w:sz w:val="21"/>
        </w:rPr>
        <w:t>SPV</w:t>
      </w:r>
      <w:r>
        <w:rPr>
          <w:spacing w:val="-3"/>
          <w:sz w:val="21"/>
        </w:rPr>
        <w:t>有可能行使这一权利从而使投资者受到不利影响。</w:t>
      </w:r>
    </w:p>
    <w:p>
      <w:pPr>
        <w:pStyle w:val="ListParagraph"/>
        <w:numPr>
          <w:ilvl w:val="0"/>
          <w:numId w:val="34"/>
        </w:numPr>
        <w:tabs>
          <w:tab w:pos="1170" w:val="left" w:leader="none"/>
        </w:tabs>
        <w:spacing w:line="240" w:lineRule="auto" w:before="0" w:after="0"/>
        <w:ind w:left="1169" w:right="0" w:hanging="530"/>
        <w:jc w:val="left"/>
        <w:rPr>
          <w:sz w:val="21"/>
        </w:rPr>
      </w:pPr>
      <w:r>
        <w:rPr>
          <w:spacing w:val="-3"/>
          <w:sz w:val="21"/>
        </w:rPr>
        <w:t>再投资风险：指证券因某种原因被提前清偿，投资者不得不将证券提前偿付资金</w:t>
      </w:r>
    </w:p>
    <w:p>
      <w:pPr>
        <w:spacing w:after="0" w:line="240" w:lineRule="auto"/>
        <w:jc w:val="left"/>
        <w:rPr>
          <w:sz w:val="21"/>
        </w:rPr>
        <w:sectPr>
          <w:pgSz w:w="11910" w:h="16840"/>
          <w:pgMar w:header="877" w:footer="995" w:top="1420" w:bottom="1180" w:left="1580" w:right="1200"/>
        </w:sectPr>
      </w:pPr>
    </w:p>
    <w:p>
      <w:pPr>
        <w:pStyle w:val="BodyText"/>
        <w:spacing w:line="417" w:lineRule="auto" w:before="110"/>
        <w:ind w:left="220" w:right="601"/>
      </w:pPr>
      <w:r>
        <w:rPr/>
        <w:t>再做其他投资时面临的再投资收益率低于证券收益率导致投资者不能实现其参与证券化交易所预计的投资收益目标的可能性。</w:t>
      </w:r>
    </w:p>
    <w:p>
      <w:pPr>
        <w:pStyle w:val="ListParagraph"/>
        <w:numPr>
          <w:ilvl w:val="0"/>
          <w:numId w:val="34"/>
        </w:numPr>
        <w:tabs>
          <w:tab w:pos="1171" w:val="left" w:leader="none"/>
        </w:tabs>
        <w:spacing w:line="417" w:lineRule="auto" w:before="0" w:after="0"/>
        <w:ind w:left="220" w:right="593" w:firstLine="419"/>
        <w:jc w:val="both"/>
        <w:rPr>
          <w:sz w:val="21"/>
        </w:rPr>
      </w:pPr>
      <w:r>
        <w:rPr>
          <w:rFonts w:ascii="Times New Roman" w:eastAsia="Times New Roman"/>
          <w:sz w:val="21"/>
        </w:rPr>
        <w:t>SPV</w:t>
      </w:r>
      <w:r>
        <w:rPr>
          <w:sz w:val="21"/>
        </w:rPr>
        <w:t>违约风险：在以债务工具（债券、票据等）</w:t>
      </w:r>
      <w:r>
        <w:rPr>
          <w:spacing w:val="-1"/>
          <w:sz w:val="21"/>
        </w:rPr>
        <w:t>作为证券化交易载体，也即交易</w:t>
      </w:r>
      <w:r>
        <w:rPr>
          <w:spacing w:val="-4"/>
          <w:sz w:val="21"/>
        </w:rPr>
        <w:t>所发行的证券系债权凭证的情况下，</w:t>
      </w:r>
      <w:r>
        <w:rPr>
          <w:rFonts w:ascii="Times New Roman" w:eastAsia="Times New Roman"/>
          <w:spacing w:val="-9"/>
          <w:sz w:val="21"/>
        </w:rPr>
        <w:t>SPV</w:t>
      </w:r>
      <w:r>
        <w:rPr>
          <w:spacing w:val="-7"/>
          <w:sz w:val="21"/>
        </w:rPr>
        <w:t>系投资者的债务人，其应就证券的本息偿付对投资</w:t>
      </w:r>
      <w:r>
        <w:rPr>
          <w:spacing w:val="-5"/>
          <w:sz w:val="21"/>
        </w:rPr>
        <w:t>者负责。</w:t>
      </w:r>
    </w:p>
    <w:p>
      <w:pPr>
        <w:pStyle w:val="BodyText"/>
        <w:spacing w:line="269" w:lineRule="exact"/>
        <w:ind w:left="640"/>
      </w:pPr>
      <w:r>
        <w:rPr>
          <w:rFonts w:ascii="Times New Roman" w:eastAsia="Times New Roman"/>
        </w:rPr>
        <w:t>6</w:t>
      </w:r>
      <w:r>
        <w:rPr/>
        <w:t>、参与港股通机制投资所面临的风险，包括但不限于：</w:t>
      </w:r>
    </w:p>
    <w:p>
      <w:pPr>
        <w:pStyle w:val="BodyText"/>
        <w:spacing w:before="6"/>
        <w:rPr>
          <w:sz w:val="15"/>
        </w:rPr>
      </w:pPr>
    </w:p>
    <w:p>
      <w:pPr>
        <w:pStyle w:val="ListParagraph"/>
        <w:numPr>
          <w:ilvl w:val="0"/>
          <w:numId w:val="35"/>
        </w:numPr>
        <w:tabs>
          <w:tab w:pos="1170" w:val="left" w:leader="none"/>
        </w:tabs>
        <w:spacing w:line="240" w:lineRule="auto" w:before="0" w:after="0"/>
        <w:ind w:left="1169" w:right="0" w:hanging="530"/>
        <w:jc w:val="left"/>
        <w:rPr>
          <w:sz w:val="21"/>
        </w:rPr>
      </w:pPr>
      <w:r>
        <w:rPr>
          <w:spacing w:val="-3"/>
          <w:sz w:val="21"/>
        </w:rPr>
        <w:t>海外市场风险</w:t>
      </w:r>
    </w:p>
    <w:p>
      <w:pPr>
        <w:pStyle w:val="BodyText"/>
        <w:spacing w:before="7"/>
        <w:rPr>
          <w:sz w:val="15"/>
        </w:rPr>
      </w:pPr>
    </w:p>
    <w:p>
      <w:pPr>
        <w:pStyle w:val="BodyText"/>
        <w:spacing w:line="417" w:lineRule="auto"/>
        <w:ind w:left="220" w:right="594" w:firstLine="419"/>
      </w:pPr>
      <w:r>
        <w:rPr/>
        <w:t>本基金在参与港股市场投资时将受到全球宏观经济和货币政策变动等因素所导致的系统性风险。</w:t>
      </w:r>
    </w:p>
    <w:p>
      <w:pPr>
        <w:pStyle w:val="ListParagraph"/>
        <w:numPr>
          <w:ilvl w:val="0"/>
          <w:numId w:val="35"/>
        </w:numPr>
        <w:tabs>
          <w:tab w:pos="1170" w:val="left" w:leader="none"/>
        </w:tabs>
        <w:spacing w:line="269" w:lineRule="exact" w:before="0" w:after="0"/>
        <w:ind w:left="1169" w:right="0" w:hanging="530"/>
        <w:jc w:val="left"/>
        <w:rPr>
          <w:sz w:val="21"/>
        </w:rPr>
      </w:pPr>
      <w:r>
        <w:rPr>
          <w:spacing w:val="-3"/>
          <w:sz w:val="21"/>
        </w:rPr>
        <w:t>股价波动较大的风险</w:t>
      </w:r>
    </w:p>
    <w:p>
      <w:pPr>
        <w:pStyle w:val="BodyText"/>
        <w:spacing w:before="7"/>
        <w:rPr>
          <w:sz w:val="15"/>
        </w:rPr>
      </w:pPr>
    </w:p>
    <w:p>
      <w:pPr>
        <w:pStyle w:val="BodyText"/>
        <w:spacing w:line="417" w:lineRule="auto"/>
        <w:ind w:left="220" w:right="591" w:firstLine="419"/>
        <w:jc w:val="both"/>
      </w:pPr>
      <w:r>
        <w:rPr>
          <w:w w:val="100"/>
        </w:rPr>
        <w:t>港股市场实行</w:t>
      </w:r>
      <w:r>
        <w:rPr>
          <w:rFonts w:ascii="Times New Roman" w:eastAsia="Times New Roman"/>
          <w:spacing w:val="-2"/>
          <w:w w:val="100"/>
        </w:rPr>
        <w:t>T</w:t>
      </w:r>
      <w:r>
        <w:rPr>
          <w:rFonts w:ascii="Times New Roman" w:eastAsia="Times New Roman"/>
          <w:w w:val="100"/>
        </w:rPr>
        <w:t>+0</w:t>
      </w:r>
      <w:r>
        <w:rPr>
          <w:w w:val="100"/>
        </w:rPr>
        <w:t>回转交易机制（即当日买入的股票，在交收前可以于当日卖出</w:t>
      </w:r>
      <w:r>
        <w:rPr>
          <w:spacing w:val="-106"/>
          <w:w w:val="100"/>
        </w:rPr>
        <w:t>）</w:t>
      </w:r>
      <w:r>
        <w:rPr>
          <w:w w:val="100"/>
        </w:rPr>
        <w:t>，同</w:t>
      </w:r>
      <w:r>
        <w:rPr>
          <w:spacing w:val="-11"/>
        </w:rPr>
        <w:t>时对个股不设涨跌幅限制，加之香港市场结构性产品和衍生品种类相对丰富以及做空机制的</w:t>
      </w:r>
      <w:r>
        <w:rPr>
          <w:spacing w:val="-7"/>
        </w:rPr>
        <w:t>存在；港股股价受到意外事件影响可能表现出比</w:t>
      </w:r>
      <w:r>
        <w:rPr>
          <w:rFonts w:ascii="Times New Roman" w:eastAsia="Times New Roman"/>
        </w:rPr>
        <w:t>A</w:t>
      </w:r>
      <w:r>
        <w:rPr>
          <w:spacing w:val="-5"/>
        </w:rPr>
        <w:t>股更为剧烈的股价波动，本基金的波动风</w:t>
      </w:r>
      <w:r>
        <w:rPr>
          <w:spacing w:val="-4"/>
        </w:rPr>
        <w:t>险可能相对较大。</w:t>
      </w:r>
    </w:p>
    <w:p>
      <w:pPr>
        <w:pStyle w:val="ListParagraph"/>
        <w:numPr>
          <w:ilvl w:val="0"/>
          <w:numId w:val="35"/>
        </w:numPr>
        <w:tabs>
          <w:tab w:pos="1170" w:val="left" w:leader="none"/>
        </w:tabs>
        <w:spacing w:line="269" w:lineRule="exact" w:before="0" w:after="0"/>
        <w:ind w:left="1169" w:right="0" w:hanging="530"/>
        <w:jc w:val="left"/>
        <w:rPr>
          <w:sz w:val="21"/>
        </w:rPr>
      </w:pPr>
      <w:r>
        <w:rPr>
          <w:spacing w:val="-3"/>
          <w:sz w:val="21"/>
        </w:rPr>
        <w:t>港股通额度限制</w:t>
      </w:r>
    </w:p>
    <w:p>
      <w:pPr>
        <w:pStyle w:val="BodyText"/>
        <w:spacing w:before="7"/>
        <w:rPr>
          <w:sz w:val="15"/>
        </w:rPr>
      </w:pPr>
    </w:p>
    <w:p>
      <w:pPr>
        <w:pStyle w:val="BodyText"/>
        <w:spacing w:line="417" w:lineRule="auto"/>
        <w:ind w:left="220" w:right="591" w:firstLine="419"/>
      </w:pPr>
      <w:r>
        <w:rPr>
          <w:spacing w:val="-10"/>
        </w:rPr>
        <w:t>现行的港股通规则，对港股通设有每日额度限制；本基金可能因为港股通额度不足，而</w:t>
      </w:r>
      <w:r>
        <w:rPr>
          <w:spacing w:val="-5"/>
        </w:rPr>
        <w:t>不能买入看好的投资标的，进而错失投资机会的风险。</w:t>
      </w:r>
    </w:p>
    <w:p>
      <w:pPr>
        <w:pStyle w:val="ListParagraph"/>
        <w:numPr>
          <w:ilvl w:val="0"/>
          <w:numId w:val="35"/>
        </w:numPr>
        <w:tabs>
          <w:tab w:pos="1170" w:val="left" w:leader="none"/>
        </w:tabs>
        <w:spacing w:line="269" w:lineRule="exact" w:before="0" w:after="0"/>
        <w:ind w:left="1169" w:right="0" w:hanging="530"/>
        <w:jc w:val="left"/>
        <w:rPr>
          <w:sz w:val="21"/>
        </w:rPr>
      </w:pPr>
      <w:r>
        <w:rPr>
          <w:spacing w:val="-3"/>
          <w:sz w:val="21"/>
        </w:rPr>
        <w:t>港股通可投资标的范围调整带来的风险</w:t>
      </w:r>
    </w:p>
    <w:p>
      <w:pPr>
        <w:pStyle w:val="BodyText"/>
        <w:spacing w:before="7"/>
        <w:rPr>
          <w:sz w:val="15"/>
        </w:rPr>
      </w:pPr>
    </w:p>
    <w:p>
      <w:pPr>
        <w:pStyle w:val="BodyText"/>
        <w:spacing w:line="417" w:lineRule="auto"/>
        <w:ind w:left="220" w:right="488" w:firstLine="419"/>
      </w:pPr>
      <w:r>
        <w:rPr>
          <w:spacing w:val="-11"/>
        </w:rPr>
        <w:t>现行的港股通规则，对港股通下可投资的港股范围进行了限制，并定期或不定期根据范</w:t>
      </w:r>
      <w:r>
        <w:rPr>
          <w:spacing w:val="-6"/>
        </w:rPr>
        <w:t>围限制规则对具体的可投资标的进行调整，对于调出投资范围的港股，只能卖出不能买入， </w:t>
      </w:r>
      <w:r>
        <w:rPr>
          <w:spacing w:val="-9"/>
        </w:rPr>
        <w:t>本基金存在因港股通可投资标的范围调整，不能及时买入看好的投资标的，进而错失投资机</w:t>
      </w:r>
      <w:r>
        <w:rPr>
          <w:spacing w:val="-5"/>
        </w:rPr>
        <w:t>会的风险。</w:t>
      </w:r>
    </w:p>
    <w:p>
      <w:pPr>
        <w:pStyle w:val="ListParagraph"/>
        <w:numPr>
          <w:ilvl w:val="0"/>
          <w:numId w:val="35"/>
        </w:numPr>
        <w:tabs>
          <w:tab w:pos="1170" w:val="left" w:leader="none"/>
        </w:tabs>
        <w:spacing w:line="240" w:lineRule="auto" w:before="0" w:after="0"/>
        <w:ind w:left="1169" w:right="0" w:hanging="530"/>
        <w:jc w:val="left"/>
        <w:rPr>
          <w:sz w:val="21"/>
        </w:rPr>
      </w:pPr>
      <w:r>
        <w:rPr>
          <w:spacing w:val="-3"/>
          <w:sz w:val="21"/>
        </w:rPr>
        <w:t>港股通交易日设定的风险</w:t>
      </w:r>
    </w:p>
    <w:p>
      <w:pPr>
        <w:pStyle w:val="BodyText"/>
        <w:spacing w:before="6"/>
        <w:rPr>
          <w:sz w:val="15"/>
        </w:rPr>
      </w:pPr>
    </w:p>
    <w:p>
      <w:pPr>
        <w:pStyle w:val="BodyText"/>
        <w:spacing w:line="417" w:lineRule="auto"/>
        <w:ind w:left="220" w:right="591" w:firstLine="419"/>
        <w:jc w:val="both"/>
      </w:pPr>
      <w:r>
        <w:rPr>
          <w:spacing w:val="-12"/>
        </w:rPr>
        <w:t>根据现行的港股通规则，只有沪港两地均为交易日且能够满足结算安排的交易日才为港</w:t>
      </w:r>
      <w:r>
        <w:rPr>
          <w:spacing w:val="-13"/>
        </w:rPr>
        <w:t>股通交易日，存在港股通交易日不连贯</w:t>
      </w:r>
      <w:r>
        <w:rPr>
          <w:spacing w:val="-3"/>
        </w:rPr>
        <w:t>（如内地市场因放假等原因休市而香港市场照常交易</w:t>
      </w:r>
      <w:r>
        <w:rPr>
          <w:spacing w:val="-3"/>
          <w:w w:val="100"/>
        </w:rPr>
        <w:t>但港股通不能如常进行交易</w:t>
      </w:r>
      <w:r>
        <w:rPr>
          <w:spacing w:val="-106"/>
          <w:w w:val="100"/>
        </w:rPr>
        <w:t>）</w:t>
      </w:r>
      <w:r>
        <w:rPr>
          <w:spacing w:val="-3"/>
          <w:w w:val="100"/>
        </w:rPr>
        <w:t>，导致基金所持的港股组合在后续港股通交易日开市交易中集</w:t>
      </w:r>
      <w:r>
        <w:rPr>
          <w:spacing w:val="-12"/>
        </w:rPr>
        <w:t>中体现市场反应，造成其价格波动骤然增大，进而导致本基金所持港股组合在资产估值上出</w:t>
      </w:r>
      <w:r>
        <w:rPr>
          <w:spacing w:val="-6"/>
        </w:rPr>
        <w:t>现波动增大的风险。</w:t>
      </w:r>
    </w:p>
    <w:p>
      <w:pPr>
        <w:pStyle w:val="ListParagraph"/>
        <w:numPr>
          <w:ilvl w:val="0"/>
          <w:numId w:val="35"/>
        </w:numPr>
        <w:tabs>
          <w:tab w:pos="1170" w:val="left" w:leader="none"/>
        </w:tabs>
        <w:spacing w:line="269" w:lineRule="exact" w:before="0" w:after="0"/>
        <w:ind w:left="1169" w:right="0" w:hanging="530"/>
        <w:jc w:val="left"/>
        <w:rPr>
          <w:sz w:val="21"/>
        </w:rPr>
      </w:pPr>
      <w:r>
        <w:rPr>
          <w:spacing w:val="-3"/>
          <w:sz w:val="21"/>
        </w:rPr>
        <w:t>交收制度带来的基金流动性风险</w:t>
      </w:r>
    </w:p>
    <w:p>
      <w:pPr>
        <w:pStyle w:val="BodyText"/>
        <w:spacing w:before="7"/>
        <w:rPr>
          <w:sz w:val="15"/>
        </w:rPr>
      </w:pPr>
    </w:p>
    <w:p>
      <w:pPr>
        <w:pStyle w:val="BodyText"/>
        <w:ind w:left="640"/>
      </w:pPr>
      <w:r>
        <w:rPr>
          <w:spacing w:val="-3"/>
        </w:rPr>
        <w:t>由于香港市场实行</w:t>
      </w:r>
      <w:r>
        <w:rPr>
          <w:rFonts w:ascii="Times New Roman" w:eastAsia="Times New Roman"/>
        </w:rPr>
        <w:t>T+2</w:t>
      </w:r>
      <w:r>
        <w:rPr>
          <w:spacing w:val="-99"/>
        </w:rPr>
        <w:t>日</w:t>
      </w:r>
      <w:r>
        <w:rPr/>
        <w:t>（</w:t>
      </w:r>
      <w:r>
        <w:rPr>
          <w:rFonts w:ascii="Times New Roman" w:eastAsia="Times New Roman"/>
        </w:rPr>
        <w:t>T</w:t>
      </w:r>
      <w:r>
        <w:rPr>
          <w:spacing w:val="-12"/>
        </w:rPr>
        <w:t>日买卖股票，资金和股票在</w:t>
      </w:r>
      <w:r>
        <w:rPr>
          <w:rFonts w:ascii="Times New Roman" w:eastAsia="Times New Roman"/>
        </w:rPr>
        <w:t>T+2</w:t>
      </w:r>
      <w:r>
        <w:rPr>
          <w:spacing w:val="-3"/>
        </w:rPr>
        <w:t>日才进行交收</w:t>
      </w:r>
      <w:r>
        <w:rPr>
          <w:spacing w:val="-101"/>
        </w:rPr>
        <w:t>）</w:t>
      </w:r>
      <w:r>
        <w:rPr>
          <w:spacing w:val="-3"/>
        </w:rPr>
        <w:t>的交收安排，</w:t>
      </w:r>
    </w:p>
    <w:p>
      <w:pPr>
        <w:spacing w:after="0"/>
        <w:sectPr>
          <w:pgSz w:w="11910" w:h="16840"/>
          <w:pgMar w:header="877" w:footer="995" w:top="1420" w:bottom="1180" w:left="1580" w:right="1200"/>
        </w:sectPr>
      </w:pPr>
    </w:p>
    <w:p>
      <w:pPr>
        <w:pStyle w:val="BodyText"/>
        <w:spacing w:line="417" w:lineRule="auto" w:before="110"/>
        <w:ind w:left="220" w:right="485"/>
      </w:pPr>
      <w:r>
        <w:rPr/>
        <w:t>本基金在</w:t>
      </w:r>
      <w:r>
        <w:rPr>
          <w:rFonts w:ascii="Times New Roman" w:eastAsia="Times New Roman"/>
        </w:rPr>
        <w:t>T</w:t>
      </w:r>
      <w:r>
        <w:rPr/>
        <w:t>日（港股通交易日）卖出股票，</w:t>
      </w:r>
      <w:r>
        <w:rPr>
          <w:rFonts w:ascii="Times New Roman" w:eastAsia="Times New Roman"/>
        </w:rPr>
        <w:t>T+2</w:t>
      </w:r>
      <w:r>
        <w:rPr/>
        <w:t>日（港股通交易日，即为卖出当日之后第二</w:t>
      </w:r>
      <w:r>
        <w:rPr>
          <w:spacing w:val="-3"/>
        </w:rPr>
        <w:t>个港股通交易日</w:t>
      </w:r>
      <w:r>
        <w:rPr>
          <w:spacing w:val="-68"/>
        </w:rPr>
        <w:t>）</w:t>
      </w:r>
      <w:r>
        <w:rPr>
          <w:spacing w:val="-9"/>
        </w:rPr>
        <w:t>在香港市场完成清算交收，卖出的资金在</w:t>
      </w:r>
      <w:r>
        <w:rPr>
          <w:rFonts w:ascii="Times New Roman" w:eastAsia="Times New Roman"/>
        </w:rPr>
        <w:t>T+3</w:t>
      </w:r>
      <w:r>
        <w:rPr>
          <w:spacing w:val="-3"/>
        </w:rPr>
        <w:t>日才能回到人民币资金账户。</w:t>
      </w:r>
      <w:r>
        <w:rPr>
          <w:spacing w:val="-8"/>
        </w:rPr>
        <w:t>因此交收制度的不同以及港股通交易日的设定原因，本基金可能面临卖出港股后资金不能及</w:t>
      </w:r>
      <w:r>
        <w:rPr>
          <w:spacing w:val="-5"/>
        </w:rPr>
        <w:t>时到账，造成支付赎回款日期比正常情况延后的风险。</w:t>
      </w:r>
    </w:p>
    <w:p>
      <w:pPr>
        <w:pStyle w:val="ListParagraph"/>
        <w:numPr>
          <w:ilvl w:val="0"/>
          <w:numId w:val="35"/>
        </w:numPr>
        <w:tabs>
          <w:tab w:pos="1170" w:val="left" w:leader="none"/>
        </w:tabs>
        <w:spacing w:line="268" w:lineRule="exact" w:before="0" w:after="0"/>
        <w:ind w:left="1169" w:right="0" w:hanging="530"/>
        <w:jc w:val="left"/>
        <w:rPr>
          <w:sz w:val="21"/>
        </w:rPr>
      </w:pPr>
      <w:r>
        <w:rPr>
          <w:spacing w:val="-3"/>
          <w:sz w:val="21"/>
        </w:rPr>
        <w:t>港股通标的权益分派、转换等处理规则带来的风险</w:t>
      </w:r>
    </w:p>
    <w:p>
      <w:pPr>
        <w:pStyle w:val="BodyText"/>
        <w:spacing w:before="6"/>
        <w:rPr>
          <w:sz w:val="15"/>
        </w:rPr>
      </w:pPr>
    </w:p>
    <w:p>
      <w:pPr>
        <w:pStyle w:val="BodyText"/>
        <w:spacing w:line="417" w:lineRule="auto"/>
        <w:ind w:left="220" w:right="591" w:firstLine="419"/>
        <w:jc w:val="both"/>
      </w:pPr>
      <w:r>
        <w:rPr>
          <w:spacing w:val="-8"/>
        </w:rPr>
        <w:t>根据现行的港股通规则，本基金因所持港股通股票权益分派、转换、上市公司被收购等</w:t>
      </w:r>
      <w:r>
        <w:rPr>
          <w:spacing w:val="-12"/>
        </w:rPr>
        <w:t>情形或者其他异常情况，所取得的港股通股票以外的香港联交所上市证券，只能通过港股通</w:t>
      </w:r>
      <w:r>
        <w:rPr>
          <w:spacing w:val="-13"/>
        </w:rPr>
        <w:t>卖出，但不得买入；因港股通股票权益分派或者转换等情形取得的香港联交所上市股票的认</w:t>
      </w:r>
      <w:r>
        <w:rPr>
          <w:spacing w:val="-11"/>
        </w:rPr>
        <w:t>购权利在联交所上市的，可以通过港股通卖出，但不得行权；因港股通股票权益分派、转换</w:t>
      </w:r>
      <w:r>
        <w:rPr>
          <w:spacing w:val="-10"/>
        </w:rPr>
        <w:t>或者上市公司被收购等所取得的非联交所上市证券，可以享有相关权益，但不得通过港股通</w:t>
      </w:r>
      <w:r>
        <w:rPr>
          <w:spacing w:val="-5"/>
        </w:rPr>
        <w:t>买入或卖出。</w:t>
      </w:r>
    </w:p>
    <w:p>
      <w:pPr>
        <w:pStyle w:val="BodyText"/>
        <w:spacing w:line="269" w:lineRule="exact"/>
        <w:ind w:left="640"/>
      </w:pPr>
      <w:r>
        <w:rPr/>
        <w:t>本基金存在因上述规则，利益得不到最大化甚至受损的风险。</w:t>
      </w:r>
    </w:p>
    <w:p>
      <w:pPr>
        <w:pStyle w:val="BodyText"/>
        <w:spacing w:before="7"/>
        <w:rPr>
          <w:sz w:val="15"/>
        </w:rPr>
      </w:pPr>
    </w:p>
    <w:p>
      <w:pPr>
        <w:pStyle w:val="ListParagraph"/>
        <w:numPr>
          <w:ilvl w:val="0"/>
          <w:numId w:val="35"/>
        </w:numPr>
        <w:tabs>
          <w:tab w:pos="1170" w:val="left" w:leader="none"/>
        </w:tabs>
        <w:spacing w:line="240" w:lineRule="auto" w:before="0" w:after="0"/>
        <w:ind w:left="1169" w:right="0" w:hanging="530"/>
        <w:jc w:val="left"/>
        <w:rPr>
          <w:sz w:val="21"/>
        </w:rPr>
      </w:pPr>
      <w:r>
        <w:rPr>
          <w:spacing w:val="-3"/>
          <w:sz w:val="21"/>
        </w:rPr>
        <w:t>香港联合交易所停牌、退市等制度性差异带来的风险</w:t>
      </w:r>
    </w:p>
    <w:p>
      <w:pPr>
        <w:pStyle w:val="BodyText"/>
        <w:spacing w:before="7"/>
        <w:rPr>
          <w:sz w:val="15"/>
        </w:rPr>
      </w:pPr>
    </w:p>
    <w:p>
      <w:pPr>
        <w:pStyle w:val="BodyText"/>
        <w:spacing w:line="417" w:lineRule="auto"/>
        <w:ind w:left="220" w:right="491" w:firstLine="419"/>
      </w:pPr>
      <w:r>
        <w:rPr>
          <w:spacing w:val="-11"/>
        </w:rPr>
        <w:t>香港联交所规定，在交易所认为所要求的停牌合理而且必要时，上市公司方可采取停牌措施。此外，不同于内地</w:t>
      </w:r>
      <w:r>
        <w:rPr>
          <w:rFonts w:ascii="Times New Roman" w:hAnsi="Times New Roman" w:eastAsia="Times New Roman"/>
          <w:spacing w:val="-11"/>
        </w:rPr>
        <w:t>A</w:t>
      </w:r>
      <w:r>
        <w:rPr>
          <w:spacing w:val="-12"/>
        </w:rPr>
        <w:t>股市场的停牌制度，联交所对停牌的具体时长并没有量化规定， </w:t>
      </w:r>
      <w:r>
        <w:rPr>
          <w:spacing w:val="-6"/>
        </w:rPr>
        <w:t>只是确定了“尽量缩短停牌时间”的原则；同时与</w:t>
      </w:r>
      <w:r>
        <w:rPr>
          <w:rFonts w:ascii="Times New Roman" w:hAnsi="Times New Roman" w:eastAsia="Times New Roman"/>
        </w:rPr>
        <w:t>A</w:t>
      </w:r>
      <w:r>
        <w:rPr>
          <w:spacing w:val="-3"/>
        </w:rPr>
        <w:t>股市场对存在退市可能的上市公司根据</w:t>
      </w:r>
      <w:r>
        <w:rPr>
          <w:spacing w:val="-5"/>
        </w:rPr>
        <w:t>其财务状况在证券简称前加入相应标记</w:t>
      </w:r>
      <w:r>
        <w:rPr/>
        <w:t>（</w:t>
      </w:r>
      <w:r>
        <w:rPr>
          <w:spacing w:val="-4"/>
        </w:rPr>
        <w:t>例如，</w:t>
      </w:r>
      <w:r>
        <w:rPr>
          <w:rFonts w:ascii="Times New Roman" w:hAnsi="Times New Roman" w:eastAsia="Times New Roman"/>
          <w:spacing w:val="-8"/>
        </w:rPr>
        <w:t>ST</w:t>
      </w:r>
      <w:r>
        <w:rPr/>
        <w:t>及</w:t>
      </w:r>
      <w:r>
        <w:rPr>
          <w:rFonts w:ascii="Times New Roman" w:hAnsi="Times New Roman" w:eastAsia="Times New Roman"/>
        </w:rPr>
        <w:t>*ST</w:t>
      </w:r>
      <w:r>
        <w:rPr>
          <w:spacing w:val="-1"/>
        </w:rPr>
        <w:t>等标记</w:t>
      </w:r>
      <w:r>
        <w:rPr>
          <w:spacing w:val="-20"/>
        </w:rPr>
        <w:t>）</w:t>
      </w:r>
      <w:r>
        <w:rPr>
          <w:spacing w:val="-3"/>
        </w:rPr>
        <w:t>以警示投资者风险的做法</w:t>
      </w:r>
      <w:r>
        <w:rPr>
          <w:spacing w:val="-12"/>
        </w:rPr>
        <w:t>不同，在香港联交所市场没有风险警示板，联交所采用非量化的退市标准且在上市公司退市</w:t>
      </w:r>
      <w:r>
        <w:rPr>
          <w:spacing w:val="-6"/>
        </w:rPr>
        <w:t>过程中拥有相对较大的主导权，使得联交所上市公司的退市情形较</w:t>
      </w:r>
      <w:r>
        <w:rPr>
          <w:rFonts w:ascii="Times New Roman" w:hAnsi="Times New Roman" w:eastAsia="Times New Roman"/>
        </w:rPr>
        <w:t>A</w:t>
      </w:r>
      <w:r>
        <w:rPr>
          <w:spacing w:val="-3"/>
        </w:rPr>
        <w:t>股市场相对复杂。</w:t>
      </w:r>
    </w:p>
    <w:p>
      <w:pPr>
        <w:pStyle w:val="BodyText"/>
        <w:spacing w:line="417" w:lineRule="auto"/>
        <w:ind w:left="220" w:right="591" w:firstLine="419"/>
      </w:pPr>
      <w:r>
        <w:rPr>
          <w:spacing w:val="-12"/>
        </w:rPr>
        <w:t>因该等制度性差异，本基金可能存在因所持个股遭遇非预期性的停牌甚至退市而给基金</w:t>
      </w:r>
      <w:r>
        <w:rPr>
          <w:spacing w:val="-6"/>
        </w:rPr>
        <w:t>带来损失的风险。</w:t>
      </w:r>
    </w:p>
    <w:p>
      <w:pPr>
        <w:pStyle w:val="ListParagraph"/>
        <w:numPr>
          <w:ilvl w:val="0"/>
          <w:numId w:val="35"/>
        </w:numPr>
        <w:tabs>
          <w:tab w:pos="1170" w:val="left" w:leader="none"/>
        </w:tabs>
        <w:spacing w:line="240" w:lineRule="auto" w:before="0" w:after="0"/>
        <w:ind w:left="1169" w:right="0" w:hanging="530"/>
        <w:jc w:val="left"/>
        <w:rPr>
          <w:sz w:val="21"/>
        </w:rPr>
      </w:pPr>
      <w:r>
        <w:rPr>
          <w:spacing w:val="-3"/>
          <w:sz w:val="21"/>
        </w:rPr>
        <w:t>港股通规则变动带来的风险</w:t>
      </w:r>
    </w:p>
    <w:p>
      <w:pPr>
        <w:pStyle w:val="BodyText"/>
        <w:spacing w:before="6"/>
        <w:rPr>
          <w:sz w:val="15"/>
        </w:rPr>
      </w:pPr>
    </w:p>
    <w:p>
      <w:pPr>
        <w:pStyle w:val="BodyText"/>
        <w:spacing w:line="417" w:lineRule="auto"/>
        <w:ind w:left="220" w:right="384" w:firstLine="419"/>
      </w:pPr>
      <w:r>
        <w:rPr>
          <w:spacing w:val="-7"/>
        </w:rPr>
        <w:t>本基金是在港股通机制和规则下参与香港联交所证券的投资，受港股通规则的限制和影 </w:t>
      </w:r>
      <w:r>
        <w:rPr>
          <w:spacing w:val="-12"/>
        </w:rPr>
        <w:t>响；本基金存在因港股通规则变动而带来基金投资受阻或所持资产组合价值发生波动的风险。</w:t>
      </w:r>
    </w:p>
    <w:p>
      <w:pPr>
        <w:pStyle w:val="ListParagraph"/>
        <w:numPr>
          <w:ilvl w:val="0"/>
          <w:numId w:val="35"/>
        </w:numPr>
        <w:tabs>
          <w:tab w:pos="1275" w:val="left" w:leader="none"/>
        </w:tabs>
        <w:spacing w:line="269" w:lineRule="exact" w:before="0" w:after="0"/>
        <w:ind w:left="1275" w:right="0" w:hanging="635"/>
        <w:jc w:val="left"/>
        <w:rPr>
          <w:sz w:val="21"/>
        </w:rPr>
      </w:pPr>
      <w:r>
        <w:rPr>
          <w:spacing w:val="-3"/>
          <w:sz w:val="21"/>
        </w:rPr>
        <w:t>其他可能的风险</w:t>
      </w:r>
    </w:p>
    <w:p>
      <w:pPr>
        <w:pStyle w:val="BodyText"/>
        <w:spacing w:before="7"/>
        <w:rPr>
          <w:sz w:val="15"/>
        </w:rPr>
      </w:pPr>
    </w:p>
    <w:p>
      <w:pPr>
        <w:pStyle w:val="BodyText"/>
        <w:ind w:left="640"/>
      </w:pPr>
      <w:r>
        <w:rPr/>
        <w:t>除上述风险外，本基金参与港股通投资，还可能面临其他风险。</w:t>
      </w:r>
    </w:p>
    <w:p>
      <w:pPr>
        <w:pStyle w:val="BodyText"/>
        <w:spacing w:before="7"/>
        <w:rPr>
          <w:sz w:val="15"/>
        </w:rPr>
      </w:pPr>
    </w:p>
    <w:p>
      <w:pPr>
        <w:pStyle w:val="BodyText"/>
        <w:ind w:left="640"/>
      </w:pPr>
      <w:r>
        <w:rPr>
          <w:rFonts w:ascii="Times New Roman" w:eastAsia="Times New Roman"/>
        </w:rPr>
        <w:t>7</w:t>
      </w:r>
      <w:r>
        <w:rPr/>
        <w:t>、存托凭证投资风险</w:t>
      </w:r>
    </w:p>
    <w:p>
      <w:pPr>
        <w:pStyle w:val="BodyText"/>
        <w:spacing w:before="6"/>
        <w:rPr>
          <w:sz w:val="15"/>
        </w:rPr>
      </w:pPr>
    </w:p>
    <w:p>
      <w:pPr>
        <w:pStyle w:val="BodyText"/>
        <w:spacing w:line="417" w:lineRule="auto" w:before="1"/>
        <w:ind w:left="220" w:right="591" w:firstLine="419"/>
      </w:pPr>
      <w:r>
        <w:rPr>
          <w:spacing w:val="-10"/>
        </w:rPr>
        <w:t>本基金可投资存托凭证，基金净值可能受到存托凭证的境外基础证券价格波动影响，存</w:t>
      </w:r>
      <w:r>
        <w:rPr>
          <w:spacing w:val="-5"/>
        </w:rPr>
        <w:t>托凭证的境外基础证券的相关风险可能直接或间接成为本基金的风险。</w:t>
      </w:r>
    </w:p>
    <w:p>
      <w:pPr>
        <w:pStyle w:val="BodyText"/>
        <w:ind w:left="640"/>
      </w:pPr>
      <w:r>
        <w:rPr>
          <w:rFonts w:ascii="Times New Roman" w:eastAsia="Times New Roman"/>
        </w:rPr>
        <w:t>8</w:t>
      </w:r>
      <w:r>
        <w:rPr/>
        <w:t>、衍生品投资风险</w:t>
      </w:r>
    </w:p>
    <w:p>
      <w:pPr>
        <w:spacing w:after="0"/>
        <w:sectPr>
          <w:pgSz w:w="11910" w:h="16840"/>
          <w:pgMar w:header="877" w:footer="995" w:top="1420" w:bottom="1180" w:left="1580" w:right="1200"/>
        </w:sectPr>
      </w:pPr>
    </w:p>
    <w:p>
      <w:pPr>
        <w:pStyle w:val="BodyText"/>
        <w:spacing w:line="417" w:lineRule="auto" w:before="110"/>
        <w:ind w:left="220" w:right="591" w:firstLine="419"/>
      </w:pPr>
      <w:r>
        <w:rPr>
          <w:spacing w:val="-10"/>
        </w:rPr>
        <w:t>本基金可投资于期权、股指期货、国债期货等金融衍生品，投资期权、期货等金融衍生</w:t>
      </w:r>
      <w:r>
        <w:rPr>
          <w:spacing w:val="-5"/>
        </w:rPr>
        <w:t>品主要存在以下风险：</w:t>
      </w:r>
    </w:p>
    <w:p>
      <w:pPr>
        <w:pStyle w:val="ListParagraph"/>
        <w:numPr>
          <w:ilvl w:val="0"/>
          <w:numId w:val="36"/>
        </w:numPr>
        <w:tabs>
          <w:tab w:pos="1170" w:val="left" w:leader="none"/>
        </w:tabs>
        <w:spacing w:line="269" w:lineRule="exact" w:before="0" w:after="0"/>
        <w:ind w:left="1169" w:right="0" w:hanging="530"/>
        <w:jc w:val="left"/>
        <w:rPr>
          <w:sz w:val="21"/>
        </w:rPr>
      </w:pPr>
      <w:r>
        <w:rPr>
          <w:spacing w:val="-3"/>
          <w:sz w:val="21"/>
        </w:rPr>
        <w:t>市场风险：是指由于衍生品价格变动而给投资者带来的风险。</w:t>
      </w:r>
    </w:p>
    <w:p>
      <w:pPr>
        <w:pStyle w:val="BodyText"/>
        <w:spacing w:before="6"/>
        <w:rPr>
          <w:sz w:val="15"/>
        </w:rPr>
      </w:pPr>
    </w:p>
    <w:p>
      <w:pPr>
        <w:pStyle w:val="ListParagraph"/>
        <w:numPr>
          <w:ilvl w:val="0"/>
          <w:numId w:val="36"/>
        </w:numPr>
        <w:tabs>
          <w:tab w:pos="1170" w:val="left" w:leader="none"/>
        </w:tabs>
        <w:spacing w:line="240" w:lineRule="auto" w:before="0" w:after="0"/>
        <w:ind w:left="1169" w:right="0" w:hanging="530"/>
        <w:jc w:val="left"/>
        <w:rPr>
          <w:sz w:val="21"/>
        </w:rPr>
      </w:pPr>
      <w:r>
        <w:rPr>
          <w:spacing w:val="-3"/>
          <w:sz w:val="21"/>
        </w:rPr>
        <w:t>流动性风险：是指由于衍生品合约无法及时变现所带来的风险。</w:t>
      </w:r>
    </w:p>
    <w:p>
      <w:pPr>
        <w:pStyle w:val="BodyText"/>
        <w:spacing w:before="7"/>
        <w:rPr>
          <w:sz w:val="15"/>
        </w:rPr>
      </w:pPr>
    </w:p>
    <w:p>
      <w:pPr>
        <w:pStyle w:val="ListParagraph"/>
        <w:numPr>
          <w:ilvl w:val="0"/>
          <w:numId w:val="36"/>
        </w:numPr>
        <w:tabs>
          <w:tab w:pos="1170" w:val="left" w:leader="none"/>
        </w:tabs>
        <w:spacing w:line="417" w:lineRule="auto" w:before="0" w:after="0"/>
        <w:ind w:left="220" w:right="594" w:firstLine="419"/>
        <w:jc w:val="left"/>
        <w:rPr>
          <w:sz w:val="21"/>
        </w:rPr>
      </w:pPr>
      <w:r>
        <w:rPr>
          <w:spacing w:val="-3"/>
          <w:sz w:val="21"/>
        </w:rPr>
        <w:t>基差风险：是指衍生品合约价格和标的指数价格之间的价格差的波动所造成的风险，以及不同衍生品合约价格之间价格差的波动所造成的期现价差风险。</w:t>
      </w:r>
    </w:p>
    <w:p>
      <w:pPr>
        <w:pStyle w:val="ListParagraph"/>
        <w:numPr>
          <w:ilvl w:val="0"/>
          <w:numId w:val="36"/>
        </w:numPr>
        <w:tabs>
          <w:tab w:pos="1170" w:val="left" w:leader="none"/>
        </w:tabs>
        <w:spacing w:line="417" w:lineRule="auto" w:before="0" w:after="0"/>
        <w:ind w:left="220" w:right="594" w:firstLine="419"/>
        <w:jc w:val="left"/>
        <w:rPr>
          <w:sz w:val="21"/>
        </w:rPr>
      </w:pPr>
      <w:r>
        <w:rPr>
          <w:spacing w:val="-3"/>
          <w:sz w:val="21"/>
        </w:rPr>
        <w:t>保证金风险：是指由于无法及时筹措资金满足建立或者维持衍生品合约头寸所要求的保证金而带来的风险。</w:t>
      </w:r>
    </w:p>
    <w:p>
      <w:pPr>
        <w:pStyle w:val="ListParagraph"/>
        <w:numPr>
          <w:ilvl w:val="0"/>
          <w:numId w:val="36"/>
        </w:numPr>
        <w:tabs>
          <w:tab w:pos="1170" w:val="left" w:leader="none"/>
        </w:tabs>
        <w:spacing w:line="240" w:lineRule="auto" w:before="0" w:after="0"/>
        <w:ind w:left="1169" w:right="0" w:hanging="530"/>
        <w:jc w:val="left"/>
        <w:rPr>
          <w:sz w:val="21"/>
        </w:rPr>
      </w:pPr>
      <w:r>
        <w:rPr>
          <w:spacing w:val="-3"/>
          <w:sz w:val="21"/>
        </w:rPr>
        <w:t>信用风险：是指经纪公司违约而产生损失的风险。</w:t>
      </w:r>
    </w:p>
    <w:p>
      <w:pPr>
        <w:pStyle w:val="BodyText"/>
        <w:spacing w:before="7"/>
        <w:rPr>
          <w:sz w:val="15"/>
        </w:rPr>
      </w:pPr>
    </w:p>
    <w:p>
      <w:pPr>
        <w:pStyle w:val="ListParagraph"/>
        <w:numPr>
          <w:ilvl w:val="0"/>
          <w:numId w:val="36"/>
        </w:numPr>
        <w:tabs>
          <w:tab w:pos="1170" w:val="left" w:leader="none"/>
        </w:tabs>
        <w:spacing w:line="417" w:lineRule="auto" w:before="0" w:after="0"/>
        <w:ind w:left="220" w:right="594" w:firstLine="419"/>
        <w:jc w:val="left"/>
        <w:rPr>
          <w:sz w:val="21"/>
        </w:rPr>
      </w:pPr>
      <w:r>
        <w:rPr>
          <w:spacing w:val="-3"/>
          <w:sz w:val="21"/>
        </w:rPr>
        <w:t>操作风险：是指由于内部流程的不完善，业务人员出现差错或者疏漏，或者系统出现故障等原因造成损失的风险。</w:t>
      </w:r>
    </w:p>
    <w:p>
      <w:pPr>
        <w:pStyle w:val="BodyText"/>
        <w:spacing w:line="269" w:lineRule="exact"/>
        <w:ind w:left="640"/>
      </w:pPr>
      <w:r>
        <w:rPr>
          <w:rFonts w:ascii="Times New Roman" w:eastAsia="Times New Roman"/>
        </w:rPr>
        <w:t>9</w:t>
      </w:r>
      <w:r>
        <w:rPr/>
        <w:t>、操作或技术风险</w:t>
      </w:r>
    </w:p>
    <w:p>
      <w:pPr>
        <w:pStyle w:val="BodyText"/>
        <w:spacing w:before="6"/>
        <w:rPr>
          <w:sz w:val="15"/>
        </w:rPr>
      </w:pPr>
    </w:p>
    <w:p>
      <w:pPr>
        <w:pStyle w:val="BodyText"/>
        <w:spacing w:line="417" w:lineRule="auto" w:before="1"/>
        <w:ind w:left="220" w:right="591" w:firstLine="419"/>
        <w:jc w:val="both"/>
      </w:pPr>
      <w:r>
        <w:rPr>
          <w:spacing w:val="-9"/>
        </w:rPr>
        <w:t>相关当事人在业务各环节操作过程中，因内部控制存在缺陷或者人为因素造成操作失误</w:t>
      </w:r>
      <w:r>
        <w:rPr>
          <w:spacing w:val="-11"/>
        </w:rPr>
        <w:t>或违反操作规程等引致的风险，例如，越权违规交易、会计部门欺诈、交易错误、</w:t>
      </w:r>
      <w:r>
        <w:rPr>
          <w:rFonts w:ascii="Times New Roman" w:eastAsia="Times New Roman"/>
        </w:rPr>
        <w:t>IT</w:t>
      </w:r>
      <w:r>
        <w:rPr>
          <w:spacing w:val="-2"/>
        </w:rPr>
        <w:t>系统故</w:t>
      </w:r>
      <w:r>
        <w:rPr>
          <w:spacing w:val="-3"/>
        </w:rPr>
        <w:t>障等风险。</w:t>
      </w:r>
    </w:p>
    <w:p>
      <w:pPr>
        <w:pStyle w:val="BodyText"/>
        <w:spacing w:line="417" w:lineRule="auto"/>
        <w:ind w:left="220" w:right="48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登记结算机构、销售机构、证券、期货交易所、证券登记结算机构等。</w:t>
      </w:r>
    </w:p>
    <w:p>
      <w:pPr>
        <w:pStyle w:val="BodyText"/>
        <w:spacing w:line="417" w:lineRule="auto"/>
        <w:ind w:left="220" w:right="59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ind w:left="640"/>
      </w:pPr>
      <w:r>
        <w:rPr>
          <w:rFonts w:ascii="Times New Roman" w:eastAsia="Times New Roman"/>
        </w:rPr>
        <w:t>10</w:t>
      </w:r>
      <w:r>
        <w:rPr/>
        <w:t>、政策变更风险</w:t>
      </w:r>
    </w:p>
    <w:p>
      <w:pPr>
        <w:pStyle w:val="BodyText"/>
        <w:spacing w:before="6"/>
        <w:rPr>
          <w:sz w:val="15"/>
        </w:rPr>
      </w:pPr>
    </w:p>
    <w:p>
      <w:pPr>
        <w:pStyle w:val="BodyText"/>
        <w:spacing w:line="417" w:lineRule="auto"/>
        <w:ind w:left="220" w:right="59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3"/>
        </w:rPr>
        <w:t>引起基金净值波动的风险、相关法规的修改导致基金投资范围变化基金管理人为调整投资组</w:t>
      </w:r>
      <w:r>
        <w:rPr>
          <w:spacing w:val="-6"/>
        </w:rPr>
        <w:t>合而引起基金净值波动的风险等。</w:t>
      </w:r>
    </w:p>
    <w:p>
      <w:pPr>
        <w:pStyle w:val="BodyText"/>
        <w:spacing w:line="268" w:lineRule="exact"/>
        <w:ind w:left="640"/>
      </w:pPr>
      <w:r>
        <w:rPr>
          <w:rFonts w:ascii="Times New Roman" w:eastAsia="Times New Roman"/>
        </w:rPr>
        <w:t>11</w:t>
      </w:r>
      <w:r>
        <w:rPr/>
        <w:t>、其他风险</w:t>
      </w:r>
    </w:p>
    <w:p>
      <w:pPr>
        <w:pStyle w:val="BodyText"/>
        <w:spacing w:before="6"/>
        <w:rPr>
          <w:sz w:val="15"/>
        </w:rPr>
      </w:pPr>
    </w:p>
    <w:p>
      <w:pPr>
        <w:pStyle w:val="BodyText"/>
        <w:spacing w:line="417" w:lineRule="auto" w:before="1"/>
        <w:ind w:left="220" w:right="591" w:firstLine="419"/>
        <w:jc w:val="both"/>
      </w:pPr>
      <w:r>
        <w:rPr>
          <w:spacing w:val="-10"/>
        </w:rPr>
        <w:t>战争、自然灾害等不可抗力因素的出现，将会严重影响证券市场的运行，可能导致基金</w:t>
      </w:r>
      <w:r>
        <w:rPr>
          <w:spacing w:val="-13"/>
        </w:rPr>
        <w:t>资产的损失。金融市场危机、行业竞争、代理机构违约等超出基金管理人自身直接控制能力</w:t>
      </w:r>
      <w:r>
        <w:rPr>
          <w:spacing w:val="-6"/>
        </w:rPr>
        <w:t>之外的风险，可能导致基金或者基金份额持有人利益受损。</w:t>
      </w:r>
    </w:p>
    <w:p>
      <w:pPr>
        <w:spacing w:after="0" w:line="417" w:lineRule="auto"/>
        <w:jc w:val="both"/>
        <w:sectPr>
          <w:pgSz w:w="11910" w:h="16840"/>
          <w:pgMar w:header="877" w:footer="995" w:top="1420" w:bottom="1180" w:left="1580" w:right="1200"/>
        </w:sectPr>
      </w:pPr>
    </w:p>
    <w:p>
      <w:pPr>
        <w:pStyle w:val="BodyText"/>
        <w:spacing w:before="110"/>
        <w:ind w:left="640"/>
      </w:pPr>
      <w:r>
        <w:rPr/>
        <w:t>（二）声明</w:t>
      </w:r>
    </w:p>
    <w:p>
      <w:pPr>
        <w:pStyle w:val="BodyText"/>
        <w:spacing w:before="6"/>
        <w:rPr>
          <w:sz w:val="15"/>
        </w:rPr>
      </w:pPr>
    </w:p>
    <w:p>
      <w:pPr>
        <w:pStyle w:val="BodyText"/>
        <w:spacing w:line="417" w:lineRule="auto"/>
        <w:ind w:left="220" w:right="594" w:firstLine="419"/>
      </w:pPr>
      <w:r>
        <w:rPr>
          <w:rFonts w:ascii="Times New Roman" w:eastAsia="Times New Roman"/>
        </w:rPr>
        <w:t>1</w:t>
      </w:r>
      <w:r>
        <w:rPr/>
        <w:t>、本基金未经任何一级政府、机构及部门担保。投资者自愿投资于本基金，须自行承担投资风险。</w:t>
      </w:r>
    </w:p>
    <w:p>
      <w:pPr>
        <w:pStyle w:val="BodyText"/>
        <w:spacing w:line="417" w:lineRule="auto"/>
        <w:ind w:left="220" w:right="591" w:firstLine="419"/>
        <w:jc w:val="both"/>
      </w:pPr>
      <w:r>
        <w:rPr>
          <w:rFonts w:ascii="Times New Roman" w:eastAsia="Times New Roman"/>
        </w:rPr>
        <w:t>2</w:t>
      </w:r>
      <w:r>
        <w:rPr>
          <w:spacing w:val="-3"/>
        </w:rPr>
        <w:t>、除基金管理人直接办理本基金的销售外，本基金还通过代销机构销售，但是，本基</w:t>
      </w:r>
      <w:r>
        <w:rPr>
          <w:spacing w:val="-8"/>
        </w:rPr>
        <w:t>金并不是代销机构的存款或负债，也没有经代销机构担保或者背书，代销机构并不能保证其</w:t>
      </w:r>
      <w:r>
        <w:rPr>
          <w:spacing w:val="-5"/>
        </w:rPr>
        <w:t>收益或本金安全。</w:t>
      </w:r>
    </w:p>
    <w:p>
      <w:pPr>
        <w:pStyle w:val="BodyText"/>
        <w:spacing w:line="417" w:lineRule="auto"/>
        <w:ind w:left="220" w:right="488" w:firstLine="472"/>
      </w:pPr>
      <w:r>
        <w:rPr/>
        <w:t>基金管理人承诺以诚实信用、勤勉尽责的原则管理和运用基金资产，但不保证本基金</w:t>
      </w:r>
      <w:r>
        <w:rPr>
          <w:spacing w:val="-3"/>
        </w:rPr>
        <w:t>一定盈利，也不保证最低收益。本基金的过往业绩及其净值高低并不预示其未来业绩表现。基金管理人提醒投资人基金投资的</w:t>
      </w:r>
      <w:r>
        <w:rPr>
          <w:rFonts w:ascii="Times New Roman" w:hAnsi="Times New Roman" w:eastAsia="Times New Roman"/>
          <w:spacing w:val="-3"/>
        </w:rPr>
        <w:t>“</w:t>
      </w:r>
      <w:r>
        <w:rPr>
          <w:spacing w:val="-2"/>
        </w:rPr>
        <w:t>买者自负</w:t>
      </w:r>
      <w:r>
        <w:rPr>
          <w:rFonts w:ascii="Times New Roman" w:hAnsi="Times New Roman" w:eastAsia="Times New Roman"/>
          <w:spacing w:val="-3"/>
        </w:rPr>
        <w:t>”</w:t>
      </w:r>
      <w:r>
        <w:rPr>
          <w:spacing w:val="-11"/>
        </w:rPr>
        <w:t>原则，在做出投资决策后，基金运营状况与基</w:t>
      </w:r>
      <w:r>
        <w:rPr>
          <w:spacing w:val="-6"/>
        </w:rPr>
        <w:t>金净值变化引致的投资风险，由投资人自行负担。</w:t>
      </w:r>
    </w:p>
    <w:p>
      <w:pPr>
        <w:pStyle w:val="BodyText"/>
        <w:spacing w:before="7"/>
        <w:rPr>
          <w:sz w:val="26"/>
        </w:rPr>
      </w:pPr>
    </w:p>
    <w:p>
      <w:pPr>
        <w:pStyle w:val="Heading1"/>
        <w:ind w:right="1134"/>
      </w:pPr>
      <w:bookmarkStart w:name="_bookmark17" w:id="18"/>
      <w:bookmarkEnd w:id="18"/>
      <w:r>
        <w:rPr>
          <w:b w:val="0"/>
        </w:rPr>
      </w:r>
      <w:r>
        <w:rPr/>
        <w:t>十九、基金合同的变更、终止与基金财产的清算</w:t>
      </w:r>
    </w:p>
    <w:p>
      <w:pPr>
        <w:pStyle w:val="BodyText"/>
        <w:rPr>
          <w:b/>
          <w:sz w:val="20"/>
        </w:rPr>
      </w:pPr>
    </w:p>
    <w:p>
      <w:pPr>
        <w:pStyle w:val="BodyText"/>
        <w:spacing w:before="2"/>
        <w:rPr>
          <w:b/>
        </w:rPr>
      </w:pPr>
    </w:p>
    <w:p>
      <w:pPr>
        <w:pStyle w:val="BodyText"/>
        <w:spacing w:before="1"/>
        <w:ind w:left="640"/>
      </w:pPr>
      <w:r>
        <w:rPr/>
        <w:t>（一</w:t>
      </w:r>
      <w:r>
        <w:rPr>
          <w:spacing w:val="-108"/>
        </w:rPr>
        <w:t>）</w:t>
      </w:r>
      <w:r>
        <w:rPr>
          <w:spacing w:val="-3"/>
        </w:rPr>
        <w:t>《基金合同》的变更</w:t>
      </w:r>
    </w:p>
    <w:p>
      <w:pPr>
        <w:pStyle w:val="BodyText"/>
        <w:spacing w:before="6"/>
        <w:rPr>
          <w:sz w:val="15"/>
        </w:rPr>
      </w:pPr>
    </w:p>
    <w:p>
      <w:pPr>
        <w:pStyle w:val="BodyText"/>
        <w:spacing w:line="417" w:lineRule="auto"/>
        <w:ind w:left="220" w:right="59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17" w:lineRule="auto"/>
        <w:ind w:left="220" w:right="59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line="269" w:lineRule="exact"/>
        <w:ind w:left="640"/>
      </w:pPr>
      <w:r>
        <w:rPr/>
        <w:t>（二</w:t>
      </w:r>
      <w:r>
        <w:rPr>
          <w:spacing w:val="-108"/>
        </w:rPr>
        <w:t>）</w:t>
      </w:r>
      <w:r>
        <w:rPr>
          <w:spacing w:val="-3"/>
        </w:rPr>
        <w:t>《基金合同》的终止事由</w:t>
      </w:r>
    </w:p>
    <w:p>
      <w:pPr>
        <w:pStyle w:val="BodyText"/>
        <w:spacing w:before="7"/>
        <w:rPr>
          <w:sz w:val="15"/>
        </w:rPr>
      </w:pPr>
    </w:p>
    <w:p>
      <w:pPr>
        <w:pStyle w:val="BodyText"/>
        <w:ind w:left="640"/>
      </w:pPr>
      <w:r>
        <w:rPr/>
        <w:t>有下列情形之一的，《基金合同》应当终止：</w:t>
      </w:r>
    </w:p>
    <w:p>
      <w:pPr>
        <w:pStyle w:val="BodyText"/>
        <w:spacing w:before="7"/>
        <w:rPr>
          <w:sz w:val="15"/>
        </w:rPr>
      </w:pPr>
    </w:p>
    <w:p>
      <w:pPr>
        <w:pStyle w:val="BodyText"/>
        <w:ind w:left="64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220" w:right="53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640"/>
      </w:pPr>
      <w:r>
        <w:rPr>
          <w:rFonts w:ascii="Times New Roman" w:eastAsia="Times New Roman"/>
        </w:rPr>
        <w:t>3</w:t>
      </w:r>
      <w:r>
        <w:rPr/>
        <w:t>、《基金合同》约定的其他情形。</w:t>
      </w:r>
    </w:p>
    <w:p>
      <w:pPr>
        <w:pStyle w:val="BodyText"/>
        <w:spacing w:before="7"/>
        <w:rPr>
          <w:sz w:val="15"/>
        </w:rPr>
      </w:pPr>
    </w:p>
    <w:p>
      <w:pPr>
        <w:pStyle w:val="BodyText"/>
        <w:ind w:left="640"/>
      </w:pPr>
      <w:r>
        <w:rPr>
          <w:rFonts w:ascii="Times New Roman" w:eastAsia="Times New Roman"/>
        </w:rPr>
        <w:t>4</w:t>
      </w:r>
      <w:r>
        <w:rPr/>
        <w:t>、相关法律法规和中国证监会规定的其他情况。</w:t>
      </w:r>
    </w:p>
    <w:p>
      <w:pPr>
        <w:pStyle w:val="BodyText"/>
        <w:spacing w:before="6"/>
        <w:rPr>
          <w:sz w:val="15"/>
        </w:rPr>
      </w:pPr>
    </w:p>
    <w:p>
      <w:pPr>
        <w:pStyle w:val="BodyText"/>
        <w:spacing w:before="1"/>
        <w:ind w:left="640"/>
      </w:pPr>
      <w:r>
        <w:rPr/>
        <w:t>（三）基金财产的清算</w:t>
      </w:r>
    </w:p>
    <w:p>
      <w:pPr>
        <w:pStyle w:val="BodyText"/>
        <w:spacing w:before="6"/>
        <w:rPr>
          <w:sz w:val="15"/>
        </w:rPr>
      </w:pPr>
    </w:p>
    <w:p>
      <w:pPr>
        <w:pStyle w:val="BodyText"/>
        <w:spacing w:line="417" w:lineRule="auto"/>
        <w:ind w:left="220" w:right="593" w:firstLine="419"/>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ind w:left="640"/>
      </w:pPr>
      <w:r>
        <w:rPr>
          <w:rFonts w:ascii="Times New Roman" w:eastAsia="Times New Roman"/>
        </w:rPr>
        <w:t>2</w:t>
      </w:r>
      <w:r>
        <w:rPr/>
        <w:t>、基金财产清算小组组成：基金财产清算小组成员由基金管理人、基金托管人、具有</w:t>
      </w:r>
    </w:p>
    <w:p>
      <w:pPr>
        <w:spacing w:after="0"/>
        <w:sectPr>
          <w:pgSz w:w="11910" w:h="16840"/>
          <w:pgMar w:header="877" w:footer="995" w:top="1420" w:bottom="1180" w:left="1580" w:right="1200"/>
        </w:sectPr>
      </w:pPr>
    </w:p>
    <w:p>
      <w:pPr>
        <w:pStyle w:val="BodyText"/>
        <w:spacing w:line="417" w:lineRule="auto" w:before="110"/>
        <w:ind w:left="220" w:right="591"/>
      </w:pP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220" w:right="59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640"/>
      </w:pPr>
      <w:r>
        <w:rPr>
          <w:rFonts w:ascii="Times New Roman" w:eastAsia="Times New Roman"/>
        </w:rPr>
        <w:t>4</w:t>
      </w:r>
      <w:r>
        <w:rPr/>
        <w:t>、基金财产清算程序：</w:t>
      </w:r>
    </w:p>
    <w:p>
      <w:pPr>
        <w:pStyle w:val="BodyText"/>
        <w:spacing w:before="6"/>
        <w:rPr>
          <w:sz w:val="15"/>
        </w:rPr>
      </w:pPr>
    </w:p>
    <w:p>
      <w:pPr>
        <w:pStyle w:val="ListParagraph"/>
        <w:numPr>
          <w:ilvl w:val="0"/>
          <w:numId w:val="37"/>
        </w:numPr>
        <w:tabs>
          <w:tab w:pos="1170" w:val="left" w:leader="none"/>
        </w:tabs>
        <w:spacing w:line="240" w:lineRule="auto" w:before="0" w:after="0"/>
        <w:ind w:left="116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37"/>
        </w:numPr>
        <w:tabs>
          <w:tab w:pos="1170" w:val="left" w:leader="none"/>
        </w:tabs>
        <w:spacing w:line="240" w:lineRule="auto" w:before="0" w:after="0"/>
        <w:ind w:left="116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37"/>
        </w:numPr>
        <w:tabs>
          <w:tab w:pos="1170" w:val="left" w:leader="none"/>
        </w:tabs>
        <w:spacing w:line="240" w:lineRule="auto" w:before="0" w:after="0"/>
        <w:ind w:left="116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37"/>
        </w:numPr>
        <w:tabs>
          <w:tab w:pos="1170" w:val="left" w:leader="none"/>
        </w:tabs>
        <w:spacing w:line="240" w:lineRule="auto" w:before="0" w:after="0"/>
        <w:ind w:left="1169" w:right="0" w:hanging="530"/>
        <w:jc w:val="left"/>
        <w:rPr>
          <w:sz w:val="21"/>
        </w:rPr>
      </w:pPr>
      <w:r>
        <w:rPr>
          <w:spacing w:val="-3"/>
          <w:sz w:val="21"/>
        </w:rPr>
        <w:t>制作清算报告。</w:t>
      </w:r>
    </w:p>
    <w:p>
      <w:pPr>
        <w:pStyle w:val="BodyText"/>
        <w:spacing w:before="7"/>
        <w:rPr>
          <w:sz w:val="15"/>
        </w:rPr>
      </w:pPr>
    </w:p>
    <w:p>
      <w:pPr>
        <w:pStyle w:val="ListParagraph"/>
        <w:numPr>
          <w:ilvl w:val="0"/>
          <w:numId w:val="37"/>
        </w:numPr>
        <w:tabs>
          <w:tab w:pos="1170" w:val="left" w:leader="none"/>
        </w:tabs>
        <w:spacing w:line="417" w:lineRule="auto" w:before="0" w:after="0"/>
        <w:ind w:left="220" w:right="593"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7"/>
        </w:numPr>
        <w:tabs>
          <w:tab w:pos="1170" w:val="left" w:leader="none"/>
        </w:tabs>
        <w:spacing w:line="269" w:lineRule="exact" w:before="0" w:after="0"/>
        <w:ind w:left="116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37"/>
        </w:numPr>
        <w:tabs>
          <w:tab w:pos="1170" w:val="left" w:leader="none"/>
        </w:tabs>
        <w:spacing w:line="240" w:lineRule="auto" w:before="0" w:after="0"/>
        <w:ind w:left="1169" w:right="0" w:hanging="530"/>
        <w:jc w:val="left"/>
        <w:rPr>
          <w:sz w:val="21"/>
        </w:rPr>
      </w:pPr>
      <w:r>
        <w:rPr>
          <w:spacing w:val="-3"/>
          <w:sz w:val="21"/>
        </w:rPr>
        <w:t>对基金财产进行分配。</w:t>
      </w:r>
    </w:p>
    <w:p>
      <w:pPr>
        <w:pStyle w:val="BodyText"/>
        <w:spacing w:before="7"/>
        <w:rPr>
          <w:sz w:val="15"/>
        </w:rPr>
      </w:pPr>
    </w:p>
    <w:p>
      <w:pPr>
        <w:pStyle w:val="BodyText"/>
        <w:ind w:left="640"/>
      </w:pPr>
      <w:r>
        <w:rPr>
          <w:rFonts w:ascii="Times New Roman" w:eastAsia="Times New Roman"/>
        </w:rPr>
        <w:t>5</w:t>
      </w:r>
      <w:r>
        <w:rPr/>
        <w:t>、基金财产清算的期限为 </w:t>
      </w:r>
      <w:r>
        <w:rPr>
          <w:rFonts w:ascii="Times New Roman" w:eastAsia="Times New Roman"/>
        </w:rPr>
        <w:t>6 </w:t>
      </w:r>
      <w:r>
        <w:rPr/>
        <w:t>个月。</w:t>
      </w:r>
    </w:p>
    <w:p>
      <w:pPr>
        <w:pStyle w:val="BodyText"/>
        <w:spacing w:before="7"/>
        <w:rPr>
          <w:sz w:val="15"/>
        </w:rPr>
      </w:pPr>
    </w:p>
    <w:p>
      <w:pPr>
        <w:pStyle w:val="BodyText"/>
        <w:ind w:left="640"/>
      </w:pPr>
      <w:r>
        <w:rPr/>
        <w:t>（四）清算费用</w:t>
      </w:r>
    </w:p>
    <w:p>
      <w:pPr>
        <w:pStyle w:val="BodyText"/>
        <w:spacing w:before="7"/>
        <w:rPr>
          <w:sz w:val="15"/>
        </w:rPr>
      </w:pPr>
    </w:p>
    <w:p>
      <w:pPr>
        <w:pStyle w:val="BodyText"/>
        <w:spacing w:line="417" w:lineRule="auto"/>
        <w:ind w:left="220" w:right="59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640"/>
      </w:pPr>
      <w:r>
        <w:rPr/>
        <w:t>（五）基金财产清算剩余资产的分配</w:t>
      </w:r>
    </w:p>
    <w:p>
      <w:pPr>
        <w:pStyle w:val="BodyText"/>
        <w:spacing w:before="7"/>
        <w:rPr>
          <w:sz w:val="15"/>
        </w:rPr>
      </w:pPr>
    </w:p>
    <w:p>
      <w:pPr>
        <w:pStyle w:val="BodyText"/>
        <w:spacing w:line="417" w:lineRule="auto"/>
        <w:ind w:left="220" w:right="59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640"/>
      </w:pPr>
      <w:r>
        <w:rPr/>
        <w:t>（六）基金财产清算的公告</w:t>
      </w:r>
    </w:p>
    <w:p>
      <w:pPr>
        <w:pStyle w:val="BodyText"/>
        <w:spacing w:before="7"/>
        <w:rPr>
          <w:sz w:val="15"/>
        </w:rPr>
      </w:pPr>
    </w:p>
    <w:p>
      <w:pPr>
        <w:pStyle w:val="BodyText"/>
        <w:spacing w:line="417" w:lineRule="auto"/>
        <w:ind w:left="220" w:right="59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line="269" w:lineRule="exact"/>
        <w:ind w:left="640"/>
      </w:pPr>
      <w:r>
        <w:rPr/>
        <w:t>（七）基金财产清算账册及文件的保存</w:t>
      </w:r>
    </w:p>
    <w:p>
      <w:pPr>
        <w:pStyle w:val="BodyText"/>
        <w:spacing w:before="7"/>
        <w:rPr>
          <w:sz w:val="15"/>
        </w:rPr>
      </w:pPr>
    </w:p>
    <w:p>
      <w:pPr>
        <w:pStyle w:val="BodyText"/>
        <w:ind w:left="640"/>
      </w:pPr>
      <w:r>
        <w:rPr/>
        <w:t>基金财产清算账册及有关文件由基金托管人保存 </w:t>
      </w:r>
      <w:r>
        <w:rPr>
          <w:rFonts w:ascii="Times New Roman" w:eastAsia="Times New Roman"/>
        </w:rPr>
        <w:t>15 </w:t>
      </w:r>
      <w:r>
        <w:rPr/>
        <w:t>年以上。</w:t>
      </w:r>
    </w:p>
    <w:p>
      <w:pPr>
        <w:pStyle w:val="BodyText"/>
        <w:rPr>
          <w:sz w:val="22"/>
        </w:rPr>
      </w:pPr>
    </w:p>
    <w:p>
      <w:pPr>
        <w:pStyle w:val="BodyText"/>
        <w:spacing w:before="1"/>
        <w:rPr>
          <w:sz w:val="20"/>
        </w:rPr>
      </w:pPr>
    </w:p>
    <w:p>
      <w:pPr>
        <w:spacing w:line="710" w:lineRule="auto" w:before="1"/>
        <w:ind w:left="640" w:right="3486" w:firstLine="2467"/>
        <w:jc w:val="left"/>
        <w:rPr>
          <w:sz w:val="21"/>
        </w:rPr>
      </w:pPr>
      <w:bookmarkStart w:name="_bookmark18" w:id="19"/>
      <w:bookmarkEnd w:id="19"/>
      <w:r>
        <w:rPr/>
      </w:r>
      <w:r>
        <w:rPr>
          <w:b/>
          <w:sz w:val="21"/>
        </w:rPr>
        <w:t>二十、基金合同的内容摘要</w:t>
      </w:r>
      <w:r>
        <w:rPr>
          <w:sz w:val="21"/>
        </w:rPr>
        <w:t>基金合同的内容摘要见附件一。</w:t>
      </w:r>
    </w:p>
    <w:p>
      <w:pPr>
        <w:spacing w:after="0" w:line="710" w:lineRule="auto"/>
        <w:jc w:val="left"/>
        <w:rPr>
          <w:sz w:val="21"/>
        </w:rPr>
        <w:sectPr>
          <w:footerReference w:type="default" r:id="rId146"/>
          <w:pgSz w:w="11910" w:h="16840"/>
          <w:pgMar w:footer="995" w:header="877" w:top="1420" w:bottom="1180" w:left="1580" w:right="1200"/>
          <w:pgNumType w:start="110"/>
        </w:sectPr>
      </w:pPr>
    </w:p>
    <w:p>
      <w:pPr>
        <w:spacing w:line="710" w:lineRule="auto" w:before="110"/>
        <w:ind w:left="640" w:right="3167" w:firstLine="2153"/>
        <w:jc w:val="left"/>
        <w:rPr>
          <w:sz w:val="21"/>
        </w:rPr>
      </w:pPr>
      <w:bookmarkStart w:name="_bookmark19" w:id="20"/>
      <w:bookmarkEnd w:id="20"/>
      <w:r>
        <w:rPr/>
      </w:r>
      <w:r>
        <w:rPr>
          <w:b/>
          <w:sz w:val="21"/>
        </w:rPr>
        <w:t>二十一、基金托管协议的内容摘要</w:t>
      </w:r>
      <w:r>
        <w:rPr>
          <w:sz w:val="21"/>
        </w:rPr>
        <w:t>基金托管协议的内容摘要见附件二。</w:t>
      </w:r>
    </w:p>
    <w:p>
      <w:pPr>
        <w:pStyle w:val="Heading1"/>
        <w:spacing w:before="12"/>
      </w:pPr>
      <w:bookmarkStart w:name="_bookmark20" w:id="21"/>
      <w:bookmarkEnd w:id="21"/>
      <w:r>
        <w:rPr>
          <w:b w:val="0"/>
        </w:rPr>
      </w:r>
      <w:r>
        <w:rPr/>
        <w:t>二十二、对基金份额持有人的服务</w:t>
      </w:r>
    </w:p>
    <w:p>
      <w:pPr>
        <w:pStyle w:val="BodyText"/>
        <w:rPr>
          <w:b/>
          <w:sz w:val="20"/>
        </w:rPr>
      </w:pPr>
    </w:p>
    <w:p>
      <w:pPr>
        <w:pStyle w:val="BodyText"/>
        <w:spacing w:before="5"/>
        <w:rPr>
          <w:b/>
        </w:rPr>
      </w:pPr>
    </w:p>
    <w:p>
      <w:pPr>
        <w:pStyle w:val="BodyText"/>
        <w:ind w:left="640"/>
      </w:pPr>
      <w:r>
        <w:rPr>
          <w:spacing w:val="-3"/>
        </w:rPr>
        <w:t>对本基金份额持有人的服务主要由基金管理人和代销机构提供。</w:t>
      </w:r>
    </w:p>
    <w:p>
      <w:pPr>
        <w:pStyle w:val="BodyText"/>
        <w:spacing w:before="7"/>
        <w:rPr>
          <w:sz w:val="15"/>
        </w:rPr>
      </w:pPr>
    </w:p>
    <w:p>
      <w:pPr>
        <w:pStyle w:val="BodyText"/>
        <w:spacing w:line="417" w:lineRule="auto"/>
        <w:ind w:left="220" w:right="59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ind w:left="640"/>
      </w:pPr>
      <w:r>
        <w:rPr/>
        <w:t>（一）资料发送</w:t>
      </w:r>
    </w:p>
    <w:p>
      <w:pPr>
        <w:pStyle w:val="BodyText"/>
        <w:spacing w:before="7"/>
        <w:rPr>
          <w:sz w:val="15"/>
        </w:rPr>
      </w:pPr>
    </w:p>
    <w:p>
      <w:pPr>
        <w:pStyle w:val="BodyText"/>
        <w:ind w:left="640"/>
      </w:pPr>
      <w:r>
        <w:rPr>
          <w:rFonts w:ascii="Times New Roman" w:eastAsia="Times New Roman"/>
        </w:rPr>
        <w:t>1</w:t>
      </w:r>
      <w:r>
        <w:rPr/>
        <w:t>、基金交易对账单</w:t>
      </w:r>
    </w:p>
    <w:p>
      <w:pPr>
        <w:pStyle w:val="BodyText"/>
        <w:spacing w:before="7"/>
        <w:rPr>
          <w:sz w:val="15"/>
        </w:rPr>
      </w:pPr>
    </w:p>
    <w:p>
      <w:pPr>
        <w:pStyle w:val="BodyText"/>
        <w:spacing w:line="417" w:lineRule="auto"/>
        <w:ind w:left="220" w:right="48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640"/>
      </w:pPr>
      <w:r>
        <w:rPr>
          <w:rFonts w:ascii="Times New Roman" w:eastAsia="Times New Roman"/>
        </w:rPr>
        <w:t>2</w:t>
      </w:r>
      <w:r>
        <w:rPr/>
        <w:t>、其他相关的信息资料</w:t>
      </w:r>
    </w:p>
    <w:p>
      <w:pPr>
        <w:pStyle w:val="BodyText"/>
        <w:spacing w:before="7"/>
        <w:rPr>
          <w:sz w:val="15"/>
        </w:rPr>
      </w:pPr>
    </w:p>
    <w:p>
      <w:pPr>
        <w:pStyle w:val="BodyText"/>
        <w:spacing w:line="417" w:lineRule="auto"/>
        <w:ind w:left="220" w:right="487" w:firstLine="419"/>
      </w:pPr>
      <w:r>
        <w:rPr/>
        <w:t>指随基金交易对账单不定期发送的基金资讯材料，如基金新产品或新服务的相关材料、客户服务问答等。</w:t>
      </w:r>
    </w:p>
    <w:p>
      <w:pPr>
        <w:pStyle w:val="BodyText"/>
        <w:spacing w:line="269" w:lineRule="exact"/>
        <w:ind w:left="640"/>
      </w:pPr>
      <w:r>
        <w:rPr/>
        <w:t>（二）电子交易</w:t>
      </w:r>
    </w:p>
    <w:p>
      <w:pPr>
        <w:pStyle w:val="BodyText"/>
        <w:spacing w:before="6"/>
        <w:rPr>
          <w:sz w:val="15"/>
        </w:rPr>
      </w:pPr>
    </w:p>
    <w:p>
      <w:pPr>
        <w:pStyle w:val="BodyText"/>
        <w:spacing w:line="417" w:lineRule="auto" w:before="1"/>
        <w:ind w:left="220" w:right="48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119">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8" w:lineRule="exact"/>
        <w:ind w:left="640"/>
      </w:pPr>
      <w:r>
        <w:rPr/>
        <w:t>（三）电子邮件及短信服务</w:t>
      </w:r>
    </w:p>
    <w:p>
      <w:pPr>
        <w:pStyle w:val="BodyText"/>
        <w:spacing w:before="6"/>
        <w:rPr>
          <w:sz w:val="15"/>
        </w:rPr>
      </w:pPr>
    </w:p>
    <w:p>
      <w:pPr>
        <w:pStyle w:val="BodyText"/>
        <w:spacing w:line="417" w:lineRule="auto"/>
        <w:ind w:left="220" w:right="59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before="1"/>
        <w:ind w:left="640"/>
      </w:pPr>
      <w:r>
        <w:rPr/>
        <w:t>（四）呼叫中心</w:t>
      </w:r>
    </w:p>
    <w:p>
      <w:pPr>
        <w:spacing w:after="0"/>
        <w:sectPr>
          <w:pgSz w:w="11910" w:h="16840"/>
          <w:pgMar w:header="877" w:footer="995" w:top="1420" w:bottom="1180" w:left="1580" w:right="1200"/>
        </w:sectPr>
      </w:pPr>
    </w:p>
    <w:p>
      <w:pPr>
        <w:pStyle w:val="BodyText"/>
        <w:spacing w:before="110"/>
        <w:ind w:left="640"/>
      </w:pPr>
      <w:r>
        <w:rPr>
          <w:rFonts w:ascii="Times New Roman" w:eastAsia="Times New Roman"/>
        </w:rPr>
        <w:t>1</w:t>
      </w:r>
      <w:r>
        <w:rPr/>
        <w:t>、自动语音服务</w:t>
      </w:r>
    </w:p>
    <w:p>
      <w:pPr>
        <w:pStyle w:val="BodyText"/>
        <w:spacing w:before="6"/>
        <w:rPr>
          <w:sz w:val="15"/>
        </w:rPr>
      </w:pPr>
    </w:p>
    <w:p>
      <w:pPr>
        <w:pStyle w:val="BodyText"/>
        <w:spacing w:line="417" w:lineRule="auto"/>
        <w:ind w:left="220" w:right="59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spacing w:line="269" w:lineRule="exact"/>
        <w:ind w:left="640"/>
      </w:pPr>
      <w:r>
        <w:rPr>
          <w:rFonts w:ascii="Times New Roman" w:eastAsia="Times New Roman"/>
        </w:rPr>
        <w:t>2</w:t>
      </w:r>
      <w:r>
        <w:rPr/>
        <w:t>、人工电话服务</w:t>
      </w:r>
    </w:p>
    <w:p>
      <w:pPr>
        <w:pStyle w:val="BodyText"/>
        <w:spacing w:before="7"/>
        <w:rPr>
          <w:sz w:val="15"/>
        </w:rPr>
      </w:pPr>
    </w:p>
    <w:p>
      <w:pPr>
        <w:pStyle w:val="BodyText"/>
        <w:spacing w:line="417" w:lineRule="auto"/>
        <w:ind w:left="220" w:right="59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640" w:right="578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ind w:left="640"/>
      </w:pPr>
      <w:r>
        <w:rPr/>
        <w:t>（五）在线服务</w:t>
      </w:r>
    </w:p>
    <w:p>
      <w:pPr>
        <w:pStyle w:val="BodyText"/>
        <w:spacing w:before="7"/>
        <w:rPr>
          <w:sz w:val="15"/>
        </w:rPr>
      </w:pPr>
    </w:p>
    <w:p>
      <w:pPr>
        <w:pStyle w:val="BodyText"/>
        <w:ind w:left="640"/>
      </w:pPr>
      <w:r>
        <w:rPr/>
        <w:t>投资者可通过本公司网站、</w:t>
      </w:r>
      <w:r>
        <w:rPr>
          <w:rFonts w:ascii="Times New Roman" w:eastAsia="Times New Roman"/>
        </w:rPr>
        <w:t>APP</w:t>
      </w:r>
      <w:r>
        <w:rPr/>
        <w:t>、微信公众号、微官网等渠道获得在线服务。</w:t>
      </w:r>
    </w:p>
    <w:p>
      <w:pPr>
        <w:pStyle w:val="BodyText"/>
        <w:spacing w:before="6"/>
        <w:rPr>
          <w:sz w:val="15"/>
        </w:rPr>
      </w:pPr>
    </w:p>
    <w:p>
      <w:pPr>
        <w:pStyle w:val="BodyText"/>
        <w:spacing w:before="1"/>
        <w:ind w:left="640"/>
      </w:pPr>
      <w:r>
        <w:rPr>
          <w:rFonts w:ascii="Times New Roman" w:eastAsia="Times New Roman"/>
        </w:rPr>
        <w:t>1</w:t>
      </w:r>
      <w:r>
        <w:rPr/>
        <w:t>、查询服务</w:t>
      </w:r>
    </w:p>
    <w:p>
      <w:pPr>
        <w:pStyle w:val="BodyText"/>
        <w:spacing w:before="6"/>
        <w:rPr>
          <w:sz w:val="15"/>
        </w:rPr>
      </w:pPr>
    </w:p>
    <w:p>
      <w:pPr>
        <w:pStyle w:val="BodyText"/>
        <w:ind w:left="640"/>
      </w:pPr>
      <w:r>
        <w:rPr>
          <w:spacing w:val="-9"/>
          <w:w w:val="100"/>
        </w:rPr>
        <w:t>投资者可登录本公司网站“基金账户查询”，查询基金账户情况、更改个人信息。</w:t>
      </w:r>
    </w:p>
    <w:p>
      <w:pPr>
        <w:pStyle w:val="BodyText"/>
        <w:spacing w:before="7"/>
        <w:rPr>
          <w:sz w:val="15"/>
        </w:rPr>
      </w:pPr>
    </w:p>
    <w:p>
      <w:pPr>
        <w:pStyle w:val="BodyText"/>
        <w:ind w:left="640"/>
      </w:pPr>
      <w:r>
        <w:rPr>
          <w:rFonts w:ascii="Times New Roman" w:eastAsia="Times New Roman"/>
        </w:rPr>
        <w:t>2</w:t>
      </w:r>
      <w:r>
        <w:rPr/>
        <w:t>、自助服务</w:t>
      </w:r>
    </w:p>
    <w:p>
      <w:pPr>
        <w:pStyle w:val="BodyText"/>
        <w:spacing w:before="7"/>
        <w:rPr>
          <w:sz w:val="15"/>
        </w:rPr>
      </w:pPr>
    </w:p>
    <w:p>
      <w:pPr>
        <w:pStyle w:val="BodyText"/>
        <w:spacing w:line="417" w:lineRule="auto"/>
        <w:ind w:left="220" w:right="59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ind w:left="640"/>
      </w:pPr>
      <w:r>
        <w:rPr>
          <w:rFonts w:ascii="Times New Roman" w:eastAsia="Times New Roman"/>
        </w:rPr>
        <w:t>3</w:t>
      </w:r>
      <w:r>
        <w:rPr/>
        <w:t>、人工服务</w:t>
      </w:r>
    </w:p>
    <w:p>
      <w:pPr>
        <w:pStyle w:val="BodyText"/>
        <w:spacing w:before="6"/>
        <w:rPr>
          <w:sz w:val="15"/>
        </w:rPr>
      </w:pPr>
    </w:p>
    <w:p>
      <w:pPr>
        <w:pStyle w:val="BodyText"/>
        <w:spacing w:line="417" w:lineRule="auto" w:before="1"/>
        <w:ind w:left="220" w:right="59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spacing w:line="269" w:lineRule="exact"/>
        <w:ind w:left="640"/>
      </w:pPr>
      <w:r>
        <w:rPr>
          <w:rFonts w:ascii="Times New Roman" w:eastAsia="Times New Roman"/>
        </w:rPr>
        <w:t>4</w:t>
      </w:r>
      <w:r>
        <w:rPr/>
        <w:t>、资讯服务</w:t>
      </w:r>
    </w:p>
    <w:p>
      <w:pPr>
        <w:pStyle w:val="BodyText"/>
        <w:spacing w:before="6"/>
        <w:rPr>
          <w:sz w:val="15"/>
        </w:rPr>
      </w:pPr>
    </w:p>
    <w:p>
      <w:pPr>
        <w:pStyle w:val="BodyText"/>
        <w:spacing w:line="417" w:lineRule="auto"/>
        <w:ind w:left="220" w:right="591" w:firstLine="419"/>
      </w:pPr>
      <w:r>
        <w:rPr>
          <w:spacing w:val="-7"/>
        </w:rPr>
        <w:t>投资者可通过本公司网站获取基金和基金管理人各类信息，包括基金法律文件、基金管</w:t>
      </w:r>
      <w:r>
        <w:rPr>
          <w:spacing w:val="-5"/>
        </w:rPr>
        <w:t>理人最新动态、热点问题等。</w:t>
      </w:r>
    </w:p>
    <w:p>
      <w:pPr>
        <w:pStyle w:val="BodyText"/>
        <w:spacing w:before="1"/>
        <w:ind w:left="640"/>
        <w:rPr>
          <w:rFonts w:ascii="Times New Roman" w:eastAsia="Times New Roman"/>
        </w:rPr>
      </w:pPr>
      <w:r>
        <w:rPr/>
        <w:t>公司网址：</w:t>
      </w:r>
      <w:hyperlink r:id="rId14">
        <w:r>
          <w:rPr>
            <w:rFonts w:ascii="Times New Roman" w:eastAsia="Times New Roman"/>
          </w:rPr>
          <w:t>www.ChinaAMC.com</w:t>
        </w:r>
      </w:hyperlink>
    </w:p>
    <w:p>
      <w:pPr>
        <w:pStyle w:val="BodyText"/>
        <w:spacing w:before="3"/>
        <w:rPr>
          <w:rFonts w:ascii="Times New Roman"/>
          <w:sz w:val="17"/>
        </w:rPr>
      </w:pPr>
    </w:p>
    <w:p>
      <w:pPr>
        <w:pStyle w:val="BodyText"/>
        <w:ind w:left="640"/>
        <w:rPr>
          <w:rFonts w:ascii="Times New Roman" w:eastAsia="Times New Roman"/>
        </w:rPr>
      </w:pPr>
      <w:r>
        <w:rPr/>
        <w:t>电子信箱：</w:t>
      </w:r>
      <w:hyperlink r:id="rId147">
        <w:r>
          <w:rPr>
            <w:rFonts w:ascii="Times New Roman" w:eastAsia="Times New Roman"/>
          </w:rPr>
          <w:t>service@ChinaAMC.com</w:t>
        </w:r>
      </w:hyperlink>
    </w:p>
    <w:p>
      <w:pPr>
        <w:pStyle w:val="BodyText"/>
        <w:spacing w:before="3"/>
        <w:rPr>
          <w:rFonts w:ascii="Times New Roman"/>
          <w:sz w:val="17"/>
        </w:rPr>
      </w:pPr>
    </w:p>
    <w:p>
      <w:pPr>
        <w:pStyle w:val="BodyText"/>
        <w:spacing w:before="1"/>
        <w:ind w:left="640"/>
      </w:pPr>
      <w:r>
        <w:rPr/>
        <w:t>（六）客户投诉和建议处理</w:t>
      </w:r>
    </w:p>
    <w:p>
      <w:pPr>
        <w:pStyle w:val="BodyText"/>
        <w:spacing w:before="6"/>
        <w:rPr>
          <w:sz w:val="15"/>
        </w:rPr>
      </w:pPr>
    </w:p>
    <w:p>
      <w:pPr>
        <w:pStyle w:val="BodyText"/>
        <w:spacing w:line="417" w:lineRule="auto"/>
        <w:ind w:left="220" w:right="59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Heading1"/>
        <w:spacing w:before="120"/>
        <w:ind w:right="1133"/>
      </w:pPr>
      <w:bookmarkStart w:name="_bookmark21" w:id="22"/>
      <w:bookmarkEnd w:id="22"/>
      <w:r>
        <w:rPr>
          <w:b w:val="0"/>
        </w:rPr>
      </w:r>
      <w:r>
        <w:rPr/>
        <w:t>二十三、其他应披露事项</w:t>
      </w:r>
    </w:p>
    <w:p>
      <w:pPr>
        <w:pStyle w:val="BodyText"/>
        <w:spacing w:before="11"/>
        <w:rPr>
          <w:b/>
          <w:sz w:val="24"/>
        </w:rPr>
      </w:pPr>
    </w:p>
    <w:p>
      <w:pPr>
        <w:pStyle w:val="BodyText"/>
        <w:spacing w:before="1"/>
        <w:ind w:left="640"/>
      </w:pPr>
      <w:r>
        <w:rPr>
          <w:w w:val="100"/>
        </w:rPr>
        <w:t>（</w:t>
      </w:r>
      <w:r>
        <w:rPr>
          <w:spacing w:val="-3"/>
          <w:w w:val="100"/>
        </w:rPr>
        <w:t>一</w:t>
      </w:r>
      <w:r>
        <w:rPr>
          <w:spacing w:val="-94"/>
          <w:w w:val="100"/>
        </w:rPr>
        <w:t>）</w:t>
      </w:r>
      <w:r>
        <w:rPr>
          <w:rFonts w:ascii="Times New Roman" w:eastAsia="Times New Roman"/>
          <w:w w:val="100"/>
        </w:rPr>
        <w:t>20</w:t>
      </w:r>
      <w:r>
        <w:rPr>
          <w:rFonts w:ascii="Times New Roman" w:eastAsia="Times New Roman"/>
          <w:spacing w:val="-3"/>
          <w:w w:val="100"/>
        </w:rPr>
        <w:t>2</w:t>
      </w:r>
      <w:r>
        <w:rPr>
          <w:rFonts w:ascii="Times New Roman" w:eastAsia="Times New Roman"/>
          <w:spacing w:val="-1"/>
          <w:w w:val="100"/>
        </w:rPr>
        <w:t>0</w:t>
      </w:r>
      <w:r>
        <w:rPr>
          <w:w w:val="100"/>
        </w:rPr>
        <w:t>年</w:t>
      </w:r>
      <w:r>
        <w:rPr>
          <w:rFonts w:ascii="Times New Roman" w:eastAsia="Times New Roman"/>
          <w:spacing w:val="-3"/>
          <w:w w:val="100"/>
        </w:rPr>
        <w:t>1</w:t>
      </w:r>
      <w:r>
        <w:rPr>
          <w:rFonts w:ascii="Times New Roman" w:eastAsia="Times New Roman"/>
          <w:w w:val="100"/>
        </w:rPr>
        <w:t>0</w:t>
      </w:r>
      <w:r>
        <w:rPr>
          <w:w w:val="100"/>
        </w:rPr>
        <w:t>月</w:t>
      </w:r>
      <w:r>
        <w:rPr>
          <w:rFonts w:ascii="Times New Roman" w:eastAsia="Times New Roman"/>
          <w:spacing w:val="-3"/>
          <w:w w:val="100"/>
        </w:rPr>
        <w:t>1</w:t>
      </w:r>
      <w:r>
        <w:rPr>
          <w:rFonts w:ascii="Times New Roman" w:eastAsia="Times New Roman"/>
          <w:w w:val="100"/>
        </w:rPr>
        <w:t>3</w:t>
      </w:r>
      <w:r>
        <w:rPr>
          <w:spacing w:val="-3"/>
          <w:w w:val="100"/>
        </w:rPr>
        <w:t>日发布华夏基金管理有限公司关于修订旗下部分公募基金基金合同</w:t>
      </w:r>
    </w:p>
    <w:p>
      <w:pPr>
        <w:spacing w:after="0"/>
        <w:sectPr>
          <w:pgSz w:w="11910" w:h="16840"/>
          <w:pgMar w:header="877" w:footer="995" w:top="1420" w:bottom="1180" w:left="1580" w:right="1200"/>
        </w:sectPr>
      </w:pPr>
    </w:p>
    <w:p>
      <w:pPr>
        <w:pStyle w:val="BodyText"/>
        <w:spacing w:before="110"/>
        <w:ind w:left="220"/>
      </w:pPr>
      <w:r>
        <w:rPr/>
        <w:t>的公告。</w:t>
      </w:r>
    </w:p>
    <w:p>
      <w:pPr>
        <w:pStyle w:val="BodyText"/>
        <w:spacing w:before="4"/>
        <w:rPr>
          <w:sz w:val="19"/>
        </w:rPr>
      </w:pPr>
    </w:p>
    <w:p>
      <w:pPr>
        <w:pStyle w:val="Heading1"/>
        <w:spacing w:before="71"/>
      </w:pPr>
      <w:bookmarkStart w:name="_bookmark22" w:id="23"/>
      <w:bookmarkEnd w:id="23"/>
      <w:r>
        <w:rPr>
          <w:b w:val="0"/>
        </w:rPr>
      </w:r>
      <w:r>
        <w:rPr/>
        <w:t>二十四、招募说明书存放及查阅方式</w:t>
      </w:r>
    </w:p>
    <w:p>
      <w:pPr>
        <w:pStyle w:val="BodyText"/>
        <w:spacing w:before="11"/>
        <w:rPr>
          <w:b/>
          <w:sz w:val="24"/>
        </w:rPr>
      </w:pPr>
    </w:p>
    <w:p>
      <w:pPr>
        <w:pStyle w:val="BodyText"/>
        <w:spacing w:line="417" w:lineRule="auto" w:before="1"/>
        <w:ind w:left="220" w:right="59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pStyle w:val="Heading1"/>
        <w:spacing w:before="119"/>
        <w:ind w:left="3530" w:right="0"/>
        <w:jc w:val="left"/>
      </w:pPr>
      <w:bookmarkStart w:name="_bookmark23" w:id="24"/>
      <w:bookmarkEnd w:id="24"/>
      <w:r>
        <w:rPr>
          <w:b w:val="0"/>
        </w:rPr>
      </w:r>
      <w:r>
        <w:rPr/>
        <w:t>二十五、备查文件</w:t>
      </w:r>
    </w:p>
    <w:p>
      <w:pPr>
        <w:pStyle w:val="BodyText"/>
        <w:spacing w:before="12"/>
        <w:rPr>
          <w:b/>
          <w:sz w:val="24"/>
        </w:rPr>
      </w:pPr>
    </w:p>
    <w:p>
      <w:pPr>
        <w:pStyle w:val="BodyText"/>
        <w:ind w:left="640"/>
      </w:pPr>
      <w:r>
        <w:rPr/>
        <w:t>（一）备查文件目录</w:t>
      </w:r>
    </w:p>
    <w:p>
      <w:pPr>
        <w:pStyle w:val="BodyText"/>
        <w:spacing w:before="7"/>
        <w:rPr>
          <w:sz w:val="15"/>
        </w:rPr>
      </w:pPr>
    </w:p>
    <w:p>
      <w:pPr>
        <w:pStyle w:val="BodyText"/>
        <w:ind w:left="640"/>
      </w:pPr>
      <w:r>
        <w:rPr>
          <w:rFonts w:ascii="Times New Roman" w:eastAsia="Times New Roman"/>
        </w:rPr>
        <w:t>1</w:t>
      </w:r>
      <w:r>
        <w:rPr/>
        <w:t>、中国证监会准予华夏科技成长股票型证券投资基金注册的批复。</w:t>
      </w:r>
    </w:p>
    <w:p>
      <w:pPr>
        <w:pStyle w:val="BodyText"/>
        <w:spacing w:before="7"/>
        <w:rPr>
          <w:sz w:val="15"/>
        </w:rPr>
      </w:pPr>
    </w:p>
    <w:p>
      <w:pPr>
        <w:pStyle w:val="BodyText"/>
        <w:ind w:left="640"/>
      </w:pPr>
      <w:r>
        <w:rPr>
          <w:rFonts w:ascii="Times New Roman" w:eastAsia="Times New Roman"/>
        </w:rPr>
        <w:t>2</w:t>
      </w:r>
      <w:r>
        <w:rPr>
          <w:spacing w:val="-17"/>
        </w:rPr>
        <w:t>、《华夏科技成长股票型证券投资基金基金合同》。</w:t>
      </w:r>
    </w:p>
    <w:p>
      <w:pPr>
        <w:pStyle w:val="BodyText"/>
        <w:spacing w:before="6"/>
        <w:rPr>
          <w:sz w:val="15"/>
        </w:rPr>
      </w:pPr>
    </w:p>
    <w:p>
      <w:pPr>
        <w:pStyle w:val="BodyText"/>
        <w:spacing w:before="1"/>
        <w:ind w:left="640"/>
      </w:pPr>
      <w:r>
        <w:rPr>
          <w:rFonts w:ascii="Times New Roman" w:eastAsia="Times New Roman"/>
        </w:rPr>
        <w:t>3</w:t>
      </w:r>
      <w:r>
        <w:rPr>
          <w:spacing w:val="-17"/>
        </w:rPr>
        <w:t>、《华夏科技成长股票型证券投资基金托管协议》。</w:t>
      </w:r>
    </w:p>
    <w:p>
      <w:pPr>
        <w:pStyle w:val="BodyText"/>
        <w:spacing w:before="6"/>
        <w:rPr>
          <w:sz w:val="15"/>
        </w:rPr>
      </w:pPr>
    </w:p>
    <w:p>
      <w:pPr>
        <w:pStyle w:val="BodyText"/>
        <w:ind w:left="640"/>
      </w:pPr>
      <w:r>
        <w:rPr>
          <w:rFonts w:ascii="Times New Roman" w:eastAsia="Times New Roman"/>
        </w:rPr>
        <w:t>4</w:t>
      </w:r>
      <w:r>
        <w:rPr/>
        <w:t>、法律意见书。</w:t>
      </w:r>
    </w:p>
    <w:p>
      <w:pPr>
        <w:pStyle w:val="BodyText"/>
        <w:spacing w:before="7"/>
        <w:rPr>
          <w:sz w:val="15"/>
        </w:rPr>
      </w:pPr>
    </w:p>
    <w:p>
      <w:pPr>
        <w:pStyle w:val="BodyText"/>
        <w:ind w:left="640"/>
      </w:pPr>
      <w:r>
        <w:rPr>
          <w:rFonts w:ascii="Times New Roman" w:eastAsia="Times New Roman"/>
        </w:rPr>
        <w:t>5</w:t>
      </w:r>
      <w:r>
        <w:rPr>
          <w:spacing w:val="-3"/>
        </w:rPr>
        <w:t>、基金管理人业务资格批件、营业执照。</w:t>
      </w:r>
    </w:p>
    <w:p>
      <w:pPr>
        <w:pStyle w:val="BodyText"/>
        <w:spacing w:before="7"/>
        <w:rPr>
          <w:sz w:val="15"/>
        </w:rPr>
      </w:pPr>
    </w:p>
    <w:p>
      <w:pPr>
        <w:pStyle w:val="BodyText"/>
        <w:ind w:left="640"/>
      </w:pPr>
      <w:r>
        <w:rPr>
          <w:rFonts w:ascii="Times New Roman" w:eastAsia="Times New Roman"/>
        </w:rPr>
        <w:t>6</w:t>
      </w:r>
      <w:r>
        <w:rPr>
          <w:spacing w:val="-3"/>
        </w:rPr>
        <w:t>、基金托管人业务资格批件、营业执照。</w:t>
      </w:r>
    </w:p>
    <w:p>
      <w:pPr>
        <w:pStyle w:val="BodyText"/>
        <w:spacing w:before="6"/>
        <w:rPr>
          <w:sz w:val="15"/>
        </w:rPr>
      </w:pPr>
    </w:p>
    <w:p>
      <w:pPr>
        <w:pStyle w:val="BodyText"/>
        <w:spacing w:before="1"/>
        <w:ind w:left="640"/>
      </w:pPr>
      <w:r>
        <w:rPr/>
        <w:t>（二）存放地点</w:t>
      </w:r>
    </w:p>
    <w:p>
      <w:pPr>
        <w:pStyle w:val="BodyText"/>
        <w:spacing w:before="7"/>
        <w:rPr>
          <w:sz w:val="15"/>
        </w:rPr>
      </w:pPr>
    </w:p>
    <w:p>
      <w:pPr>
        <w:pStyle w:val="BodyText"/>
        <w:ind w:left="640"/>
      </w:pPr>
      <w:r>
        <w:rPr/>
        <w:t>备查文件存放于基金管理人和</w:t>
      </w:r>
      <w:r>
        <w:rPr>
          <w:rFonts w:ascii="Times New Roman" w:eastAsia="Times New Roman"/>
        </w:rPr>
        <w:t>/</w:t>
      </w:r>
      <w:r>
        <w:rPr/>
        <w:t>或基金托管人处。</w:t>
      </w:r>
    </w:p>
    <w:p>
      <w:pPr>
        <w:pStyle w:val="BodyText"/>
        <w:spacing w:before="6"/>
        <w:rPr>
          <w:sz w:val="15"/>
        </w:rPr>
      </w:pPr>
    </w:p>
    <w:p>
      <w:pPr>
        <w:pStyle w:val="BodyText"/>
        <w:ind w:left="640"/>
      </w:pPr>
      <w:r>
        <w:rPr/>
        <w:t>（三）查阅方式</w:t>
      </w:r>
    </w:p>
    <w:p>
      <w:pPr>
        <w:pStyle w:val="BodyText"/>
        <w:spacing w:before="7"/>
        <w:rPr>
          <w:sz w:val="15"/>
        </w:rPr>
      </w:pPr>
    </w:p>
    <w:p>
      <w:pPr>
        <w:pStyle w:val="BodyText"/>
        <w:spacing w:line="417" w:lineRule="auto"/>
        <w:ind w:left="220" w:right="59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rPr>
          <w:sz w:val="20"/>
        </w:rPr>
      </w:pPr>
    </w:p>
    <w:p>
      <w:pPr>
        <w:pStyle w:val="BodyText"/>
        <w:spacing w:line="417" w:lineRule="auto" w:before="167"/>
        <w:ind w:left="6427" w:right="593"/>
        <w:jc w:val="right"/>
      </w:pPr>
      <w:r>
        <w:rPr/>
        <w:t>华夏基金管理有限公司二〇二〇年十月十四日</w:t>
      </w:r>
    </w:p>
    <w:p>
      <w:pPr>
        <w:spacing w:after="0" w:line="417" w:lineRule="auto"/>
        <w:jc w:val="right"/>
        <w:sectPr>
          <w:pgSz w:w="11910" w:h="16840"/>
          <w:pgMar w:header="877" w:footer="995" w:top="1420" w:bottom="1180" w:left="1580" w:right="1200"/>
        </w:sectPr>
      </w:pPr>
    </w:p>
    <w:p>
      <w:pPr>
        <w:pStyle w:val="BodyText"/>
        <w:spacing w:before="4"/>
        <w:rPr>
          <w:sz w:val="12"/>
        </w:rPr>
      </w:pPr>
    </w:p>
    <w:p>
      <w:pPr>
        <w:pStyle w:val="Heading1"/>
        <w:spacing w:before="72"/>
        <w:ind w:right="1133"/>
      </w:pPr>
      <w:bookmarkStart w:name="_bookmark24" w:id="25"/>
      <w:bookmarkEnd w:id="25"/>
      <w:r>
        <w:rPr>
          <w:b w:val="0"/>
        </w:rPr>
      </w:r>
      <w:r>
        <w:rPr/>
        <w:t>附件一：基金合同摘要</w:t>
      </w:r>
    </w:p>
    <w:p>
      <w:pPr>
        <w:pStyle w:val="BodyText"/>
        <w:spacing w:before="11"/>
        <w:rPr>
          <w:b/>
          <w:sz w:val="24"/>
        </w:rPr>
      </w:pPr>
    </w:p>
    <w:p>
      <w:pPr>
        <w:tabs>
          <w:tab w:pos="2479" w:val="left" w:leader="none"/>
        </w:tabs>
        <w:spacing w:line="417" w:lineRule="auto" w:before="0"/>
        <w:ind w:left="640" w:right="1374" w:firstLine="782"/>
        <w:jc w:val="left"/>
        <w:rPr>
          <w:sz w:val="21"/>
        </w:rPr>
      </w:pPr>
      <w:r>
        <w:rPr>
          <w:b/>
          <w:sz w:val="21"/>
        </w:rPr>
        <w:t>第一部分</w:t>
        <w:tab/>
        <w:t>基金份</w:t>
      </w:r>
      <w:r>
        <w:rPr>
          <w:b/>
          <w:spacing w:val="-3"/>
          <w:sz w:val="21"/>
        </w:rPr>
        <w:t>额</w:t>
      </w:r>
      <w:r>
        <w:rPr>
          <w:b/>
          <w:sz w:val="21"/>
        </w:rPr>
        <w:t>持</w:t>
      </w:r>
      <w:r>
        <w:rPr>
          <w:b/>
          <w:spacing w:val="-3"/>
          <w:sz w:val="21"/>
        </w:rPr>
        <w:t>有</w:t>
      </w:r>
      <w:r>
        <w:rPr>
          <w:b/>
          <w:sz w:val="21"/>
        </w:rPr>
        <w:t>人、基金管理人和</w:t>
      </w:r>
      <w:r>
        <w:rPr>
          <w:b/>
          <w:spacing w:val="-3"/>
          <w:sz w:val="21"/>
        </w:rPr>
        <w:t>基</w:t>
      </w:r>
      <w:r>
        <w:rPr>
          <w:b/>
          <w:sz w:val="21"/>
        </w:rPr>
        <w:t>金</w:t>
      </w:r>
      <w:r>
        <w:rPr>
          <w:b/>
          <w:spacing w:val="-3"/>
          <w:sz w:val="21"/>
        </w:rPr>
        <w:t>托</w:t>
      </w:r>
      <w:r>
        <w:rPr>
          <w:b/>
          <w:sz w:val="21"/>
        </w:rPr>
        <w:t>管人的权利、义</w:t>
      </w:r>
      <w:r>
        <w:rPr>
          <w:b/>
          <w:spacing w:val="-15"/>
          <w:sz w:val="21"/>
        </w:rPr>
        <w:t>务</w:t>
      </w:r>
      <w:r>
        <w:rPr>
          <w:sz w:val="21"/>
        </w:rPr>
        <w:t>一、</w:t>
      </w:r>
      <w:r>
        <w:rPr>
          <w:spacing w:val="-3"/>
          <w:sz w:val="21"/>
        </w:rPr>
        <w:t>基</w:t>
      </w:r>
      <w:r>
        <w:rPr>
          <w:sz w:val="21"/>
        </w:rPr>
        <w:t>金</w:t>
      </w:r>
      <w:r>
        <w:rPr>
          <w:spacing w:val="-3"/>
          <w:sz w:val="21"/>
        </w:rPr>
        <w:t>管</w:t>
      </w:r>
      <w:r>
        <w:rPr>
          <w:sz w:val="21"/>
        </w:rPr>
        <w:t>理人</w:t>
      </w:r>
    </w:p>
    <w:p>
      <w:pPr>
        <w:pStyle w:val="BodyText"/>
        <w:spacing w:line="269" w:lineRule="exact"/>
        <w:ind w:left="640"/>
      </w:pPr>
      <w:r>
        <w:rPr/>
        <w:t>（一）基金管理人简况</w:t>
      </w:r>
    </w:p>
    <w:p>
      <w:pPr>
        <w:pStyle w:val="BodyText"/>
        <w:spacing w:before="7"/>
        <w:rPr>
          <w:sz w:val="15"/>
        </w:rPr>
      </w:pPr>
    </w:p>
    <w:p>
      <w:pPr>
        <w:pStyle w:val="BodyText"/>
        <w:ind w:left="640"/>
      </w:pPr>
      <w:r>
        <w:rPr/>
        <w:t>名称：华夏基金管理有限公司</w:t>
      </w:r>
    </w:p>
    <w:p>
      <w:pPr>
        <w:pStyle w:val="BodyText"/>
        <w:spacing w:before="7"/>
        <w:rPr>
          <w:sz w:val="15"/>
        </w:rPr>
      </w:pPr>
    </w:p>
    <w:p>
      <w:pPr>
        <w:pStyle w:val="BodyText"/>
        <w:spacing w:line="417" w:lineRule="auto"/>
        <w:ind w:left="640" w:right="4849"/>
      </w:pPr>
      <w:r>
        <w:rPr/>
        <w:t>住所：北京市顺义区安庆大街甲 </w:t>
      </w:r>
      <w:r>
        <w:rPr>
          <w:rFonts w:ascii="Times New Roman" w:eastAsia="Times New Roman"/>
        </w:rPr>
        <w:t>3 </w:t>
      </w:r>
      <w:r>
        <w:rPr/>
        <w:t>号院法定代表人：杨明辉</w:t>
      </w:r>
    </w:p>
    <w:p>
      <w:pPr>
        <w:pStyle w:val="BodyText"/>
        <w:ind w:left="64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ind w:left="640" w:right="2408"/>
      </w:pPr>
      <w:r>
        <w:rPr/>
        <w:t>批准设立机关及批准设立文号：中国证监会证监基字</w:t>
      </w:r>
      <w:r>
        <w:rPr>
          <w:rFonts w:ascii="Times New Roman" w:eastAsia="Times New Roman"/>
        </w:rPr>
        <w:t>[1998]16 </w:t>
      </w:r>
      <w:r>
        <w:rPr/>
        <w:t>号文组织形式：有限责任公司</w:t>
      </w:r>
    </w:p>
    <w:p>
      <w:pPr>
        <w:pStyle w:val="BodyText"/>
        <w:spacing w:line="417" w:lineRule="auto"/>
        <w:ind w:left="640" w:right="596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spacing w:line="269" w:lineRule="exact"/>
        <w:ind w:left="640"/>
        <w:rPr>
          <w:rFonts w:ascii="Times New Roman" w:eastAsia="Times New Roman"/>
        </w:rPr>
      </w:pPr>
      <w:r>
        <w:rPr/>
        <w:t>联系电话：</w:t>
      </w:r>
      <w:r>
        <w:rPr>
          <w:rFonts w:ascii="Times New Roman" w:eastAsia="Times New Roman"/>
        </w:rPr>
        <w:t>400-818-6666</w:t>
      </w:r>
    </w:p>
    <w:p>
      <w:pPr>
        <w:pStyle w:val="BodyText"/>
        <w:spacing w:before="3"/>
        <w:rPr>
          <w:rFonts w:ascii="Times New Roman"/>
          <w:sz w:val="17"/>
        </w:rPr>
      </w:pPr>
    </w:p>
    <w:p>
      <w:pPr>
        <w:pStyle w:val="BodyText"/>
        <w:ind w:left="640"/>
      </w:pPr>
      <w:r>
        <w:rPr/>
        <w:t>（二）基金管理人的权利与义务</w:t>
      </w:r>
    </w:p>
    <w:p>
      <w:pPr>
        <w:pStyle w:val="BodyText"/>
        <w:spacing w:before="7"/>
        <w:rPr>
          <w:sz w:val="15"/>
        </w:rPr>
      </w:pPr>
    </w:p>
    <w:p>
      <w:pPr>
        <w:pStyle w:val="BodyText"/>
        <w:ind w:left="640"/>
      </w:pPr>
      <w:r>
        <w:rPr>
          <w:rFonts w:ascii="Times New Roman" w:eastAsia="Times New Roman"/>
        </w:rPr>
        <w:t>1</w:t>
      </w:r>
      <w:r>
        <w:rPr/>
        <w:t>、根据《基金法》、《运作办法》及其他有关规定，基金管理人的权利包括但不限于：</w:t>
      </w:r>
    </w:p>
    <w:p>
      <w:pPr>
        <w:pStyle w:val="BodyText"/>
        <w:spacing w:before="7"/>
        <w:rPr>
          <w:sz w:val="15"/>
        </w:rPr>
      </w:pPr>
    </w:p>
    <w:p>
      <w:pPr>
        <w:pStyle w:val="ListParagraph"/>
        <w:numPr>
          <w:ilvl w:val="0"/>
          <w:numId w:val="38"/>
        </w:numPr>
        <w:tabs>
          <w:tab w:pos="1170" w:val="left" w:leader="none"/>
        </w:tabs>
        <w:spacing w:line="240" w:lineRule="auto" w:before="0" w:after="0"/>
        <w:ind w:left="1169" w:right="0" w:hanging="530"/>
        <w:jc w:val="left"/>
        <w:rPr>
          <w:sz w:val="21"/>
        </w:rPr>
      </w:pPr>
      <w:r>
        <w:rPr>
          <w:spacing w:val="-3"/>
          <w:sz w:val="21"/>
        </w:rPr>
        <w:t>依法募集资金。</w:t>
      </w:r>
    </w:p>
    <w:p>
      <w:pPr>
        <w:pStyle w:val="BodyText"/>
        <w:spacing w:before="6"/>
        <w:rPr>
          <w:sz w:val="15"/>
        </w:rPr>
      </w:pPr>
    </w:p>
    <w:p>
      <w:pPr>
        <w:pStyle w:val="ListParagraph"/>
        <w:numPr>
          <w:ilvl w:val="0"/>
          <w:numId w:val="38"/>
        </w:numPr>
        <w:tabs>
          <w:tab w:pos="1170" w:val="left" w:leader="none"/>
        </w:tabs>
        <w:spacing w:line="417" w:lineRule="auto" w:before="1" w:after="0"/>
        <w:ind w:left="220" w:right="594" w:firstLine="419"/>
        <w:jc w:val="left"/>
        <w:rPr>
          <w:sz w:val="21"/>
        </w:rPr>
      </w:pPr>
      <w:r>
        <w:rPr>
          <w:spacing w:val="-3"/>
          <w:sz w:val="21"/>
        </w:rPr>
        <w:t>自《基金合同》生效之日起，根据法律法规和《基金合同》独立运用并管理基金财产。</w:t>
      </w:r>
    </w:p>
    <w:p>
      <w:pPr>
        <w:pStyle w:val="ListParagraph"/>
        <w:numPr>
          <w:ilvl w:val="0"/>
          <w:numId w:val="38"/>
        </w:numPr>
        <w:tabs>
          <w:tab w:pos="1170" w:val="left" w:leader="none"/>
        </w:tabs>
        <w:spacing w:line="417" w:lineRule="auto" w:before="0" w:after="0"/>
        <w:ind w:left="220" w:right="594" w:firstLine="419"/>
        <w:jc w:val="left"/>
        <w:rPr>
          <w:sz w:val="21"/>
        </w:rPr>
      </w:pPr>
      <w:r>
        <w:rPr>
          <w:spacing w:val="-3"/>
          <w:sz w:val="21"/>
        </w:rPr>
        <w:t>依照《基金合同》收取基金管理费以及法律法规规定或中国证监会批准的其他费用。</w:t>
      </w:r>
    </w:p>
    <w:p>
      <w:pPr>
        <w:pStyle w:val="ListParagraph"/>
        <w:numPr>
          <w:ilvl w:val="0"/>
          <w:numId w:val="38"/>
        </w:numPr>
        <w:tabs>
          <w:tab w:pos="1170" w:val="left" w:leader="none"/>
        </w:tabs>
        <w:spacing w:line="269" w:lineRule="exact" w:before="0" w:after="0"/>
        <w:ind w:left="1169" w:right="0" w:hanging="530"/>
        <w:jc w:val="left"/>
        <w:rPr>
          <w:sz w:val="21"/>
        </w:rPr>
      </w:pPr>
      <w:r>
        <w:rPr>
          <w:spacing w:val="-3"/>
          <w:sz w:val="21"/>
        </w:rPr>
        <w:t>销售基金份额。</w:t>
      </w:r>
    </w:p>
    <w:p>
      <w:pPr>
        <w:pStyle w:val="BodyText"/>
        <w:spacing w:before="6"/>
        <w:rPr>
          <w:sz w:val="15"/>
        </w:rPr>
      </w:pPr>
    </w:p>
    <w:p>
      <w:pPr>
        <w:pStyle w:val="ListParagraph"/>
        <w:numPr>
          <w:ilvl w:val="0"/>
          <w:numId w:val="38"/>
        </w:numPr>
        <w:tabs>
          <w:tab w:pos="1170" w:val="left" w:leader="none"/>
        </w:tabs>
        <w:spacing w:line="240" w:lineRule="auto" w:before="1" w:after="0"/>
        <w:ind w:left="1169" w:right="0" w:hanging="530"/>
        <w:jc w:val="left"/>
        <w:rPr>
          <w:sz w:val="21"/>
        </w:rPr>
      </w:pPr>
      <w:r>
        <w:rPr>
          <w:spacing w:val="-3"/>
          <w:sz w:val="21"/>
        </w:rPr>
        <w:t>召集基金份额持有人大会。</w:t>
      </w:r>
    </w:p>
    <w:p>
      <w:pPr>
        <w:pStyle w:val="BodyText"/>
        <w:spacing w:before="6"/>
        <w:rPr>
          <w:sz w:val="15"/>
        </w:rPr>
      </w:pPr>
    </w:p>
    <w:p>
      <w:pPr>
        <w:pStyle w:val="ListParagraph"/>
        <w:numPr>
          <w:ilvl w:val="0"/>
          <w:numId w:val="38"/>
        </w:numPr>
        <w:tabs>
          <w:tab w:pos="1170" w:val="left" w:leader="none"/>
        </w:tabs>
        <w:spacing w:line="417" w:lineRule="auto" w:before="0" w:after="0"/>
        <w:ind w:left="220" w:right="59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38"/>
        </w:numPr>
        <w:tabs>
          <w:tab w:pos="1170" w:val="left" w:leader="none"/>
        </w:tabs>
        <w:spacing w:line="269" w:lineRule="exact" w:before="0" w:after="0"/>
        <w:ind w:left="1169" w:right="0" w:hanging="530"/>
        <w:jc w:val="left"/>
        <w:rPr>
          <w:sz w:val="21"/>
        </w:rPr>
      </w:pPr>
      <w:r>
        <w:rPr>
          <w:spacing w:val="-3"/>
          <w:sz w:val="21"/>
        </w:rPr>
        <w:t>在基金托管人更换时，提名新的基金托管人。</w:t>
      </w:r>
    </w:p>
    <w:p>
      <w:pPr>
        <w:pStyle w:val="BodyText"/>
        <w:spacing w:before="7"/>
        <w:rPr>
          <w:sz w:val="15"/>
        </w:rPr>
      </w:pPr>
    </w:p>
    <w:p>
      <w:pPr>
        <w:pStyle w:val="ListParagraph"/>
        <w:numPr>
          <w:ilvl w:val="0"/>
          <w:numId w:val="38"/>
        </w:numPr>
        <w:tabs>
          <w:tab w:pos="1170" w:val="left" w:leader="none"/>
        </w:tabs>
        <w:spacing w:line="240" w:lineRule="auto" w:before="0" w:after="0"/>
        <w:ind w:left="1169" w:right="0" w:hanging="530"/>
        <w:jc w:val="left"/>
        <w:rPr>
          <w:sz w:val="21"/>
        </w:rPr>
      </w:pPr>
      <w:r>
        <w:rPr>
          <w:spacing w:val="-3"/>
          <w:sz w:val="21"/>
        </w:rPr>
        <w:t>选择、更换基金销售机构，对基金销售机构的相关行为进行监督和处理。</w:t>
      </w:r>
    </w:p>
    <w:p>
      <w:pPr>
        <w:pStyle w:val="BodyText"/>
        <w:spacing w:before="7"/>
        <w:rPr>
          <w:sz w:val="15"/>
        </w:rPr>
      </w:pPr>
    </w:p>
    <w:p>
      <w:pPr>
        <w:pStyle w:val="ListParagraph"/>
        <w:numPr>
          <w:ilvl w:val="0"/>
          <w:numId w:val="38"/>
        </w:numPr>
        <w:tabs>
          <w:tab w:pos="1170" w:val="left" w:leader="none"/>
        </w:tabs>
        <w:spacing w:line="417" w:lineRule="auto" w:before="0" w:after="0"/>
        <w:ind w:left="220" w:right="594" w:firstLine="419"/>
        <w:jc w:val="left"/>
        <w:rPr>
          <w:sz w:val="21"/>
        </w:rPr>
      </w:pPr>
      <w:r>
        <w:rPr>
          <w:spacing w:val="-3"/>
          <w:sz w:val="21"/>
        </w:rPr>
        <w:t>担任或委托其他符合条件的机构担任基金登记机构办理基金登记业务并获得《基金合同》规定的费用。</w:t>
      </w:r>
    </w:p>
    <w:p>
      <w:pPr>
        <w:spacing w:after="0" w:line="417" w:lineRule="auto"/>
        <w:jc w:val="left"/>
        <w:rPr>
          <w:sz w:val="21"/>
        </w:rPr>
        <w:sectPr>
          <w:pgSz w:w="11910" w:h="16840"/>
          <w:pgMar w:header="877" w:footer="995" w:top="1420" w:bottom="1180" w:left="1580" w:right="1200"/>
        </w:sectPr>
      </w:pPr>
    </w:p>
    <w:p>
      <w:pPr>
        <w:pStyle w:val="ListParagraph"/>
        <w:numPr>
          <w:ilvl w:val="0"/>
          <w:numId w:val="38"/>
        </w:numPr>
        <w:tabs>
          <w:tab w:pos="1275" w:val="left" w:leader="none"/>
        </w:tabs>
        <w:spacing w:line="240" w:lineRule="auto" w:before="110" w:after="0"/>
        <w:ind w:left="1275" w:right="0" w:hanging="635"/>
        <w:jc w:val="left"/>
        <w:rPr>
          <w:sz w:val="21"/>
        </w:rPr>
      </w:pPr>
      <w:r>
        <w:rPr>
          <w:spacing w:val="-3"/>
          <w:sz w:val="21"/>
        </w:rPr>
        <w:t>依据《基金合同》及有关法律规定决定基金收益的分配方案。</w:t>
      </w:r>
    </w:p>
    <w:p>
      <w:pPr>
        <w:pStyle w:val="BodyText"/>
        <w:spacing w:before="6"/>
        <w:rPr>
          <w:sz w:val="15"/>
        </w:rPr>
      </w:pPr>
    </w:p>
    <w:p>
      <w:pPr>
        <w:pStyle w:val="ListParagraph"/>
        <w:numPr>
          <w:ilvl w:val="0"/>
          <w:numId w:val="38"/>
        </w:numPr>
        <w:tabs>
          <w:tab w:pos="1266" w:val="left" w:leader="none"/>
        </w:tabs>
        <w:spacing w:line="240" w:lineRule="auto" w:before="0" w:after="0"/>
        <w:ind w:left="1265" w:right="0" w:hanging="626"/>
        <w:jc w:val="left"/>
        <w:rPr>
          <w:sz w:val="21"/>
        </w:rPr>
      </w:pPr>
      <w:r>
        <w:rPr>
          <w:spacing w:val="-3"/>
          <w:sz w:val="21"/>
        </w:rPr>
        <w:t>在《基金合同》约定的范围内，拒绝或暂停受理申购与赎回申请。</w:t>
      </w:r>
    </w:p>
    <w:p>
      <w:pPr>
        <w:pStyle w:val="BodyText"/>
        <w:spacing w:before="7"/>
        <w:rPr>
          <w:sz w:val="15"/>
        </w:rPr>
      </w:pPr>
    </w:p>
    <w:p>
      <w:pPr>
        <w:pStyle w:val="ListParagraph"/>
        <w:numPr>
          <w:ilvl w:val="0"/>
          <w:numId w:val="38"/>
        </w:numPr>
        <w:tabs>
          <w:tab w:pos="1275" w:val="left" w:leader="none"/>
        </w:tabs>
        <w:spacing w:line="417" w:lineRule="auto" w:before="0" w:after="0"/>
        <w:ind w:left="220" w:right="59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38"/>
        </w:numPr>
        <w:tabs>
          <w:tab w:pos="1275" w:val="left" w:leader="none"/>
        </w:tabs>
        <w:spacing w:line="269" w:lineRule="exact" w:before="0" w:after="0"/>
        <w:ind w:left="1275" w:right="0" w:hanging="635"/>
        <w:jc w:val="left"/>
        <w:rPr>
          <w:sz w:val="21"/>
        </w:rPr>
      </w:pPr>
      <w:r>
        <w:rPr>
          <w:spacing w:val="-3"/>
          <w:sz w:val="21"/>
        </w:rPr>
        <w:t>在条件允许的前提下，为基金的利益依法为基金进行融资。</w:t>
      </w:r>
    </w:p>
    <w:p>
      <w:pPr>
        <w:pStyle w:val="BodyText"/>
        <w:spacing w:before="7"/>
        <w:rPr>
          <w:sz w:val="15"/>
        </w:rPr>
      </w:pPr>
    </w:p>
    <w:p>
      <w:pPr>
        <w:pStyle w:val="ListParagraph"/>
        <w:numPr>
          <w:ilvl w:val="0"/>
          <w:numId w:val="38"/>
        </w:numPr>
        <w:tabs>
          <w:tab w:pos="1275" w:val="left" w:leader="none"/>
        </w:tabs>
        <w:spacing w:line="417" w:lineRule="auto" w:before="0" w:after="0"/>
        <w:ind w:left="220" w:right="59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38"/>
        </w:numPr>
        <w:tabs>
          <w:tab w:pos="1275" w:val="left" w:leader="none"/>
        </w:tabs>
        <w:spacing w:line="417" w:lineRule="auto" w:before="0" w:after="0"/>
        <w:ind w:left="220" w:right="59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38"/>
        </w:numPr>
        <w:tabs>
          <w:tab w:pos="1275" w:val="left" w:leader="none"/>
        </w:tabs>
        <w:spacing w:line="417" w:lineRule="auto" w:before="0" w:after="0"/>
        <w:ind w:left="220" w:right="592" w:firstLine="419"/>
        <w:jc w:val="left"/>
        <w:rPr>
          <w:sz w:val="21"/>
        </w:rPr>
      </w:pPr>
      <w:r>
        <w:rPr>
          <w:spacing w:val="-9"/>
          <w:sz w:val="21"/>
        </w:rPr>
        <w:t>在符合有关法律、法规的前提下，制订和调整有关基金认购、申购、赎回、转 </w:t>
      </w:r>
      <w:r>
        <w:rPr>
          <w:spacing w:val="-3"/>
          <w:sz w:val="21"/>
        </w:rPr>
        <w:t>换和非交易过户的业务规则。</w:t>
      </w:r>
    </w:p>
    <w:p>
      <w:pPr>
        <w:pStyle w:val="ListParagraph"/>
        <w:numPr>
          <w:ilvl w:val="0"/>
          <w:numId w:val="38"/>
        </w:numPr>
        <w:tabs>
          <w:tab w:pos="1275" w:val="left" w:leader="none"/>
        </w:tabs>
        <w:spacing w:line="269" w:lineRule="exact" w:before="0" w:after="0"/>
        <w:ind w:left="1275" w:right="0" w:hanging="635"/>
        <w:jc w:val="left"/>
        <w:rPr>
          <w:sz w:val="21"/>
        </w:rPr>
      </w:pPr>
      <w:r>
        <w:rPr>
          <w:spacing w:val="-3"/>
          <w:sz w:val="21"/>
        </w:rPr>
        <w:t>法律法规及中国证监会规定的和《基金合同》约定的其他权利。</w:t>
      </w:r>
    </w:p>
    <w:p>
      <w:pPr>
        <w:pStyle w:val="BodyText"/>
        <w:spacing w:before="6"/>
        <w:rPr>
          <w:sz w:val="15"/>
        </w:rPr>
      </w:pPr>
    </w:p>
    <w:p>
      <w:pPr>
        <w:pStyle w:val="BodyText"/>
        <w:spacing w:before="1"/>
        <w:ind w:left="640"/>
      </w:pPr>
      <w:r>
        <w:rPr>
          <w:rFonts w:ascii="Times New Roman" w:eastAsia="Times New Roman"/>
        </w:rPr>
        <w:t>2</w:t>
      </w:r>
      <w:r>
        <w:rPr/>
        <w:t>、根据《基金法》、《运作办法》及其他有关规定，基金管理人的义务包括但不限于：</w:t>
      </w:r>
    </w:p>
    <w:p>
      <w:pPr>
        <w:pStyle w:val="BodyText"/>
        <w:spacing w:before="6"/>
        <w:rPr>
          <w:sz w:val="15"/>
        </w:rPr>
      </w:pPr>
    </w:p>
    <w:p>
      <w:pPr>
        <w:pStyle w:val="ListParagraph"/>
        <w:numPr>
          <w:ilvl w:val="0"/>
          <w:numId w:val="39"/>
        </w:numPr>
        <w:tabs>
          <w:tab w:pos="1170" w:val="left" w:leader="none"/>
        </w:tabs>
        <w:spacing w:line="417" w:lineRule="auto" w:before="0" w:after="0"/>
        <w:ind w:left="220" w:right="593"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39"/>
        </w:numPr>
        <w:tabs>
          <w:tab w:pos="1170" w:val="left" w:leader="none"/>
        </w:tabs>
        <w:spacing w:line="240" w:lineRule="auto" w:before="0" w:after="0"/>
        <w:ind w:left="1169" w:right="0" w:hanging="530"/>
        <w:jc w:val="left"/>
        <w:rPr>
          <w:sz w:val="21"/>
        </w:rPr>
      </w:pPr>
      <w:r>
        <w:rPr>
          <w:spacing w:val="-3"/>
          <w:sz w:val="21"/>
        </w:rPr>
        <w:t>办理基金备案手续。</w:t>
      </w:r>
    </w:p>
    <w:p>
      <w:pPr>
        <w:pStyle w:val="BodyText"/>
        <w:spacing w:before="7"/>
        <w:rPr>
          <w:sz w:val="15"/>
        </w:rPr>
      </w:pPr>
    </w:p>
    <w:p>
      <w:pPr>
        <w:pStyle w:val="ListParagraph"/>
        <w:numPr>
          <w:ilvl w:val="0"/>
          <w:numId w:val="39"/>
        </w:numPr>
        <w:tabs>
          <w:tab w:pos="1170" w:val="left" w:leader="none"/>
        </w:tabs>
        <w:spacing w:line="240" w:lineRule="auto" w:before="0" w:after="0"/>
        <w:ind w:left="1169" w:right="0" w:hanging="530"/>
        <w:jc w:val="left"/>
        <w:rPr>
          <w:sz w:val="21"/>
        </w:rPr>
      </w:pPr>
      <w:r>
        <w:rPr>
          <w:spacing w:val="-3"/>
          <w:sz w:val="21"/>
        </w:rPr>
        <w:t>自《基金合同》生效之日起</w:t>
      </w:r>
      <w:r>
        <w:rPr>
          <w:rFonts w:ascii="Times New Roman" w:eastAsia="Times New Roman"/>
          <w:sz w:val="21"/>
        </w:rPr>
        <w:t>,</w:t>
      </w:r>
      <w:r>
        <w:rPr>
          <w:sz w:val="21"/>
        </w:rPr>
        <w:t>以诚实信用、谨慎勤勉的原则管理和运用基金财产。</w:t>
      </w:r>
    </w:p>
    <w:p>
      <w:pPr>
        <w:pStyle w:val="BodyText"/>
        <w:spacing w:before="7"/>
        <w:rPr>
          <w:sz w:val="15"/>
        </w:rPr>
      </w:pPr>
    </w:p>
    <w:p>
      <w:pPr>
        <w:pStyle w:val="ListParagraph"/>
        <w:numPr>
          <w:ilvl w:val="0"/>
          <w:numId w:val="39"/>
        </w:numPr>
        <w:tabs>
          <w:tab w:pos="1170" w:val="left" w:leader="none"/>
        </w:tabs>
        <w:spacing w:line="417" w:lineRule="auto" w:before="0" w:after="0"/>
        <w:ind w:left="220" w:right="59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39"/>
        </w:numPr>
        <w:tabs>
          <w:tab w:pos="1170" w:val="left" w:leader="none"/>
        </w:tabs>
        <w:spacing w:line="417" w:lineRule="auto" w:before="0" w:after="0"/>
        <w:ind w:left="220" w:right="593" w:firstLine="419"/>
        <w:jc w:val="both"/>
        <w:rPr>
          <w:sz w:val="21"/>
        </w:rPr>
      </w:pPr>
      <w:r>
        <w:rPr>
          <w:spacing w:val="-3"/>
          <w:sz w:val="21"/>
        </w:rPr>
        <w:t>建立健全内部风险控制、监察与稽核、财务管理及人事管理等制度，保证所管理的基金财产和基金管理人的财产相互独立</w:t>
      </w:r>
      <w:r>
        <w:rPr>
          <w:rFonts w:ascii="Times New Roman" w:eastAsia="Times New Roman"/>
          <w:sz w:val="21"/>
        </w:rPr>
        <w:t>,</w:t>
      </w:r>
      <w:r>
        <w:rPr>
          <w:spacing w:val="-1"/>
          <w:sz w:val="21"/>
        </w:rPr>
        <w:t>对所管理的不同基金分别管理，分别记账，进行证券投资。</w:t>
      </w:r>
    </w:p>
    <w:p>
      <w:pPr>
        <w:pStyle w:val="ListParagraph"/>
        <w:numPr>
          <w:ilvl w:val="0"/>
          <w:numId w:val="39"/>
        </w:numPr>
        <w:tabs>
          <w:tab w:pos="1167" w:val="left" w:leader="none"/>
        </w:tabs>
        <w:spacing w:line="417" w:lineRule="auto" w:before="0" w:after="0"/>
        <w:ind w:left="220" w:right="596" w:firstLine="419"/>
        <w:jc w:val="left"/>
        <w:rPr>
          <w:sz w:val="21"/>
        </w:rPr>
      </w:pPr>
      <w:r>
        <w:rPr>
          <w:spacing w:val="-19"/>
          <w:sz w:val="21"/>
        </w:rPr>
        <w:t>除依据《基金法》、《基金合同》及其他有关规定外</w:t>
      </w:r>
      <w:r>
        <w:rPr>
          <w:rFonts w:ascii="Times New Roman" w:eastAsia="Times New Roman"/>
          <w:spacing w:val="-3"/>
          <w:sz w:val="21"/>
        </w:rPr>
        <w:t>,</w:t>
      </w:r>
      <w:r>
        <w:rPr>
          <w:spacing w:val="-3"/>
          <w:sz w:val="21"/>
        </w:rPr>
        <w:t>不得利用基金财产为自己及任何第三人谋取利益，不得委托第三人运作基金财产。</w:t>
      </w:r>
    </w:p>
    <w:p>
      <w:pPr>
        <w:pStyle w:val="ListParagraph"/>
        <w:numPr>
          <w:ilvl w:val="0"/>
          <w:numId w:val="39"/>
        </w:numPr>
        <w:tabs>
          <w:tab w:pos="1170" w:val="left" w:leader="none"/>
        </w:tabs>
        <w:spacing w:line="269" w:lineRule="exact" w:before="0" w:after="0"/>
        <w:ind w:left="1169" w:right="0" w:hanging="530"/>
        <w:jc w:val="left"/>
        <w:rPr>
          <w:sz w:val="21"/>
        </w:rPr>
      </w:pPr>
      <w:r>
        <w:rPr>
          <w:spacing w:val="-3"/>
          <w:sz w:val="21"/>
        </w:rPr>
        <w:t>依法接受基金托管人的监督。</w:t>
      </w:r>
    </w:p>
    <w:p>
      <w:pPr>
        <w:pStyle w:val="BodyText"/>
        <w:spacing w:before="6"/>
        <w:rPr>
          <w:sz w:val="15"/>
        </w:rPr>
      </w:pPr>
    </w:p>
    <w:p>
      <w:pPr>
        <w:pStyle w:val="ListParagraph"/>
        <w:numPr>
          <w:ilvl w:val="0"/>
          <w:numId w:val="39"/>
        </w:numPr>
        <w:tabs>
          <w:tab w:pos="1170" w:val="left" w:leader="none"/>
        </w:tabs>
        <w:spacing w:line="417" w:lineRule="auto" w:before="0" w:after="0"/>
        <w:ind w:left="220" w:right="59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39"/>
        </w:numPr>
        <w:tabs>
          <w:tab w:pos="1170" w:val="left" w:leader="none"/>
        </w:tabs>
        <w:spacing w:line="240" w:lineRule="auto" w:before="0" w:after="0"/>
        <w:ind w:left="1169" w:right="0" w:hanging="530"/>
        <w:jc w:val="left"/>
        <w:rPr>
          <w:sz w:val="21"/>
        </w:rPr>
      </w:pPr>
      <w:r>
        <w:rPr>
          <w:spacing w:val="-3"/>
          <w:sz w:val="21"/>
        </w:rPr>
        <w:t>进行基金会计核算并编制基金财务会计报告。</w:t>
      </w:r>
    </w:p>
    <w:p>
      <w:pPr>
        <w:pStyle w:val="BodyText"/>
        <w:spacing w:before="7"/>
        <w:rPr>
          <w:sz w:val="15"/>
        </w:rPr>
      </w:pPr>
    </w:p>
    <w:p>
      <w:pPr>
        <w:pStyle w:val="ListParagraph"/>
        <w:numPr>
          <w:ilvl w:val="0"/>
          <w:numId w:val="39"/>
        </w:numPr>
        <w:tabs>
          <w:tab w:pos="1275" w:val="left" w:leader="none"/>
        </w:tabs>
        <w:spacing w:line="240" w:lineRule="auto" w:before="0" w:after="0"/>
        <w:ind w:left="1275" w:right="0" w:hanging="635"/>
        <w:jc w:val="left"/>
        <w:rPr>
          <w:sz w:val="21"/>
        </w:rPr>
      </w:pPr>
      <w:r>
        <w:rPr>
          <w:spacing w:val="-3"/>
          <w:sz w:val="21"/>
        </w:rPr>
        <w:t>编制季度、中期和年度基金报告。</w:t>
      </w:r>
    </w:p>
    <w:p>
      <w:pPr>
        <w:spacing w:after="0" w:line="240" w:lineRule="auto"/>
        <w:jc w:val="left"/>
        <w:rPr>
          <w:sz w:val="21"/>
        </w:rPr>
        <w:sectPr>
          <w:pgSz w:w="11910" w:h="16840"/>
          <w:pgMar w:header="877" w:footer="995" w:top="1420" w:bottom="1180" w:left="1580" w:right="1200"/>
        </w:sectPr>
      </w:pPr>
    </w:p>
    <w:p>
      <w:pPr>
        <w:pStyle w:val="ListParagraph"/>
        <w:numPr>
          <w:ilvl w:val="0"/>
          <w:numId w:val="39"/>
        </w:numPr>
        <w:tabs>
          <w:tab w:pos="1266" w:val="left" w:leader="none"/>
        </w:tabs>
        <w:spacing w:line="240" w:lineRule="auto" w:before="110" w:after="0"/>
        <w:ind w:left="1265" w:right="0" w:hanging="626"/>
        <w:jc w:val="left"/>
        <w:rPr>
          <w:sz w:val="21"/>
        </w:rPr>
      </w:pPr>
      <w:r>
        <w:rPr>
          <w:spacing w:val="-17"/>
          <w:sz w:val="21"/>
        </w:rPr>
        <w:t>严格按照《基金法》、《基金合同》及其他有关规定，履行信息披露及报告义务。</w:t>
      </w:r>
    </w:p>
    <w:p>
      <w:pPr>
        <w:pStyle w:val="BodyText"/>
        <w:spacing w:before="6"/>
        <w:rPr>
          <w:sz w:val="15"/>
        </w:rPr>
      </w:pPr>
    </w:p>
    <w:p>
      <w:pPr>
        <w:pStyle w:val="ListParagraph"/>
        <w:numPr>
          <w:ilvl w:val="0"/>
          <w:numId w:val="39"/>
        </w:numPr>
        <w:tabs>
          <w:tab w:pos="1275" w:val="left" w:leader="none"/>
        </w:tabs>
        <w:spacing w:line="417" w:lineRule="auto" w:before="0" w:after="0"/>
        <w:ind w:left="220" w:right="59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39"/>
        </w:numPr>
        <w:tabs>
          <w:tab w:pos="1275" w:val="left" w:leader="none"/>
        </w:tabs>
        <w:spacing w:line="417" w:lineRule="auto" w:before="0" w:after="0"/>
        <w:ind w:left="220" w:right="59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39"/>
        </w:numPr>
        <w:tabs>
          <w:tab w:pos="1275" w:val="left" w:leader="none"/>
        </w:tabs>
        <w:spacing w:line="269" w:lineRule="exact" w:before="0" w:after="0"/>
        <w:ind w:left="1275" w:right="0" w:hanging="635"/>
        <w:jc w:val="left"/>
        <w:rPr>
          <w:sz w:val="21"/>
        </w:rPr>
      </w:pPr>
      <w:r>
        <w:rPr>
          <w:spacing w:val="-3"/>
          <w:sz w:val="21"/>
        </w:rPr>
        <w:t>按规定受理申购与赎回申请，及时、足额支付赎回款项。</w:t>
      </w:r>
    </w:p>
    <w:p>
      <w:pPr>
        <w:pStyle w:val="BodyText"/>
        <w:spacing w:before="7"/>
        <w:rPr>
          <w:sz w:val="15"/>
        </w:rPr>
      </w:pPr>
    </w:p>
    <w:p>
      <w:pPr>
        <w:pStyle w:val="ListParagraph"/>
        <w:numPr>
          <w:ilvl w:val="0"/>
          <w:numId w:val="39"/>
        </w:numPr>
        <w:tabs>
          <w:tab w:pos="1275" w:val="left" w:leader="none"/>
        </w:tabs>
        <w:spacing w:line="417" w:lineRule="auto" w:before="0" w:after="0"/>
        <w:ind w:left="220" w:right="59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39"/>
        </w:numPr>
        <w:tabs>
          <w:tab w:pos="1275" w:val="left" w:leader="none"/>
        </w:tabs>
        <w:spacing w:line="240" w:lineRule="auto" w:before="0" w:after="0"/>
        <w:ind w:left="127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3"/>
        <w:rPr>
          <w:rFonts w:ascii="Times New Roman"/>
          <w:sz w:val="17"/>
        </w:rPr>
      </w:pPr>
    </w:p>
    <w:p>
      <w:pPr>
        <w:pStyle w:val="BodyText"/>
        <w:spacing w:before="1"/>
        <w:ind w:left="220"/>
      </w:pPr>
      <w:r>
        <w:rPr/>
        <w:t>年以上。</w:t>
      </w:r>
    </w:p>
    <w:p>
      <w:pPr>
        <w:pStyle w:val="BodyText"/>
        <w:spacing w:before="6"/>
        <w:rPr>
          <w:sz w:val="15"/>
        </w:rPr>
      </w:pPr>
    </w:p>
    <w:p>
      <w:pPr>
        <w:pStyle w:val="ListParagraph"/>
        <w:numPr>
          <w:ilvl w:val="0"/>
          <w:numId w:val="39"/>
        </w:numPr>
        <w:tabs>
          <w:tab w:pos="1275" w:val="left" w:leader="none"/>
        </w:tabs>
        <w:spacing w:line="417" w:lineRule="auto" w:before="0" w:after="0"/>
        <w:ind w:left="220" w:right="59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39"/>
        </w:numPr>
        <w:tabs>
          <w:tab w:pos="1273" w:val="left" w:leader="none"/>
        </w:tabs>
        <w:spacing w:line="269" w:lineRule="exact" w:before="0" w:after="0"/>
        <w:ind w:left="1272" w:right="0" w:hanging="633"/>
        <w:jc w:val="left"/>
        <w:rPr>
          <w:sz w:val="21"/>
        </w:rPr>
      </w:pPr>
      <w:r>
        <w:rPr>
          <w:spacing w:val="-3"/>
          <w:sz w:val="21"/>
        </w:rPr>
        <w:t>组织并参加基金财产清算小组</w:t>
      </w:r>
      <w:r>
        <w:rPr>
          <w:rFonts w:ascii="Times New Roman" w:eastAsia="Times New Roman"/>
          <w:sz w:val="21"/>
        </w:rPr>
        <w:t>,</w:t>
      </w:r>
      <w:r>
        <w:rPr>
          <w:spacing w:val="-12"/>
          <w:sz w:val="21"/>
        </w:rPr>
        <w:t>参与基金财产的保管、清理、估价、变现和分配。</w:t>
      </w:r>
    </w:p>
    <w:p>
      <w:pPr>
        <w:pStyle w:val="BodyText"/>
        <w:spacing w:before="7"/>
        <w:rPr>
          <w:sz w:val="15"/>
        </w:rPr>
      </w:pPr>
    </w:p>
    <w:p>
      <w:pPr>
        <w:pStyle w:val="ListParagraph"/>
        <w:numPr>
          <w:ilvl w:val="0"/>
          <w:numId w:val="39"/>
        </w:numPr>
        <w:tabs>
          <w:tab w:pos="1273" w:val="left" w:leader="none"/>
        </w:tabs>
        <w:spacing w:line="417" w:lineRule="auto" w:before="0" w:after="0"/>
        <w:ind w:left="220" w:right="59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39"/>
        </w:numPr>
        <w:tabs>
          <w:tab w:pos="1275" w:val="left" w:leader="none"/>
        </w:tabs>
        <w:spacing w:line="417" w:lineRule="auto" w:before="0" w:after="0"/>
        <w:ind w:left="220" w:right="59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39"/>
        </w:numPr>
        <w:tabs>
          <w:tab w:pos="1275" w:val="left" w:leader="none"/>
        </w:tabs>
        <w:spacing w:line="417" w:lineRule="auto" w:before="0" w:after="0"/>
        <w:ind w:left="220" w:right="59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39"/>
        </w:numPr>
        <w:tabs>
          <w:tab w:pos="1275" w:val="left" w:leader="none"/>
        </w:tabs>
        <w:spacing w:line="417" w:lineRule="auto" w:before="0" w:after="0"/>
        <w:ind w:left="220" w:right="59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39"/>
        </w:numPr>
        <w:tabs>
          <w:tab w:pos="1273" w:val="left" w:leader="none"/>
        </w:tabs>
        <w:spacing w:line="269" w:lineRule="exact" w:before="0" w:after="0"/>
        <w:ind w:left="1272" w:right="0" w:hanging="633"/>
        <w:jc w:val="left"/>
        <w:rPr>
          <w:sz w:val="21"/>
        </w:rPr>
      </w:pPr>
      <w:r>
        <w:rPr>
          <w:spacing w:val="-12"/>
          <w:sz w:val="21"/>
        </w:rPr>
        <w:t>以基金管理人名义，代表基金份额持有人利益行使诉讼权利或实施其他法律行为。</w:t>
      </w:r>
    </w:p>
    <w:p>
      <w:pPr>
        <w:pStyle w:val="BodyText"/>
        <w:spacing w:before="6"/>
        <w:rPr>
          <w:sz w:val="15"/>
        </w:rPr>
      </w:pPr>
    </w:p>
    <w:p>
      <w:pPr>
        <w:pStyle w:val="ListParagraph"/>
        <w:numPr>
          <w:ilvl w:val="0"/>
          <w:numId w:val="39"/>
        </w:numPr>
        <w:tabs>
          <w:tab w:pos="1275" w:val="left" w:leader="none"/>
        </w:tabs>
        <w:spacing w:line="417" w:lineRule="auto" w:before="1" w:after="0"/>
        <w:ind w:left="220" w:right="593" w:firstLine="419"/>
        <w:jc w:val="both"/>
        <w:rPr>
          <w:sz w:val="21"/>
        </w:rPr>
      </w:pPr>
      <w:r>
        <w:rPr>
          <w:spacing w:val="-8"/>
          <w:sz w:val="21"/>
        </w:rPr>
        <w:t>基金管理人在募集期间未能达到基金的备案条件，《基金合同》不能生效，基金</w:t>
      </w:r>
      <w:r>
        <w:rPr>
          <w:spacing w:val="-5"/>
          <w:sz w:val="21"/>
        </w:rPr>
        <w:t>管理人承担全部募集费用，将已募集资金并加计银行同期存款利息在基金募集期结束后 </w:t>
      </w:r>
      <w:r>
        <w:rPr>
          <w:rFonts w:ascii="Times New Roman" w:eastAsia="Times New Roman"/>
          <w:spacing w:val="-3"/>
          <w:sz w:val="21"/>
        </w:rPr>
        <w:t>30 </w:t>
      </w:r>
      <w:r>
        <w:rPr>
          <w:spacing w:val="-3"/>
          <w:sz w:val="21"/>
        </w:rPr>
        <w:t>日内退还基金认购人。</w:t>
      </w:r>
    </w:p>
    <w:p>
      <w:pPr>
        <w:pStyle w:val="ListParagraph"/>
        <w:numPr>
          <w:ilvl w:val="0"/>
          <w:numId w:val="39"/>
        </w:numPr>
        <w:tabs>
          <w:tab w:pos="1275" w:val="left" w:leader="none"/>
        </w:tabs>
        <w:spacing w:line="269" w:lineRule="exact" w:before="0" w:after="0"/>
        <w:ind w:left="1275" w:right="0" w:hanging="635"/>
        <w:jc w:val="left"/>
        <w:rPr>
          <w:sz w:val="21"/>
        </w:rPr>
      </w:pPr>
      <w:r>
        <w:rPr>
          <w:spacing w:val="-3"/>
          <w:sz w:val="21"/>
        </w:rPr>
        <w:t>执行生效的基金份额持有人大会的决议。</w:t>
      </w:r>
    </w:p>
    <w:p>
      <w:pPr>
        <w:pStyle w:val="BodyText"/>
        <w:spacing w:before="7"/>
        <w:rPr>
          <w:sz w:val="15"/>
        </w:rPr>
      </w:pPr>
    </w:p>
    <w:p>
      <w:pPr>
        <w:pStyle w:val="ListParagraph"/>
        <w:numPr>
          <w:ilvl w:val="0"/>
          <w:numId w:val="39"/>
        </w:numPr>
        <w:tabs>
          <w:tab w:pos="1275" w:val="left" w:leader="none"/>
        </w:tabs>
        <w:spacing w:line="240" w:lineRule="auto" w:before="0" w:after="0"/>
        <w:ind w:left="1275" w:right="0" w:hanging="635"/>
        <w:jc w:val="left"/>
        <w:rPr>
          <w:sz w:val="21"/>
        </w:rPr>
      </w:pPr>
      <w:r>
        <w:rPr>
          <w:spacing w:val="-3"/>
          <w:sz w:val="21"/>
        </w:rPr>
        <w:t>建立并保存基金份额持有人名册。</w:t>
      </w:r>
    </w:p>
    <w:p>
      <w:pPr>
        <w:pStyle w:val="BodyText"/>
        <w:spacing w:before="6"/>
        <w:rPr>
          <w:sz w:val="15"/>
        </w:rPr>
      </w:pPr>
    </w:p>
    <w:p>
      <w:pPr>
        <w:pStyle w:val="ListParagraph"/>
        <w:numPr>
          <w:ilvl w:val="0"/>
          <w:numId w:val="39"/>
        </w:numPr>
        <w:tabs>
          <w:tab w:pos="1275" w:val="left" w:leader="none"/>
        </w:tabs>
        <w:spacing w:line="240" w:lineRule="auto" w:before="1" w:after="0"/>
        <w:ind w:left="1275" w:right="0" w:hanging="635"/>
        <w:jc w:val="left"/>
        <w:rPr>
          <w:sz w:val="21"/>
        </w:rPr>
      </w:pPr>
      <w:r>
        <w:rPr>
          <w:spacing w:val="-3"/>
          <w:sz w:val="21"/>
        </w:rPr>
        <w:t>法律法规及中国证监会规定的和《基金合同》约定的其他义务。</w:t>
      </w:r>
    </w:p>
    <w:p>
      <w:pPr>
        <w:spacing w:after="0" w:line="240" w:lineRule="auto"/>
        <w:jc w:val="left"/>
        <w:rPr>
          <w:sz w:val="21"/>
        </w:rPr>
        <w:sectPr>
          <w:pgSz w:w="11910" w:h="16840"/>
          <w:pgMar w:header="877" w:footer="995" w:top="1420" w:bottom="1180" w:left="1580" w:right="1200"/>
        </w:sectPr>
      </w:pPr>
    </w:p>
    <w:p>
      <w:pPr>
        <w:pStyle w:val="BodyText"/>
        <w:spacing w:before="110"/>
        <w:ind w:left="640"/>
      </w:pPr>
      <w:r>
        <w:rPr/>
        <w:t>二、基金托管人</w:t>
      </w:r>
    </w:p>
    <w:p>
      <w:pPr>
        <w:pStyle w:val="BodyText"/>
        <w:spacing w:before="6"/>
        <w:rPr>
          <w:sz w:val="15"/>
        </w:rPr>
      </w:pPr>
    </w:p>
    <w:p>
      <w:pPr>
        <w:pStyle w:val="BodyText"/>
        <w:ind w:left="640"/>
      </w:pPr>
      <w:r>
        <w:rPr/>
        <w:t>（一）基金托管人简况</w:t>
      </w:r>
    </w:p>
    <w:p>
      <w:pPr>
        <w:pStyle w:val="BodyText"/>
        <w:spacing w:before="7"/>
        <w:rPr>
          <w:sz w:val="15"/>
        </w:rPr>
      </w:pPr>
    </w:p>
    <w:p>
      <w:pPr>
        <w:pStyle w:val="BodyText"/>
        <w:ind w:left="640"/>
      </w:pPr>
      <w:r>
        <w:rPr/>
        <w:t>名称：中国银行股份有限公司</w:t>
      </w:r>
    </w:p>
    <w:p>
      <w:pPr>
        <w:pStyle w:val="BodyText"/>
        <w:spacing w:before="7"/>
        <w:rPr>
          <w:sz w:val="15"/>
        </w:rPr>
      </w:pPr>
    </w:p>
    <w:p>
      <w:pPr>
        <w:pStyle w:val="BodyText"/>
        <w:spacing w:line="417" w:lineRule="auto"/>
        <w:ind w:left="640" w:right="4848"/>
      </w:pPr>
      <w:r>
        <w:rPr/>
        <w:t>住所：北京市西城区复兴门内大街 </w:t>
      </w:r>
      <w:r>
        <w:rPr>
          <w:rFonts w:ascii="Times New Roman" w:eastAsia="Times New Roman"/>
        </w:rPr>
        <w:t>1 </w:t>
      </w:r>
      <w:r>
        <w:rPr/>
        <w:t>号法定代表人：刘连舸</w:t>
      </w:r>
    </w:p>
    <w:p>
      <w:pPr>
        <w:pStyle w:val="BodyText"/>
        <w:spacing w:line="269" w:lineRule="exact"/>
        <w:ind w:left="640"/>
      </w:pPr>
      <w:r>
        <w:rPr/>
        <w:t>成立时间：</w:t>
      </w:r>
      <w:r>
        <w:rPr>
          <w:rFonts w:ascii="Times New Roman" w:eastAsia="Times New Roman"/>
        </w:rPr>
        <w:t>1983 </w:t>
      </w:r>
      <w:r>
        <w:rPr/>
        <w:t>年 </w:t>
      </w:r>
      <w:r>
        <w:rPr>
          <w:rFonts w:ascii="Times New Roman" w:eastAsia="Times New Roman"/>
        </w:rPr>
        <w:t>10 </w:t>
      </w:r>
      <w:r>
        <w:rPr/>
        <w:t>月 </w:t>
      </w:r>
      <w:r>
        <w:rPr>
          <w:rFonts w:ascii="Times New Roman" w:eastAsia="Times New Roman"/>
        </w:rPr>
        <w:t>31 </w:t>
      </w:r>
      <w:r>
        <w:rPr/>
        <w:t>日</w:t>
      </w:r>
    </w:p>
    <w:p>
      <w:pPr>
        <w:pStyle w:val="BodyText"/>
        <w:spacing w:before="7"/>
        <w:rPr>
          <w:sz w:val="15"/>
        </w:rPr>
      </w:pPr>
    </w:p>
    <w:p>
      <w:pPr>
        <w:pStyle w:val="BodyText"/>
        <w:spacing w:line="417" w:lineRule="auto"/>
        <w:ind w:left="220" w:right="591" w:firstLine="419"/>
      </w:pPr>
      <w:r>
        <w:rPr>
          <w:spacing w:val="-9"/>
        </w:rPr>
        <w:t>批准设立机关和批准设立文号：国务院批转中国人民银行《关于改革中国银行体制的请</w:t>
      </w:r>
      <w:r>
        <w:rPr>
          <w:spacing w:val="-33"/>
        </w:rPr>
        <w:t>示报告》</w:t>
      </w:r>
      <w:r>
        <w:rPr>
          <w:spacing w:val="-3"/>
        </w:rPr>
        <w:t>（</w:t>
      </w:r>
      <w:r>
        <w:rPr/>
        <w:t>国发</w:t>
      </w:r>
      <w:r>
        <w:rPr>
          <w:rFonts w:ascii="Times New Roman" w:eastAsia="Times New Roman"/>
        </w:rPr>
        <w:t>[1979]72 </w:t>
      </w:r>
      <w:r>
        <w:rPr>
          <w:spacing w:val="-3"/>
        </w:rPr>
        <w:t>号）</w:t>
      </w:r>
    </w:p>
    <w:p>
      <w:pPr>
        <w:pStyle w:val="BodyText"/>
        <w:ind w:left="640"/>
      </w:pPr>
      <w:r>
        <w:rPr/>
        <w:t>组织形式：股份有限公司</w:t>
      </w:r>
    </w:p>
    <w:p>
      <w:pPr>
        <w:pStyle w:val="BodyText"/>
        <w:spacing w:before="7"/>
        <w:rPr>
          <w:sz w:val="15"/>
        </w:rPr>
      </w:pPr>
    </w:p>
    <w:p>
      <w:pPr>
        <w:pStyle w:val="BodyText"/>
        <w:spacing w:line="417" w:lineRule="auto"/>
        <w:ind w:left="640" w:right="1547"/>
      </w:pPr>
      <w:r>
        <w:rPr/>
        <w:t>注册资本：人民币贰仟玖佰肆拾叁亿捌仟柒佰柒拾玖万壹仟贰佰肆拾壹圆整存续期间：持续经营</w:t>
      </w:r>
    </w:p>
    <w:p>
      <w:pPr>
        <w:pStyle w:val="BodyText"/>
        <w:spacing w:line="269" w:lineRule="exact"/>
        <w:ind w:left="640"/>
      </w:pPr>
      <w:r>
        <w:rPr/>
        <w:t>基金托管资格批文及文号：中国证监会证监基字</w:t>
      </w:r>
      <w:r>
        <w:rPr>
          <w:rFonts w:ascii="Times New Roman" w:eastAsia="Times New Roman"/>
        </w:rPr>
        <w:t>[1998]24 </w:t>
      </w:r>
      <w:r>
        <w:rPr/>
        <w:t>号</w:t>
      </w:r>
    </w:p>
    <w:p>
      <w:pPr>
        <w:pStyle w:val="BodyText"/>
        <w:spacing w:before="6"/>
        <w:rPr>
          <w:sz w:val="15"/>
        </w:rPr>
      </w:pPr>
    </w:p>
    <w:p>
      <w:pPr>
        <w:pStyle w:val="BodyText"/>
        <w:ind w:left="640"/>
      </w:pPr>
      <w:r>
        <w:rPr/>
        <w:t>（二）基金托管人的权利与义务</w:t>
      </w:r>
    </w:p>
    <w:p>
      <w:pPr>
        <w:pStyle w:val="BodyText"/>
        <w:spacing w:before="7"/>
        <w:rPr>
          <w:sz w:val="15"/>
        </w:rPr>
      </w:pPr>
    </w:p>
    <w:p>
      <w:pPr>
        <w:pStyle w:val="BodyText"/>
        <w:ind w:left="640"/>
      </w:pPr>
      <w:r>
        <w:rPr>
          <w:rFonts w:ascii="Times New Roman" w:eastAsia="Times New Roman"/>
        </w:rPr>
        <w:t>1</w:t>
      </w:r>
      <w:r>
        <w:rPr/>
        <w:t>、根据《基金法》、《运作办法》及其他有关规定，基金托管人的权利包括但不限于：</w:t>
      </w:r>
    </w:p>
    <w:p>
      <w:pPr>
        <w:pStyle w:val="BodyText"/>
        <w:spacing w:before="7"/>
        <w:rPr>
          <w:sz w:val="15"/>
        </w:rPr>
      </w:pPr>
    </w:p>
    <w:p>
      <w:pPr>
        <w:pStyle w:val="ListParagraph"/>
        <w:numPr>
          <w:ilvl w:val="0"/>
          <w:numId w:val="40"/>
        </w:numPr>
        <w:tabs>
          <w:tab w:pos="1170" w:val="left" w:leader="none"/>
        </w:tabs>
        <w:spacing w:line="417" w:lineRule="auto" w:before="0" w:after="0"/>
        <w:ind w:left="220" w:right="594" w:firstLine="419"/>
        <w:jc w:val="left"/>
        <w:rPr>
          <w:sz w:val="21"/>
        </w:rPr>
      </w:pPr>
      <w:r>
        <w:rPr>
          <w:spacing w:val="-3"/>
          <w:sz w:val="21"/>
        </w:rPr>
        <w:t>自《基金合同》生效之日起，依法律法规和《基金合同》的规定安全保管基金财产。</w:t>
      </w:r>
    </w:p>
    <w:p>
      <w:pPr>
        <w:pStyle w:val="ListParagraph"/>
        <w:numPr>
          <w:ilvl w:val="0"/>
          <w:numId w:val="40"/>
        </w:numPr>
        <w:tabs>
          <w:tab w:pos="1170" w:val="left" w:leader="none"/>
        </w:tabs>
        <w:spacing w:line="417" w:lineRule="auto" w:before="0" w:after="0"/>
        <w:ind w:left="220" w:right="594" w:firstLine="419"/>
        <w:jc w:val="left"/>
        <w:rPr>
          <w:sz w:val="21"/>
        </w:rPr>
      </w:pPr>
      <w:r>
        <w:rPr>
          <w:spacing w:val="-3"/>
          <w:sz w:val="21"/>
        </w:rPr>
        <w:t>依《基金合同》约定获得基金托管费以及法律法规规定或监管部门批准的其他费用。</w:t>
      </w:r>
    </w:p>
    <w:p>
      <w:pPr>
        <w:pStyle w:val="ListParagraph"/>
        <w:numPr>
          <w:ilvl w:val="0"/>
          <w:numId w:val="40"/>
        </w:numPr>
        <w:tabs>
          <w:tab w:pos="1170" w:val="left" w:leader="none"/>
        </w:tabs>
        <w:spacing w:line="417" w:lineRule="auto" w:before="0" w:after="0"/>
        <w:ind w:left="220" w:right="59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40"/>
        </w:numPr>
        <w:tabs>
          <w:tab w:pos="1170" w:val="left" w:leader="none"/>
        </w:tabs>
        <w:spacing w:line="240" w:lineRule="auto" w:before="0" w:after="0"/>
        <w:ind w:left="1169" w:right="0" w:hanging="530"/>
        <w:jc w:val="left"/>
        <w:rPr>
          <w:sz w:val="21"/>
        </w:rPr>
      </w:pPr>
      <w:r>
        <w:rPr>
          <w:spacing w:val="-3"/>
          <w:sz w:val="21"/>
        </w:rPr>
        <w:t>根据相关市场规则，为基金开设证券账户、为基金办理证券交易资金清算。</w:t>
      </w:r>
    </w:p>
    <w:p>
      <w:pPr>
        <w:pStyle w:val="BodyText"/>
        <w:spacing w:before="6"/>
        <w:rPr>
          <w:sz w:val="15"/>
        </w:rPr>
      </w:pPr>
    </w:p>
    <w:p>
      <w:pPr>
        <w:pStyle w:val="ListParagraph"/>
        <w:numPr>
          <w:ilvl w:val="0"/>
          <w:numId w:val="40"/>
        </w:numPr>
        <w:tabs>
          <w:tab w:pos="1170" w:val="left" w:leader="none"/>
        </w:tabs>
        <w:spacing w:line="240" w:lineRule="auto" w:before="1" w:after="0"/>
        <w:ind w:left="1169" w:right="0" w:hanging="530"/>
        <w:jc w:val="left"/>
        <w:rPr>
          <w:sz w:val="21"/>
        </w:rPr>
      </w:pPr>
      <w:r>
        <w:rPr>
          <w:spacing w:val="-3"/>
          <w:sz w:val="21"/>
        </w:rPr>
        <w:t>提议召开或召集基金份额持有人大会。</w:t>
      </w:r>
    </w:p>
    <w:p>
      <w:pPr>
        <w:pStyle w:val="BodyText"/>
        <w:spacing w:before="6"/>
        <w:rPr>
          <w:sz w:val="15"/>
        </w:rPr>
      </w:pPr>
    </w:p>
    <w:p>
      <w:pPr>
        <w:pStyle w:val="ListParagraph"/>
        <w:numPr>
          <w:ilvl w:val="0"/>
          <w:numId w:val="40"/>
        </w:numPr>
        <w:tabs>
          <w:tab w:pos="1170" w:val="left" w:leader="none"/>
        </w:tabs>
        <w:spacing w:line="240" w:lineRule="auto" w:before="0" w:after="0"/>
        <w:ind w:left="1169" w:right="0" w:hanging="530"/>
        <w:jc w:val="left"/>
        <w:rPr>
          <w:sz w:val="21"/>
        </w:rPr>
      </w:pPr>
      <w:r>
        <w:rPr>
          <w:spacing w:val="-3"/>
          <w:sz w:val="21"/>
        </w:rPr>
        <w:t>在基金管理人更换时，提名新的基金管理人。</w:t>
      </w:r>
    </w:p>
    <w:p>
      <w:pPr>
        <w:pStyle w:val="BodyText"/>
        <w:spacing w:before="7"/>
        <w:rPr>
          <w:sz w:val="15"/>
        </w:rPr>
      </w:pPr>
    </w:p>
    <w:p>
      <w:pPr>
        <w:pStyle w:val="ListParagraph"/>
        <w:numPr>
          <w:ilvl w:val="0"/>
          <w:numId w:val="40"/>
        </w:numPr>
        <w:tabs>
          <w:tab w:pos="1170" w:val="left" w:leader="none"/>
        </w:tabs>
        <w:spacing w:line="240" w:lineRule="auto" w:before="0" w:after="0"/>
        <w:ind w:left="116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640"/>
      </w:pPr>
      <w:r>
        <w:rPr>
          <w:rFonts w:ascii="Times New Roman" w:eastAsia="Times New Roman"/>
        </w:rPr>
        <w:t>2</w:t>
      </w:r>
      <w:r>
        <w:rPr/>
        <w:t>、根据《基金法》、《运作办法》及其他有关规定，基金托管人的义务包括但不限于：</w:t>
      </w:r>
    </w:p>
    <w:p>
      <w:pPr>
        <w:pStyle w:val="BodyText"/>
        <w:spacing w:before="6"/>
        <w:rPr>
          <w:sz w:val="15"/>
        </w:rPr>
      </w:pPr>
    </w:p>
    <w:p>
      <w:pPr>
        <w:pStyle w:val="ListParagraph"/>
        <w:numPr>
          <w:ilvl w:val="0"/>
          <w:numId w:val="41"/>
        </w:numPr>
        <w:tabs>
          <w:tab w:pos="1170" w:val="left" w:leader="none"/>
        </w:tabs>
        <w:spacing w:line="240" w:lineRule="auto" w:before="1" w:after="0"/>
        <w:ind w:left="1169" w:right="0" w:hanging="530"/>
        <w:jc w:val="left"/>
        <w:rPr>
          <w:sz w:val="21"/>
        </w:rPr>
      </w:pPr>
      <w:r>
        <w:rPr>
          <w:spacing w:val="-3"/>
          <w:sz w:val="21"/>
        </w:rPr>
        <w:t>以诚实信用、勤勉尽责的原则持有并安全保管基金财产。</w:t>
      </w:r>
    </w:p>
    <w:p>
      <w:pPr>
        <w:pStyle w:val="BodyText"/>
        <w:spacing w:before="6"/>
        <w:rPr>
          <w:sz w:val="15"/>
        </w:rPr>
      </w:pPr>
    </w:p>
    <w:p>
      <w:pPr>
        <w:pStyle w:val="ListParagraph"/>
        <w:numPr>
          <w:ilvl w:val="0"/>
          <w:numId w:val="41"/>
        </w:numPr>
        <w:tabs>
          <w:tab w:pos="1170" w:val="left" w:leader="none"/>
        </w:tabs>
        <w:spacing w:line="417" w:lineRule="auto" w:before="0" w:after="0"/>
        <w:ind w:left="220" w:right="594"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41"/>
        </w:numPr>
        <w:tabs>
          <w:tab w:pos="1170" w:val="left" w:leader="none"/>
        </w:tabs>
        <w:spacing w:line="240" w:lineRule="auto" w:before="0" w:after="0"/>
        <w:ind w:left="1169" w:right="0" w:hanging="530"/>
        <w:jc w:val="left"/>
        <w:rPr>
          <w:sz w:val="21"/>
        </w:rPr>
      </w:pPr>
      <w:r>
        <w:rPr>
          <w:spacing w:val="-3"/>
          <w:sz w:val="21"/>
        </w:rPr>
        <w:t>建立健全内部风险控制、监察与稽核、财务管理及人事管理等制度，确保基金财</w:t>
      </w:r>
    </w:p>
    <w:p>
      <w:pPr>
        <w:spacing w:after="0" w:line="240" w:lineRule="auto"/>
        <w:jc w:val="left"/>
        <w:rPr>
          <w:sz w:val="21"/>
        </w:rPr>
        <w:sectPr>
          <w:pgSz w:w="11910" w:h="16840"/>
          <w:pgMar w:header="877" w:footer="995" w:top="1420" w:bottom="1180" w:left="1580" w:right="1200"/>
        </w:sectPr>
      </w:pPr>
    </w:p>
    <w:p>
      <w:pPr>
        <w:pStyle w:val="BodyText"/>
        <w:spacing w:line="417" w:lineRule="auto" w:before="110"/>
        <w:ind w:left="220" w:right="488"/>
      </w:pPr>
      <w:r>
        <w:rPr>
          <w:spacing w:val="-10"/>
        </w:rPr>
        <w:t>产的安全，保证其托管的基金财产与基金托管人自有财产以及不同的基金财产相互独立；对</w:t>
      </w:r>
      <w:r>
        <w:rPr>
          <w:spacing w:val="-5"/>
        </w:rPr>
        <w:t>所托管的不同的基金分别设置账户，独立核算，分账管理，保证不同基金之间在账户设置、</w:t>
      </w:r>
      <w:r>
        <w:rPr>
          <w:spacing w:val="-4"/>
        </w:rPr>
        <w:t>资金划拨、账册记录等方面相互独立。</w:t>
      </w:r>
    </w:p>
    <w:p>
      <w:pPr>
        <w:pStyle w:val="ListParagraph"/>
        <w:numPr>
          <w:ilvl w:val="0"/>
          <w:numId w:val="41"/>
        </w:numPr>
        <w:tabs>
          <w:tab w:pos="1170" w:val="left" w:leader="none"/>
        </w:tabs>
        <w:spacing w:line="417" w:lineRule="auto" w:before="0" w:after="0"/>
        <w:ind w:left="220" w:right="59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1"/>
        </w:numPr>
        <w:tabs>
          <w:tab w:pos="1170" w:val="left" w:leader="none"/>
        </w:tabs>
        <w:spacing w:line="269" w:lineRule="exact" w:before="0" w:after="0"/>
        <w:ind w:left="1169" w:right="0" w:hanging="53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41"/>
        </w:numPr>
        <w:tabs>
          <w:tab w:pos="1167" w:val="left" w:leader="none"/>
        </w:tabs>
        <w:spacing w:line="417" w:lineRule="auto" w:before="0" w:after="0"/>
        <w:ind w:left="220" w:right="593" w:firstLine="419"/>
        <w:jc w:val="left"/>
        <w:rPr>
          <w:sz w:val="21"/>
        </w:rPr>
      </w:pPr>
      <w:r>
        <w:rPr>
          <w:spacing w:val="-3"/>
          <w:sz w:val="21"/>
        </w:rPr>
        <w:t>按规定开设基金财产的资金账户和证券账户</w:t>
      </w:r>
      <w:r>
        <w:rPr>
          <w:rFonts w:ascii="Times New Roman" w:eastAsia="Times New Roman"/>
          <w:spacing w:val="-3"/>
          <w:sz w:val="21"/>
        </w:rPr>
        <w:t>,</w:t>
      </w:r>
      <w:r>
        <w:rPr>
          <w:spacing w:val="-7"/>
          <w:sz w:val="21"/>
        </w:rPr>
        <w:t>按照《基金合同》的约定，根据基金</w:t>
      </w:r>
      <w:r>
        <w:rPr>
          <w:spacing w:val="-5"/>
          <w:sz w:val="21"/>
        </w:rPr>
        <w:t>管理人的投资指令，及时办理清算、交割事宜。</w:t>
      </w:r>
    </w:p>
    <w:p>
      <w:pPr>
        <w:pStyle w:val="ListParagraph"/>
        <w:numPr>
          <w:ilvl w:val="0"/>
          <w:numId w:val="41"/>
        </w:numPr>
        <w:tabs>
          <w:tab w:pos="1170" w:val="left" w:leader="none"/>
        </w:tabs>
        <w:spacing w:line="417" w:lineRule="auto" w:before="0" w:after="0"/>
        <w:ind w:left="220" w:right="591" w:firstLine="419"/>
        <w:jc w:val="both"/>
        <w:rPr>
          <w:sz w:val="21"/>
        </w:rPr>
      </w:pPr>
      <w:r>
        <w:rPr>
          <w:spacing w:val="-16"/>
          <w:sz w:val="21"/>
        </w:rPr>
        <w:t>保守基金商业秘密，除《基金法》、《基金合同》及其他有关规定另有规定外，在</w:t>
      </w:r>
      <w:r>
        <w:rPr>
          <w:spacing w:val="-12"/>
          <w:sz w:val="21"/>
        </w:rPr>
        <w:t>基金信息公开披露前予以保密，不得向他人泄露，因审计、法律等外部专业顾问提供的情况除外。</w:t>
      </w:r>
    </w:p>
    <w:p>
      <w:pPr>
        <w:pStyle w:val="ListParagraph"/>
        <w:numPr>
          <w:ilvl w:val="0"/>
          <w:numId w:val="41"/>
        </w:numPr>
        <w:tabs>
          <w:tab w:pos="1170" w:val="left" w:leader="none"/>
        </w:tabs>
        <w:spacing w:line="269" w:lineRule="exact" w:before="0" w:after="0"/>
        <w:ind w:left="1169" w:right="0" w:hanging="530"/>
        <w:jc w:val="left"/>
        <w:rPr>
          <w:sz w:val="21"/>
        </w:rPr>
      </w:pPr>
      <w:r>
        <w:rPr>
          <w:spacing w:val="-3"/>
          <w:sz w:val="21"/>
        </w:rPr>
        <w:t>复核、审查基金管理人计算的基金资产净值、基金份额申购、赎回价格。</w:t>
      </w:r>
    </w:p>
    <w:p>
      <w:pPr>
        <w:pStyle w:val="BodyText"/>
        <w:spacing w:before="7"/>
        <w:rPr>
          <w:sz w:val="15"/>
        </w:rPr>
      </w:pPr>
    </w:p>
    <w:p>
      <w:pPr>
        <w:pStyle w:val="ListParagraph"/>
        <w:numPr>
          <w:ilvl w:val="0"/>
          <w:numId w:val="41"/>
        </w:numPr>
        <w:tabs>
          <w:tab w:pos="1170" w:val="left" w:leader="none"/>
        </w:tabs>
        <w:spacing w:line="240" w:lineRule="auto" w:before="0" w:after="0"/>
        <w:ind w:left="1169" w:right="0" w:hanging="530"/>
        <w:jc w:val="left"/>
        <w:rPr>
          <w:sz w:val="21"/>
        </w:rPr>
      </w:pPr>
      <w:r>
        <w:rPr>
          <w:spacing w:val="-3"/>
          <w:sz w:val="21"/>
        </w:rPr>
        <w:t>办理与基金托管业务活动有关的信息披露事项。</w:t>
      </w:r>
    </w:p>
    <w:p>
      <w:pPr>
        <w:pStyle w:val="BodyText"/>
        <w:spacing w:before="7"/>
        <w:rPr>
          <w:sz w:val="15"/>
        </w:rPr>
      </w:pPr>
    </w:p>
    <w:p>
      <w:pPr>
        <w:pStyle w:val="ListParagraph"/>
        <w:numPr>
          <w:ilvl w:val="0"/>
          <w:numId w:val="41"/>
        </w:numPr>
        <w:tabs>
          <w:tab w:pos="1275" w:val="left" w:leader="none"/>
        </w:tabs>
        <w:spacing w:line="417" w:lineRule="auto" w:before="0" w:after="0"/>
        <w:ind w:left="220" w:right="59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41"/>
        </w:numPr>
        <w:tabs>
          <w:tab w:pos="1266" w:val="left" w:leader="none"/>
        </w:tabs>
        <w:spacing w:line="240" w:lineRule="auto" w:before="0" w:after="0"/>
        <w:ind w:left="126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2"/>
          <w:sz w:val="21"/>
        </w:rPr>
        <w:t> </w:t>
      </w:r>
      <w:r>
        <w:rPr>
          <w:spacing w:val="-3"/>
          <w:sz w:val="21"/>
        </w:rPr>
        <w:t>年以上。</w:t>
      </w:r>
    </w:p>
    <w:p>
      <w:pPr>
        <w:pStyle w:val="BodyText"/>
        <w:spacing w:before="6"/>
        <w:rPr>
          <w:sz w:val="15"/>
        </w:rPr>
      </w:pPr>
    </w:p>
    <w:p>
      <w:pPr>
        <w:pStyle w:val="ListParagraph"/>
        <w:numPr>
          <w:ilvl w:val="0"/>
          <w:numId w:val="41"/>
        </w:numPr>
        <w:tabs>
          <w:tab w:pos="1275" w:val="left" w:leader="none"/>
        </w:tabs>
        <w:spacing w:line="240" w:lineRule="auto" w:before="0" w:after="0"/>
        <w:ind w:left="1275" w:right="0" w:hanging="635"/>
        <w:jc w:val="left"/>
        <w:rPr>
          <w:sz w:val="21"/>
        </w:rPr>
      </w:pPr>
      <w:r>
        <w:rPr>
          <w:spacing w:val="-3"/>
          <w:sz w:val="21"/>
        </w:rPr>
        <w:t>从基金管理人或其委托的登记机构处接收基金份额持有人名册。</w:t>
      </w:r>
    </w:p>
    <w:p>
      <w:pPr>
        <w:pStyle w:val="BodyText"/>
        <w:spacing w:before="7"/>
        <w:rPr>
          <w:sz w:val="15"/>
        </w:rPr>
      </w:pPr>
    </w:p>
    <w:p>
      <w:pPr>
        <w:pStyle w:val="ListParagraph"/>
        <w:numPr>
          <w:ilvl w:val="0"/>
          <w:numId w:val="41"/>
        </w:numPr>
        <w:tabs>
          <w:tab w:pos="1275" w:val="left" w:leader="none"/>
        </w:tabs>
        <w:spacing w:line="240" w:lineRule="auto" w:before="0" w:after="0"/>
        <w:ind w:left="1275" w:right="0" w:hanging="635"/>
        <w:jc w:val="left"/>
        <w:rPr>
          <w:sz w:val="21"/>
        </w:rPr>
      </w:pPr>
      <w:r>
        <w:rPr>
          <w:spacing w:val="-3"/>
          <w:sz w:val="21"/>
        </w:rPr>
        <w:t>按规定制作相关账册并与基金管理人核对。</w:t>
      </w:r>
    </w:p>
    <w:p>
      <w:pPr>
        <w:pStyle w:val="BodyText"/>
        <w:spacing w:before="7"/>
        <w:rPr>
          <w:sz w:val="15"/>
        </w:rPr>
      </w:pPr>
    </w:p>
    <w:p>
      <w:pPr>
        <w:pStyle w:val="ListParagraph"/>
        <w:numPr>
          <w:ilvl w:val="0"/>
          <w:numId w:val="41"/>
        </w:numPr>
        <w:tabs>
          <w:tab w:pos="1275" w:val="left" w:leader="none"/>
        </w:tabs>
        <w:spacing w:line="240" w:lineRule="auto" w:before="0" w:after="0"/>
        <w:ind w:left="1275" w:right="0" w:hanging="635"/>
        <w:jc w:val="left"/>
        <w:rPr>
          <w:sz w:val="21"/>
        </w:rPr>
      </w:pPr>
      <w:r>
        <w:rPr>
          <w:spacing w:val="-3"/>
          <w:sz w:val="21"/>
        </w:rPr>
        <w:t>依据基金管理人的指令或有关规定向基金份额持有人支付基金收益和赎回款项。</w:t>
      </w:r>
    </w:p>
    <w:p>
      <w:pPr>
        <w:pStyle w:val="BodyText"/>
        <w:spacing w:before="6"/>
        <w:rPr>
          <w:sz w:val="15"/>
        </w:rPr>
      </w:pPr>
    </w:p>
    <w:p>
      <w:pPr>
        <w:pStyle w:val="ListParagraph"/>
        <w:numPr>
          <w:ilvl w:val="0"/>
          <w:numId w:val="41"/>
        </w:numPr>
        <w:tabs>
          <w:tab w:pos="1275" w:val="left" w:leader="none"/>
        </w:tabs>
        <w:spacing w:line="417" w:lineRule="auto" w:before="1" w:after="0"/>
        <w:ind w:left="220" w:right="59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pStyle w:val="ListParagraph"/>
        <w:numPr>
          <w:ilvl w:val="0"/>
          <w:numId w:val="41"/>
        </w:numPr>
        <w:tabs>
          <w:tab w:pos="1275" w:val="left" w:leader="none"/>
        </w:tabs>
        <w:spacing w:line="240" w:lineRule="auto" w:before="0" w:after="0"/>
        <w:ind w:left="1275" w:right="0" w:hanging="635"/>
        <w:jc w:val="left"/>
        <w:rPr>
          <w:sz w:val="21"/>
        </w:rPr>
      </w:pPr>
      <w:r>
        <w:rPr>
          <w:spacing w:val="-3"/>
          <w:sz w:val="21"/>
        </w:rPr>
        <w:t>按照法律法规和《基金合同》的规定监督基金管理人的投资运作。</w:t>
      </w:r>
    </w:p>
    <w:p>
      <w:pPr>
        <w:pStyle w:val="BodyText"/>
        <w:spacing w:before="6"/>
        <w:rPr>
          <w:sz w:val="15"/>
        </w:rPr>
      </w:pPr>
    </w:p>
    <w:p>
      <w:pPr>
        <w:pStyle w:val="ListParagraph"/>
        <w:numPr>
          <w:ilvl w:val="0"/>
          <w:numId w:val="41"/>
        </w:numPr>
        <w:tabs>
          <w:tab w:pos="1275" w:val="left" w:leader="none"/>
        </w:tabs>
        <w:spacing w:line="240" w:lineRule="auto" w:before="1" w:after="0"/>
        <w:ind w:left="1275" w:right="0" w:hanging="635"/>
        <w:jc w:val="left"/>
        <w:rPr>
          <w:sz w:val="21"/>
        </w:rPr>
      </w:pPr>
      <w:r>
        <w:rPr>
          <w:spacing w:val="-3"/>
          <w:sz w:val="21"/>
        </w:rPr>
        <w:t>参加基金财产清算小组，参与基金财产的保管、清理、估价、变现和分配。</w:t>
      </w:r>
    </w:p>
    <w:p>
      <w:pPr>
        <w:pStyle w:val="BodyText"/>
        <w:spacing w:before="6"/>
        <w:rPr>
          <w:sz w:val="15"/>
        </w:rPr>
      </w:pPr>
    </w:p>
    <w:p>
      <w:pPr>
        <w:pStyle w:val="ListParagraph"/>
        <w:numPr>
          <w:ilvl w:val="0"/>
          <w:numId w:val="41"/>
        </w:numPr>
        <w:tabs>
          <w:tab w:pos="1273" w:val="left" w:leader="none"/>
        </w:tabs>
        <w:spacing w:line="417" w:lineRule="auto" w:before="0" w:after="0"/>
        <w:ind w:left="220" w:right="59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41"/>
        </w:numPr>
        <w:tabs>
          <w:tab w:pos="1275" w:val="left" w:leader="none"/>
        </w:tabs>
        <w:spacing w:line="417" w:lineRule="auto" w:before="0" w:after="0"/>
        <w:ind w:left="220" w:right="59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41"/>
        </w:numPr>
        <w:tabs>
          <w:tab w:pos="1275" w:val="left" w:leader="none"/>
        </w:tabs>
        <w:spacing w:line="417" w:lineRule="auto" w:before="0" w:after="0"/>
        <w:ind w:left="220" w:right="591" w:firstLine="419"/>
        <w:jc w:val="left"/>
        <w:rPr>
          <w:sz w:val="21"/>
        </w:rPr>
      </w:pPr>
      <w:r>
        <w:rPr>
          <w:spacing w:val="-7"/>
          <w:sz w:val="21"/>
        </w:rPr>
        <w:t>按规定监督基金管理人按法律法规和《基金合同》规定履行自己的义务，基金 </w:t>
      </w:r>
      <w:r>
        <w:rPr>
          <w:spacing w:val="-22"/>
          <w:sz w:val="21"/>
        </w:rPr>
        <w:t>管理人因违反《基金合同》造成基金财产损失时，应为基金份额持有人利益向基金管理人追偿</w:t>
      </w:r>
      <w:r>
        <w:rPr>
          <w:sz w:val="21"/>
        </w:rPr>
        <w:t>。</w:t>
      </w:r>
    </w:p>
    <w:p>
      <w:pPr>
        <w:spacing w:after="0" w:line="417" w:lineRule="auto"/>
        <w:jc w:val="left"/>
        <w:rPr>
          <w:sz w:val="21"/>
        </w:rPr>
        <w:sectPr>
          <w:pgSz w:w="11910" w:h="16840"/>
          <w:pgMar w:header="877" w:footer="995" w:top="1420" w:bottom="1180" w:left="1580" w:right="1200"/>
        </w:sectPr>
      </w:pPr>
    </w:p>
    <w:p>
      <w:pPr>
        <w:pStyle w:val="ListParagraph"/>
        <w:numPr>
          <w:ilvl w:val="0"/>
          <w:numId w:val="41"/>
        </w:numPr>
        <w:tabs>
          <w:tab w:pos="1275" w:val="left" w:leader="none"/>
        </w:tabs>
        <w:spacing w:line="240" w:lineRule="auto" w:before="110" w:after="0"/>
        <w:ind w:left="1275" w:right="0" w:hanging="635"/>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41"/>
        </w:numPr>
        <w:tabs>
          <w:tab w:pos="1275" w:val="left" w:leader="none"/>
        </w:tabs>
        <w:spacing w:line="417" w:lineRule="auto" w:before="0" w:after="0"/>
        <w:ind w:left="640" w:right="1967" w:firstLine="0"/>
        <w:jc w:val="left"/>
        <w:rPr>
          <w:sz w:val="21"/>
        </w:rPr>
      </w:pPr>
      <w:r>
        <w:rPr>
          <w:spacing w:val="-3"/>
          <w:sz w:val="21"/>
        </w:rPr>
        <w:t>法律法规及中国证监会规定的和《基金合同》约定的其他义务。三、基金份额持有人</w:t>
      </w:r>
    </w:p>
    <w:p>
      <w:pPr>
        <w:pStyle w:val="BodyText"/>
        <w:spacing w:line="417" w:lineRule="auto"/>
        <w:ind w:left="220" w:right="488" w:firstLine="419"/>
      </w:pPr>
      <w:r>
        <w:rPr>
          <w:spacing w:val="-7"/>
        </w:rPr>
        <w:t>基金投资者持有本基金基金份额的行为即视为对《基金合同》的承认和接受，基金投资</w:t>
      </w:r>
      <w:r>
        <w:rPr>
          <w:spacing w:val="-4"/>
        </w:rPr>
        <w:t>者自依据《基金合同》取得基金份额，即成为本基金份额持有人和《基金合同》的当事人， </w:t>
      </w:r>
      <w:r>
        <w:rPr>
          <w:spacing w:val="-8"/>
        </w:rPr>
        <w:t>直至其不再持有本基金的基金份额。基金份额持有人作为《基金合同》当事人并不以在《基</w:t>
      </w:r>
      <w:r>
        <w:rPr>
          <w:spacing w:val="-5"/>
        </w:rPr>
        <w:t>金合同》上书面签章或签字为必要条件。</w:t>
      </w:r>
    </w:p>
    <w:p>
      <w:pPr>
        <w:pStyle w:val="BodyText"/>
        <w:ind w:left="640"/>
      </w:pPr>
      <w:r>
        <w:rPr>
          <w:spacing w:val="-3"/>
        </w:rPr>
        <w:t>每份基金份额具有同等的合法权益。</w:t>
      </w:r>
    </w:p>
    <w:p>
      <w:pPr>
        <w:pStyle w:val="BodyText"/>
        <w:spacing w:before="7"/>
        <w:rPr>
          <w:sz w:val="15"/>
        </w:rPr>
      </w:pPr>
    </w:p>
    <w:p>
      <w:pPr>
        <w:pStyle w:val="BodyText"/>
        <w:spacing w:line="417" w:lineRule="auto"/>
        <w:ind w:left="220" w:right="594"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42"/>
        </w:numPr>
        <w:tabs>
          <w:tab w:pos="1170" w:val="left" w:leader="none"/>
        </w:tabs>
        <w:spacing w:line="269" w:lineRule="exact" w:before="0" w:after="0"/>
        <w:ind w:left="1169" w:right="0" w:hanging="530"/>
        <w:jc w:val="left"/>
        <w:rPr>
          <w:sz w:val="21"/>
        </w:rPr>
      </w:pPr>
      <w:r>
        <w:rPr>
          <w:spacing w:val="-3"/>
          <w:sz w:val="21"/>
        </w:rPr>
        <w:t>分享基金财产收益。</w:t>
      </w:r>
    </w:p>
    <w:p>
      <w:pPr>
        <w:pStyle w:val="BodyText"/>
        <w:spacing w:before="6"/>
        <w:rPr>
          <w:sz w:val="15"/>
        </w:rPr>
      </w:pPr>
    </w:p>
    <w:p>
      <w:pPr>
        <w:pStyle w:val="ListParagraph"/>
        <w:numPr>
          <w:ilvl w:val="0"/>
          <w:numId w:val="42"/>
        </w:numPr>
        <w:tabs>
          <w:tab w:pos="1170" w:val="left" w:leader="none"/>
        </w:tabs>
        <w:spacing w:line="240" w:lineRule="auto" w:before="1" w:after="0"/>
        <w:ind w:left="1169" w:right="0" w:hanging="530"/>
        <w:jc w:val="left"/>
        <w:rPr>
          <w:sz w:val="21"/>
        </w:rPr>
      </w:pPr>
      <w:r>
        <w:rPr>
          <w:spacing w:val="-3"/>
          <w:sz w:val="21"/>
        </w:rPr>
        <w:t>参与分配清算后的剩余基金财产。</w:t>
      </w:r>
    </w:p>
    <w:p>
      <w:pPr>
        <w:pStyle w:val="BodyText"/>
        <w:spacing w:before="6"/>
        <w:rPr>
          <w:sz w:val="15"/>
        </w:rPr>
      </w:pPr>
    </w:p>
    <w:p>
      <w:pPr>
        <w:pStyle w:val="ListParagraph"/>
        <w:numPr>
          <w:ilvl w:val="0"/>
          <w:numId w:val="42"/>
        </w:numPr>
        <w:tabs>
          <w:tab w:pos="1170" w:val="left" w:leader="none"/>
        </w:tabs>
        <w:spacing w:line="240" w:lineRule="auto" w:before="0" w:after="0"/>
        <w:ind w:left="1169" w:right="0" w:hanging="530"/>
        <w:jc w:val="left"/>
        <w:rPr>
          <w:sz w:val="21"/>
        </w:rPr>
      </w:pPr>
      <w:r>
        <w:rPr>
          <w:spacing w:val="-3"/>
          <w:sz w:val="21"/>
        </w:rPr>
        <w:t>依法申请赎回其持有的基金份额。</w:t>
      </w:r>
    </w:p>
    <w:p>
      <w:pPr>
        <w:pStyle w:val="BodyText"/>
        <w:spacing w:before="7"/>
        <w:rPr>
          <w:sz w:val="15"/>
        </w:rPr>
      </w:pPr>
    </w:p>
    <w:p>
      <w:pPr>
        <w:pStyle w:val="ListParagraph"/>
        <w:numPr>
          <w:ilvl w:val="0"/>
          <w:numId w:val="42"/>
        </w:numPr>
        <w:tabs>
          <w:tab w:pos="1170" w:val="left" w:leader="none"/>
        </w:tabs>
        <w:spacing w:line="240" w:lineRule="auto" w:before="0" w:after="0"/>
        <w:ind w:left="1169" w:right="0" w:hanging="530"/>
        <w:jc w:val="left"/>
        <w:rPr>
          <w:sz w:val="21"/>
        </w:rPr>
      </w:pPr>
      <w:r>
        <w:rPr>
          <w:spacing w:val="-3"/>
          <w:sz w:val="21"/>
        </w:rPr>
        <w:t>按照规定要求召开基金份额持有人大会或者召集基金份额持有人大会。</w:t>
      </w:r>
    </w:p>
    <w:p>
      <w:pPr>
        <w:pStyle w:val="BodyText"/>
        <w:spacing w:before="7"/>
        <w:rPr>
          <w:sz w:val="15"/>
        </w:rPr>
      </w:pPr>
    </w:p>
    <w:p>
      <w:pPr>
        <w:pStyle w:val="ListParagraph"/>
        <w:numPr>
          <w:ilvl w:val="0"/>
          <w:numId w:val="42"/>
        </w:numPr>
        <w:tabs>
          <w:tab w:pos="1170" w:val="left" w:leader="none"/>
        </w:tabs>
        <w:spacing w:line="417" w:lineRule="auto" w:before="0" w:after="0"/>
        <w:ind w:left="220" w:right="59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2"/>
        </w:numPr>
        <w:tabs>
          <w:tab w:pos="1170" w:val="left" w:leader="none"/>
        </w:tabs>
        <w:spacing w:line="269" w:lineRule="exact" w:before="0" w:after="0"/>
        <w:ind w:left="1169" w:right="0" w:hanging="530"/>
        <w:jc w:val="left"/>
        <w:rPr>
          <w:sz w:val="21"/>
        </w:rPr>
      </w:pPr>
      <w:r>
        <w:rPr>
          <w:spacing w:val="-3"/>
          <w:sz w:val="21"/>
        </w:rPr>
        <w:t>查阅或者复制公开披露的基金信息资料。</w:t>
      </w:r>
    </w:p>
    <w:p>
      <w:pPr>
        <w:pStyle w:val="BodyText"/>
        <w:spacing w:before="7"/>
        <w:rPr>
          <w:sz w:val="15"/>
        </w:rPr>
      </w:pPr>
    </w:p>
    <w:p>
      <w:pPr>
        <w:pStyle w:val="ListParagraph"/>
        <w:numPr>
          <w:ilvl w:val="0"/>
          <w:numId w:val="42"/>
        </w:numPr>
        <w:tabs>
          <w:tab w:pos="1170" w:val="left" w:leader="none"/>
        </w:tabs>
        <w:spacing w:line="240" w:lineRule="auto" w:before="0" w:after="0"/>
        <w:ind w:left="1169" w:right="0" w:hanging="530"/>
        <w:jc w:val="left"/>
        <w:rPr>
          <w:sz w:val="21"/>
        </w:rPr>
      </w:pPr>
      <w:r>
        <w:rPr>
          <w:spacing w:val="-3"/>
          <w:sz w:val="21"/>
        </w:rPr>
        <w:t>监督基金管理人的投资运作。</w:t>
      </w:r>
    </w:p>
    <w:p>
      <w:pPr>
        <w:pStyle w:val="BodyText"/>
        <w:spacing w:before="6"/>
        <w:rPr>
          <w:sz w:val="15"/>
        </w:rPr>
      </w:pPr>
    </w:p>
    <w:p>
      <w:pPr>
        <w:pStyle w:val="ListParagraph"/>
        <w:numPr>
          <w:ilvl w:val="0"/>
          <w:numId w:val="42"/>
        </w:numPr>
        <w:tabs>
          <w:tab w:pos="1170" w:val="left" w:leader="none"/>
        </w:tabs>
        <w:spacing w:line="417" w:lineRule="auto" w:before="1" w:after="0"/>
        <w:ind w:left="220" w:right="594" w:firstLine="419"/>
        <w:jc w:val="left"/>
        <w:rPr>
          <w:sz w:val="21"/>
        </w:rPr>
      </w:pPr>
      <w:r>
        <w:rPr>
          <w:spacing w:val="-3"/>
          <w:sz w:val="21"/>
        </w:rPr>
        <w:t>对基金管理人、基金托管人、基金服务机构损害其合法权益的行为依法提起诉讼或仲裁。</w:t>
      </w:r>
    </w:p>
    <w:p>
      <w:pPr>
        <w:pStyle w:val="ListParagraph"/>
        <w:numPr>
          <w:ilvl w:val="0"/>
          <w:numId w:val="42"/>
        </w:numPr>
        <w:tabs>
          <w:tab w:pos="1170" w:val="left" w:leader="none"/>
        </w:tabs>
        <w:spacing w:line="269" w:lineRule="exact" w:before="0" w:after="0"/>
        <w:ind w:left="116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spacing w:line="417" w:lineRule="auto"/>
        <w:ind w:left="220" w:right="594"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43"/>
        </w:numPr>
        <w:tabs>
          <w:tab w:pos="1170" w:val="left" w:leader="none"/>
        </w:tabs>
        <w:spacing w:line="269" w:lineRule="exact" w:before="0" w:after="0"/>
        <w:ind w:left="1169" w:right="0" w:hanging="530"/>
        <w:jc w:val="left"/>
        <w:rPr>
          <w:sz w:val="21"/>
        </w:rPr>
      </w:pPr>
      <w:r>
        <w:rPr>
          <w:spacing w:val="-11"/>
          <w:sz w:val="21"/>
        </w:rPr>
        <w:t>认真阅读并遵守《基金合同》。</w:t>
      </w:r>
    </w:p>
    <w:p>
      <w:pPr>
        <w:pStyle w:val="BodyText"/>
        <w:spacing w:before="7"/>
        <w:rPr>
          <w:sz w:val="15"/>
        </w:rPr>
      </w:pPr>
    </w:p>
    <w:p>
      <w:pPr>
        <w:pStyle w:val="ListParagraph"/>
        <w:numPr>
          <w:ilvl w:val="0"/>
          <w:numId w:val="43"/>
        </w:numPr>
        <w:tabs>
          <w:tab w:pos="1170" w:val="left" w:leader="none"/>
        </w:tabs>
        <w:spacing w:line="240" w:lineRule="auto" w:before="0" w:after="0"/>
        <w:ind w:left="1169" w:right="0" w:hanging="530"/>
        <w:jc w:val="left"/>
        <w:rPr>
          <w:sz w:val="21"/>
        </w:rPr>
      </w:pPr>
      <w:r>
        <w:rPr>
          <w:spacing w:val="-3"/>
          <w:sz w:val="21"/>
        </w:rPr>
        <w:t>了解所投资基金产品，了解自身风险承受能力，自行承担投资风险。</w:t>
      </w:r>
    </w:p>
    <w:p>
      <w:pPr>
        <w:pStyle w:val="BodyText"/>
        <w:spacing w:before="6"/>
        <w:rPr>
          <w:sz w:val="15"/>
        </w:rPr>
      </w:pPr>
    </w:p>
    <w:p>
      <w:pPr>
        <w:pStyle w:val="ListParagraph"/>
        <w:numPr>
          <w:ilvl w:val="0"/>
          <w:numId w:val="43"/>
        </w:numPr>
        <w:tabs>
          <w:tab w:pos="1170" w:val="left" w:leader="none"/>
        </w:tabs>
        <w:spacing w:line="240" w:lineRule="auto" w:before="1" w:after="0"/>
        <w:ind w:left="1169" w:right="0" w:hanging="530"/>
        <w:jc w:val="left"/>
        <w:rPr>
          <w:sz w:val="21"/>
        </w:rPr>
      </w:pPr>
      <w:r>
        <w:rPr>
          <w:spacing w:val="-3"/>
          <w:sz w:val="21"/>
        </w:rPr>
        <w:t>关注基金信息披露，及时行使权利和履行义务。</w:t>
      </w:r>
    </w:p>
    <w:p>
      <w:pPr>
        <w:pStyle w:val="BodyText"/>
        <w:spacing w:before="6"/>
        <w:rPr>
          <w:sz w:val="15"/>
        </w:rPr>
      </w:pPr>
    </w:p>
    <w:p>
      <w:pPr>
        <w:pStyle w:val="ListParagraph"/>
        <w:numPr>
          <w:ilvl w:val="0"/>
          <w:numId w:val="43"/>
        </w:numPr>
        <w:tabs>
          <w:tab w:pos="1170" w:val="left" w:leader="none"/>
        </w:tabs>
        <w:spacing w:line="240" w:lineRule="auto" w:before="0" w:after="0"/>
        <w:ind w:left="1169" w:right="0" w:hanging="530"/>
        <w:jc w:val="left"/>
        <w:rPr>
          <w:sz w:val="21"/>
        </w:rPr>
      </w:pPr>
      <w:r>
        <w:rPr>
          <w:spacing w:val="-3"/>
          <w:sz w:val="21"/>
        </w:rPr>
        <w:t>缴纳基金认购、申购款项及法律法规和《基金合同》所规定的费用。</w:t>
      </w:r>
    </w:p>
    <w:p>
      <w:pPr>
        <w:pStyle w:val="BodyText"/>
        <w:spacing w:before="7"/>
        <w:rPr>
          <w:sz w:val="15"/>
        </w:rPr>
      </w:pPr>
    </w:p>
    <w:p>
      <w:pPr>
        <w:pStyle w:val="ListParagraph"/>
        <w:numPr>
          <w:ilvl w:val="0"/>
          <w:numId w:val="43"/>
        </w:numPr>
        <w:tabs>
          <w:tab w:pos="1170" w:val="left" w:leader="none"/>
        </w:tabs>
        <w:spacing w:line="240" w:lineRule="auto" w:before="0" w:after="0"/>
        <w:ind w:left="1169" w:right="0" w:hanging="530"/>
        <w:jc w:val="left"/>
        <w:rPr>
          <w:sz w:val="21"/>
        </w:rPr>
      </w:pPr>
      <w:r>
        <w:rPr>
          <w:spacing w:val="-3"/>
          <w:sz w:val="21"/>
        </w:rPr>
        <w:t>在其持有的基金份额范围内，承担基金亏损或者《基金合同》终止的有限责任。</w:t>
      </w:r>
    </w:p>
    <w:p>
      <w:pPr>
        <w:pStyle w:val="BodyText"/>
        <w:spacing w:before="7"/>
        <w:rPr>
          <w:sz w:val="15"/>
        </w:rPr>
      </w:pPr>
    </w:p>
    <w:p>
      <w:pPr>
        <w:pStyle w:val="ListParagraph"/>
        <w:numPr>
          <w:ilvl w:val="0"/>
          <w:numId w:val="43"/>
        </w:numPr>
        <w:tabs>
          <w:tab w:pos="1170" w:val="left" w:leader="none"/>
        </w:tabs>
        <w:spacing w:line="240" w:lineRule="auto" w:before="0" w:after="0"/>
        <w:ind w:left="1169" w:right="0" w:hanging="530"/>
        <w:jc w:val="left"/>
        <w:rPr>
          <w:sz w:val="21"/>
        </w:rPr>
      </w:pPr>
      <w:r>
        <w:rPr>
          <w:spacing w:val="-3"/>
          <w:sz w:val="21"/>
        </w:rPr>
        <w:t>不从事任何有损基金及其他《基金合同》当事人合法权益的活动。</w:t>
      </w:r>
    </w:p>
    <w:p>
      <w:pPr>
        <w:pStyle w:val="BodyText"/>
        <w:spacing w:before="7"/>
        <w:rPr>
          <w:sz w:val="15"/>
        </w:rPr>
      </w:pPr>
    </w:p>
    <w:p>
      <w:pPr>
        <w:pStyle w:val="ListParagraph"/>
        <w:numPr>
          <w:ilvl w:val="0"/>
          <w:numId w:val="43"/>
        </w:numPr>
        <w:tabs>
          <w:tab w:pos="1170" w:val="left" w:leader="none"/>
        </w:tabs>
        <w:spacing w:line="240" w:lineRule="auto" w:before="0" w:after="0"/>
        <w:ind w:left="1169" w:right="0" w:hanging="530"/>
        <w:jc w:val="left"/>
        <w:rPr>
          <w:sz w:val="21"/>
        </w:rPr>
      </w:pPr>
      <w:r>
        <w:rPr>
          <w:spacing w:val="-3"/>
          <w:sz w:val="21"/>
        </w:rPr>
        <w:t>执行生效的基金份额持有人大会的决定。</w:t>
      </w:r>
    </w:p>
    <w:p>
      <w:pPr>
        <w:spacing w:after="0" w:line="240" w:lineRule="auto"/>
        <w:jc w:val="left"/>
        <w:rPr>
          <w:sz w:val="21"/>
        </w:rPr>
        <w:sectPr>
          <w:pgSz w:w="11910" w:h="16840"/>
          <w:pgMar w:header="877" w:footer="995" w:top="1420" w:bottom="1180" w:left="1580" w:right="1200"/>
        </w:sectPr>
      </w:pPr>
    </w:p>
    <w:p>
      <w:pPr>
        <w:pStyle w:val="ListParagraph"/>
        <w:numPr>
          <w:ilvl w:val="0"/>
          <w:numId w:val="43"/>
        </w:numPr>
        <w:tabs>
          <w:tab w:pos="1170" w:val="left" w:leader="none"/>
        </w:tabs>
        <w:spacing w:line="240" w:lineRule="auto" w:before="110" w:after="0"/>
        <w:ind w:left="1169" w:right="0" w:hanging="530"/>
        <w:jc w:val="left"/>
        <w:rPr>
          <w:sz w:val="21"/>
        </w:rPr>
      </w:pPr>
      <w:r>
        <w:rPr>
          <w:spacing w:val="-3"/>
          <w:sz w:val="21"/>
        </w:rPr>
        <w:t>返还在基金交易过程中因任何原因获得的不当得利。</w:t>
      </w:r>
    </w:p>
    <w:p>
      <w:pPr>
        <w:pStyle w:val="BodyText"/>
        <w:spacing w:before="6"/>
        <w:rPr>
          <w:sz w:val="15"/>
        </w:rPr>
      </w:pPr>
    </w:p>
    <w:p>
      <w:pPr>
        <w:pStyle w:val="ListParagraph"/>
        <w:numPr>
          <w:ilvl w:val="0"/>
          <w:numId w:val="43"/>
        </w:numPr>
        <w:tabs>
          <w:tab w:pos="1170" w:val="left" w:leader="none"/>
        </w:tabs>
        <w:spacing w:line="240" w:lineRule="auto" w:before="0" w:after="0"/>
        <w:ind w:left="1169" w:right="0" w:hanging="530"/>
        <w:jc w:val="left"/>
        <w:rPr>
          <w:sz w:val="21"/>
        </w:rPr>
      </w:pPr>
      <w:r>
        <w:rPr>
          <w:spacing w:val="-3"/>
          <w:sz w:val="21"/>
        </w:rPr>
        <w:t>法律法规及中国证监会规定的和《基金合同》约定的其他义务。</w:t>
      </w:r>
    </w:p>
    <w:p>
      <w:pPr>
        <w:pStyle w:val="BodyText"/>
        <w:spacing w:before="7"/>
        <w:rPr>
          <w:sz w:val="15"/>
        </w:rPr>
      </w:pPr>
    </w:p>
    <w:p>
      <w:pPr>
        <w:tabs>
          <w:tab w:pos="2690" w:val="left" w:leader="none"/>
        </w:tabs>
        <w:spacing w:before="0"/>
        <w:ind w:left="1633" w:right="0" w:firstLine="0"/>
        <w:jc w:val="left"/>
        <w:rPr>
          <w:b/>
          <w:sz w:val="21"/>
        </w:rPr>
      </w:pPr>
      <w:r>
        <w:rPr>
          <w:b/>
          <w:sz w:val="21"/>
        </w:rPr>
        <w:t>第二部分</w:t>
        <w:tab/>
        <w:t>基金份</w:t>
      </w:r>
      <w:r>
        <w:rPr>
          <w:b/>
          <w:spacing w:val="-3"/>
          <w:sz w:val="21"/>
        </w:rPr>
        <w:t>额</w:t>
      </w:r>
      <w:r>
        <w:rPr>
          <w:b/>
          <w:sz w:val="21"/>
        </w:rPr>
        <w:t>持</w:t>
      </w:r>
      <w:r>
        <w:rPr>
          <w:b/>
          <w:spacing w:val="-3"/>
          <w:sz w:val="21"/>
        </w:rPr>
        <w:t>有</w:t>
      </w:r>
      <w:r>
        <w:rPr>
          <w:b/>
          <w:sz w:val="21"/>
        </w:rPr>
        <w:t>人大会召集、议事</w:t>
      </w:r>
      <w:r>
        <w:rPr>
          <w:b/>
          <w:spacing w:val="-3"/>
          <w:sz w:val="21"/>
        </w:rPr>
        <w:t>及</w:t>
      </w:r>
      <w:r>
        <w:rPr>
          <w:b/>
          <w:sz w:val="21"/>
        </w:rPr>
        <w:t>表</w:t>
      </w:r>
      <w:r>
        <w:rPr>
          <w:b/>
          <w:spacing w:val="-3"/>
          <w:sz w:val="21"/>
        </w:rPr>
        <w:t>决</w:t>
      </w:r>
      <w:r>
        <w:rPr>
          <w:b/>
          <w:sz w:val="21"/>
        </w:rPr>
        <w:t>的程序和规则</w:t>
      </w:r>
    </w:p>
    <w:p>
      <w:pPr>
        <w:pStyle w:val="BodyText"/>
        <w:spacing w:before="7"/>
        <w:rPr>
          <w:b/>
          <w:sz w:val="15"/>
        </w:rPr>
      </w:pPr>
    </w:p>
    <w:p>
      <w:pPr>
        <w:pStyle w:val="BodyText"/>
        <w:spacing w:line="417" w:lineRule="auto"/>
        <w:ind w:left="220" w:right="488"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r>
        <w:rPr>
          <w:spacing w:val="-4"/>
        </w:rPr>
        <w:t>基金份额持有人大会不设立日常机构。</w:t>
      </w:r>
    </w:p>
    <w:p>
      <w:pPr>
        <w:pStyle w:val="BodyText"/>
        <w:spacing w:line="269" w:lineRule="exact"/>
        <w:ind w:left="640"/>
      </w:pPr>
      <w:r>
        <w:rPr/>
        <w:t>一、召开事由</w:t>
      </w:r>
    </w:p>
    <w:p>
      <w:pPr>
        <w:pStyle w:val="BodyText"/>
        <w:spacing w:before="7"/>
        <w:rPr>
          <w:sz w:val="15"/>
        </w:rPr>
      </w:pPr>
    </w:p>
    <w:p>
      <w:pPr>
        <w:pStyle w:val="BodyText"/>
        <w:spacing w:line="417" w:lineRule="auto"/>
        <w:ind w:left="220" w:right="593" w:firstLine="419"/>
      </w:pPr>
      <w:r>
        <w:rPr>
          <w:rFonts w:ascii="Times New Roman" w:eastAsia="Times New Roman"/>
        </w:rPr>
        <w:t>1</w:t>
      </w:r>
      <w:r>
        <w:rPr/>
        <w:t>、当出现或需要决定下列事由之一的，应当召开基金份额持有人大会，法律法规和中国证监会另有规定的除外：</w:t>
      </w:r>
    </w:p>
    <w:p>
      <w:pPr>
        <w:pStyle w:val="ListParagraph"/>
        <w:numPr>
          <w:ilvl w:val="0"/>
          <w:numId w:val="44"/>
        </w:numPr>
        <w:tabs>
          <w:tab w:pos="1170" w:val="left" w:leader="none"/>
        </w:tabs>
        <w:spacing w:line="269" w:lineRule="exact" w:before="0" w:after="0"/>
        <w:ind w:left="1169" w:right="0" w:hanging="530"/>
        <w:jc w:val="left"/>
        <w:rPr>
          <w:sz w:val="21"/>
        </w:rPr>
      </w:pPr>
      <w:r>
        <w:rPr>
          <w:spacing w:val="-15"/>
          <w:sz w:val="21"/>
        </w:rPr>
        <w:t>终止《基金合同》。</w:t>
      </w:r>
    </w:p>
    <w:p>
      <w:pPr>
        <w:pStyle w:val="BodyText"/>
        <w:spacing w:before="7"/>
        <w:rPr>
          <w:sz w:val="15"/>
        </w:rPr>
      </w:pPr>
    </w:p>
    <w:p>
      <w:pPr>
        <w:pStyle w:val="ListParagraph"/>
        <w:numPr>
          <w:ilvl w:val="0"/>
          <w:numId w:val="44"/>
        </w:numPr>
        <w:tabs>
          <w:tab w:pos="1170" w:val="left" w:leader="none"/>
        </w:tabs>
        <w:spacing w:line="240" w:lineRule="auto" w:before="0" w:after="0"/>
        <w:ind w:left="1169" w:right="0" w:hanging="530"/>
        <w:jc w:val="left"/>
        <w:rPr>
          <w:sz w:val="21"/>
        </w:rPr>
      </w:pPr>
      <w:r>
        <w:rPr>
          <w:spacing w:val="-3"/>
          <w:sz w:val="21"/>
        </w:rPr>
        <w:t>更换基金管理人。</w:t>
      </w:r>
    </w:p>
    <w:p>
      <w:pPr>
        <w:pStyle w:val="BodyText"/>
        <w:spacing w:before="7"/>
        <w:rPr>
          <w:sz w:val="15"/>
        </w:rPr>
      </w:pPr>
    </w:p>
    <w:p>
      <w:pPr>
        <w:pStyle w:val="ListParagraph"/>
        <w:numPr>
          <w:ilvl w:val="0"/>
          <w:numId w:val="44"/>
        </w:numPr>
        <w:tabs>
          <w:tab w:pos="1170" w:val="left" w:leader="none"/>
        </w:tabs>
        <w:spacing w:line="240" w:lineRule="auto" w:before="0" w:after="0"/>
        <w:ind w:left="1169" w:right="0" w:hanging="530"/>
        <w:jc w:val="left"/>
        <w:rPr>
          <w:sz w:val="21"/>
        </w:rPr>
      </w:pPr>
      <w:r>
        <w:rPr>
          <w:spacing w:val="-3"/>
          <w:sz w:val="21"/>
        </w:rPr>
        <w:t>更换基金托管人。</w:t>
      </w:r>
    </w:p>
    <w:p>
      <w:pPr>
        <w:pStyle w:val="BodyText"/>
        <w:spacing w:before="6"/>
        <w:rPr>
          <w:sz w:val="15"/>
        </w:rPr>
      </w:pPr>
    </w:p>
    <w:p>
      <w:pPr>
        <w:pStyle w:val="ListParagraph"/>
        <w:numPr>
          <w:ilvl w:val="0"/>
          <w:numId w:val="44"/>
        </w:numPr>
        <w:tabs>
          <w:tab w:pos="1170" w:val="left" w:leader="none"/>
        </w:tabs>
        <w:spacing w:line="240" w:lineRule="auto" w:before="1" w:after="0"/>
        <w:ind w:left="1169" w:right="0" w:hanging="530"/>
        <w:jc w:val="left"/>
        <w:rPr>
          <w:sz w:val="21"/>
        </w:rPr>
      </w:pPr>
      <w:r>
        <w:rPr>
          <w:spacing w:val="-3"/>
          <w:sz w:val="21"/>
        </w:rPr>
        <w:t>转换基金运作方式。</w:t>
      </w:r>
    </w:p>
    <w:p>
      <w:pPr>
        <w:pStyle w:val="BodyText"/>
        <w:spacing w:before="6"/>
        <w:rPr>
          <w:sz w:val="15"/>
        </w:rPr>
      </w:pPr>
    </w:p>
    <w:p>
      <w:pPr>
        <w:pStyle w:val="ListParagraph"/>
        <w:numPr>
          <w:ilvl w:val="0"/>
          <w:numId w:val="44"/>
        </w:numPr>
        <w:tabs>
          <w:tab w:pos="1170" w:val="left" w:leader="none"/>
        </w:tabs>
        <w:spacing w:line="240" w:lineRule="auto" w:before="0" w:after="0"/>
        <w:ind w:left="1169" w:right="0" w:hanging="530"/>
        <w:jc w:val="left"/>
        <w:rPr>
          <w:sz w:val="21"/>
        </w:rPr>
      </w:pPr>
      <w:r>
        <w:rPr>
          <w:spacing w:val="-3"/>
          <w:sz w:val="21"/>
        </w:rPr>
        <w:t>调整基金管理人、基金托管人的报酬标准。</w:t>
      </w:r>
    </w:p>
    <w:p>
      <w:pPr>
        <w:pStyle w:val="BodyText"/>
        <w:spacing w:before="7"/>
        <w:rPr>
          <w:sz w:val="15"/>
        </w:rPr>
      </w:pPr>
    </w:p>
    <w:p>
      <w:pPr>
        <w:pStyle w:val="ListParagraph"/>
        <w:numPr>
          <w:ilvl w:val="0"/>
          <w:numId w:val="44"/>
        </w:numPr>
        <w:tabs>
          <w:tab w:pos="1170" w:val="left" w:leader="none"/>
        </w:tabs>
        <w:spacing w:line="240" w:lineRule="auto" w:before="0" w:after="0"/>
        <w:ind w:left="1169" w:right="0" w:hanging="530"/>
        <w:jc w:val="left"/>
        <w:rPr>
          <w:sz w:val="21"/>
        </w:rPr>
      </w:pPr>
      <w:r>
        <w:rPr>
          <w:spacing w:val="-3"/>
          <w:sz w:val="21"/>
        </w:rPr>
        <w:t>变更基金类别。</w:t>
      </w:r>
    </w:p>
    <w:p>
      <w:pPr>
        <w:pStyle w:val="BodyText"/>
        <w:spacing w:before="7"/>
        <w:rPr>
          <w:sz w:val="15"/>
        </w:rPr>
      </w:pPr>
    </w:p>
    <w:p>
      <w:pPr>
        <w:pStyle w:val="ListParagraph"/>
        <w:numPr>
          <w:ilvl w:val="0"/>
          <w:numId w:val="44"/>
        </w:numPr>
        <w:tabs>
          <w:tab w:pos="1170" w:val="left" w:leader="none"/>
        </w:tabs>
        <w:spacing w:line="240" w:lineRule="auto" w:before="0" w:after="0"/>
        <w:ind w:left="1169" w:right="0" w:hanging="530"/>
        <w:jc w:val="left"/>
        <w:rPr>
          <w:sz w:val="21"/>
        </w:rPr>
      </w:pPr>
      <w:r>
        <w:rPr>
          <w:spacing w:val="-3"/>
          <w:sz w:val="21"/>
        </w:rPr>
        <w:t>本基金与其他基金的合并。</w:t>
      </w:r>
    </w:p>
    <w:p>
      <w:pPr>
        <w:pStyle w:val="BodyText"/>
        <w:spacing w:before="7"/>
        <w:rPr>
          <w:sz w:val="15"/>
        </w:rPr>
      </w:pPr>
    </w:p>
    <w:p>
      <w:pPr>
        <w:pStyle w:val="ListParagraph"/>
        <w:numPr>
          <w:ilvl w:val="0"/>
          <w:numId w:val="44"/>
        </w:numPr>
        <w:tabs>
          <w:tab w:pos="1170" w:val="left" w:leader="none"/>
        </w:tabs>
        <w:spacing w:line="240" w:lineRule="auto" w:before="0" w:after="0"/>
        <w:ind w:left="1169" w:right="0" w:hanging="530"/>
        <w:jc w:val="left"/>
        <w:rPr>
          <w:sz w:val="21"/>
        </w:rPr>
      </w:pPr>
      <w:r>
        <w:rPr>
          <w:spacing w:val="-3"/>
          <w:sz w:val="21"/>
        </w:rPr>
        <w:t>变更基金投资目标、范围或策略。</w:t>
      </w:r>
    </w:p>
    <w:p>
      <w:pPr>
        <w:pStyle w:val="BodyText"/>
        <w:spacing w:before="7"/>
        <w:rPr>
          <w:sz w:val="15"/>
        </w:rPr>
      </w:pPr>
    </w:p>
    <w:p>
      <w:pPr>
        <w:pStyle w:val="ListParagraph"/>
        <w:numPr>
          <w:ilvl w:val="0"/>
          <w:numId w:val="44"/>
        </w:numPr>
        <w:tabs>
          <w:tab w:pos="1170" w:val="left" w:leader="none"/>
        </w:tabs>
        <w:spacing w:line="240" w:lineRule="auto" w:before="0" w:after="0"/>
        <w:ind w:left="1169" w:right="0" w:hanging="530"/>
        <w:jc w:val="left"/>
        <w:rPr>
          <w:sz w:val="21"/>
        </w:rPr>
      </w:pPr>
      <w:r>
        <w:rPr>
          <w:spacing w:val="-3"/>
          <w:sz w:val="21"/>
        </w:rPr>
        <w:t>变更基金份额持有人大会程序。</w:t>
      </w:r>
    </w:p>
    <w:p>
      <w:pPr>
        <w:pStyle w:val="BodyText"/>
        <w:spacing w:before="6"/>
        <w:rPr>
          <w:sz w:val="15"/>
        </w:rPr>
      </w:pPr>
    </w:p>
    <w:p>
      <w:pPr>
        <w:pStyle w:val="ListParagraph"/>
        <w:numPr>
          <w:ilvl w:val="0"/>
          <w:numId w:val="44"/>
        </w:numPr>
        <w:tabs>
          <w:tab w:pos="1275" w:val="left" w:leader="none"/>
        </w:tabs>
        <w:spacing w:line="240" w:lineRule="auto" w:before="0" w:after="0"/>
        <w:ind w:left="1275" w:right="0" w:hanging="635"/>
        <w:jc w:val="left"/>
        <w:rPr>
          <w:sz w:val="21"/>
        </w:rPr>
      </w:pPr>
      <w:r>
        <w:rPr>
          <w:spacing w:val="-3"/>
          <w:sz w:val="21"/>
        </w:rPr>
        <w:t>基金管理人或基金托管人要求召开基金份额持有人大会。</w:t>
      </w:r>
    </w:p>
    <w:p>
      <w:pPr>
        <w:pStyle w:val="BodyText"/>
        <w:spacing w:before="7"/>
        <w:rPr>
          <w:sz w:val="15"/>
        </w:rPr>
      </w:pPr>
    </w:p>
    <w:p>
      <w:pPr>
        <w:pStyle w:val="ListParagraph"/>
        <w:numPr>
          <w:ilvl w:val="0"/>
          <w:numId w:val="44"/>
        </w:numPr>
        <w:tabs>
          <w:tab w:pos="1266" w:val="left" w:leader="none"/>
        </w:tabs>
        <w:spacing w:line="240" w:lineRule="auto" w:before="0" w:after="0"/>
        <w:ind w:left="126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（含 </w:t>
      </w:r>
      <w:r>
        <w:rPr>
          <w:rFonts w:ascii="Times New Roman" w:eastAsia="Times New Roman"/>
          <w:sz w:val="21"/>
        </w:rPr>
        <w:t>10%</w:t>
      </w:r>
      <w:r>
        <w:rPr>
          <w:sz w:val="21"/>
        </w:rPr>
        <w:t>）</w:t>
      </w:r>
      <w:r>
        <w:rPr>
          <w:spacing w:val="-3"/>
          <w:sz w:val="21"/>
        </w:rPr>
        <w:t>基金份额的基金份额持有人</w:t>
      </w:r>
    </w:p>
    <w:p>
      <w:pPr>
        <w:pStyle w:val="BodyText"/>
        <w:spacing w:before="7"/>
        <w:rPr>
          <w:sz w:val="15"/>
        </w:rPr>
      </w:pPr>
    </w:p>
    <w:p>
      <w:pPr>
        <w:pStyle w:val="BodyText"/>
        <w:spacing w:line="417" w:lineRule="auto"/>
        <w:ind w:left="220" w:right="591"/>
      </w:pPr>
      <w:r>
        <w:rPr/>
        <w:t>（</w:t>
      </w:r>
      <w:r>
        <w:rPr>
          <w:spacing w:val="-6"/>
        </w:rPr>
        <w:t>以基金管理人收到提议当日的基金份额计算，下同</w:t>
      </w:r>
      <w:r>
        <w:rPr>
          <w:spacing w:val="-48"/>
        </w:rPr>
        <w:t>）</w:t>
      </w:r>
      <w:r>
        <w:rPr>
          <w:spacing w:val="-3"/>
        </w:rPr>
        <w:t>就同一事项书面要求召开基金份额持有人大会。</w:t>
      </w:r>
    </w:p>
    <w:p>
      <w:pPr>
        <w:pStyle w:val="ListParagraph"/>
        <w:numPr>
          <w:ilvl w:val="0"/>
          <w:numId w:val="44"/>
        </w:numPr>
        <w:tabs>
          <w:tab w:pos="1275" w:val="left" w:leader="none"/>
        </w:tabs>
        <w:spacing w:line="240" w:lineRule="auto" w:before="0" w:after="0"/>
        <w:ind w:left="1275" w:right="0" w:hanging="635"/>
        <w:jc w:val="left"/>
        <w:rPr>
          <w:sz w:val="21"/>
        </w:rPr>
      </w:pPr>
      <w:r>
        <w:rPr>
          <w:spacing w:val="-3"/>
          <w:sz w:val="21"/>
        </w:rPr>
        <w:t>对基金当事人权利和义务产生重大影响的其他事项。</w:t>
      </w:r>
    </w:p>
    <w:p>
      <w:pPr>
        <w:pStyle w:val="BodyText"/>
        <w:spacing w:before="7"/>
        <w:rPr>
          <w:sz w:val="15"/>
        </w:rPr>
      </w:pPr>
    </w:p>
    <w:p>
      <w:pPr>
        <w:pStyle w:val="ListParagraph"/>
        <w:numPr>
          <w:ilvl w:val="0"/>
          <w:numId w:val="44"/>
        </w:numPr>
        <w:tabs>
          <w:tab w:pos="1275" w:val="left" w:leader="none"/>
        </w:tabs>
        <w:spacing w:line="417" w:lineRule="auto" w:before="0" w:after="0"/>
        <w:ind w:left="220" w:right="59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417" w:lineRule="auto"/>
        <w:ind w:left="220" w:right="593" w:firstLine="419"/>
      </w:pPr>
      <w:r>
        <w:rPr>
          <w:rFonts w:ascii="Times New Roman" w:eastAsia="Times New Roman"/>
        </w:rPr>
        <w:t>2</w:t>
      </w:r>
      <w:r>
        <w:rPr/>
        <w:t>、在不违反法律法规和基金合同约定，且对现有基金份额持有人无实质不利影响，以下情况可由基金管理人和基金托管人协商后修改，不需召开基金份额持有人大会：</w:t>
      </w:r>
    </w:p>
    <w:p>
      <w:pPr>
        <w:pStyle w:val="ListParagraph"/>
        <w:numPr>
          <w:ilvl w:val="0"/>
          <w:numId w:val="45"/>
        </w:numPr>
        <w:tabs>
          <w:tab w:pos="1170" w:val="left" w:leader="none"/>
        </w:tabs>
        <w:spacing w:line="269" w:lineRule="exact" w:before="0" w:after="0"/>
        <w:ind w:left="1169" w:right="0" w:hanging="530"/>
        <w:jc w:val="left"/>
        <w:rPr>
          <w:sz w:val="21"/>
        </w:rPr>
      </w:pPr>
      <w:r>
        <w:rPr>
          <w:spacing w:val="-3"/>
          <w:sz w:val="21"/>
        </w:rPr>
        <w:t>法律法规要求增加的基金费用的收取。</w:t>
      </w:r>
    </w:p>
    <w:p>
      <w:pPr>
        <w:pStyle w:val="BodyText"/>
        <w:spacing w:before="7"/>
        <w:rPr>
          <w:sz w:val="15"/>
        </w:rPr>
      </w:pPr>
    </w:p>
    <w:p>
      <w:pPr>
        <w:pStyle w:val="ListParagraph"/>
        <w:numPr>
          <w:ilvl w:val="0"/>
          <w:numId w:val="45"/>
        </w:numPr>
        <w:tabs>
          <w:tab w:pos="1170" w:val="left" w:leader="none"/>
        </w:tabs>
        <w:spacing w:line="417" w:lineRule="auto" w:before="0" w:after="0"/>
        <w:ind w:left="220" w:right="591" w:firstLine="419"/>
        <w:jc w:val="left"/>
        <w:rPr>
          <w:sz w:val="21"/>
        </w:rPr>
      </w:pPr>
      <w:r>
        <w:rPr>
          <w:spacing w:val="-14"/>
          <w:sz w:val="21"/>
        </w:rPr>
        <w:t>增加、减少、调整本基金份额类别设置或调整本基金的申购费率、调低赎回费率 </w:t>
      </w:r>
      <w:r>
        <w:rPr>
          <w:spacing w:val="-8"/>
          <w:sz w:val="21"/>
        </w:rPr>
        <w:t>、调低销售服务费率或调整收费方式。</w:t>
      </w:r>
    </w:p>
    <w:p>
      <w:pPr>
        <w:spacing w:after="0" w:line="417" w:lineRule="auto"/>
        <w:jc w:val="left"/>
        <w:rPr>
          <w:sz w:val="21"/>
        </w:rPr>
        <w:sectPr>
          <w:footerReference w:type="default" r:id="rId148"/>
          <w:pgSz w:w="11910" w:h="16840"/>
          <w:pgMar w:footer="995" w:header="877" w:top="1420" w:bottom="1180" w:left="1580" w:right="1200"/>
          <w:pgNumType w:start="120"/>
        </w:sectPr>
      </w:pPr>
    </w:p>
    <w:p>
      <w:pPr>
        <w:pStyle w:val="ListParagraph"/>
        <w:numPr>
          <w:ilvl w:val="0"/>
          <w:numId w:val="45"/>
        </w:numPr>
        <w:tabs>
          <w:tab w:pos="1170" w:val="left" w:leader="none"/>
        </w:tabs>
        <w:spacing w:line="417" w:lineRule="auto" w:before="110" w:after="0"/>
        <w:ind w:left="220" w:right="594" w:firstLine="419"/>
        <w:jc w:val="left"/>
        <w:rPr>
          <w:sz w:val="21"/>
        </w:rPr>
      </w:pPr>
      <w:r>
        <w:rPr>
          <w:spacing w:val="-3"/>
          <w:sz w:val="21"/>
        </w:rPr>
        <w:t>基金管理人、登记机构、代销机构调整有关基金认购、申购、赎回、转换、收益分配、非交易过户、转托管等业务的规则。</w:t>
      </w:r>
    </w:p>
    <w:p>
      <w:pPr>
        <w:pStyle w:val="ListParagraph"/>
        <w:numPr>
          <w:ilvl w:val="0"/>
          <w:numId w:val="45"/>
        </w:numPr>
        <w:tabs>
          <w:tab w:pos="1170" w:val="left" w:leader="none"/>
        </w:tabs>
        <w:spacing w:line="269" w:lineRule="exact" w:before="0" w:after="0"/>
        <w:ind w:left="1169" w:right="0" w:hanging="530"/>
        <w:jc w:val="left"/>
        <w:rPr>
          <w:sz w:val="21"/>
        </w:rPr>
      </w:pPr>
      <w:r>
        <w:rPr>
          <w:spacing w:val="-3"/>
          <w:sz w:val="21"/>
        </w:rPr>
        <w:t>基金推出新业务或服务。</w:t>
      </w:r>
    </w:p>
    <w:p>
      <w:pPr>
        <w:pStyle w:val="BodyText"/>
        <w:spacing w:before="6"/>
        <w:rPr>
          <w:sz w:val="15"/>
        </w:rPr>
      </w:pPr>
    </w:p>
    <w:p>
      <w:pPr>
        <w:pStyle w:val="ListParagraph"/>
        <w:numPr>
          <w:ilvl w:val="0"/>
          <w:numId w:val="45"/>
        </w:numPr>
        <w:tabs>
          <w:tab w:pos="1170" w:val="left" w:leader="none"/>
        </w:tabs>
        <w:spacing w:line="240" w:lineRule="auto" w:before="0" w:after="0"/>
        <w:ind w:left="1169" w:right="0" w:hanging="530"/>
        <w:jc w:val="left"/>
        <w:rPr>
          <w:sz w:val="21"/>
        </w:rPr>
      </w:pPr>
      <w:r>
        <w:rPr>
          <w:spacing w:val="-3"/>
          <w:sz w:val="21"/>
        </w:rPr>
        <w:t>因相应的法律法规发生变动而应当对《基金合同》进行修改。</w:t>
      </w:r>
    </w:p>
    <w:p>
      <w:pPr>
        <w:pStyle w:val="BodyText"/>
        <w:spacing w:before="7"/>
        <w:rPr>
          <w:sz w:val="15"/>
        </w:rPr>
      </w:pPr>
    </w:p>
    <w:p>
      <w:pPr>
        <w:pStyle w:val="ListParagraph"/>
        <w:numPr>
          <w:ilvl w:val="0"/>
          <w:numId w:val="45"/>
        </w:numPr>
        <w:tabs>
          <w:tab w:pos="1170" w:val="left" w:leader="none"/>
        </w:tabs>
        <w:spacing w:line="417" w:lineRule="auto" w:before="0" w:after="0"/>
        <w:ind w:left="220" w:right="59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基金合同》当事人权利义务关系发生重大变化。</w:t>
      </w:r>
    </w:p>
    <w:p>
      <w:pPr>
        <w:pStyle w:val="ListParagraph"/>
        <w:numPr>
          <w:ilvl w:val="0"/>
          <w:numId w:val="45"/>
        </w:numPr>
        <w:tabs>
          <w:tab w:pos="1170" w:val="left" w:leader="none"/>
        </w:tabs>
        <w:spacing w:line="417" w:lineRule="auto" w:before="0" w:after="0"/>
        <w:ind w:left="640" w:right="812"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220" w:right="594" w:firstLine="419"/>
      </w:pPr>
      <w:r>
        <w:rPr>
          <w:rFonts w:ascii="Times New Roman" w:eastAsia="Times New Roman"/>
        </w:rPr>
        <w:t>1</w:t>
      </w:r>
      <w:r>
        <w:rPr/>
        <w:t>、除法律法规规定或《基金合同》另有约定外，基金份额持有人大会由基金管理人召集。</w:t>
      </w:r>
    </w:p>
    <w:p>
      <w:pPr>
        <w:pStyle w:val="BodyText"/>
        <w:spacing w:line="269" w:lineRule="exact"/>
        <w:ind w:left="640"/>
      </w:pPr>
      <w:r>
        <w:rPr>
          <w:rFonts w:ascii="Times New Roman" w:eastAsia="Times New Roman"/>
        </w:rPr>
        <w:t>2</w:t>
      </w:r>
      <w:r>
        <w:rPr/>
        <w:t>、基金管理人未按规定召集或不能召集时，由基金托管人召集。</w:t>
      </w:r>
    </w:p>
    <w:p>
      <w:pPr>
        <w:pStyle w:val="BodyText"/>
        <w:spacing w:before="7"/>
        <w:rPr>
          <w:sz w:val="15"/>
        </w:rPr>
      </w:pPr>
    </w:p>
    <w:p>
      <w:pPr>
        <w:pStyle w:val="BodyText"/>
        <w:spacing w:line="417" w:lineRule="auto"/>
        <w:ind w:left="220" w:right="59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 </w:t>
      </w:r>
      <w:r>
        <w:rPr>
          <w:rFonts w:ascii="Times New Roman" w:eastAsia="Times New Roman"/>
        </w:rPr>
        <w:t>10 </w:t>
      </w:r>
      <w:r>
        <w:rPr>
          <w:spacing w:val="-12"/>
        </w:rPr>
        <w:t>日内决定是否召集，并书面告知基金托管人。</w:t>
      </w:r>
    </w:p>
    <w:p>
      <w:pPr>
        <w:pStyle w:val="BodyText"/>
        <w:spacing w:line="417" w:lineRule="auto"/>
        <w:ind w:left="220" w:right="593"/>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基金托管人仍认为有必要召开的，应当由基金托管人自行召集，并自出具书面决定之日起</w:t>
      </w:r>
      <w:r>
        <w:rPr>
          <w:rFonts w:ascii="Times New Roman" w:eastAsia="Times New Roman"/>
          <w:spacing w:val="-13"/>
        </w:rPr>
        <w:t>60 </w:t>
      </w:r>
      <w:r>
        <w:rPr>
          <w:spacing w:val="-3"/>
        </w:rPr>
        <w:t>日内召开并告知基金管理人，基金管理人应当配合。</w:t>
      </w:r>
    </w:p>
    <w:p>
      <w:pPr>
        <w:pStyle w:val="BodyText"/>
        <w:spacing w:line="417" w:lineRule="auto"/>
        <w:ind w:left="220" w:right="59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40"/>
        </w:rPr>
        <w:t> </w:t>
      </w:r>
      <w:r>
        <w:rPr>
          <w:spacing w:val="-3"/>
        </w:rPr>
        <w:t>日内决定是否召集，并书面告知提出提议的基金份额持有人代表和基金托管人。基金管</w:t>
      </w:r>
    </w:p>
    <w:p>
      <w:pPr>
        <w:pStyle w:val="BodyText"/>
        <w:spacing w:line="417" w:lineRule="auto"/>
        <w:ind w:left="220" w:right="591"/>
        <w:jc w:val="both"/>
      </w:pPr>
      <w:r>
        <w:rPr>
          <w:spacing w:val="-5"/>
        </w:rPr>
        <w:t>理人决定召集的，应当自出具书面决定之日起 </w:t>
      </w:r>
      <w:r>
        <w:rPr>
          <w:rFonts w:ascii="Times New Roman" w:eastAsia="Times New Roman"/>
        </w:rPr>
        <w:t>60 </w:t>
      </w:r>
      <w:r>
        <w:rPr>
          <w:spacing w:val="-3"/>
        </w:rPr>
        <w:t>日内召开；基金管理人决定不召集，代表</w:t>
      </w:r>
      <w:r>
        <w:rPr>
          <w:spacing w:val="-2"/>
        </w:rPr>
        <w:t>基金份额 </w:t>
      </w:r>
      <w:r>
        <w:rPr>
          <w:rFonts w:ascii="Times New Roman" w:eastAsia="Times New Roman"/>
        </w:rPr>
        <w:t>10%</w:t>
      </w:r>
      <w:r>
        <w:rPr>
          <w:spacing w:val="-2"/>
        </w:rPr>
        <w:t>以上</w:t>
      </w:r>
      <w:r>
        <w:rPr>
          <w:spacing w:val="-3"/>
        </w:rPr>
        <w:t>（</w:t>
      </w:r>
      <w:r>
        <w:rPr>
          <w:spacing w:val="3"/>
        </w:rPr>
        <w:t>含 </w:t>
      </w:r>
      <w:r>
        <w:rPr>
          <w:rFonts w:ascii="Times New Roman" w:eastAsia="Times New Roman"/>
        </w:rPr>
        <w:t>10%</w:t>
      </w:r>
      <w:r>
        <w:rPr/>
        <w:t>）</w:t>
      </w:r>
      <w:r>
        <w:rPr>
          <w:spacing w:val="-3"/>
        </w:rPr>
        <w:t>的基金份额持有人仍认为有必要召开的，应当向基金托管人</w:t>
      </w:r>
      <w:r>
        <w:rPr>
          <w:spacing w:val="-4"/>
        </w:rPr>
        <w:t>提出书面提议。基金托管人应当自收到书面提议之日起 </w:t>
      </w:r>
      <w:r>
        <w:rPr>
          <w:rFonts w:ascii="Times New Roman" w:eastAsia="Times New Roman"/>
        </w:rPr>
        <w:t>10 </w:t>
      </w:r>
      <w:r>
        <w:rPr>
          <w:spacing w:val="-3"/>
        </w:rPr>
        <w:t>日内决定是否召集，并书面告知</w:t>
      </w:r>
      <w:r>
        <w:rPr>
          <w:spacing w:val="-8"/>
        </w:rPr>
        <w:t>提出提议的基金份额持有人代表和基金管理人；基金托管人决定召集的，应当自出具书面决</w:t>
      </w:r>
      <w:r>
        <w:rPr>
          <w:spacing w:val="-16"/>
        </w:rPr>
        <w:t>定之日起 </w:t>
      </w:r>
      <w:r>
        <w:rPr>
          <w:rFonts w:ascii="Times New Roman" w:eastAsia="Times New Roman"/>
        </w:rPr>
        <w:t>60 </w:t>
      </w:r>
      <w:r>
        <w:rPr>
          <w:spacing w:val="-3"/>
        </w:rPr>
        <w:t>日内召开，并告知基金管理人，基金管理人应当配合。</w:t>
      </w:r>
    </w:p>
    <w:p>
      <w:pPr>
        <w:pStyle w:val="BodyText"/>
        <w:spacing w:line="417" w:lineRule="auto"/>
        <w:ind w:left="220" w:right="59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left="220" w:right="59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ind w:left="640"/>
      </w:pPr>
      <w:r>
        <w:rPr>
          <w:rFonts w:ascii="Times New Roman" w:eastAsia="Times New Roman"/>
        </w:rPr>
        <w:t>6</w:t>
      </w:r>
      <w:r>
        <w:rPr/>
        <w:t>、基金份额持有人会议的召集人负责选择确定开会时间、地点、方式和权益登记日。</w:t>
      </w:r>
    </w:p>
    <w:p>
      <w:pPr>
        <w:spacing w:after="0"/>
        <w:sectPr>
          <w:pgSz w:w="11910" w:h="16840"/>
          <w:pgMar w:header="877" w:footer="995" w:top="1420" w:bottom="1180" w:left="1580" w:right="1200"/>
        </w:sectPr>
      </w:pPr>
    </w:p>
    <w:p>
      <w:pPr>
        <w:pStyle w:val="BodyText"/>
        <w:spacing w:before="110"/>
        <w:ind w:left="640"/>
      </w:pPr>
      <w:r>
        <w:rPr/>
        <w:t>三、召开基金份额持有人大会的通知时间、通知内容、通知方式</w:t>
      </w:r>
    </w:p>
    <w:p>
      <w:pPr>
        <w:pStyle w:val="BodyText"/>
        <w:spacing w:before="6"/>
        <w:rPr>
          <w:sz w:val="15"/>
        </w:rPr>
      </w:pPr>
    </w:p>
    <w:p>
      <w:pPr>
        <w:pStyle w:val="BodyText"/>
        <w:spacing w:line="417" w:lineRule="auto"/>
        <w:ind w:left="220" w:right="59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日，在指定媒介公告。基金份</w:t>
      </w:r>
      <w:r>
        <w:rPr>
          <w:spacing w:val="-5"/>
        </w:rPr>
        <w:t>额持有人大会通知应至少载明以下内容：</w:t>
      </w:r>
    </w:p>
    <w:p>
      <w:pPr>
        <w:pStyle w:val="ListParagraph"/>
        <w:numPr>
          <w:ilvl w:val="0"/>
          <w:numId w:val="46"/>
        </w:numPr>
        <w:tabs>
          <w:tab w:pos="1170" w:val="left" w:leader="none"/>
        </w:tabs>
        <w:spacing w:line="269" w:lineRule="exact" w:before="0" w:after="0"/>
        <w:ind w:left="1169" w:right="0" w:hanging="530"/>
        <w:jc w:val="left"/>
        <w:rPr>
          <w:sz w:val="21"/>
        </w:rPr>
      </w:pPr>
      <w:r>
        <w:rPr>
          <w:spacing w:val="-3"/>
          <w:sz w:val="21"/>
        </w:rPr>
        <w:t>会议召开的时间、地点和会议形式。</w:t>
      </w:r>
    </w:p>
    <w:p>
      <w:pPr>
        <w:pStyle w:val="BodyText"/>
        <w:spacing w:before="7"/>
        <w:rPr>
          <w:sz w:val="15"/>
        </w:rPr>
      </w:pPr>
    </w:p>
    <w:p>
      <w:pPr>
        <w:pStyle w:val="ListParagraph"/>
        <w:numPr>
          <w:ilvl w:val="0"/>
          <w:numId w:val="46"/>
        </w:numPr>
        <w:tabs>
          <w:tab w:pos="1170" w:val="left" w:leader="none"/>
        </w:tabs>
        <w:spacing w:line="240" w:lineRule="auto" w:before="0" w:after="0"/>
        <w:ind w:left="1169" w:right="0" w:hanging="530"/>
        <w:jc w:val="left"/>
        <w:rPr>
          <w:sz w:val="21"/>
        </w:rPr>
      </w:pPr>
      <w:r>
        <w:rPr>
          <w:spacing w:val="-3"/>
          <w:sz w:val="21"/>
        </w:rPr>
        <w:t>会议拟审议的事项、议事程序和表决方式。</w:t>
      </w:r>
    </w:p>
    <w:p>
      <w:pPr>
        <w:pStyle w:val="BodyText"/>
        <w:spacing w:before="7"/>
        <w:rPr>
          <w:sz w:val="15"/>
        </w:rPr>
      </w:pPr>
    </w:p>
    <w:p>
      <w:pPr>
        <w:pStyle w:val="ListParagraph"/>
        <w:numPr>
          <w:ilvl w:val="0"/>
          <w:numId w:val="46"/>
        </w:numPr>
        <w:tabs>
          <w:tab w:pos="1170" w:val="left" w:leader="none"/>
        </w:tabs>
        <w:spacing w:line="240" w:lineRule="auto" w:before="0" w:after="0"/>
        <w:ind w:left="1169" w:right="0" w:hanging="530"/>
        <w:jc w:val="left"/>
        <w:rPr>
          <w:sz w:val="21"/>
        </w:rPr>
      </w:pPr>
      <w:r>
        <w:rPr>
          <w:spacing w:val="-3"/>
          <w:sz w:val="21"/>
        </w:rPr>
        <w:t>有权出席基金份额持有人大会的基金份额持有人的权益登记日。</w:t>
      </w:r>
    </w:p>
    <w:p>
      <w:pPr>
        <w:pStyle w:val="BodyText"/>
        <w:spacing w:before="7"/>
        <w:rPr>
          <w:sz w:val="15"/>
        </w:rPr>
      </w:pPr>
    </w:p>
    <w:p>
      <w:pPr>
        <w:pStyle w:val="ListParagraph"/>
        <w:numPr>
          <w:ilvl w:val="0"/>
          <w:numId w:val="46"/>
        </w:numPr>
        <w:tabs>
          <w:tab w:pos="1170" w:val="left" w:leader="none"/>
        </w:tabs>
        <w:spacing w:line="417" w:lineRule="auto" w:before="0" w:after="0"/>
        <w:ind w:left="220" w:right="594" w:firstLine="419"/>
        <w:jc w:val="left"/>
        <w:rPr>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p>
    <w:p>
      <w:pPr>
        <w:pStyle w:val="ListParagraph"/>
        <w:numPr>
          <w:ilvl w:val="0"/>
          <w:numId w:val="46"/>
        </w:numPr>
        <w:tabs>
          <w:tab w:pos="1170" w:val="left" w:leader="none"/>
        </w:tabs>
        <w:spacing w:line="240" w:lineRule="auto" w:before="0" w:after="0"/>
        <w:ind w:left="1169" w:right="0" w:hanging="530"/>
        <w:jc w:val="left"/>
        <w:rPr>
          <w:sz w:val="21"/>
        </w:rPr>
      </w:pPr>
      <w:r>
        <w:rPr>
          <w:spacing w:val="-3"/>
          <w:sz w:val="21"/>
        </w:rPr>
        <w:t>会务常设联系人姓名及联系电话。</w:t>
      </w:r>
    </w:p>
    <w:p>
      <w:pPr>
        <w:pStyle w:val="BodyText"/>
        <w:spacing w:before="7"/>
        <w:rPr>
          <w:sz w:val="15"/>
        </w:rPr>
      </w:pPr>
    </w:p>
    <w:p>
      <w:pPr>
        <w:pStyle w:val="ListParagraph"/>
        <w:numPr>
          <w:ilvl w:val="0"/>
          <w:numId w:val="46"/>
        </w:numPr>
        <w:tabs>
          <w:tab w:pos="1170" w:val="left" w:leader="none"/>
        </w:tabs>
        <w:spacing w:line="240" w:lineRule="auto" w:before="0" w:after="0"/>
        <w:ind w:left="1169" w:right="0" w:hanging="530"/>
        <w:jc w:val="left"/>
        <w:rPr>
          <w:sz w:val="21"/>
        </w:rPr>
      </w:pPr>
      <w:r>
        <w:rPr>
          <w:spacing w:val="-3"/>
          <w:sz w:val="21"/>
        </w:rPr>
        <w:t>出席会议者必须准备的文件和必须履行的手续。</w:t>
      </w:r>
    </w:p>
    <w:p>
      <w:pPr>
        <w:pStyle w:val="BodyText"/>
        <w:spacing w:before="6"/>
        <w:rPr>
          <w:sz w:val="15"/>
        </w:rPr>
      </w:pPr>
    </w:p>
    <w:p>
      <w:pPr>
        <w:pStyle w:val="ListParagraph"/>
        <w:numPr>
          <w:ilvl w:val="0"/>
          <w:numId w:val="46"/>
        </w:numPr>
        <w:tabs>
          <w:tab w:pos="1170" w:val="left" w:leader="none"/>
        </w:tabs>
        <w:spacing w:line="240" w:lineRule="auto" w:before="0" w:after="0"/>
        <w:ind w:left="1169" w:right="0" w:hanging="530"/>
        <w:jc w:val="left"/>
        <w:rPr>
          <w:sz w:val="21"/>
        </w:rPr>
      </w:pPr>
      <w:r>
        <w:rPr>
          <w:spacing w:val="-3"/>
          <w:sz w:val="21"/>
        </w:rPr>
        <w:t>召集人需要通知的其他事项。</w:t>
      </w:r>
    </w:p>
    <w:p>
      <w:pPr>
        <w:pStyle w:val="BodyText"/>
        <w:spacing w:before="7"/>
        <w:rPr>
          <w:sz w:val="15"/>
        </w:rPr>
      </w:pPr>
    </w:p>
    <w:p>
      <w:pPr>
        <w:pStyle w:val="BodyText"/>
        <w:spacing w:line="417" w:lineRule="auto"/>
        <w:ind w:left="220" w:right="59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220" w:right="59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pStyle w:val="BodyText"/>
        <w:spacing w:line="268" w:lineRule="exact"/>
        <w:ind w:left="640"/>
      </w:pPr>
      <w:r>
        <w:rPr/>
        <w:t>四、基金份额持有人出席会议的方式</w:t>
      </w:r>
    </w:p>
    <w:p>
      <w:pPr>
        <w:pStyle w:val="BodyText"/>
        <w:spacing w:before="7"/>
        <w:rPr>
          <w:sz w:val="15"/>
        </w:rPr>
      </w:pPr>
    </w:p>
    <w:p>
      <w:pPr>
        <w:pStyle w:val="BodyText"/>
        <w:spacing w:line="417" w:lineRule="auto"/>
        <w:ind w:left="220" w:right="591" w:firstLine="419"/>
      </w:pPr>
      <w:r>
        <w:rPr>
          <w:spacing w:val="-7"/>
        </w:rPr>
        <w:t>基金份额持有人大会可通过现场开会或通讯开会等方式召开，会议的召开方式由会议召</w:t>
      </w:r>
      <w:r>
        <w:rPr>
          <w:spacing w:val="-4"/>
        </w:rPr>
        <w:t>集人确定。</w:t>
      </w:r>
    </w:p>
    <w:p>
      <w:pPr>
        <w:pStyle w:val="BodyText"/>
        <w:spacing w:line="417" w:lineRule="auto"/>
        <w:ind w:left="220" w:right="59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7"/>
        </w:numPr>
        <w:tabs>
          <w:tab w:pos="1170" w:val="left" w:leader="none"/>
        </w:tabs>
        <w:spacing w:line="417" w:lineRule="auto" w:before="0" w:after="0"/>
        <w:ind w:left="220" w:right="59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7"/>
        </w:numPr>
        <w:tabs>
          <w:tab w:pos="1170" w:val="left" w:leader="none"/>
        </w:tabs>
        <w:spacing w:line="240" w:lineRule="auto" w:before="0" w:after="0"/>
        <w:ind w:left="1169" w:right="0" w:hanging="530"/>
        <w:jc w:val="left"/>
        <w:rPr>
          <w:sz w:val="21"/>
        </w:rPr>
      </w:pPr>
      <w:r>
        <w:rPr>
          <w:spacing w:val="-3"/>
          <w:sz w:val="21"/>
        </w:rPr>
        <w:t>经核对，汇总到会者出示的在权益登记日持有基金份额的凭证显示，有效的基金</w:t>
      </w:r>
    </w:p>
    <w:p>
      <w:pPr>
        <w:spacing w:after="0" w:line="240" w:lineRule="auto"/>
        <w:jc w:val="left"/>
        <w:rPr>
          <w:sz w:val="21"/>
        </w:rPr>
        <w:sectPr>
          <w:pgSz w:w="11910" w:h="16840"/>
          <w:pgMar w:header="877" w:footer="995" w:top="1420" w:bottom="1180" w:left="1580" w:right="1200"/>
        </w:sectPr>
      </w:pPr>
    </w:p>
    <w:p>
      <w:pPr>
        <w:pStyle w:val="BodyText"/>
        <w:spacing w:before="110"/>
        <w:ind w:left="220"/>
        <w:jc w:val="both"/>
      </w:pPr>
      <w:r>
        <w:rPr>
          <w:spacing w:val="-3"/>
          <w:w w:val="100"/>
        </w:rPr>
        <w:t>份额不少于本基金在权益登记日基金总份额的</w:t>
      </w:r>
      <w:r>
        <w:rPr>
          <w:spacing w:val="-53"/>
        </w:rPr>
        <w:t> </w:t>
      </w:r>
      <w:r>
        <w:rPr>
          <w:rFonts w:ascii="Times New Roman" w:eastAsia="Times New Roman"/>
          <w:w w:val="100"/>
        </w:rPr>
        <w:t>1</w:t>
      </w:r>
      <w:r>
        <w:rPr>
          <w:rFonts w:ascii="Times New Roman" w:eastAsia="Times New Roman"/>
          <w:spacing w:val="-2"/>
          <w:w w:val="100"/>
        </w:rPr>
        <w:t>/</w:t>
      </w:r>
      <w:r>
        <w:rPr>
          <w:rFonts w:ascii="Times New Roman" w:eastAsia="Times New Roman"/>
          <w:spacing w:val="-1"/>
          <w:w w:val="100"/>
        </w:rPr>
        <w:t>2</w:t>
      </w:r>
      <w:r>
        <w:rPr>
          <w:spacing w:val="-3"/>
          <w:w w:val="100"/>
        </w:rPr>
        <w:t>（</w:t>
      </w:r>
      <w:r>
        <w:rPr>
          <w:w w:val="100"/>
        </w:rPr>
        <w:t>含</w:t>
      </w:r>
      <w:r>
        <w:rPr>
          <w:spacing w:val="-52"/>
        </w:rPr>
        <w:t> </w:t>
      </w:r>
      <w:r>
        <w:rPr>
          <w:rFonts w:ascii="Times New Roman" w:eastAsia="Times New Roman"/>
          <w:w w:val="100"/>
        </w:rPr>
        <w:t>1</w:t>
      </w:r>
      <w:r>
        <w:rPr>
          <w:rFonts w:ascii="Times New Roman" w:eastAsia="Times New Roman"/>
          <w:spacing w:val="-2"/>
          <w:w w:val="100"/>
        </w:rPr>
        <w:t>/</w:t>
      </w:r>
      <w:r>
        <w:rPr>
          <w:rFonts w:ascii="Times New Roman" w:eastAsia="Times New Roman"/>
          <w:spacing w:val="-1"/>
          <w:w w:val="100"/>
        </w:rPr>
        <w:t>2</w:t>
      </w:r>
      <w:r>
        <w:rPr>
          <w:spacing w:val="-108"/>
          <w:w w:val="100"/>
        </w:rPr>
        <w:t>）。</w:t>
      </w:r>
    </w:p>
    <w:p>
      <w:pPr>
        <w:pStyle w:val="BodyText"/>
        <w:spacing w:before="6"/>
        <w:rPr>
          <w:sz w:val="15"/>
        </w:rPr>
      </w:pPr>
    </w:p>
    <w:p>
      <w:pPr>
        <w:pStyle w:val="BodyText"/>
        <w:spacing w:line="417" w:lineRule="auto"/>
        <w:ind w:left="220" w:right="59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6"/>
        </w:rPr>
        <w:t>新召集基金份额持有人大会。重新召集的基金份额持有人大会，应当有代表</w:t>
      </w:r>
      <w:r>
        <w:rPr>
          <w:rFonts w:ascii="Times New Roman" w:eastAsia="Times New Roman"/>
        </w:rPr>
        <w:t>1/3 </w:t>
      </w:r>
      <w:r>
        <w:rPr>
          <w:spacing w:val="-53"/>
        </w:rPr>
        <w:t>以上</w:t>
      </w:r>
      <w:r>
        <w:rPr/>
        <w:t>（</w:t>
      </w:r>
      <w:r>
        <w:rPr>
          <w:spacing w:val="34"/>
        </w:rPr>
        <w:t>含</w:t>
      </w:r>
      <w:r>
        <w:rPr>
          <w:rFonts w:ascii="Times New Roman" w:eastAsia="Times New Roman"/>
        </w:rPr>
        <w:t>1/3</w:t>
      </w:r>
      <w:r>
        <w:rPr/>
        <w:t>） </w:t>
      </w:r>
      <w:r>
        <w:rPr>
          <w:spacing w:val="-3"/>
        </w:rPr>
        <w:t>基金份额的基金份额持有人或其代理人参加，方可召开。</w:t>
      </w:r>
    </w:p>
    <w:p>
      <w:pPr>
        <w:pStyle w:val="BodyText"/>
        <w:spacing w:line="417" w:lineRule="auto"/>
        <w:ind w:left="220" w:right="594" w:firstLine="419"/>
      </w:pPr>
      <w:r>
        <w:rPr>
          <w:rFonts w:ascii="Times New Roman" w:eastAsia="Times New Roman"/>
        </w:rPr>
        <w:t>2</w:t>
      </w:r>
      <w:r>
        <w:rPr/>
        <w:t>、通讯开会。通讯开会系指基金份额持有人将其对表决事项的投票以书面形式在表决截至日以前送达至召集人指定的地址。通讯开会应以书面方式进行表决。</w:t>
      </w:r>
    </w:p>
    <w:p>
      <w:pPr>
        <w:pStyle w:val="BodyText"/>
        <w:ind w:left="640"/>
      </w:pPr>
      <w:r>
        <w:rPr/>
        <w:t>在同时符合以下条件时，通讯开会的方式视为有效：</w:t>
      </w:r>
    </w:p>
    <w:p>
      <w:pPr>
        <w:pStyle w:val="BodyText"/>
        <w:spacing w:before="7"/>
        <w:rPr>
          <w:sz w:val="15"/>
        </w:rPr>
      </w:pPr>
    </w:p>
    <w:p>
      <w:pPr>
        <w:pStyle w:val="ListParagraph"/>
        <w:numPr>
          <w:ilvl w:val="0"/>
          <w:numId w:val="48"/>
        </w:numPr>
        <w:tabs>
          <w:tab w:pos="1170" w:val="left" w:leader="none"/>
        </w:tabs>
        <w:spacing w:line="417" w:lineRule="auto" w:before="0" w:after="0"/>
        <w:ind w:left="220" w:right="593" w:firstLine="419"/>
        <w:jc w:val="both"/>
        <w:rPr>
          <w:sz w:val="21"/>
        </w:rPr>
      </w:pPr>
      <w:r>
        <w:rPr>
          <w:spacing w:val="-5"/>
          <w:sz w:val="21"/>
        </w:rPr>
        <w:t>会议召集人按《基金合同》约定公布会议通知后，在 </w:t>
      </w:r>
      <w:r>
        <w:rPr>
          <w:rFonts w:ascii="Times New Roman" w:eastAsia="Times New Roman"/>
          <w:sz w:val="21"/>
        </w:rPr>
        <w:t>2</w:t>
      </w:r>
      <w:r>
        <w:rPr>
          <w:rFonts w:ascii="Times New Roman" w:eastAsia="Times New Roman"/>
          <w:spacing w:val="20"/>
          <w:sz w:val="21"/>
        </w:rPr>
        <w:t> </w:t>
      </w:r>
      <w:r>
        <w:rPr>
          <w:spacing w:val="-3"/>
          <w:sz w:val="21"/>
        </w:rPr>
        <w:t>个工作日内连续公布相关提示性公告。</w:t>
      </w:r>
    </w:p>
    <w:p>
      <w:pPr>
        <w:pStyle w:val="ListParagraph"/>
        <w:numPr>
          <w:ilvl w:val="0"/>
          <w:numId w:val="48"/>
        </w:numPr>
        <w:tabs>
          <w:tab w:pos="1170" w:val="left" w:leader="none"/>
        </w:tabs>
        <w:spacing w:line="417" w:lineRule="auto" w:before="0" w:after="0"/>
        <w:ind w:left="220" w:right="59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48"/>
        </w:numPr>
        <w:tabs>
          <w:tab w:pos="1170" w:val="left" w:leader="none"/>
        </w:tabs>
        <w:spacing w:line="417" w:lineRule="auto" w:before="0" w:after="0"/>
        <w:ind w:left="220" w:right="593" w:firstLine="419"/>
        <w:jc w:val="both"/>
        <w:rPr>
          <w:sz w:val="21"/>
        </w:rPr>
      </w:pPr>
      <w:r>
        <w:rPr>
          <w:spacing w:val="-3"/>
          <w:sz w:val="21"/>
        </w:rPr>
        <w:t>本人直接出具书面意见或授权他人代表出具书面意见的，基金份额持有人所持有</w:t>
      </w:r>
      <w:r>
        <w:rPr>
          <w:spacing w:val="-3"/>
          <w:w w:val="100"/>
          <w:sz w:val="21"/>
        </w:rPr>
        <w:t>的基金份额不少于在权益登记日基金总份额的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220" w:right="59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6"/>
        </w:rPr>
        <w:t>新召集基金份额持有人大会。重新召集的基金份额持有人大会，应当有代表</w:t>
      </w:r>
      <w:r>
        <w:rPr>
          <w:rFonts w:ascii="Times New Roman" w:eastAsia="Times New Roman"/>
        </w:rPr>
        <w:t>1/3 </w:t>
      </w:r>
      <w:r>
        <w:rPr>
          <w:spacing w:val="-53"/>
        </w:rPr>
        <w:t>以上</w:t>
      </w:r>
      <w:r>
        <w:rPr/>
        <w:t>（</w:t>
      </w:r>
      <w:r>
        <w:rPr>
          <w:spacing w:val="34"/>
        </w:rPr>
        <w:t>含</w:t>
      </w:r>
      <w:r>
        <w:rPr>
          <w:rFonts w:ascii="Times New Roman" w:eastAsia="Times New Roman"/>
        </w:rPr>
        <w:t>1/3</w:t>
      </w:r>
      <w:r>
        <w:rPr/>
        <w:t>） </w:t>
      </w:r>
      <w:r>
        <w:rPr>
          <w:spacing w:val="-3"/>
        </w:rPr>
        <w:t>基金份额的基金份额持有人或其代理人参加，方可召开。</w:t>
      </w:r>
    </w:p>
    <w:p>
      <w:pPr>
        <w:pStyle w:val="ListParagraph"/>
        <w:numPr>
          <w:ilvl w:val="0"/>
          <w:numId w:val="48"/>
        </w:numPr>
        <w:tabs>
          <w:tab w:pos="1170" w:val="left" w:leader="none"/>
        </w:tabs>
        <w:spacing w:line="417" w:lineRule="auto" w:before="0" w:after="0"/>
        <w:ind w:left="220" w:right="59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通知的规定，并与基金登记机构记录相符。</w:t>
      </w:r>
    </w:p>
    <w:p>
      <w:pPr>
        <w:pStyle w:val="ListParagraph"/>
        <w:numPr>
          <w:ilvl w:val="0"/>
          <w:numId w:val="48"/>
        </w:numPr>
        <w:tabs>
          <w:tab w:pos="1170" w:val="left" w:leader="none"/>
        </w:tabs>
        <w:spacing w:line="268" w:lineRule="exact" w:before="0" w:after="0"/>
        <w:ind w:left="1169" w:right="0" w:hanging="530"/>
        <w:jc w:val="left"/>
        <w:rPr>
          <w:sz w:val="21"/>
        </w:rPr>
      </w:pPr>
      <w:r>
        <w:rPr>
          <w:spacing w:val="-3"/>
          <w:sz w:val="21"/>
        </w:rPr>
        <w:t>会议通知公布前报中国证监会备案。</w:t>
      </w:r>
    </w:p>
    <w:p>
      <w:pPr>
        <w:pStyle w:val="BodyText"/>
        <w:spacing w:line="417" w:lineRule="auto" w:before="198"/>
        <w:ind w:left="220" w:right="59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ind w:left="640"/>
      </w:pPr>
      <w:r>
        <w:rPr/>
        <w:t>五、议事内容与程序</w:t>
      </w:r>
    </w:p>
    <w:p>
      <w:pPr>
        <w:spacing w:after="0"/>
        <w:sectPr>
          <w:pgSz w:w="11910" w:h="16840"/>
          <w:pgMar w:header="877" w:footer="995" w:top="1420" w:bottom="1180" w:left="1580" w:right="1200"/>
        </w:sectPr>
      </w:pPr>
    </w:p>
    <w:p>
      <w:pPr>
        <w:pStyle w:val="BodyText"/>
        <w:spacing w:before="110"/>
        <w:ind w:left="640"/>
      </w:pPr>
      <w:r>
        <w:rPr>
          <w:rFonts w:ascii="Times New Roman" w:eastAsia="Times New Roman"/>
        </w:rPr>
        <w:t>1</w:t>
      </w:r>
      <w:r>
        <w:rPr/>
        <w:t>、议事内容及提案权</w:t>
      </w:r>
    </w:p>
    <w:p>
      <w:pPr>
        <w:pStyle w:val="BodyText"/>
        <w:spacing w:before="6"/>
        <w:rPr>
          <w:sz w:val="15"/>
        </w:rPr>
      </w:pPr>
    </w:p>
    <w:p>
      <w:pPr>
        <w:pStyle w:val="BodyText"/>
        <w:spacing w:line="417" w:lineRule="auto"/>
        <w:ind w:left="220" w:right="59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220" w:right="591" w:firstLine="419"/>
      </w:pPr>
      <w:r>
        <w:rPr>
          <w:spacing w:val="-7"/>
        </w:rPr>
        <w:t>基金份额持有人大会的召集人发出召集会议的通知后，对原有提案的修改应当在基金份</w:t>
      </w:r>
      <w:r>
        <w:rPr>
          <w:spacing w:val="-5"/>
        </w:rPr>
        <w:t>额持有人大会召开前及时公告。</w:t>
      </w:r>
    </w:p>
    <w:p>
      <w:pPr>
        <w:pStyle w:val="BodyText"/>
        <w:ind w:left="640"/>
      </w:pPr>
      <w:r>
        <w:rPr/>
        <w:t>基金份额持有人大会不得对未事先公告的议事内容进行表决。</w:t>
      </w:r>
    </w:p>
    <w:p>
      <w:pPr>
        <w:pStyle w:val="BodyText"/>
        <w:spacing w:before="7"/>
        <w:rPr>
          <w:sz w:val="15"/>
        </w:rPr>
      </w:pPr>
    </w:p>
    <w:p>
      <w:pPr>
        <w:pStyle w:val="BodyText"/>
        <w:ind w:left="640"/>
      </w:pPr>
      <w:r>
        <w:rPr>
          <w:rFonts w:ascii="Times New Roman" w:eastAsia="Times New Roman"/>
        </w:rPr>
        <w:t>2</w:t>
      </w:r>
      <w:r>
        <w:rPr/>
        <w:t>、议事程序</w:t>
      </w:r>
    </w:p>
    <w:p>
      <w:pPr>
        <w:pStyle w:val="BodyText"/>
        <w:spacing w:before="6"/>
        <w:rPr>
          <w:sz w:val="15"/>
        </w:rPr>
      </w:pPr>
    </w:p>
    <w:p>
      <w:pPr>
        <w:pStyle w:val="ListParagraph"/>
        <w:numPr>
          <w:ilvl w:val="0"/>
          <w:numId w:val="49"/>
        </w:numPr>
        <w:tabs>
          <w:tab w:pos="1170" w:val="left" w:leader="none"/>
        </w:tabs>
        <w:spacing w:line="240" w:lineRule="auto" w:before="1" w:after="0"/>
        <w:ind w:left="1169" w:right="0" w:hanging="530"/>
        <w:jc w:val="left"/>
        <w:rPr>
          <w:sz w:val="21"/>
        </w:rPr>
      </w:pPr>
      <w:r>
        <w:rPr>
          <w:spacing w:val="-2"/>
          <w:sz w:val="21"/>
        </w:rPr>
        <w:t>现场开会</w:t>
      </w:r>
    </w:p>
    <w:p>
      <w:pPr>
        <w:pStyle w:val="BodyText"/>
        <w:spacing w:before="6"/>
        <w:rPr>
          <w:sz w:val="15"/>
        </w:rPr>
      </w:pPr>
    </w:p>
    <w:p>
      <w:pPr>
        <w:pStyle w:val="BodyText"/>
        <w:spacing w:line="417" w:lineRule="auto"/>
        <w:ind w:left="220" w:right="48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则由出席大会的基金份额持有人和代理人所持表决权的 </w:t>
      </w:r>
      <w:r>
        <w:rPr>
          <w:rFonts w:ascii="Times New Roman" w:eastAsia="Times New Roman"/>
        </w:rPr>
        <w:t>50%</w:t>
      </w:r>
      <w:r>
        <w:rPr>
          <w:spacing w:val="-2"/>
        </w:rPr>
        <w:t>以上</w:t>
      </w:r>
      <w:r>
        <w:rPr>
          <w:spacing w:val="-3"/>
        </w:rPr>
        <w:t>（</w:t>
      </w:r>
      <w:r>
        <w:rPr>
          <w:spacing w:val="-1"/>
        </w:rPr>
        <w:t>含 </w:t>
      </w:r>
      <w:r>
        <w:rPr>
          <w:rFonts w:ascii="Times New Roman" w:eastAsia="Times New Roman"/>
        </w:rPr>
        <w:t>50%</w:t>
      </w:r>
      <w:r>
        <w:rPr/>
        <w:t>）</w:t>
      </w:r>
      <w:r>
        <w:rPr>
          <w:spacing w:val="-2"/>
        </w:rPr>
        <w:t>选举产生一名</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220" w:right="59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pStyle w:val="ListParagraph"/>
        <w:numPr>
          <w:ilvl w:val="0"/>
          <w:numId w:val="49"/>
        </w:numPr>
        <w:tabs>
          <w:tab w:pos="1170" w:val="left" w:leader="none"/>
        </w:tabs>
        <w:spacing w:line="269" w:lineRule="exact" w:before="0" w:after="0"/>
        <w:ind w:left="1169" w:right="0" w:hanging="530"/>
        <w:jc w:val="left"/>
        <w:rPr>
          <w:sz w:val="21"/>
        </w:rPr>
      </w:pPr>
      <w:r>
        <w:rPr>
          <w:spacing w:val="-2"/>
          <w:sz w:val="21"/>
        </w:rPr>
        <w:t>通讯开会</w:t>
      </w:r>
    </w:p>
    <w:p>
      <w:pPr>
        <w:pStyle w:val="BodyText"/>
        <w:spacing w:before="7"/>
        <w:rPr>
          <w:sz w:val="15"/>
        </w:rPr>
      </w:pPr>
    </w:p>
    <w:p>
      <w:pPr>
        <w:pStyle w:val="BodyText"/>
        <w:ind w:left="640"/>
      </w:pPr>
      <w:r>
        <w:rPr/>
        <w:t>在通讯开会的情况下，首先由召集人提前 </w:t>
      </w:r>
      <w:r>
        <w:rPr>
          <w:rFonts w:ascii="Times New Roman" w:eastAsia="Times New Roman"/>
        </w:rPr>
        <w:t>30 </w:t>
      </w:r>
      <w:r>
        <w:rPr/>
        <w:t>日公布提案，在所通知的表决截止日期后</w:t>
      </w:r>
    </w:p>
    <w:p>
      <w:pPr>
        <w:pStyle w:val="BodyText"/>
        <w:spacing w:before="6"/>
        <w:rPr>
          <w:sz w:val="15"/>
        </w:rPr>
      </w:pPr>
    </w:p>
    <w:p>
      <w:pPr>
        <w:pStyle w:val="BodyText"/>
        <w:spacing w:line="417" w:lineRule="auto" w:before="1"/>
        <w:ind w:left="640" w:right="495" w:hanging="420"/>
      </w:pPr>
      <w:r>
        <w:rPr>
          <w:rFonts w:ascii="Times New Roman" w:eastAsia="Times New Roman"/>
        </w:rPr>
        <w:t>2 </w:t>
      </w:r>
      <w:r>
        <w:rPr>
          <w:spacing w:val="-4"/>
        </w:rPr>
        <w:t>个工作日内在公证机关监督下由召集人统计全部有效表决，在公证机关监督下形成决议。</w:t>
      </w:r>
      <w:r>
        <w:rPr>
          <w:spacing w:val="-1"/>
        </w:rPr>
        <w:t>六、表决</w:t>
      </w:r>
    </w:p>
    <w:p>
      <w:pPr>
        <w:pStyle w:val="BodyText"/>
        <w:spacing w:line="417" w:lineRule="auto"/>
        <w:ind w:left="640" w:right="364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220" w:right="590" w:firstLine="419"/>
        <w:jc w:val="both"/>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w:t>
      </w:r>
      <w:r>
        <w:rPr>
          <w:spacing w:val="-5"/>
        </w:rPr>
        <w:t>含 </w:t>
      </w:r>
      <w:r>
        <w:rPr>
          <w:rFonts w:ascii="Times New Roman" w:eastAsia="Times New Roman"/>
        </w:rPr>
        <w:t>50%</w:t>
      </w:r>
      <w:r>
        <w:rPr/>
        <w:t>）</w:t>
      </w:r>
      <w:r>
        <w:rPr>
          <w:spacing w:val="-4"/>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ind w:left="640"/>
        <w:jc w:val="both"/>
        <w:rPr>
          <w:rFonts w:ascii="Times New Roman" w:eastAsia="Times New Roman"/>
        </w:rPr>
      </w:pPr>
      <w:r>
        <w:rPr>
          <w:rFonts w:ascii="Times New Roman" w:eastAsia="Times New Roman"/>
        </w:rPr>
        <w:t>2</w:t>
      </w:r>
      <w:r>
        <w:rPr/>
        <w:t>、特别决议，特别决议应当经参加大会的基金份额持有人或其代理人所持表决权的 </w:t>
      </w:r>
      <w:r>
        <w:rPr>
          <w:rFonts w:ascii="Times New Roman" w:eastAsia="Times New Roman"/>
        </w:rPr>
        <w:t>2/3</w:t>
      </w:r>
    </w:p>
    <w:p>
      <w:pPr>
        <w:spacing w:after="0"/>
        <w:jc w:val="both"/>
        <w:rPr>
          <w:rFonts w:ascii="Times New Roman" w:eastAsia="Times New Roman"/>
        </w:rPr>
        <w:sectPr>
          <w:pgSz w:w="11910" w:h="16840"/>
          <w:pgMar w:header="877" w:footer="995" w:top="1420" w:bottom="1180" w:left="1580" w:right="1200"/>
        </w:sectPr>
      </w:pPr>
    </w:p>
    <w:p>
      <w:pPr>
        <w:pStyle w:val="BodyText"/>
        <w:spacing w:before="110"/>
        <w:ind w:left="220"/>
      </w:pPr>
      <w:r>
        <w:rPr/>
        <w:t>以上（含 </w:t>
      </w:r>
      <w:r>
        <w:rPr>
          <w:rFonts w:ascii="Times New Roman" w:eastAsia="Times New Roman"/>
        </w:rPr>
        <w:t>2/3</w:t>
      </w:r>
      <w:r>
        <w:rPr/>
        <w:t>）通过方可做出。转换基金运作方式、更换基金管理人或者基金托管人、终止</w:t>
      </w:r>
    </w:p>
    <w:p>
      <w:pPr>
        <w:pStyle w:val="BodyText"/>
        <w:spacing w:before="6"/>
        <w:rPr>
          <w:sz w:val="15"/>
        </w:rPr>
      </w:pPr>
    </w:p>
    <w:p>
      <w:pPr>
        <w:pStyle w:val="BodyText"/>
        <w:spacing w:line="417" w:lineRule="auto"/>
        <w:ind w:left="640" w:right="2915" w:hanging="420"/>
      </w:pPr>
      <w:r>
        <w:rPr>
          <w:spacing w:val="-12"/>
        </w:rPr>
        <w:t>《基金合同》、本基金与其他基金合并以特别决议通过方为有效。</w:t>
      </w:r>
      <w:r>
        <w:rPr>
          <w:spacing w:val="-6"/>
        </w:rPr>
        <w:t>基金份额持有人大会采取记名方式进行投票表决。</w:t>
      </w:r>
    </w:p>
    <w:p>
      <w:pPr>
        <w:pStyle w:val="BodyText"/>
        <w:spacing w:line="417" w:lineRule="auto"/>
        <w:ind w:left="220" w:right="59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220" w:right="591" w:firstLine="419"/>
      </w:pPr>
      <w:r>
        <w:rPr>
          <w:spacing w:val="-6"/>
        </w:rPr>
        <w:t>基金份额持有人大会的各项提案或同一项提案内并列的各项议题应当分开审议、逐项表决。</w:t>
      </w:r>
    </w:p>
    <w:p>
      <w:pPr>
        <w:pStyle w:val="BodyText"/>
        <w:spacing w:line="269" w:lineRule="exact"/>
        <w:ind w:left="640"/>
      </w:pPr>
      <w:r>
        <w:rPr/>
        <w:t>七、计票</w:t>
      </w:r>
    </w:p>
    <w:p>
      <w:pPr>
        <w:pStyle w:val="BodyText"/>
        <w:spacing w:before="7"/>
        <w:rPr>
          <w:sz w:val="15"/>
        </w:rPr>
      </w:pPr>
    </w:p>
    <w:p>
      <w:pPr>
        <w:pStyle w:val="BodyText"/>
        <w:ind w:left="640"/>
      </w:pPr>
      <w:r>
        <w:rPr>
          <w:rFonts w:ascii="Times New Roman" w:eastAsia="Times New Roman"/>
        </w:rPr>
        <w:t>1</w:t>
      </w:r>
      <w:r>
        <w:rPr/>
        <w:t>、现场开会</w:t>
      </w:r>
    </w:p>
    <w:p>
      <w:pPr>
        <w:pStyle w:val="BodyText"/>
        <w:spacing w:before="6"/>
        <w:rPr>
          <w:sz w:val="15"/>
        </w:rPr>
      </w:pPr>
    </w:p>
    <w:p>
      <w:pPr>
        <w:pStyle w:val="ListParagraph"/>
        <w:numPr>
          <w:ilvl w:val="0"/>
          <w:numId w:val="50"/>
        </w:numPr>
        <w:tabs>
          <w:tab w:pos="1170" w:val="left" w:leader="none"/>
        </w:tabs>
        <w:spacing w:line="417" w:lineRule="auto" w:before="1" w:after="0"/>
        <w:ind w:left="220" w:right="59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pPr>
        <w:pStyle w:val="ListParagraph"/>
        <w:numPr>
          <w:ilvl w:val="0"/>
          <w:numId w:val="50"/>
        </w:numPr>
        <w:tabs>
          <w:tab w:pos="1170" w:val="left" w:leader="none"/>
        </w:tabs>
        <w:spacing w:line="417" w:lineRule="auto" w:before="0" w:after="0"/>
        <w:ind w:left="220" w:right="59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50"/>
        </w:numPr>
        <w:tabs>
          <w:tab w:pos="1170" w:val="left" w:leader="none"/>
        </w:tabs>
        <w:spacing w:line="417" w:lineRule="auto" w:before="0" w:after="0"/>
        <w:ind w:left="220" w:right="59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50"/>
        </w:numPr>
        <w:tabs>
          <w:tab w:pos="1170" w:val="left" w:leader="none"/>
        </w:tabs>
        <w:spacing w:line="417" w:lineRule="auto" w:before="0" w:after="0"/>
        <w:ind w:left="220" w:right="593" w:firstLine="419"/>
        <w:jc w:val="left"/>
        <w:rPr>
          <w:sz w:val="21"/>
        </w:rPr>
      </w:pPr>
      <w:r>
        <w:rPr>
          <w:spacing w:val="-3"/>
          <w:sz w:val="21"/>
        </w:rPr>
        <w:t>计票过程应由公证机关予以公证</w:t>
      </w:r>
      <w:r>
        <w:rPr>
          <w:rFonts w:ascii="Times New Roman" w:eastAsia="Times New Roman"/>
          <w:sz w:val="21"/>
        </w:rPr>
        <w:t>,</w:t>
      </w:r>
      <w:r>
        <w:rPr>
          <w:spacing w:val="-4"/>
          <w:sz w:val="21"/>
        </w:rPr>
        <w:t>基金管理人或基金托管人拒不出席大会的，不 </w:t>
      </w:r>
      <w:r>
        <w:rPr>
          <w:spacing w:val="-2"/>
          <w:sz w:val="21"/>
        </w:rPr>
        <w:t>影响计票的效力。</w:t>
      </w:r>
    </w:p>
    <w:p>
      <w:pPr>
        <w:pStyle w:val="BodyText"/>
        <w:spacing w:line="269" w:lineRule="exact"/>
        <w:ind w:left="640"/>
      </w:pPr>
      <w:r>
        <w:rPr>
          <w:rFonts w:ascii="Times New Roman" w:eastAsia="Times New Roman"/>
        </w:rPr>
        <w:t>2</w:t>
      </w:r>
      <w:r>
        <w:rPr/>
        <w:t>、通讯开会</w:t>
      </w:r>
    </w:p>
    <w:p>
      <w:pPr>
        <w:pStyle w:val="BodyText"/>
        <w:spacing w:line="417" w:lineRule="auto" w:before="198"/>
        <w:ind w:left="220" w:right="59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spacing w:line="269" w:lineRule="exact"/>
        <w:ind w:left="640"/>
      </w:pPr>
      <w:r>
        <w:rPr/>
        <w:t>八、生效与公告</w:t>
      </w:r>
    </w:p>
    <w:p>
      <w:pPr>
        <w:spacing w:after="0" w:line="269" w:lineRule="exact"/>
        <w:sectPr>
          <w:pgSz w:w="11910" w:h="16840"/>
          <w:pgMar w:header="877" w:footer="995" w:top="1420" w:bottom="1180" w:left="1580" w:right="1200"/>
        </w:sectPr>
      </w:pPr>
    </w:p>
    <w:p>
      <w:pPr>
        <w:pStyle w:val="BodyText"/>
        <w:spacing w:line="417" w:lineRule="auto" w:before="110"/>
        <w:ind w:left="640" w:right="856"/>
      </w:pPr>
      <w:r>
        <w:rPr/>
        <w:t>基金份额持有人大会的决议，召集人应当自通过之日起 </w:t>
      </w:r>
      <w:r>
        <w:rPr>
          <w:rFonts w:ascii="Times New Roman" w:eastAsia="Times New Roman"/>
        </w:rPr>
        <w:t>5 </w:t>
      </w:r>
      <w:r>
        <w:rPr/>
        <w:t>日内报中国证监会备案。基金份额持有人大会的决议自表决通过之日起生效。</w:t>
      </w:r>
    </w:p>
    <w:p>
      <w:pPr>
        <w:pStyle w:val="BodyText"/>
        <w:spacing w:line="417" w:lineRule="auto"/>
        <w:ind w:left="220" w:right="593" w:firstLine="419"/>
      </w:pPr>
      <w:r>
        <w:rPr/>
        <w:t>基金份额持有人大会决议自生效后 </w:t>
      </w:r>
      <w:r>
        <w:rPr>
          <w:rFonts w:ascii="Times New Roman" w:eastAsia="Times New Roman"/>
        </w:rPr>
        <w:t>2 </w:t>
      </w:r>
      <w:r>
        <w:rPr/>
        <w:t>个工作日内按照法律法规和中国证监会相关规定的要求在指定媒介上公告。</w:t>
      </w:r>
    </w:p>
    <w:p>
      <w:pPr>
        <w:pStyle w:val="BodyText"/>
        <w:spacing w:line="417" w:lineRule="auto"/>
        <w:ind w:left="220" w:right="38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力。</w:t>
      </w:r>
    </w:p>
    <w:p>
      <w:pPr>
        <w:pStyle w:val="BodyText"/>
        <w:spacing w:line="417" w:lineRule="auto"/>
        <w:ind w:left="220" w:right="591" w:firstLine="419"/>
        <w:jc w:val="both"/>
      </w:pPr>
      <w:r>
        <w:rPr>
          <w:spacing w:val="-20"/>
        </w:rPr>
        <w:t>九、本部分关于基金份额持有人大会召开事由、召开条件、议事程序、表决条件等规定， </w:t>
      </w:r>
      <w:r>
        <w:rPr>
          <w:spacing w:val="-13"/>
        </w:rPr>
        <w:t>凡是直接引用法律法规的部分，如将来法律法规修改导致相关内容被取消或变更的，基金管</w:t>
      </w:r>
      <w:r>
        <w:rPr>
          <w:spacing w:val="-12"/>
        </w:rPr>
        <w:t>理人经与基金托管人协商一致，并履行适当程序和提前公告后，可对本部分内容进行修改和调整。</w:t>
      </w:r>
    </w:p>
    <w:p>
      <w:pPr>
        <w:spacing w:line="268" w:lineRule="exact" w:before="0"/>
        <w:ind w:left="2688" w:right="0" w:firstLine="0"/>
        <w:jc w:val="both"/>
        <w:rPr>
          <w:b/>
          <w:sz w:val="21"/>
        </w:rPr>
      </w:pPr>
      <w:r>
        <w:rPr>
          <w:b/>
          <w:sz w:val="21"/>
        </w:rPr>
        <w:t>第三部分 基金收益分配原则、执行方式</w:t>
      </w:r>
    </w:p>
    <w:p>
      <w:pPr>
        <w:pStyle w:val="BodyText"/>
        <w:spacing w:before="6"/>
        <w:rPr>
          <w:b/>
          <w:sz w:val="15"/>
        </w:rPr>
      </w:pPr>
    </w:p>
    <w:p>
      <w:pPr>
        <w:pStyle w:val="BodyText"/>
        <w:ind w:left="693"/>
      </w:pPr>
      <w:r>
        <w:rPr/>
        <w:t>一、基金利润的构成</w:t>
      </w:r>
    </w:p>
    <w:p>
      <w:pPr>
        <w:pStyle w:val="BodyText"/>
        <w:spacing w:before="6"/>
        <w:rPr>
          <w:sz w:val="15"/>
        </w:rPr>
      </w:pPr>
    </w:p>
    <w:p>
      <w:pPr>
        <w:pStyle w:val="BodyText"/>
        <w:spacing w:line="417" w:lineRule="auto" w:before="1"/>
        <w:ind w:left="220" w:right="595" w:firstLine="472"/>
      </w:pPr>
      <w:r>
        <w:rPr/>
        <w:t>基金利润指基金利息收入、投资收益、公允价值变动收益和其他收入扣除相关费用后的余额，基金已实现收益指基金利润减去公允价值变动收益后的余额。</w:t>
      </w:r>
    </w:p>
    <w:p>
      <w:pPr>
        <w:pStyle w:val="BodyText"/>
        <w:ind w:left="693"/>
      </w:pPr>
      <w:r>
        <w:rPr/>
        <w:t>二、基金可供分配利润</w:t>
      </w:r>
    </w:p>
    <w:p>
      <w:pPr>
        <w:pStyle w:val="BodyText"/>
        <w:spacing w:before="6"/>
        <w:rPr>
          <w:sz w:val="15"/>
        </w:rPr>
      </w:pPr>
    </w:p>
    <w:p>
      <w:pPr>
        <w:pStyle w:val="BodyText"/>
        <w:spacing w:line="417" w:lineRule="auto"/>
        <w:ind w:left="220" w:right="595" w:firstLine="472"/>
      </w:pPr>
      <w:r>
        <w:rPr/>
        <w:t>基金可供分配利润指截至收益分配基准日基金未分配利润与未分配利润中已实现收益的孰低数。</w:t>
      </w:r>
    </w:p>
    <w:p>
      <w:pPr>
        <w:pStyle w:val="BodyText"/>
        <w:spacing w:line="269" w:lineRule="exact"/>
        <w:ind w:left="693"/>
      </w:pPr>
      <w:r>
        <w:rPr/>
        <w:t>三、基金收益分配原则</w:t>
      </w:r>
    </w:p>
    <w:p>
      <w:pPr>
        <w:pStyle w:val="BodyText"/>
        <w:spacing w:before="7"/>
        <w:rPr>
          <w:sz w:val="15"/>
        </w:rPr>
      </w:pPr>
    </w:p>
    <w:p>
      <w:pPr>
        <w:pStyle w:val="BodyText"/>
        <w:spacing w:line="417" w:lineRule="auto"/>
        <w:ind w:left="220" w:right="591" w:firstLine="472"/>
        <w:jc w:val="both"/>
      </w:pPr>
      <w:r>
        <w:rPr>
          <w:rFonts w:ascii="Times New Roman" w:eastAsia="Times New Roman"/>
        </w:rPr>
        <w:t>1</w:t>
      </w:r>
      <w:r>
        <w:rPr>
          <w:spacing w:val="-4"/>
        </w:rPr>
        <w:t>、在符合有关基金分红条件的前提下，本基金每年收益分配次数最多为 </w:t>
      </w:r>
      <w:r>
        <w:rPr>
          <w:rFonts w:ascii="Times New Roman" w:eastAsia="Times New Roman"/>
        </w:rPr>
        <w:t>12 </w:t>
      </w:r>
      <w:r>
        <w:rPr>
          <w:spacing w:val="-1"/>
        </w:rPr>
        <w:t>次，每次</w:t>
      </w:r>
      <w:r>
        <w:rPr>
          <w:spacing w:val="-4"/>
        </w:rPr>
        <w:t>收益分配比例不得低于该次可供分配利润的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left="220" w:right="591" w:firstLine="472"/>
        <w:jc w:val="both"/>
      </w:pPr>
      <w:r>
        <w:rPr>
          <w:rFonts w:ascii="Times New Roman" w:eastAsia="Times New Roman"/>
        </w:rPr>
        <w:t>2</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pPr>
        <w:pStyle w:val="BodyText"/>
        <w:spacing w:line="417" w:lineRule="auto"/>
        <w:ind w:left="220" w:right="591" w:firstLine="472"/>
      </w:pPr>
      <w:r>
        <w:rPr>
          <w:rFonts w:ascii="Times New Roman" w:eastAsia="Times New Roman"/>
        </w:rPr>
        <w:t>3</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spacing w:line="269" w:lineRule="exact"/>
        <w:ind w:left="693"/>
      </w:pPr>
      <w:r>
        <w:rPr>
          <w:rFonts w:ascii="Times New Roman" w:eastAsia="Times New Roman"/>
        </w:rPr>
        <w:t>4</w:t>
      </w:r>
      <w:r>
        <w:rPr/>
        <w:t>、每一基金份额享有同等分配权；</w:t>
      </w:r>
    </w:p>
    <w:p>
      <w:pPr>
        <w:pStyle w:val="BodyText"/>
        <w:spacing w:before="7"/>
        <w:rPr>
          <w:sz w:val="15"/>
        </w:rPr>
      </w:pPr>
    </w:p>
    <w:p>
      <w:pPr>
        <w:pStyle w:val="BodyText"/>
        <w:ind w:left="693"/>
      </w:pPr>
      <w:r>
        <w:rPr>
          <w:rFonts w:ascii="Times New Roman" w:eastAsia="Times New Roman"/>
        </w:rPr>
        <w:t>5</w:t>
      </w:r>
      <w:r>
        <w:rPr/>
        <w:t>、法律法规或监管机关另有规定的，从其规定。</w:t>
      </w:r>
    </w:p>
    <w:p>
      <w:pPr>
        <w:pStyle w:val="BodyText"/>
        <w:spacing w:before="6"/>
        <w:rPr>
          <w:sz w:val="15"/>
        </w:rPr>
      </w:pPr>
    </w:p>
    <w:p>
      <w:pPr>
        <w:pStyle w:val="BodyText"/>
        <w:spacing w:before="1"/>
        <w:ind w:left="693"/>
      </w:pPr>
      <w:r>
        <w:rPr/>
        <w:t>在不违反法律法规且对现有基金份额持有人利益无实质性不利影响的情况下，基金管</w:t>
      </w:r>
    </w:p>
    <w:p>
      <w:pPr>
        <w:spacing w:after="0"/>
        <w:sectPr>
          <w:pgSz w:w="11910" w:h="16840"/>
          <w:pgMar w:header="877" w:footer="995" w:top="1420" w:bottom="1180" w:left="1580" w:right="1200"/>
        </w:sectPr>
      </w:pPr>
    </w:p>
    <w:p>
      <w:pPr>
        <w:pStyle w:val="BodyText"/>
        <w:spacing w:line="417" w:lineRule="auto" w:before="110"/>
        <w:ind w:left="693" w:right="1335" w:hanging="473"/>
      </w:pPr>
      <w:r>
        <w:rPr/>
        <w:t>理人、登记机构可对基金收益分配原则进行调整，不需召开基金份额持有人大会。四、收益分配方案</w:t>
      </w:r>
    </w:p>
    <w:p>
      <w:pPr>
        <w:pStyle w:val="BodyText"/>
        <w:spacing w:line="417" w:lineRule="auto"/>
        <w:ind w:left="220" w:right="450" w:firstLine="472"/>
      </w:pPr>
      <w:r>
        <w:rPr/>
        <w:t>基金收益分配方案中应载明截止收益分配基准日的可供分配利润、基金收益分配对象、分配时间、分配数额及比例、分配方式等内容。</w:t>
      </w:r>
    </w:p>
    <w:p>
      <w:pPr>
        <w:pStyle w:val="BodyText"/>
        <w:spacing w:line="269" w:lineRule="exact"/>
        <w:ind w:left="693"/>
      </w:pPr>
      <w:r>
        <w:rPr/>
        <w:t>五、收益分配方案的确定、公告与实施</w:t>
      </w:r>
    </w:p>
    <w:p>
      <w:pPr>
        <w:pStyle w:val="BodyText"/>
        <w:spacing w:before="6"/>
        <w:rPr>
          <w:sz w:val="15"/>
        </w:rPr>
      </w:pPr>
    </w:p>
    <w:p>
      <w:pPr>
        <w:pStyle w:val="BodyText"/>
        <w:spacing w:line="417" w:lineRule="auto"/>
        <w:ind w:left="220" w:right="593" w:firstLine="472"/>
      </w:pPr>
      <w:r>
        <w:rPr>
          <w:spacing w:val="-4"/>
        </w:rPr>
        <w:t>本基金收益分配方案由基金管理人拟定，并由基金托管人复核，在 </w:t>
      </w:r>
      <w:r>
        <w:rPr>
          <w:rFonts w:ascii="Times New Roman" w:eastAsia="Times New Roman"/>
        </w:rPr>
        <w:t>2</w:t>
      </w:r>
      <w:r>
        <w:rPr>
          <w:rFonts w:ascii="Times New Roman" w:eastAsia="Times New Roman"/>
          <w:spacing w:val="51"/>
        </w:rPr>
        <w:t> </w:t>
      </w:r>
      <w:r>
        <w:rPr>
          <w:spacing w:val="-3"/>
        </w:rPr>
        <w:t>日内在指定媒介公告并报中国证监会备案。</w:t>
      </w:r>
    </w:p>
    <w:p>
      <w:pPr>
        <w:pStyle w:val="BodyText"/>
        <w:ind w:left="693"/>
      </w:pPr>
      <w:r>
        <w:rPr/>
        <w:t>基金红利发放日距离收益分配基准日（即可供分配利润计算截止日）的时间不得超过</w:t>
      </w:r>
    </w:p>
    <w:p>
      <w:pPr>
        <w:pStyle w:val="BodyText"/>
        <w:spacing w:before="7"/>
        <w:rPr>
          <w:sz w:val="15"/>
        </w:rPr>
      </w:pPr>
    </w:p>
    <w:p>
      <w:pPr>
        <w:pStyle w:val="BodyText"/>
        <w:ind w:left="220"/>
      </w:pPr>
      <w:r>
        <w:rPr>
          <w:rFonts w:ascii="Times New Roman" w:eastAsia="Times New Roman"/>
        </w:rPr>
        <w:t>15 </w:t>
      </w:r>
      <w:r>
        <w:rPr/>
        <w:t>个工作日。</w:t>
      </w:r>
    </w:p>
    <w:p>
      <w:pPr>
        <w:pStyle w:val="BodyText"/>
        <w:spacing w:before="7"/>
        <w:rPr>
          <w:sz w:val="15"/>
        </w:rPr>
      </w:pPr>
    </w:p>
    <w:p>
      <w:pPr>
        <w:pStyle w:val="BodyText"/>
        <w:ind w:left="693"/>
      </w:pPr>
      <w:r>
        <w:rPr/>
        <w:t>六、基金收益分配中发生的费用</w:t>
      </w:r>
    </w:p>
    <w:p>
      <w:pPr>
        <w:pStyle w:val="BodyText"/>
        <w:spacing w:before="6"/>
        <w:rPr>
          <w:sz w:val="15"/>
        </w:rPr>
      </w:pPr>
    </w:p>
    <w:p>
      <w:pPr>
        <w:pStyle w:val="BodyText"/>
        <w:spacing w:line="417" w:lineRule="auto" w:before="1"/>
        <w:ind w:left="220" w:right="591" w:firstLine="419"/>
        <w:jc w:val="both"/>
      </w:pPr>
      <w:r>
        <w:rPr>
          <w:spacing w:val="-6"/>
        </w:rPr>
        <w:t>基金收益分配时所发生的银行转账或其他手续费用由投资者自行承担。当投资者的现金</w:t>
      </w:r>
      <w:r>
        <w:rPr>
          <w:spacing w:val="-11"/>
        </w:rPr>
        <w:t>红利小于一定金额，不足于支付银行转账或其他手续费用时，基金登记机构可将基金份额持</w:t>
      </w:r>
      <w:r>
        <w:rPr>
          <w:spacing w:val="-6"/>
        </w:rPr>
        <w:t>有人的现金红利自动转为基金份额。红利再投资的计算方法，依照《业务规则》执行。</w:t>
      </w:r>
    </w:p>
    <w:p>
      <w:pPr>
        <w:spacing w:line="417" w:lineRule="auto" w:before="0"/>
        <w:ind w:left="640" w:right="1374" w:firstLine="782"/>
        <w:jc w:val="both"/>
        <w:rPr>
          <w:sz w:val="21"/>
        </w:rPr>
      </w:pPr>
      <w:r>
        <w:rPr>
          <w:b/>
          <w:spacing w:val="-4"/>
          <w:sz w:val="21"/>
        </w:rPr>
        <w:t>第四部分 与基金财产管理、运用有关费用的提取、支付方式与比例</w:t>
      </w:r>
      <w:r>
        <w:rPr>
          <w:spacing w:val="-3"/>
          <w:sz w:val="21"/>
        </w:rPr>
        <w:t>一、基金费用的种类</w:t>
      </w:r>
    </w:p>
    <w:p>
      <w:pPr>
        <w:pStyle w:val="BodyText"/>
        <w:ind w:left="640"/>
      </w:pPr>
      <w:r>
        <w:rPr>
          <w:rFonts w:ascii="Times New Roman" w:eastAsia="Times New Roman"/>
        </w:rPr>
        <w:t>1</w:t>
      </w:r>
      <w:r>
        <w:rPr>
          <w:spacing w:val="-3"/>
        </w:rPr>
        <w:t>、基金管理人的管理费；</w:t>
      </w:r>
    </w:p>
    <w:p>
      <w:pPr>
        <w:pStyle w:val="BodyText"/>
        <w:spacing w:before="6"/>
        <w:rPr>
          <w:sz w:val="15"/>
        </w:rPr>
      </w:pPr>
    </w:p>
    <w:p>
      <w:pPr>
        <w:pStyle w:val="BodyText"/>
        <w:ind w:left="640"/>
      </w:pPr>
      <w:r>
        <w:rPr>
          <w:rFonts w:ascii="Times New Roman" w:eastAsia="Times New Roman"/>
        </w:rPr>
        <w:t>2</w:t>
      </w:r>
      <w:r>
        <w:rPr>
          <w:spacing w:val="-3"/>
        </w:rPr>
        <w:t>、基金托管人的托管费；</w:t>
      </w:r>
    </w:p>
    <w:p>
      <w:pPr>
        <w:pStyle w:val="BodyText"/>
        <w:spacing w:before="6"/>
        <w:rPr>
          <w:sz w:val="15"/>
        </w:rPr>
      </w:pPr>
    </w:p>
    <w:p>
      <w:pPr>
        <w:pStyle w:val="BodyText"/>
        <w:spacing w:before="1"/>
        <w:ind w:left="640"/>
      </w:pPr>
      <w:r>
        <w:rPr>
          <w:rFonts w:ascii="Times New Roman" w:eastAsia="Times New Roman"/>
        </w:rPr>
        <w:t>3</w:t>
      </w:r>
      <w:r>
        <w:rPr/>
        <w:t>、《基金合同》生效后与基金相关的信息披露费用；</w:t>
      </w:r>
    </w:p>
    <w:p>
      <w:pPr>
        <w:pStyle w:val="BodyText"/>
        <w:spacing w:before="6"/>
        <w:rPr>
          <w:sz w:val="15"/>
        </w:rPr>
      </w:pPr>
    </w:p>
    <w:p>
      <w:pPr>
        <w:pStyle w:val="BodyText"/>
        <w:ind w:left="640"/>
      </w:pPr>
      <w:r>
        <w:rPr>
          <w:rFonts w:ascii="Times New Roman" w:eastAsia="Times New Roman"/>
        </w:rPr>
        <w:t>4</w:t>
      </w:r>
      <w:r>
        <w:rPr/>
        <w:t>、《基金合同》生效后与基金相关的会计师费、律师费和诉讼费；</w:t>
      </w:r>
    </w:p>
    <w:p>
      <w:pPr>
        <w:pStyle w:val="BodyText"/>
        <w:spacing w:before="7"/>
        <w:rPr>
          <w:sz w:val="15"/>
        </w:rPr>
      </w:pPr>
    </w:p>
    <w:p>
      <w:pPr>
        <w:pStyle w:val="BodyText"/>
        <w:ind w:left="640"/>
      </w:pPr>
      <w:r>
        <w:rPr>
          <w:rFonts w:ascii="Times New Roman" w:eastAsia="Times New Roman"/>
        </w:rPr>
        <w:t>5</w:t>
      </w:r>
      <w:r>
        <w:rPr/>
        <w:t>、基金份额持有人大会费用；</w:t>
      </w:r>
    </w:p>
    <w:p>
      <w:pPr>
        <w:pStyle w:val="BodyText"/>
        <w:spacing w:before="7"/>
        <w:rPr>
          <w:sz w:val="15"/>
        </w:rPr>
      </w:pPr>
    </w:p>
    <w:p>
      <w:pPr>
        <w:pStyle w:val="BodyText"/>
        <w:spacing w:line="417" w:lineRule="auto"/>
        <w:ind w:left="220" w:right="593" w:firstLine="419"/>
      </w:pPr>
      <w:r>
        <w:rPr>
          <w:rFonts w:ascii="Times New Roman" w:eastAsia="Times New Roman"/>
        </w:rPr>
        <w:t>6</w:t>
      </w:r>
      <w:r>
        <w:rPr>
          <w:spacing w:val="-5"/>
        </w:rPr>
        <w:t>、基金的证券、期货交易费用</w:t>
      </w:r>
      <w:r>
        <w:rPr>
          <w:rFonts w:ascii="Times New Roman" w:eastAsia="Times New Roman"/>
        </w:rPr>
        <w:t>(</w:t>
      </w:r>
      <w:r>
        <w:rPr>
          <w:spacing w:val="-7"/>
        </w:rPr>
        <w:t>包括但不限于经手费、印花税、证管费、过户费、手续</w:t>
      </w:r>
      <w:r>
        <w:rPr>
          <w:spacing w:val="-5"/>
        </w:rPr>
        <w:t>费、券商佣金、权证交易的结算费、证券</w:t>
      </w:r>
      <w:r>
        <w:rPr>
          <w:rFonts w:ascii="Times New Roman" w:eastAsia="Times New Roman"/>
          <w:spacing w:val="-4"/>
        </w:rPr>
        <w:t>/</w:t>
      </w:r>
      <w:r>
        <w:rPr>
          <w:spacing w:val="-3"/>
        </w:rPr>
        <w:t>期货账户相关费用及其他类似性质的费用等</w:t>
      </w:r>
      <w:r>
        <w:rPr>
          <w:rFonts w:ascii="Times New Roman" w:eastAsia="Times New Roman"/>
        </w:rPr>
        <w:t>)</w:t>
      </w:r>
      <w:r>
        <w:rPr/>
        <w:t>；</w:t>
      </w:r>
    </w:p>
    <w:p>
      <w:pPr>
        <w:pStyle w:val="BodyText"/>
        <w:ind w:left="640"/>
      </w:pPr>
      <w:r>
        <w:rPr>
          <w:rFonts w:ascii="Times New Roman" w:eastAsia="Times New Roman"/>
        </w:rPr>
        <w:t>7</w:t>
      </w:r>
      <w:r>
        <w:rPr/>
        <w:t>、基金的银行汇划费用；</w:t>
      </w:r>
    </w:p>
    <w:p>
      <w:pPr>
        <w:pStyle w:val="BodyText"/>
        <w:spacing w:before="7"/>
        <w:rPr>
          <w:sz w:val="15"/>
        </w:rPr>
      </w:pPr>
    </w:p>
    <w:p>
      <w:pPr>
        <w:pStyle w:val="BodyText"/>
        <w:ind w:left="640"/>
      </w:pPr>
      <w:r>
        <w:rPr>
          <w:rFonts w:ascii="Times New Roman" w:eastAsia="Times New Roman"/>
        </w:rPr>
        <w:t>8</w:t>
      </w:r>
      <w:r>
        <w:rPr/>
        <w:t>、按照国家有关规定和《基金合同》约定，可以在基金财产中列支的其他费用。</w:t>
      </w:r>
    </w:p>
    <w:p>
      <w:pPr>
        <w:pStyle w:val="BodyText"/>
        <w:spacing w:before="7"/>
        <w:rPr>
          <w:sz w:val="15"/>
        </w:rPr>
      </w:pPr>
    </w:p>
    <w:p>
      <w:pPr>
        <w:pStyle w:val="BodyText"/>
        <w:spacing w:line="417" w:lineRule="auto"/>
        <w:ind w:left="220" w:right="591" w:firstLine="419"/>
      </w:pPr>
      <w:r>
        <w:rPr>
          <w:spacing w:val="-9"/>
        </w:rPr>
        <w:t>在中国证监会允许的前提下，本基金可以从基金财产中计提销售服务费，不需召开持有</w:t>
      </w:r>
      <w:r>
        <w:rPr>
          <w:spacing w:val="-5"/>
        </w:rPr>
        <w:t>人大会，具体计提方法、计提标准在招募说明书或相关公告中载明。</w:t>
      </w:r>
    </w:p>
    <w:p>
      <w:pPr>
        <w:pStyle w:val="BodyText"/>
        <w:spacing w:line="269" w:lineRule="exact"/>
        <w:ind w:left="640"/>
      </w:pPr>
      <w:r>
        <w:rPr/>
        <w:t>二、基金费用计提方法、计提标准和支付方式</w:t>
      </w:r>
    </w:p>
    <w:p>
      <w:pPr>
        <w:pStyle w:val="BodyText"/>
        <w:spacing w:before="6"/>
        <w:rPr>
          <w:sz w:val="15"/>
        </w:rPr>
      </w:pPr>
    </w:p>
    <w:p>
      <w:pPr>
        <w:pStyle w:val="BodyText"/>
        <w:ind w:left="640"/>
      </w:pPr>
      <w:r>
        <w:rPr>
          <w:rFonts w:ascii="Times New Roman" w:eastAsia="Times New Roman"/>
        </w:rPr>
        <w:t>1</w:t>
      </w:r>
      <w:r>
        <w:rPr/>
        <w:t>、基金管理人的管理费</w:t>
      </w:r>
    </w:p>
    <w:p>
      <w:pPr>
        <w:pStyle w:val="BodyText"/>
        <w:spacing w:before="7"/>
        <w:rPr>
          <w:sz w:val="15"/>
        </w:rPr>
      </w:pPr>
    </w:p>
    <w:p>
      <w:pPr>
        <w:pStyle w:val="BodyText"/>
        <w:spacing w:line="417" w:lineRule="auto" w:before="1"/>
        <w:ind w:left="640" w:right="452"/>
      </w:pPr>
      <w:r>
        <w:rPr/>
        <w:t>本基金的管理费按前一日基金资产净值的 </w:t>
      </w:r>
      <w:r>
        <w:rPr>
          <w:rFonts w:ascii="Times New Roman" w:hAnsi="Times New Roman" w:eastAsia="Times New Roman"/>
        </w:rPr>
        <w:t>1.50%</w:t>
      </w:r>
      <w:r>
        <w:rPr/>
        <w:t>年费率计提。管理费的计算方法如下： </w:t>
      </w: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1.50%</w:t>
      </w:r>
      <w:r>
        <w:rPr/>
        <w:t>÷当年天数</w:t>
      </w:r>
    </w:p>
    <w:p>
      <w:pPr>
        <w:spacing w:after="0" w:line="417" w:lineRule="auto"/>
        <w:sectPr>
          <w:pgSz w:w="11910" w:h="16840"/>
          <w:pgMar w:header="877" w:footer="995" w:top="1420" w:bottom="1180" w:left="1580" w:right="1200"/>
        </w:sectPr>
      </w:pPr>
    </w:p>
    <w:p>
      <w:pPr>
        <w:pStyle w:val="BodyText"/>
        <w:spacing w:before="110"/>
        <w:ind w:left="640"/>
        <w:jc w:val="both"/>
      </w:pPr>
      <w:r>
        <w:rPr>
          <w:rFonts w:ascii="Times New Roman" w:eastAsia="Times New Roman"/>
        </w:rPr>
        <w:t>H </w:t>
      </w:r>
      <w:r>
        <w:rPr/>
        <w:t>为每日应计提的基金管理费</w:t>
      </w:r>
    </w:p>
    <w:p>
      <w:pPr>
        <w:pStyle w:val="BodyText"/>
        <w:spacing w:before="6"/>
        <w:rPr>
          <w:sz w:val="15"/>
        </w:rPr>
      </w:pPr>
    </w:p>
    <w:p>
      <w:pPr>
        <w:pStyle w:val="BodyText"/>
        <w:ind w:left="640"/>
        <w:jc w:val="both"/>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220" w:right="591" w:firstLine="419"/>
        <w:jc w:val="both"/>
      </w:pPr>
      <w:r>
        <w:rPr>
          <w:spacing w:val="-9"/>
        </w:rPr>
        <w:t>基金管理费每日计提，逐日累计至每月月末，按月支付。经基金管理人与基金托管人核</w:t>
      </w:r>
      <w:r>
        <w:rPr>
          <w:spacing w:val="-13"/>
        </w:rPr>
        <w:t>对一致后，由基金托管人于次月首日起 </w:t>
      </w:r>
      <w:r>
        <w:rPr>
          <w:rFonts w:ascii="Times New Roman" w:eastAsia="Times New Roman"/>
        </w:rPr>
        <w:t>2-5 </w:t>
      </w:r>
      <w:r>
        <w:rPr>
          <w:spacing w:val="-3"/>
        </w:rPr>
        <w:t>个工作日内从基金财产中一次性支付给基金管理人。若遇法定节假日、公休假等</w:t>
      </w:r>
      <w:r>
        <w:rPr>
          <w:rFonts w:ascii="Times New Roman" w:eastAsia="Times New Roman"/>
        </w:rPr>
        <w:t>,</w:t>
      </w:r>
      <w:r>
        <w:rPr>
          <w:spacing w:val="-3"/>
        </w:rPr>
        <w:t>支付日期顺延。</w:t>
      </w:r>
    </w:p>
    <w:p>
      <w:pPr>
        <w:pStyle w:val="BodyText"/>
        <w:spacing w:line="269" w:lineRule="exact"/>
        <w:ind w:left="640"/>
      </w:pPr>
      <w:r>
        <w:rPr>
          <w:rFonts w:ascii="Times New Roman" w:eastAsia="Times New Roman"/>
        </w:rPr>
        <w:t>2</w:t>
      </w:r>
      <w:r>
        <w:rPr/>
        <w:t>、基金托管人的托管费</w:t>
      </w:r>
    </w:p>
    <w:p>
      <w:pPr>
        <w:pStyle w:val="BodyText"/>
        <w:spacing w:before="7"/>
        <w:rPr>
          <w:sz w:val="15"/>
        </w:rPr>
      </w:pPr>
    </w:p>
    <w:p>
      <w:pPr>
        <w:pStyle w:val="BodyText"/>
        <w:spacing w:line="417" w:lineRule="auto"/>
        <w:ind w:left="640" w:right="384"/>
      </w:pPr>
      <w:r>
        <w:rPr>
          <w:spacing w:val="-4"/>
        </w:rPr>
        <w:t>本基金的托管费按前一日基金资产净值的 </w:t>
      </w:r>
      <w:r>
        <w:rPr>
          <w:rFonts w:ascii="Times New Roman" w:hAnsi="Times New Roman" w:eastAsia="Times New Roman"/>
        </w:rPr>
        <w:t>0.25%</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w:t>
      </w:r>
      <w:r>
        <w:rPr>
          <w:spacing w:val="-9"/>
        </w:rPr>
        <w:t>×</w:t>
      </w:r>
      <w:r>
        <w:rPr>
          <w:rFonts w:ascii="Times New Roman" w:hAnsi="Times New Roman" w:eastAsia="Times New Roman"/>
          <w:spacing w:val="-9"/>
        </w:rPr>
        <w:t>0.25%</w:t>
      </w:r>
      <w:r>
        <w:rPr>
          <w:spacing w:val="-4"/>
        </w:rPr>
        <w:t>÷当年天数</w:t>
      </w:r>
    </w:p>
    <w:p>
      <w:pPr>
        <w:pStyle w:val="BodyText"/>
        <w:ind w:left="640"/>
      </w:pPr>
      <w:r>
        <w:rPr>
          <w:rFonts w:ascii="Times New Roman" w:eastAsia="Times New Roman"/>
        </w:rPr>
        <w:t>H </w:t>
      </w:r>
      <w:r>
        <w:rPr/>
        <w:t>为每日应计提的基金托管费</w:t>
      </w:r>
    </w:p>
    <w:p>
      <w:pPr>
        <w:pStyle w:val="BodyText"/>
        <w:spacing w:before="7"/>
        <w:rPr>
          <w:sz w:val="15"/>
        </w:rPr>
      </w:pPr>
    </w:p>
    <w:p>
      <w:pPr>
        <w:pStyle w:val="BodyText"/>
        <w:ind w:left="640"/>
        <w:jc w:val="both"/>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220" w:right="591" w:firstLine="419"/>
        <w:jc w:val="both"/>
      </w:pPr>
      <w:r>
        <w:rPr>
          <w:spacing w:val="-9"/>
        </w:rPr>
        <w:t>基金托管费每日计提，逐日累计至每月月末，按月支付。经基金管理人与基金托管人核</w:t>
      </w:r>
      <w:r>
        <w:rPr>
          <w:spacing w:val="-11"/>
        </w:rPr>
        <w:t>对一致后，由基金托管人于次月首日起 </w:t>
      </w:r>
      <w:r>
        <w:rPr>
          <w:rFonts w:ascii="Times New Roman" w:eastAsia="Times New Roman"/>
        </w:rPr>
        <w:t>2-5 </w:t>
      </w:r>
      <w:r>
        <w:rPr>
          <w:spacing w:val="-5"/>
        </w:rPr>
        <w:t>个工作日内从基金财产中一次性支取。若遇法定</w:t>
      </w:r>
      <w:r>
        <w:rPr>
          <w:spacing w:val="-4"/>
        </w:rPr>
        <w:t>节假日、公休日等，支付日期顺延。</w:t>
      </w:r>
    </w:p>
    <w:p>
      <w:pPr>
        <w:pStyle w:val="BodyText"/>
        <w:spacing w:line="417" w:lineRule="auto"/>
        <w:ind w:left="220" w:right="591" w:firstLine="419"/>
        <w:jc w:val="both"/>
      </w:pPr>
      <w:r>
        <w:rPr>
          <w:spacing w:val="-10"/>
        </w:rPr>
        <w:t>上述“一、基金费用的种类中第 </w:t>
      </w:r>
      <w:r>
        <w:rPr>
          <w:rFonts w:ascii="Times New Roman" w:hAnsi="Times New Roman" w:eastAsia="Times New Roman"/>
        </w:rPr>
        <w:t>3</w:t>
      </w:r>
      <w:r>
        <w:rPr/>
        <w:t>－</w:t>
      </w:r>
      <w:r>
        <w:rPr>
          <w:rFonts w:ascii="Times New Roman" w:hAnsi="Times New Roman" w:eastAsia="Times New Roman"/>
        </w:rPr>
        <w:t>8 </w:t>
      </w:r>
      <w:r>
        <w:rPr>
          <w:spacing w:val="-15"/>
        </w:rPr>
        <w:t>项费用”，根据有关法规及相应协议规定，按费用</w:t>
      </w:r>
      <w:r>
        <w:rPr>
          <w:spacing w:val="-7"/>
        </w:rPr>
        <w:t>实际支出金额列入当期费用，由基金托管人从基金财产中支付。</w:t>
      </w:r>
    </w:p>
    <w:p>
      <w:pPr>
        <w:pStyle w:val="BodyText"/>
        <w:spacing w:line="417" w:lineRule="auto"/>
        <w:ind w:left="640" w:right="5961"/>
      </w:pPr>
      <w:r>
        <w:rPr/>
        <w:t>三、不列入基金费用的项目下列费用不列入基金费用：</w:t>
      </w:r>
    </w:p>
    <w:p>
      <w:pPr>
        <w:pStyle w:val="BodyText"/>
        <w:spacing w:line="417" w:lineRule="auto"/>
        <w:ind w:left="220" w:right="594" w:firstLine="419"/>
      </w:pPr>
      <w:r>
        <w:rPr>
          <w:rFonts w:ascii="Times New Roman" w:eastAsia="Times New Roman"/>
        </w:rPr>
        <w:t>1</w:t>
      </w:r>
      <w:r>
        <w:rPr/>
        <w:t>、基金管理人和基金托管人因未履行或未完全履行义务导致的费用支出或基金财产的损失；</w:t>
      </w:r>
    </w:p>
    <w:p>
      <w:pPr>
        <w:pStyle w:val="BodyText"/>
        <w:spacing w:line="269" w:lineRule="exact"/>
        <w:ind w:left="640"/>
      </w:pPr>
      <w:r>
        <w:rPr>
          <w:rFonts w:ascii="Times New Roman" w:eastAsia="Times New Roman"/>
        </w:rPr>
        <w:t>2</w:t>
      </w:r>
      <w:r>
        <w:rPr/>
        <w:t>、基金管理人和基金托管人处理与基金运作无关的事项发生的费用；</w:t>
      </w:r>
    </w:p>
    <w:p>
      <w:pPr>
        <w:pStyle w:val="BodyText"/>
        <w:spacing w:before="5"/>
        <w:rPr>
          <w:sz w:val="15"/>
        </w:rPr>
      </w:pPr>
    </w:p>
    <w:p>
      <w:pPr>
        <w:pStyle w:val="BodyText"/>
        <w:spacing w:before="1"/>
        <w:ind w:left="640"/>
      </w:pPr>
      <w:r>
        <w:rPr>
          <w:rFonts w:ascii="Times New Roman" w:eastAsia="Times New Roman"/>
        </w:rPr>
        <w:t>3</w:t>
      </w:r>
      <w:r>
        <w:rPr/>
        <w:t>、《基金合同》生效前的相关费用；</w:t>
      </w:r>
    </w:p>
    <w:p>
      <w:pPr>
        <w:pStyle w:val="BodyText"/>
        <w:spacing w:before="7"/>
        <w:rPr>
          <w:sz w:val="15"/>
        </w:rPr>
      </w:pPr>
    </w:p>
    <w:p>
      <w:pPr>
        <w:pStyle w:val="BodyText"/>
        <w:spacing w:line="417" w:lineRule="auto"/>
        <w:ind w:left="640" w:right="1234"/>
      </w:pPr>
      <w:r>
        <w:rPr>
          <w:rFonts w:ascii="Times New Roman" w:eastAsia="Times New Roman"/>
        </w:rPr>
        <w:t>4</w:t>
      </w:r>
      <w:r>
        <w:rPr/>
        <w:t>、其他根据相关法律法规及中国证监会的有关规定不得列入基金费用的项目。四、基金税收</w:t>
      </w:r>
    </w:p>
    <w:p>
      <w:pPr>
        <w:tabs>
          <w:tab w:pos="3638" w:val="left" w:leader="none"/>
        </w:tabs>
        <w:spacing w:line="417" w:lineRule="auto" w:before="0"/>
        <w:ind w:left="2582" w:right="1126" w:hanging="1943"/>
        <w:jc w:val="left"/>
        <w:rPr>
          <w:b/>
          <w:sz w:val="21"/>
        </w:rPr>
      </w:pPr>
      <w:r>
        <w:rPr>
          <w:sz w:val="21"/>
        </w:rPr>
        <w:t>本基</w:t>
      </w:r>
      <w:r>
        <w:rPr>
          <w:spacing w:val="-3"/>
          <w:sz w:val="21"/>
        </w:rPr>
        <w:t>金</w:t>
      </w:r>
      <w:r>
        <w:rPr>
          <w:sz w:val="21"/>
        </w:rPr>
        <w:t>运</w:t>
      </w:r>
      <w:r>
        <w:rPr>
          <w:spacing w:val="-3"/>
          <w:sz w:val="21"/>
        </w:rPr>
        <w:t>作</w:t>
      </w:r>
      <w:r>
        <w:rPr>
          <w:sz w:val="21"/>
        </w:rPr>
        <w:t>过</w:t>
      </w:r>
      <w:r>
        <w:rPr>
          <w:spacing w:val="-3"/>
          <w:sz w:val="21"/>
        </w:rPr>
        <w:t>程</w:t>
      </w:r>
      <w:r>
        <w:rPr>
          <w:sz w:val="21"/>
        </w:rPr>
        <w:t>中</w:t>
      </w:r>
      <w:r>
        <w:rPr>
          <w:spacing w:val="-3"/>
          <w:sz w:val="21"/>
        </w:rPr>
        <w:t>涉</w:t>
      </w:r>
      <w:r>
        <w:rPr>
          <w:sz w:val="21"/>
        </w:rPr>
        <w:t>及</w:t>
      </w:r>
      <w:r>
        <w:rPr>
          <w:spacing w:val="-3"/>
          <w:sz w:val="21"/>
        </w:rPr>
        <w:t>的</w:t>
      </w:r>
      <w:r>
        <w:rPr>
          <w:sz w:val="21"/>
        </w:rPr>
        <w:t>各纳</w:t>
      </w:r>
      <w:r>
        <w:rPr>
          <w:spacing w:val="-3"/>
          <w:sz w:val="21"/>
        </w:rPr>
        <w:t>税</w:t>
      </w:r>
      <w:r>
        <w:rPr>
          <w:sz w:val="21"/>
        </w:rPr>
        <w:t>主</w:t>
      </w:r>
      <w:r>
        <w:rPr>
          <w:spacing w:val="-3"/>
          <w:sz w:val="21"/>
        </w:rPr>
        <w:t>体</w:t>
      </w:r>
      <w:r>
        <w:rPr>
          <w:sz w:val="21"/>
        </w:rPr>
        <w:t>，</w:t>
      </w:r>
      <w:r>
        <w:rPr>
          <w:spacing w:val="-3"/>
          <w:sz w:val="21"/>
        </w:rPr>
        <w:t>其</w:t>
      </w:r>
      <w:r>
        <w:rPr>
          <w:sz w:val="21"/>
        </w:rPr>
        <w:t>纳</w:t>
      </w:r>
      <w:r>
        <w:rPr>
          <w:spacing w:val="-3"/>
          <w:sz w:val="21"/>
        </w:rPr>
        <w:t>税</w:t>
      </w:r>
      <w:r>
        <w:rPr>
          <w:sz w:val="21"/>
        </w:rPr>
        <w:t>义</w:t>
      </w:r>
      <w:r>
        <w:rPr>
          <w:spacing w:val="-3"/>
          <w:sz w:val="21"/>
        </w:rPr>
        <w:t>务</w:t>
      </w:r>
      <w:r>
        <w:rPr>
          <w:sz w:val="21"/>
        </w:rPr>
        <w:t>按国</w:t>
      </w:r>
      <w:r>
        <w:rPr>
          <w:spacing w:val="-3"/>
          <w:sz w:val="21"/>
        </w:rPr>
        <w:t>家</w:t>
      </w:r>
      <w:r>
        <w:rPr>
          <w:sz w:val="21"/>
        </w:rPr>
        <w:t>税</w:t>
      </w:r>
      <w:r>
        <w:rPr>
          <w:spacing w:val="-3"/>
          <w:sz w:val="21"/>
        </w:rPr>
        <w:t>收</w:t>
      </w:r>
      <w:r>
        <w:rPr>
          <w:sz w:val="21"/>
        </w:rPr>
        <w:t>法</w:t>
      </w:r>
      <w:r>
        <w:rPr>
          <w:spacing w:val="-3"/>
          <w:sz w:val="21"/>
        </w:rPr>
        <w:t>律</w:t>
      </w:r>
      <w:r>
        <w:rPr>
          <w:sz w:val="21"/>
        </w:rPr>
        <w:t>、</w:t>
      </w:r>
      <w:r>
        <w:rPr>
          <w:spacing w:val="-3"/>
          <w:sz w:val="21"/>
        </w:rPr>
        <w:t>法</w:t>
      </w:r>
      <w:r>
        <w:rPr>
          <w:sz w:val="21"/>
        </w:rPr>
        <w:t>规</w:t>
      </w:r>
      <w:r>
        <w:rPr>
          <w:spacing w:val="-3"/>
          <w:sz w:val="21"/>
        </w:rPr>
        <w:t>执</w:t>
      </w:r>
      <w:r>
        <w:rPr>
          <w:sz w:val="21"/>
        </w:rPr>
        <w:t>行。</w:t>
      </w:r>
      <w:r>
        <w:rPr>
          <w:b/>
          <w:sz w:val="21"/>
        </w:rPr>
        <w:t>第五部分</w:t>
        <w:tab/>
        <w:t>基金财</w:t>
      </w:r>
      <w:r>
        <w:rPr>
          <w:b/>
          <w:spacing w:val="-3"/>
          <w:sz w:val="21"/>
        </w:rPr>
        <w:t>产</w:t>
      </w:r>
      <w:r>
        <w:rPr>
          <w:b/>
          <w:sz w:val="21"/>
        </w:rPr>
        <w:t>的</w:t>
      </w:r>
      <w:r>
        <w:rPr>
          <w:b/>
          <w:spacing w:val="-3"/>
          <w:sz w:val="21"/>
        </w:rPr>
        <w:t>投</w:t>
      </w:r>
      <w:r>
        <w:rPr>
          <w:b/>
          <w:sz w:val="21"/>
        </w:rPr>
        <w:t>资方向和投资限制</w:t>
      </w:r>
    </w:p>
    <w:p>
      <w:pPr>
        <w:pStyle w:val="BodyText"/>
        <w:spacing w:line="269" w:lineRule="exact"/>
        <w:ind w:left="640"/>
      </w:pPr>
      <w:r>
        <w:rPr/>
        <w:t>一、投资范围</w:t>
      </w:r>
    </w:p>
    <w:p>
      <w:pPr>
        <w:pStyle w:val="BodyText"/>
        <w:spacing w:before="6"/>
        <w:rPr>
          <w:sz w:val="15"/>
        </w:rPr>
      </w:pPr>
    </w:p>
    <w:p>
      <w:pPr>
        <w:pStyle w:val="BodyText"/>
        <w:spacing w:line="417" w:lineRule="auto"/>
        <w:ind w:left="220" w:right="488" w:firstLine="419"/>
        <w:jc w:val="both"/>
      </w:pPr>
      <w:r>
        <w:rPr>
          <w:spacing w:val="-3"/>
        </w:rPr>
        <w:t>本基金的投资范围为具有良好流动性的金融工具，包括国内依法发行上市的股票(包括</w:t>
      </w:r>
      <w:r>
        <w:rPr>
          <w:spacing w:val="-11"/>
        </w:rPr>
        <w:t>中小板、创业板、存托凭证及其他中国证监会核准上市的股票)、港股通标的、债券(包括国</w:t>
      </w:r>
      <w:r>
        <w:rPr>
          <w:spacing w:val="-12"/>
        </w:rPr>
        <w:t>内依法发行和上市交易的国债、央行票据、金融债券、企业债券、公司债券、中期票据、短</w:t>
      </w:r>
      <w:r>
        <w:rPr>
          <w:spacing w:val="-6"/>
        </w:rPr>
        <w:t>期融资券、超短期融资券、次级债券、政府支持机构债券、政府支持债券、地方政府债券、</w:t>
      </w:r>
    </w:p>
    <w:p>
      <w:pPr>
        <w:spacing w:after="0" w:line="417" w:lineRule="auto"/>
        <w:jc w:val="both"/>
        <w:sectPr>
          <w:pgSz w:w="11910" w:h="16840"/>
          <w:pgMar w:header="877" w:footer="995" w:top="1420" w:bottom="1180" w:left="1580" w:right="1200"/>
        </w:sectPr>
      </w:pPr>
    </w:p>
    <w:p>
      <w:pPr>
        <w:pStyle w:val="BodyText"/>
        <w:spacing w:line="417" w:lineRule="auto" w:before="110"/>
        <w:ind w:left="220" w:right="591"/>
        <w:jc w:val="both"/>
      </w:pPr>
      <w:r>
        <w:rPr>
          <w:spacing w:val="-3"/>
        </w:rPr>
        <w:t>中小企业私募债券、可转换债券、可交换债券及其他经中国证监会允许投资的债券)、衍生品（包括权证、股指期货、国债期货、股票期权等</w:t>
      </w:r>
      <w:r>
        <w:rPr>
          <w:spacing w:val="-108"/>
        </w:rPr>
        <w:t>）</w:t>
      </w:r>
      <w:r>
        <w:rPr>
          <w:spacing w:val="-3"/>
        </w:rPr>
        <w:t>、资产支持证券、货币市场工具</w:t>
      </w:r>
      <w:r>
        <w:rPr/>
        <w:t>（含同</w:t>
      </w:r>
      <w:r>
        <w:rPr>
          <w:spacing w:val="-1"/>
        </w:rPr>
        <w:t>业存单</w:t>
      </w:r>
      <w:r>
        <w:rPr/>
        <w:t>）</w:t>
      </w:r>
      <w:r>
        <w:rPr>
          <w:spacing w:val="-3"/>
        </w:rPr>
        <w:t>以及法律法规或中国证监会允许基金投资的其他金融工具。</w:t>
      </w:r>
    </w:p>
    <w:p>
      <w:pPr>
        <w:pStyle w:val="BodyText"/>
        <w:spacing w:line="417" w:lineRule="auto"/>
        <w:ind w:left="220" w:right="59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220" w:right="591" w:firstLine="419"/>
        <w:jc w:val="both"/>
      </w:pPr>
      <w:r>
        <w:rPr>
          <w:spacing w:val="-2"/>
        </w:rPr>
        <w:t>本基金投资组合比例为：股票投资占基金资产的比例为 </w:t>
      </w:r>
      <w:r>
        <w:rPr>
          <w:rFonts w:ascii="Times New Roman" w:eastAsia="Times New Roman"/>
        </w:rPr>
        <w:t>80%-95%</w:t>
      </w:r>
      <w:r>
        <w:rPr>
          <w:spacing w:val="-3"/>
        </w:rPr>
        <w:t>，投资于港股通标的</w:t>
      </w:r>
      <w:r>
        <w:rPr>
          <w:spacing w:val="-5"/>
        </w:rPr>
        <w:t>股票比例为股票资产的 </w:t>
      </w:r>
      <w:r>
        <w:rPr>
          <w:rFonts w:ascii="Times New Roman" w:eastAsia="Times New Roman"/>
          <w:spacing w:val="-14"/>
        </w:rPr>
        <w:t>0-50%</w:t>
      </w:r>
      <w:r>
        <w:rPr>
          <w:spacing w:val="-5"/>
        </w:rPr>
        <w:t>，本基金投资于科技成长主题的股票比例不低于非现金基金资</w:t>
      </w:r>
      <w:r>
        <w:rPr>
          <w:spacing w:val="9"/>
        </w:rPr>
        <w:t>产的 </w:t>
      </w:r>
      <w:r>
        <w:rPr>
          <w:rFonts w:ascii="Times New Roman" w:eastAsia="Times New Roman"/>
        </w:rPr>
        <w:t>80%</w:t>
      </w:r>
      <w:r>
        <w:rPr>
          <w:spacing w:val="-1"/>
        </w:rPr>
        <w:t>，每个交易日日终在扣除股指期货、国债期货、股票期权合约需缴纳的交易保证</w:t>
      </w:r>
      <w:r>
        <w:rPr>
          <w:spacing w:val="-5"/>
        </w:rPr>
        <w:t>金后保持不低于基金资产净值 </w:t>
      </w:r>
      <w:r>
        <w:rPr>
          <w:rFonts w:ascii="Times New Roman" w:eastAsia="Times New Roman"/>
        </w:rPr>
        <w:t>5%</w:t>
      </w:r>
      <w:r>
        <w:rPr>
          <w:spacing w:val="-4"/>
        </w:rPr>
        <w:t>的现金或者到期日在一年以内的政府债券。其中，现金不</w:t>
      </w:r>
      <w:r>
        <w:rPr>
          <w:spacing w:val="-3"/>
        </w:rPr>
        <w:t>包括结算备付金、存出保证金、应收申购款等。</w:t>
      </w:r>
    </w:p>
    <w:p>
      <w:pPr>
        <w:pStyle w:val="BodyText"/>
        <w:spacing w:line="269" w:lineRule="exact"/>
        <w:ind w:left="640"/>
      </w:pPr>
      <w:r>
        <w:rPr/>
        <w:t>二、投资限制</w:t>
      </w:r>
    </w:p>
    <w:p>
      <w:pPr>
        <w:pStyle w:val="BodyText"/>
        <w:spacing w:before="5"/>
        <w:rPr>
          <w:sz w:val="15"/>
        </w:rPr>
      </w:pPr>
    </w:p>
    <w:p>
      <w:pPr>
        <w:pStyle w:val="BodyText"/>
        <w:spacing w:before="1"/>
        <w:ind w:left="640"/>
      </w:pPr>
      <w:r>
        <w:rPr>
          <w:rFonts w:ascii="Times New Roman" w:eastAsia="Times New Roman"/>
        </w:rPr>
        <w:t>1</w:t>
      </w:r>
      <w:r>
        <w:rPr/>
        <w:t>、组合限制</w:t>
      </w:r>
    </w:p>
    <w:p>
      <w:pPr>
        <w:pStyle w:val="BodyText"/>
        <w:spacing w:before="6"/>
        <w:rPr>
          <w:sz w:val="15"/>
        </w:rPr>
      </w:pPr>
    </w:p>
    <w:p>
      <w:pPr>
        <w:pStyle w:val="BodyText"/>
        <w:ind w:left="640"/>
      </w:pPr>
      <w:r>
        <w:rPr/>
        <w:t>基金的投资组合应遵循以下限制：</w:t>
      </w:r>
    </w:p>
    <w:p>
      <w:pPr>
        <w:pStyle w:val="BodyText"/>
        <w:spacing w:before="7"/>
        <w:rPr>
          <w:sz w:val="15"/>
        </w:rPr>
      </w:pPr>
    </w:p>
    <w:p>
      <w:pPr>
        <w:pStyle w:val="ListParagraph"/>
        <w:numPr>
          <w:ilvl w:val="0"/>
          <w:numId w:val="51"/>
        </w:numPr>
        <w:tabs>
          <w:tab w:pos="1170" w:val="left" w:leader="none"/>
        </w:tabs>
        <w:spacing w:line="417" w:lineRule="auto" w:before="0" w:after="0"/>
        <w:ind w:left="220" w:right="593" w:firstLine="419"/>
        <w:jc w:val="both"/>
        <w:rPr>
          <w:sz w:val="21"/>
        </w:rPr>
      </w:pPr>
      <w:r>
        <w:rPr>
          <w:spacing w:val="-4"/>
          <w:sz w:val="21"/>
        </w:rPr>
        <w:t>本基金股票投资占基金资产的比例为 </w:t>
      </w:r>
      <w:r>
        <w:rPr>
          <w:rFonts w:ascii="Times New Roman" w:eastAsia="Times New Roman"/>
          <w:spacing w:val="-3"/>
          <w:sz w:val="21"/>
        </w:rPr>
        <w:t>80%-95%</w:t>
      </w:r>
      <w:r>
        <w:rPr>
          <w:spacing w:val="-5"/>
          <w:sz w:val="21"/>
        </w:rPr>
        <w:t>，其中，港股投资比例不超过股票</w:t>
      </w:r>
      <w:r>
        <w:rPr>
          <w:spacing w:val="-16"/>
          <w:sz w:val="21"/>
        </w:rPr>
        <w:t>资产的 </w:t>
      </w:r>
      <w:r>
        <w:rPr>
          <w:rFonts w:ascii="Times New Roman" w:eastAsia="Times New Roman"/>
          <w:sz w:val="21"/>
        </w:rPr>
        <w:t>50%</w:t>
      </w:r>
      <w:r>
        <w:rPr>
          <w:spacing w:val="-5"/>
          <w:sz w:val="21"/>
        </w:rPr>
        <w:t>，投资于科技成长主题的股票比例不低于非现金基金资产的 </w:t>
      </w:r>
      <w:r>
        <w:rPr>
          <w:rFonts w:ascii="Times New Roman" w:eastAsia="Times New Roman"/>
          <w:sz w:val="21"/>
        </w:rPr>
        <w:t>80%</w:t>
      </w:r>
      <w:r>
        <w:rPr>
          <w:sz w:val="21"/>
        </w:rPr>
        <w:t>；</w:t>
      </w:r>
    </w:p>
    <w:p>
      <w:pPr>
        <w:pStyle w:val="ListParagraph"/>
        <w:numPr>
          <w:ilvl w:val="0"/>
          <w:numId w:val="51"/>
        </w:numPr>
        <w:tabs>
          <w:tab w:pos="1170" w:val="left" w:leader="none"/>
        </w:tabs>
        <w:spacing w:line="417" w:lineRule="auto" w:before="0" w:after="0"/>
        <w:ind w:left="220" w:right="591" w:firstLine="419"/>
        <w:jc w:val="both"/>
        <w:rPr>
          <w:sz w:val="21"/>
        </w:rPr>
      </w:pPr>
      <w:r>
        <w:rPr>
          <w:spacing w:val="-3"/>
          <w:sz w:val="21"/>
        </w:rPr>
        <w:t>每个交易日日终在扣除股指期货、国债期货和股票期权合约需缴纳的交易保证金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包括结算备付金、存出保证金、应收申购款等；</w:t>
      </w:r>
    </w:p>
    <w:p>
      <w:pPr>
        <w:pStyle w:val="ListParagraph"/>
        <w:numPr>
          <w:ilvl w:val="0"/>
          <w:numId w:val="51"/>
        </w:numPr>
        <w:tabs>
          <w:tab w:pos="1170" w:val="left" w:leader="none"/>
        </w:tabs>
        <w:spacing w:line="269" w:lineRule="exact" w:before="0" w:after="0"/>
        <w:ind w:left="116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7"/>
        <w:rPr>
          <w:sz w:val="15"/>
        </w:rPr>
      </w:pPr>
    </w:p>
    <w:p>
      <w:pPr>
        <w:pStyle w:val="ListParagraph"/>
        <w:numPr>
          <w:ilvl w:val="0"/>
          <w:numId w:val="51"/>
        </w:numPr>
        <w:tabs>
          <w:tab w:pos="1175" w:val="left" w:leader="none"/>
        </w:tabs>
        <w:spacing w:line="240" w:lineRule="auto" w:before="0" w:after="0"/>
        <w:ind w:left="1174" w:right="0" w:hanging="535"/>
        <w:jc w:val="left"/>
        <w:rPr>
          <w:sz w:val="21"/>
        </w:rPr>
      </w:pPr>
      <w:r>
        <w:rPr>
          <w:spacing w:val="-2"/>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6"/>
        <w:rPr>
          <w:sz w:val="15"/>
        </w:rPr>
      </w:pPr>
    </w:p>
    <w:p>
      <w:pPr>
        <w:pStyle w:val="ListParagraph"/>
        <w:numPr>
          <w:ilvl w:val="0"/>
          <w:numId w:val="51"/>
        </w:numPr>
        <w:tabs>
          <w:tab w:pos="1170" w:val="left" w:leader="none"/>
        </w:tabs>
        <w:spacing w:line="240" w:lineRule="auto" w:before="1" w:after="0"/>
        <w:ind w:left="1169" w:right="0" w:hanging="530"/>
        <w:jc w:val="left"/>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BodyText"/>
        <w:spacing w:before="7"/>
        <w:rPr>
          <w:sz w:val="15"/>
        </w:rPr>
      </w:pPr>
    </w:p>
    <w:p>
      <w:pPr>
        <w:pStyle w:val="ListParagraph"/>
        <w:numPr>
          <w:ilvl w:val="0"/>
          <w:numId w:val="51"/>
        </w:numPr>
        <w:tabs>
          <w:tab w:pos="1170" w:val="left" w:leader="none"/>
        </w:tabs>
        <w:spacing w:line="240" w:lineRule="auto" w:before="0" w:after="0"/>
        <w:ind w:left="1169" w:right="0" w:hanging="530"/>
        <w:jc w:val="left"/>
        <w:rPr>
          <w:sz w:val="21"/>
        </w:rPr>
      </w:pPr>
      <w:r>
        <w:rPr>
          <w:spacing w:val="-5"/>
          <w:sz w:val="21"/>
        </w:rPr>
        <w:t>本基金管理人管理的全部基金持有的同一权证，不得超过该权证的 </w:t>
      </w:r>
      <w:r>
        <w:rPr>
          <w:rFonts w:ascii="Times New Roman" w:eastAsia="Times New Roman"/>
          <w:sz w:val="21"/>
        </w:rPr>
        <w:t>10%</w:t>
      </w:r>
      <w:r>
        <w:rPr>
          <w:sz w:val="21"/>
        </w:rPr>
        <w:t>；</w:t>
      </w:r>
    </w:p>
    <w:p>
      <w:pPr>
        <w:pStyle w:val="BodyText"/>
        <w:spacing w:before="7"/>
        <w:rPr>
          <w:sz w:val="15"/>
        </w:rPr>
      </w:pPr>
    </w:p>
    <w:p>
      <w:pPr>
        <w:pStyle w:val="ListParagraph"/>
        <w:numPr>
          <w:ilvl w:val="0"/>
          <w:numId w:val="51"/>
        </w:numPr>
        <w:tabs>
          <w:tab w:pos="1185" w:val="left" w:leader="none"/>
        </w:tabs>
        <w:spacing w:line="240" w:lineRule="auto" w:before="0" w:after="0"/>
        <w:ind w:left="1184" w:right="0" w:hanging="545"/>
        <w:jc w:val="left"/>
        <w:rPr>
          <w:sz w:val="21"/>
        </w:rPr>
      </w:pPr>
      <w:r>
        <w:rPr>
          <w:spacing w:val="3"/>
          <w:sz w:val="21"/>
        </w:rPr>
        <w:t>本基金在任何交易日买入权证的总金额，不得超过上一交易日基金资产净值的</w:t>
      </w:r>
    </w:p>
    <w:p>
      <w:pPr>
        <w:pStyle w:val="BodyText"/>
        <w:spacing w:before="6"/>
        <w:rPr>
          <w:sz w:val="15"/>
        </w:rPr>
      </w:pPr>
    </w:p>
    <w:p>
      <w:pPr>
        <w:pStyle w:val="BodyText"/>
        <w:spacing w:before="1"/>
        <w:ind w:left="220"/>
      </w:pPr>
      <w:r>
        <w:rPr>
          <w:rFonts w:ascii="Times New Roman" w:eastAsia="Times New Roman"/>
        </w:rPr>
        <w:t>0.5%</w:t>
      </w:r>
      <w:r>
        <w:rPr/>
        <w:t>；</w:t>
      </w:r>
    </w:p>
    <w:p>
      <w:pPr>
        <w:pStyle w:val="BodyText"/>
        <w:spacing w:before="6"/>
        <w:rPr>
          <w:sz w:val="15"/>
        </w:rPr>
      </w:pPr>
    </w:p>
    <w:p>
      <w:pPr>
        <w:pStyle w:val="ListParagraph"/>
        <w:numPr>
          <w:ilvl w:val="0"/>
          <w:numId w:val="51"/>
        </w:numPr>
        <w:tabs>
          <w:tab w:pos="1170" w:val="left" w:leader="none"/>
        </w:tabs>
        <w:spacing w:line="417" w:lineRule="auto" w:before="0" w:after="0"/>
        <w:ind w:left="220" w:right="594" w:firstLine="419"/>
        <w:jc w:val="left"/>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51"/>
        </w:numPr>
        <w:tabs>
          <w:tab w:pos="1170" w:val="left" w:leader="none"/>
        </w:tabs>
        <w:spacing w:line="269" w:lineRule="exact" w:before="0" w:after="0"/>
        <w:ind w:left="1169" w:right="0" w:hanging="530"/>
        <w:jc w:val="left"/>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7"/>
        <w:rPr>
          <w:sz w:val="15"/>
        </w:rPr>
      </w:pPr>
    </w:p>
    <w:p>
      <w:pPr>
        <w:pStyle w:val="ListParagraph"/>
        <w:numPr>
          <w:ilvl w:val="0"/>
          <w:numId w:val="51"/>
        </w:numPr>
        <w:tabs>
          <w:tab w:pos="1275" w:val="left" w:leader="none"/>
        </w:tabs>
        <w:spacing w:line="417" w:lineRule="auto" w:before="0" w:after="0"/>
        <w:ind w:left="220" w:right="591" w:firstLine="419"/>
        <w:jc w:val="left"/>
        <w:rPr>
          <w:sz w:val="21"/>
        </w:rPr>
      </w:pPr>
      <w:r>
        <w:rPr>
          <w:spacing w:val="-3"/>
          <w:sz w:val="21"/>
        </w:rPr>
        <w:t>本基金持有的同一</w:t>
      </w:r>
      <w:r>
        <w:rPr>
          <w:rFonts w:ascii="Times New Roman" w:eastAsia="Times New Roman"/>
          <w:spacing w:val="-4"/>
          <w:sz w:val="21"/>
        </w:rPr>
        <w:t>(</w:t>
      </w:r>
      <w:r>
        <w:rPr>
          <w:spacing w:val="-2"/>
          <w:sz w:val="21"/>
        </w:rPr>
        <w:t>指同一信用级别</w:t>
      </w:r>
      <w:r>
        <w:rPr>
          <w:rFonts w:ascii="Times New Roman" w:eastAsia="Times New Roman"/>
          <w:spacing w:val="-4"/>
          <w:sz w:val="21"/>
        </w:rPr>
        <w:t>)</w:t>
      </w:r>
      <w:r>
        <w:rPr>
          <w:spacing w:val="-4"/>
          <w:sz w:val="21"/>
        </w:rPr>
        <w:t>资产支持证券的比例，不得超过该资产支持</w:t>
      </w:r>
      <w:r>
        <w:rPr>
          <w:spacing w:val="-13"/>
          <w:sz w:val="21"/>
        </w:rPr>
        <w:t>证券规模的 </w:t>
      </w:r>
      <w:r>
        <w:rPr>
          <w:rFonts w:ascii="Times New Roman" w:eastAsia="Times New Roman"/>
          <w:sz w:val="21"/>
        </w:rPr>
        <w:t>10%</w:t>
      </w:r>
      <w:r>
        <w:rPr>
          <w:sz w:val="21"/>
        </w:rPr>
        <w:t>；</w:t>
      </w:r>
    </w:p>
    <w:p>
      <w:pPr>
        <w:pStyle w:val="ListParagraph"/>
        <w:numPr>
          <w:ilvl w:val="0"/>
          <w:numId w:val="51"/>
        </w:numPr>
        <w:tabs>
          <w:tab w:pos="1266" w:val="left" w:leader="none"/>
        </w:tabs>
        <w:spacing w:line="240" w:lineRule="auto" w:before="0" w:after="0"/>
        <w:ind w:left="1265" w:right="0" w:hanging="626"/>
        <w:jc w:val="left"/>
        <w:rPr>
          <w:sz w:val="21"/>
        </w:rPr>
      </w:pPr>
      <w:r>
        <w:rPr>
          <w:spacing w:val="-5"/>
          <w:sz w:val="21"/>
        </w:rPr>
        <w:t>本基金管理人管理的全部基金投资于同一原始权益人的各类资产支持证券，不得</w:t>
      </w:r>
    </w:p>
    <w:p>
      <w:pPr>
        <w:spacing w:after="0" w:line="240" w:lineRule="auto"/>
        <w:jc w:val="left"/>
        <w:rPr>
          <w:sz w:val="21"/>
        </w:rPr>
        <w:sectPr>
          <w:pgSz w:w="11910" w:h="16840"/>
          <w:pgMar w:header="877" w:footer="995" w:top="1420" w:bottom="1180" w:left="1580" w:right="1200"/>
        </w:sectPr>
      </w:pPr>
    </w:p>
    <w:p>
      <w:pPr>
        <w:pStyle w:val="BodyText"/>
        <w:spacing w:before="110"/>
        <w:ind w:left="220"/>
        <w:jc w:val="both"/>
      </w:pPr>
      <w:r>
        <w:rPr/>
        <w:t>超过其各类资产支持证券合计规模的 </w:t>
      </w:r>
      <w:r>
        <w:rPr>
          <w:rFonts w:ascii="Times New Roman" w:eastAsia="Times New Roman"/>
        </w:rPr>
        <w:t>10%</w:t>
      </w:r>
      <w:r>
        <w:rPr/>
        <w:t>；</w:t>
      </w:r>
    </w:p>
    <w:p>
      <w:pPr>
        <w:pStyle w:val="BodyText"/>
        <w:spacing w:before="6"/>
        <w:rPr>
          <w:sz w:val="15"/>
        </w:rPr>
      </w:pPr>
    </w:p>
    <w:p>
      <w:pPr>
        <w:pStyle w:val="ListParagraph"/>
        <w:numPr>
          <w:ilvl w:val="0"/>
          <w:numId w:val="51"/>
        </w:numPr>
        <w:tabs>
          <w:tab w:pos="1275" w:val="left" w:leader="none"/>
        </w:tabs>
        <w:spacing w:line="417" w:lineRule="auto" w:before="0" w:after="0"/>
        <w:ind w:left="220" w:right="59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18"/>
          <w:sz w:val="21"/>
        </w:rPr>
        <w:t> </w:t>
      </w:r>
      <w:r>
        <w:rPr>
          <w:sz w:val="21"/>
        </w:rPr>
        <w:t>以上</w:t>
      </w:r>
      <w:r>
        <w:rPr>
          <w:rFonts w:ascii="Times New Roman" w:eastAsia="Times New Roman"/>
          <w:spacing w:val="-4"/>
          <w:sz w:val="21"/>
        </w:rPr>
        <w:t>(</w:t>
      </w:r>
      <w:r>
        <w:rPr>
          <w:spacing w:val="-17"/>
          <w:sz w:val="21"/>
        </w:rPr>
        <w:t>含 </w:t>
      </w:r>
      <w:r>
        <w:rPr>
          <w:rFonts w:ascii="Times New Roman" w:eastAsia="Times New Roman"/>
          <w:sz w:val="21"/>
        </w:rPr>
        <w:t>BBB)</w:t>
      </w:r>
      <w:r>
        <w:rPr>
          <w:spacing w:val="-3"/>
          <w:sz w:val="21"/>
        </w:rPr>
        <w:t>的资产支持证券。基金持有</w:t>
      </w:r>
      <w:r>
        <w:rPr>
          <w:spacing w:val="-8"/>
          <w:sz w:val="21"/>
        </w:rPr>
        <w:t>资产支持证券期间，如果其信用等级下降、不再符合投资标准，应在评级报告发布之日起 </w:t>
      </w:r>
      <w:r>
        <w:rPr>
          <w:rFonts w:ascii="Times New Roman" w:eastAsia="Times New Roman"/>
          <w:sz w:val="21"/>
        </w:rPr>
        <w:t>3 </w:t>
      </w:r>
      <w:r>
        <w:rPr>
          <w:spacing w:val="-3"/>
          <w:sz w:val="21"/>
        </w:rPr>
        <w:t>个月内予以全部卖出；</w:t>
      </w:r>
    </w:p>
    <w:p>
      <w:pPr>
        <w:pStyle w:val="ListParagraph"/>
        <w:numPr>
          <w:ilvl w:val="0"/>
          <w:numId w:val="51"/>
        </w:numPr>
        <w:tabs>
          <w:tab w:pos="1273" w:val="left" w:leader="none"/>
        </w:tabs>
        <w:spacing w:line="417" w:lineRule="auto" w:before="0" w:after="0"/>
        <w:ind w:left="220" w:right="59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51"/>
        </w:numPr>
        <w:tabs>
          <w:tab w:pos="1273" w:val="left" w:leader="none"/>
        </w:tabs>
        <w:spacing w:line="417" w:lineRule="auto" w:before="0" w:after="0"/>
        <w:ind w:left="220" w:right="591" w:firstLine="419"/>
        <w:jc w:val="both"/>
        <w:rPr>
          <w:sz w:val="21"/>
        </w:rPr>
      </w:pPr>
      <w:r>
        <w:rPr>
          <w:spacing w:val="-3"/>
          <w:sz w:val="21"/>
        </w:rPr>
        <w:t>本基金进入全国银行间同业市场进行债券回购的资金余额不得超过基金资产净值的 </w:t>
      </w:r>
      <w:r>
        <w:rPr>
          <w:rFonts w:ascii="Times New Roman" w:eastAsia="Times New Roman"/>
          <w:sz w:val="21"/>
        </w:rPr>
        <w:t>40%</w:t>
      </w:r>
      <w:r>
        <w:rPr>
          <w:spacing w:val="-4"/>
          <w:sz w:val="21"/>
        </w:rPr>
        <w:t>，本基金在全国银行间同业市场中的债券回购最长期限为 </w:t>
      </w:r>
      <w:r>
        <w:rPr>
          <w:rFonts w:ascii="Times New Roman" w:eastAsia="Times New Roman"/>
          <w:sz w:val="21"/>
        </w:rPr>
        <w:t>1</w:t>
      </w:r>
      <w:r>
        <w:rPr>
          <w:rFonts w:ascii="Times New Roman" w:eastAsia="Times New Roman"/>
          <w:spacing w:val="43"/>
          <w:sz w:val="21"/>
        </w:rPr>
        <w:t> </w:t>
      </w:r>
      <w:r>
        <w:rPr>
          <w:spacing w:val="-3"/>
          <w:sz w:val="21"/>
        </w:rPr>
        <w:t>年，债券回购到期后</w:t>
      </w:r>
      <w:r>
        <w:rPr>
          <w:spacing w:val="-1"/>
          <w:sz w:val="21"/>
        </w:rPr>
        <w:t>不得展期；</w:t>
      </w:r>
    </w:p>
    <w:p>
      <w:pPr>
        <w:pStyle w:val="ListParagraph"/>
        <w:numPr>
          <w:ilvl w:val="0"/>
          <w:numId w:val="51"/>
        </w:numPr>
        <w:tabs>
          <w:tab w:pos="1275" w:val="left" w:leader="none"/>
        </w:tabs>
        <w:spacing w:line="240" w:lineRule="auto" w:before="0" w:after="0"/>
        <w:ind w:left="1275" w:right="0" w:hanging="635"/>
        <w:jc w:val="both"/>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51"/>
        </w:numPr>
        <w:tabs>
          <w:tab w:pos="1275" w:val="left" w:leader="none"/>
        </w:tabs>
        <w:spacing w:line="240" w:lineRule="auto" w:before="0" w:after="0"/>
        <w:ind w:left="127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7"/>
        <w:rPr>
          <w:sz w:val="15"/>
        </w:rPr>
      </w:pPr>
    </w:p>
    <w:p>
      <w:pPr>
        <w:pStyle w:val="ListParagraph"/>
        <w:numPr>
          <w:ilvl w:val="0"/>
          <w:numId w:val="51"/>
        </w:numPr>
        <w:tabs>
          <w:tab w:pos="1273" w:val="left" w:leader="none"/>
        </w:tabs>
        <w:spacing w:line="417" w:lineRule="auto" w:before="0" w:after="0"/>
        <w:ind w:left="220" w:right="59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51"/>
        </w:numPr>
        <w:tabs>
          <w:tab w:pos="1273" w:val="left" w:leader="none"/>
        </w:tabs>
        <w:spacing w:line="417" w:lineRule="auto" w:before="0" w:after="0"/>
        <w:ind w:left="220" w:right="59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51"/>
        </w:numPr>
        <w:tabs>
          <w:tab w:pos="1275" w:val="left" w:leader="none"/>
        </w:tabs>
        <w:spacing w:line="417" w:lineRule="auto" w:before="0" w:after="0"/>
        <w:ind w:left="220" w:right="591" w:firstLine="419"/>
        <w:jc w:val="both"/>
        <w:rPr>
          <w:sz w:val="21"/>
        </w:rPr>
      </w:pPr>
      <w:r>
        <w:rPr>
          <w:spacing w:val="-9"/>
          <w:sz w:val="21"/>
        </w:rPr>
        <w:t>基金参与股指期货、国债期货交易，应当遵守下列要求：开放式基金在任何交 易日日终，持有的买入期货合约价值与有价证券市值之和，不得超过基金资产净值的</w:t>
      </w:r>
      <w:r>
        <w:rPr>
          <w:rFonts w:ascii="Times New Roman" w:eastAsia="Times New Roman"/>
          <w:spacing w:val="-4"/>
          <w:sz w:val="21"/>
        </w:rPr>
        <w:t>95%</w:t>
      </w:r>
      <w:r>
        <w:rPr>
          <w:spacing w:val="-14"/>
          <w:sz w:val="21"/>
        </w:rPr>
        <w:t>；其中，有价证券指股票、债券</w:t>
      </w:r>
      <w:r>
        <w:rPr>
          <w:sz w:val="21"/>
        </w:rPr>
        <w:t>（</w:t>
      </w:r>
      <w:r>
        <w:rPr>
          <w:spacing w:val="-3"/>
          <w:sz w:val="21"/>
        </w:rPr>
        <w:t>不含到期日在一年以内的政府债券</w:t>
      </w:r>
      <w:r>
        <w:rPr>
          <w:spacing w:val="-106"/>
          <w:sz w:val="21"/>
        </w:rPr>
        <w:t>）</w:t>
      </w:r>
      <w:r>
        <w:rPr>
          <w:spacing w:val="-13"/>
          <w:sz w:val="21"/>
        </w:rPr>
        <w:t>、权证、资产支持</w:t>
      </w:r>
      <w:r>
        <w:rPr>
          <w:spacing w:val="-3"/>
          <w:sz w:val="21"/>
        </w:rPr>
        <w:t>证券、买入返售金融资产（不含质押式回购</w:t>
      </w:r>
      <w:r>
        <w:rPr>
          <w:sz w:val="21"/>
        </w:rPr>
        <w:t>）</w:t>
      </w:r>
      <w:r>
        <w:rPr>
          <w:spacing w:val="-2"/>
          <w:sz w:val="21"/>
        </w:rPr>
        <w:t>等；</w:t>
      </w:r>
    </w:p>
    <w:p>
      <w:pPr>
        <w:pStyle w:val="ListParagraph"/>
        <w:numPr>
          <w:ilvl w:val="0"/>
          <w:numId w:val="51"/>
        </w:numPr>
        <w:tabs>
          <w:tab w:pos="1275" w:val="left" w:leader="none"/>
        </w:tabs>
        <w:spacing w:line="417" w:lineRule="auto" w:before="0" w:after="0"/>
        <w:ind w:left="220" w:right="38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51"/>
        </w:numPr>
        <w:tabs>
          <w:tab w:pos="1275" w:val="left" w:leader="none"/>
        </w:tabs>
        <w:spacing w:line="417" w:lineRule="auto" w:before="0" w:after="0"/>
        <w:ind w:left="220" w:right="591" w:firstLine="419"/>
        <w:jc w:val="left"/>
        <w:rPr>
          <w:sz w:val="21"/>
        </w:rPr>
      </w:pPr>
      <w:r>
        <w:rPr>
          <w:spacing w:val="-5"/>
          <w:sz w:val="21"/>
        </w:rPr>
        <w:t>本基金管理人管理的全部开放式基金持有一家上市公司发行的可流通股票，不 </w:t>
      </w:r>
      <w:r>
        <w:rPr>
          <w:spacing w:val="-8"/>
          <w:sz w:val="21"/>
        </w:rPr>
        <w:t>得超过该上市公司可流通股票的 </w:t>
      </w:r>
      <w:r>
        <w:rPr>
          <w:rFonts w:ascii="Times New Roman" w:eastAsia="Times New Roman"/>
          <w:sz w:val="21"/>
        </w:rPr>
        <w:t>15%</w:t>
      </w:r>
      <w:r>
        <w:rPr>
          <w:sz w:val="21"/>
        </w:rPr>
        <w:t>；</w:t>
      </w:r>
    </w:p>
    <w:p>
      <w:pPr>
        <w:pStyle w:val="ListParagraph"/>
        <w:numPr>
          <w:ilvl w:val="0"/>
          <w:numId w:val="51"/>
        </w:numPr>
        <w:tabs>
          <w:tab w:pos="1275" w:val="left" w:leader="none"/>
        </w:tabs>
        <w:spacing w:line="240" w:lineRule="auto" w:before="0" w:after="0"/>
        <w:ind w:left="1275" w:right="0" w:hanging="635"/>
        <w:jc w:val="left"/>
        <w:rPr>
          <w:sz w:val="21"/>
        </w:rPr>
      </w:pPr>
      <w:r>
        <w:rPr>
          <w:spacing w:val="-5"/>
          <w:sz w:val="21"/>
        </w:rPr>
        <w:t>本基金管理人管理的全部投资组合持有一家上市公司发行的可流通股票，不得超</w:t>
      </w:r>
    </w:p>
    <w:p>
      <w:pPr>
        <w:spacing w:after="0" w:line="240" w:lineRule="auto"/>
        <w:jc w:val="left"/>
        <w:rPr>
          <w:sz w:val="21"/>
        </w:rPr>
        <w:sectPr>
          <w:footerReference w:type="default" r:id="rId149"/>
          <w:pgSz w:w="11910" w:h="16840"/>
          <w:pgMar w:footer="995" w:header="877" w:top="1420" w:bottom="1180" w:left="1580" w:right="1200"/>
        </w:sectPr>
      </w:pPr>
    </w:p>
    <w:p>
      <w:pPr>
        <w:pStyle w:val="BodyText"/>
        <w:spacing w:before="110"/>
        <w:ind w:left="220"/>
        <w:jc w:val="both"/>
      </w:pPr>
      <w:r>
        <w:rPr/>
        <w:t>过该上市公司可流通股票的 </w:t>
      </w:r>
      <w:r>
        <w:rPr>
          <w:rFonts w:ascii="Times New Roman" w:eastAsia="Times New Roman"/>
        </w:rPr>
        <w:t>30%</w:t>
      </w:r>
      <w:r>
        <w:rPr/>
        <w:t>；</w:t>
      </w:r>
    </w:p>
    <w:p>
      <w:pPr>
        <w:pStyle w:val="BodyText"/>
        <w:spacing w:before="6"/>
        <w:rPr>
          <w:sz w:val="15"/>
        </w:rPr>
      </w:pPr>
    </w:p>
    <w:p>
      <w:pPr>
        <w:pStyle w:val="ListParagraph"/>
        <w:numPr>
          <w:ilvl w:val="0"/>
          <w:numId w:val="51"/>
        </w:numPr>
        <w:tabs>
          <w:tab w:pos="1275" w:val="left" w:leader="none"/>
        </w:tabs>
        <w:spacing w:line="417" w:lineRule="auto" w:before="0" w:after="0"/>
        <w:ind w:left="220" w:right="591" w:firstLine="419"/>
        <w:jc w:val="both"/>
        <w:rPr>
          <w:sz w:val="21"/>
        </w:rPr>
      </w:pPr>
      <w:r>
        <w:rPr>
          <w:spacing w:val="-3"/>
          <w:sz w:val="21"/>
        </w:rPr>
        <w:t>本基金主动投资于流动性受限资产的市值合计不得超过本基金资产净值的</w:t>
      </w:r>
      <w:r>
        <w:rPr>
          <w:rFonts w:ascii="Times New Roman" w:eastAsia="Times New Roman"/>
          <w:spacing w:val="-3"/>
          <w:sz w:val="21"/>
        </w:rPr>
        <w:t>15%</w:t>
      </w:r>
      <w:r>
        <w:rPr>
          <w:spacing w:val="-11"/>
          <w:sz w:val="21"/>
        </w:rPr>
        <w:t>；因证券市场波动、上市公司股票停牌、基金规模变动等基金管理人之外的因素致使基</w:t>
      </w:r>
      <w:r>
        <w:rPr>
          <w:spacing w:val="-3"/>
          <w:sz w:val="21"/>
        </w:rPr>
        <w:t>金不符合前款所规定比例限制的，基金管理人不得主动新增流动性受限资产的投资；</w:t>
      </w:r>
    </w:p>
    <w:p>
      <w:pPr>
        <w:pStyle w:val="ListParagraph"/>
        <w:numPr>
          <w:ilvl w:val="0"/>
          <w:numId w:val="51"/>
        </w:numPr>
        <w:tabs>
          <w:tab w:pos="1273" w:val="left" w:leader="none"/>
        </w:tabs>
        <w:spacing w:line="417" w:lineRule="auto" w:before="0" w:after="0"/>
        <w:ind w:left="220" w:right="591" w:firstLine="419"/>
        <w:jc w:val="left"/>
        <w:rPr>
          <w:sz w:val="21"/>
        </w:rPr>
      </w:pPr>
      <w:r>
        <w:rPr>
          <w:spacing w:val="-3"/>
          <w:sz w:val="21"/>
        </w:rPr>
        <w:t>本基金与私募类证券资管产品及中国证监会认定的其他主体为交易对手开展逆回购交易的，可接受质押品的资质要求应当与本基金合同约定的投资范围保持一致；</w:t>
      </w:r>
    </w:p>
    <w:p>
      <w:pPr>
        <w:pStyle w:val="ListParagraph"/>
        <w:numPr>
          <w:ilvl w:val="0"/>
          <w:numId w:val="51"/>
        </w:numPr>
        <w:tabs>
          <w:tab w:pos="1275" w:val="left" w:leader="none"/>
        </w:tabs>
        <w:spacing w:line="417" w:lineRule="auto" w:before="0" w:after="0"/>
        <w:ind w:left="220" w:right="59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51"/>
        </w:numPr>
        <w:tabs>
          <w:tab w:pos="1275" w:val="left" w:leader="none"/>
        </w:tabs>
        <w:spacing w:line="240" w:lineRule="auto" w:before="0" w:after="0"/>
        <w:ind w:left="1275" w:right="0" w:hanging="635"/>
        <w:jc w:val="left"/>
        <w:rPr>
          <w:sz w:val="21"/>
        </w:rPr>
      </w:pPr>
      <w:r>
        <w:rPr>
          <w:spacing w:val="-3"/>
          <w:sz w:val="21"/>
        </w:rPr>
        <w:t>法律法规及中国证监会规定的和《基金合同》约定的其他投资比例限制。</w:t>
      </w:r>
    </w:p>
    <w:p>
      <w:pPr>
        <w:pStyle w:val="BodyText"/>
        <w:spacing w:before="6"/>
        <w:rPr>
          <w:sz w:val="15"/>
        </w:rPr>
      </w:pPr>
    </w:p>
    <w:p>
      <w:pPr>
        <w:pStyle w:val="BodyText"/>
        <w:spacing w:line="417" w:lineRule="auto" w:before="1"/>
        <w:ind w:left="220" w:right="591" w:firstLine="419"/>
        <w:jc w:val="both"/>
      </w:pPr>
      <w:r>
        <w:rPr>
          <w:spacing w:val="-11"/>
        </w:rPr>
        <w:t>因证券期货市场波动、证券发行人合并、基金规模变动等基金管理人之外的因素致使基</w:t>
      </w:r>
      <w:r>
        <w:rPr>
          <w:spacing w:val="-8"/>
          <w:w w:val="100"/>
        </w:rPr>
        <w:t>金投资比例不符合上述规定投资比例的，除上述第</w:t>
      </w:r>
      <w:r>
        <w:rPr>
          <w:w w:val="100"/>
        </w:rPr>
        <w:t>（</w:t>
      </w:r>
      <w:r>
        <w:rPr>
          <w:rFonts w:ascii="Times New Roman" w:eastAsia="Times New Roman"/>
          <w:w w:val="100"/>
        </w:rPr>
        <w:t>2</w:t>
      </w:r>
      <w:r>
        <w:rPr>
          <w:spacing w:val="-106"/>
          <w:w w:val="100"/>
        </w:rPr>
        <w:t>）</w:t>
      </w:r>
      <w:r>
        <w:rPr>
          <w:spacing w:val="-123"/>
          <w:w w:val="100"/>
        </w:rPr>
        <w:t>、</w:t>
      </w:r>
      <w:r>
        <w:rPr>
          <w:w w:val="100"/>
        </w:rPr>
        <w:t>（</w:t>
      </w:r>
      <w:r>
        <w:rPr>
          <w:rFonts w:ascii="Times New Roman" w:eastAsia="Times New Roman"/>
          <w:w w:val="100"/>
        </w:rPr>
        <w:t>1</w:t>
      </w:r>
      <w:r>
        <w:rPr>
          <w:rFonts w:ascii="Times New Roman" w:eastAsia="Times New Roman"/>
          <w:spacing w:val="-3"/>
          <w:w w:val="100"/>
        </w:rPr>
        <w:t>2</w:t>
      </w:r>
      <w:r>
        <w:rPr>
          <w:spacing w:val="-106"/>
          <w:w w:val="100"/>
        </w:rPr>
        <w:t>）</w:t>
      </w:r>
      <w:r>
        <w:rPr>
          <w:spacing w:val="-123"/>
          <w:w w:val="100"/>
        </w:rPr>
        <w:t>、</w:t>
      </w:r>
      <w:r>
        <w:rPr>
          <w:w w:val="100"/>
        </w:rPr>
        <w:t>（</w:t>
      </w:r>
      <w:r>
        <w:rPr>
          <w:rFonts w:ascii="Times New Roman" w:eastAsia="Times New Roman"/>
          <w:w w:val="100"/>
        </w:rPr>
        <w:t>2</w:t>
      </w:r>
      <w:r>
        <w:rPr>
          <w:rFonts w:ascii="Times New Roman" w:eastAsia="Times New Roman"/>
          <w:spacing w:val="-3"/>
          <w:w w:val="100"/>
        </w:rPr>
        <w:t>3</w:t>
      </w:r>
      <w:r>
        <w:rPr>
          <w:spacing w:val="-106"/>
          <w:w w:val="100"/>
        </w:rPr>
        <w:t>）</w:t>
      </w:r>
      <w:r>
        <w:rPr>
          <w:spacing w:val="-123"/>
          <w:w w:val="100"/>
        </w:rPr>
        <w:t>、</w:t>
      </w:r>
      <w:r>
        <w:rPr>
          <w:w w:val="100"/>
        </w:rPr>
        <w:t>（</w:t>
      </w:r>
      <w:r>
        <w:rPr>
          <w:rFonts w:ascii="Times New Roman" w:eastAsia="Times New Roman"/>
          <w:w w:val="100"/>
        </w:rPr>
        <w:t>2</w:t>
      </w:r>
      <w:r>
        <w:rPr>
          <w:rFonts w:ascii="Times New Roman" w:eastAsia="Times New Roman"/>
          <w:spacing w:val="-3"/>
          <w:w w:val="100"/>
        </w:rPr>
        <w:t>4</w:t>
      </w:r>
      <w:r>
        <w:rPr>
          <w:spacing w:val="-106"/>
          <w:w w:val="100"/>
        </w:rPr>
        <w:t>）</w:t>
      </w:r>
      <w:r>
        <w:rPr>
          <w:spacing w:val="-5"/>
          <w:w w:val="100"/>
        </w:rPr>
        <w:t>，基金管理人应</w:t>
      </w:r>
      <w:r>
        <w:rPr>
          <w:spacing w:val="-13"/>
        </w:rPr>
        <w:t>当在 </w:t>
      </w:r>
      <w:r>
        <w:rPr>
          <w:rFonts w:ascii="Times New Roman" w:eastAsia="Times New Roman"/>
        </w:rPr>
        <w:t>10</w:t>
      </w:r>
      <w:r>
        <w:rPr>
          <w:rFonts w:ascii="Times New Roman" w:eastAsia="Times New Roman"/>
          <w:spacing w:val="21"/>
        </w:rPr>
        <w:t> </w:t>
      </w:r>
      <w:r>
        <w:rPr>
          <w:spacing w:val="-3"/>
        </w:rPr>
        <w:t>个交易日内进行调整。但中国证监会规定的特殊情形除外。法律法规另有规定的， 从其规定。</w:t>
      </w:r>
    </w:p>
    <w:p>
      <w:pPr>
        <w:pStyle w:val="BodyText"/>
        <w:spacing w:line="417" w:lineRule="auto"/>
        <w:ind w:left="220" w:right="59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的有关约定。期间，基金的投资范围、投资策略应当符合基金合同的约定。基金托管人对基</w:t>
      </w:r>
      <w:r>
        <w:rPr>
          <w:spacing w:val="-10"/>
        </w:rPr>
        <w:t>金的投资的监督与检查自本基金合同生效之日起开始。法律法规或监管部门另有规定的，从</w:t>
      </w:r>
      <w:r>
        <w:rPr>
          <w:spacing w:val="-6"/>
        </w:rPr>
        <w:t>其规定。</w:t>
      </w:r>
    </w:p>
    <w:p>
      <w:pPr>
        <w:pStyle w:val="BodyText"/>
        <w:spacing w:line="417" w:lineRule="auto"/>
        <w:ind w:left="220" w:right="591" w:firstLine="419"/>
        <w:jc w:val="both"/>
      </w:pPr>
      <w:r>
        <w:rPr>
          <w:spacing w:val="-8"/>
        </w:rPr>
        <w:t>法律法规或监管部门修改或取消上述限制，如适用于本基金，本基金投资不再受相关限</w:t>
      </w:r>
      <w:r>
        <w:rPr>
          <w:spacing w:val="-11"/>
        </w:rPr>
        <w:t>制。在履行适当程序后，基金管理人经与基金托管人协商一致后，本基金投资按照新颁布的</w:t>
      </w:r>
      <w:r>
        <w:rPr>
          <w:spacing w:val="-6"/>
        </w:rPr>
        <w:t>法律法规或监管规定执行。</w:t>
      </w:r>
    </w:p>
    <w:p>
      <w:pPr>
        <w:pStyle w:val="BodyText"/>
        <w:spacing w:line="269" w:lineRule="exact"/>
        <w:ind w:left="640"/>
      </w:pPr>
      <w:r>
        <w:rPr>
          <w:rFonts w:ascii="Times New Roman" w:eastAsia="Times New Roman"/>
        </w:rPr>
        <w:t>2</w:t>
      </w:r>
      <w:r>
        <w:rPr/>
        <w:t>、禁止行为</w:t>
      </w:r>
    </w:p>
    <w:p>
      <w:pPr>
        <w:pStyle w:val="BodyText"/>
        <w:spacing w:before="6"/>
        <w:rPr>
          <w:sz w:val="15"/>
        </w:rPr>
      </w:pPr>
    </w:p>
    <w:p>
      <w:pPr>
        <w:pStyle w:val="BodyText"/>
        <w:ind w:left="640"/>
      </w:pPr>
      <w:r>
        <w:rPr/>
        <w:t>为维护基金份额持有人的合法权益，基金财产不得用于下列投资或者活动：</w:t>
      </w:r>
    </w:p>
    <w:p>
      <w:pPr>
        <w:pStyle w:val="BodyText"/>
        <w:spacing w:before="7"/>
        <w:rPr>
          <w:sz w:val="15"/>
        </w:rPr>
      </w:pPr>
    </w:p>
    <w:p>
      <w:pPr>
        <w:pStyle w:val="ListParagraph"/>
        <w:numPr>
          <w:ilvl w:val="0"/>
          <w:numId w:val="52"/>
        </w:numPr>
        <w:tabs>
          <w:tab w:pos="1170" w:val="left" w:leader="none"/>
        </w:tabs>
        <w:spacing w:line="240" w:lineRule="auto" w:before="0" w:after="0"/>
        <w:ind w:left="1169" w:right="0" w:hanging="530"/>
        <w:jc w:val="left"/>
        <w:rPr>
          <w:sz w:val="21"/>
        </w:rPr>
      </w:pPr>
      <w:r>
        <w:rPr>
          <w:spacing w:val="-3"/>
          <w:sz w:val="21"/>
        </w:rPr>
        <w:t>承销证券；</w:t>
      </w:r>
    </w:p>
    <w:p>
      <w:pPr>
        <w:pStyle w:val="BodyText"/>
        <w:spacing w:before="6"/>
        <w:rPr>
          <w:sz w:val="15"/>
        </w:rPr>
      </w:pPr>
    </w:p>
    <w:p>
      <w:pPr>
        <w:pStyle w:val="ListParagraph"/>
        <w:numPr>
          <w:ilvl w:val="0"/>
          <w:numId w:val="52"/>
        </w:numPr>
        <w:tabs>
          <w:tab w:pos="1170" w:val="left" w:leader="none"/>
        </w:tabs>
        <w:spacing w:line="240" w:lineRule="auto" w:before="1" w:after="0"/>
        <w:ind w:left="116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52"/>
        </w:numPr>
        <w:tabs>
          <w:tab w:pos="1170" w:val="left" w:leader="none"/>
        </w:tabs>
        <w:spacing w:line="240" w:lineRule="auto" w:before="0" w:after="0"/>
        <w:ind w:left="116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52"/>
        </w:numPr>
        <w:tabs>
          <w:tab w:pos="1170" w:val="left" w:leader="none"/>
        </w:tabs>
        <w:spacing w:line="240" w:lineRule="auto" w:before="0" w:after="0"/>
        <w:ind w:left="116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52"/>
        </w:numPr>
        <w:tabs>
          <w:tab w:pos="1170" w:val="left" w:leader="none"/>
        </w:tabs>
        <w:spacing w:line="240" w:lineRule="auto" w:before="0" w:after="0"/>
        <w:ind w:left="116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52"/>
        </w:numPr>
        <w:tabs>
          <w:tab w:pos="1170" w:val="left" w:leader="none"/>
        </w:tabs>
        <w:spacing w:line="240" w:lineRule="auto" w:before="1" w:after="0"/>
        <w:ind w:left="1169" w:right="0" w:hanging="530"/>
        <w:jc w:val="left"/>
        <w:rPr>
          <w:sz w:val="21"/>
        </w:rPr>
      </w:pPr>
      <w:r>
        <w:rPr>
          <w:spacing w:val="-3"/>
          <w:sz w:val="21"/>
        </w:rPr>
        <w:t>法律、行政法规和国务院证券监督管理机构规定禁止的其他活动。</w:t>
      </w:r>
    </w:p>
    <w:p>
      <w:pPr>
        <w:pStyle w:val="BodyText"/>
        <w:spacing w:before="6"/>
        <w:rPr>
          <w:sz w:val="15"/>
        </w:rPr>
      </w:pPr>
    </w:p>
    <w:p>
      <w:pPr>
        <w:pStyle w:val="BodyText"/>
        <w:spacing w:line="417" w:lineRule="auto" w:before="1"/>
        <w:ind w:left="220" w:right="591" w:firstLine="419"/>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p>
    <w:p>
      <w:pPr>
        <w:spacing w:after="0" w:line="417" w:lineRule="auto"/>
        <w:sectPr>
          <w:footerReference w:type="default" r:id="rId150"/>
          <w:pgSz w:w="11910" w:h="16840"/>
          <w:pgMar w:footer="995" w:header="877" w:top="1420" w:bottom="1180" w:left="1580" w:right="1200"/>
          <w:pgNumType w:start="131"/>
        </w:sectPr>
      </w:pPr>
    </w:p>
    <w:p>
      <w:pPr>
        <w:pStyle w:val="BodyText"/>
        <w:spacing w:line="417" w:lineRule="auto" w:before="110"/>
        <w:ind w:left="220" w:right="384"/>
      </w:pPr>
      <w:r>
        <w:rPr>
          <w:spacing w:val="-10"/>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417" w:lineRule="auto"/>
        <w:ind w:left="220" w:right="591" w:firstLine="419"/>
        <w:jc w:val="both"/>
      </w:pPr>
      <w:r>
        <w:rPr>
          <w:spacing w:val="-8"/>
        </w:rPr>
        <w:t>法律法规或监管部门修改或取消上述禁止行为，如适用于本基金，则本基金投资不再受</w:t>
      </w:r>
      <w:r>
        <w:rPr>
          <w:spacing w:val="-12"/>
        </w:rPr>
        <w:t>相关禁止行为限制。基金管理人经与基金托管人协商一致后，本基金投资按照新颁布的法律</w:t>
      </w:r>
      <w:r>
        <w:rPr>
          <w:spacing w:val="-6"/>
        </w:rPr>
        <w:t>法规或监管规定执行，无须另行召开基金份额持有人大会。</w:t>
      </w:r>
    </w:p>
    <w:p>
      <w:pPr>
        <w:spacing w:line="417" w:lineRule="auto" w:before="0"/>
        <w:ind w:left="640" w:right="2324" w:firstLine="1731"/>
        <w:jc w:val="both"/>
        <w:rPr>
          <w:sz w:val="21"/>
        </w:rPr>
      </w:pPr>
      <w:r>
        <w:rPr>
          <w:b/>
          <w:sz w:val="21"/>
        </w:rPr>
        <w:t>第六部分 基金资产净值的计算方法和公告方式</w:t>
      </w:r>
      <w:r>
        <w:rPr>
          <w:sz w:val="21"/>
        </w:rPr>
        <w:t>基金资产净值是指基金资产总值减去基金负债后的价值。</w:t>
      </w:r>
    </w:p>
    <w:p>
      <w:pPr>
        <w:pStyle w:val="BodyText"/>
        <w:spacing w:line="417" w:lineRule="auto"/>
        <w:ind w:left="220" w:right="59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spacing w:line="417" w:lineRule="auto"/>
        <w:ind w:left="220" w:right="591" w:firstLine="419"/>
      </w:pPr>
      <w:r>
        <w:rPr>
          <w:spacing w:val="-7"/>
        </w:rPr>
        <w:t>基金管理人应当在不晚于半年度和年度最后一日的次日，在指定网站披露半年度和年度</w:t>
      </w:r>
      <w:r>
        <w:rPr>
          <w:spacing w:val="-5"/>
        </w:rPr>
        <w:t>最后一日的基金份额净值和基金份额累计净值。</w:t>
      </w:r>
    </w:p>
    <w:p>
      <w:pPr>
        <w:tabs>
          <w:tab w:pos="2479" w:val="left" w:leader="none"/>
        </w:tabs>
        <w:spacing w:line="417" w:lineRule="auto" w:before="0"/>
        <w:ind w:left="640" w:right="1374" w:firstLine="782"/>
        <w:jc w:val="left"/>
        <w:rPr>
          <w:sz w:val="21"/>
        </w:rPr>
      </w:pPr>
      <w:r>
        <w:rPr>
          <w:b/>
          <w:sz w:val="21"/>
        </w:rPr>
        <w:t>第七部分</w:t>
        <w:tab/>
        <w:t>基金合</w:t>
      </w:r>
      <w:r>
        <w:rPr>
          <w:b/>
          <w:spacing w:val="-3"/>
          <w:sz w:val="21"/>
        </w:rPr>
        <w:t>同</w:t>
      </w:r>
      <w:r>
        <w:rPr>
          <w:b/>
          <w:sz w:val="21"/>
        </w:rPr>
        <w:t>解</w:t>
      </w:r>
      <w:r>
        <w:rPr>
          <w:b/>
          <w:spacing w:val="-3"/>
          <w:sz w:val="21"/>
        </w:rPr>
        <w:t>除</w:t>
      </w:r>
      <w:r>
        <w:rPr>
          <w:b/>
          <w:sz w:val="21"/>
        </w:rPr>
        <w:t>和终止的事由、程</w:t>
      </w:r>
      <w:r>
        <w:rPr>
          <w:b/>
          <w:spacing w:val="-3"/>
          <w:sz w:val="21"/>
        </w:rPr>
        <w:t>序</w:t>
      </w:r>
      <w:r>
        <w:rPr>
          <w:b/>
          <w:sz w:val="21"/>
        </w:rPr>
        <w:t>以</w:t>
      </w:r>
      <w:r>
        <w:rPr>
          <w:b/>
          <w:spacing w:val="-3"/>
          <w:sz w:val="21"/>
        </w:rPr>
        <w:t>及</w:t>
      </w:r>
      <w:r>
        <w:rPr>
          <w:b/>
          <w:sz w:val="21"/>
        </w:rPr>
        <w:t>基金财产清算方</w:t>
      </w:r>
      <w:r>
        <w:rPr>
          <w:b/>
          <w:spacing w:val="-15"/>
          <w:sz w:val="21"/>
        </w:rPr>
        <w:t>式</w:t>
      </w:r>
      <w:r>
        <w:rPr>
          <w:sz w:val="21"/>
        </w:rPr>
        <w:t>一</w:t>
      </w:r>
      <w:r>
        <w:rPr>
          <w:spacing w:val="-106"/>
          <w:sz w:val="21"/>
        </w:rPr>
        <w:t>、</w:t>
      </w:r>
      <w:r>
        <w:rPr>
          <w:spacing w:val="-3"/>
          <w:sz w:val="21"/>
        </w:rPr>
        <w:t>《</w:t>
      </w:r>
      <w:r>
        <w:rPr>
          <w:sz w:val="21"/>
        </w:rPr>
        <w:t>基</w:t>
      </w:r>
      <w:r>
        <w:rPr>
          <w:spacing w:val="-3"/>
          <w:sz w:val="21"/>
        </w:rPr>
        <w:t>金</w:t>
      </w:r>
      <w:r>
        <w:rPr>
          <w:sz w:val="21"/>
        </w:rPr>
        <w:t>合</w:t>
      </w:r>
      <w:r>
        <w:rPr>
          <w:spacing w:val="-3"/>
          <w:sz w:val="21"/>
        </w:rPr>
        <w:t>同</w:t>
      </w:r>
      <w:r>
        <w:rPr>
          <w:sz w:val="21"/>
        </w:rPr>
        <w:t>》</w:t>
      </w:r>
      <w:r>
        <w:rPr>
          <w:spacing w:val="-3"/>
          <w:sz w:val="21"/>
        </w:rPr>
        <w:t>的</w:t>
      </w:r>
      <w:r>
        <w:rPr>
          <w:sz w:val="21"/>
        </w:rPr>
        <w:t>变更</w:t>
      </w:r>
    </w:p>
    <w:p>
      <w:pPr>
        <w:pStyle w:val="BodyText"/>
        <w:spacing w:line="417" w:lineRule="auto"/>
        <w:ind w:left="220" w:right="591" w:firstLine="419"/>
        <w:jc w:val="both"/>
      </w:pPr>
      <w:r>
        <w:rPr>
          <w:rFonts w:ascii="Times New Roman" w:eastAsia="Times New Roman"/>
        </w:rPr>
        <w:t>1</w:t>
      </w:r>
      <w:r>
        <w:rPr>
          <w:spacing w:val="-3"/>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spacing w:val="-6"/>
        </w:rPr>
        <w:t>事项，由基金管理人和基金托管人同意后变更并公告，并报中国证监会备案。</w:t>
      </w:r>
    </w:p>
    <w:p>
      <w:pPr>
        <w:pStyle w:val="BodyText"/>
        <w:spacing w:line="417" w:lineRule="auto"/>
        <w:ind w:left="220" w:right="59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line="269" w:lineRule="exact"/>
        <w:ind w:left="640"/>
      </w:pPr>
      <w:r>
        <w:rPr/>
        <w:t>二、《基金合同》的终止事由</w:t>
      </w:r>
    </w:p>
    <w:p>
      <w:pPr>
        <w:pStyle w:val="BodyText"/>
        <w:spacing w:before="5"/>
        <w:rPr>
          <w:sz w:val="15"/>
        </w:rPr>
      </w:pPr>
    </w:p>
    <w:p>
      <w:pPr>
        <w:pStyle w:val="BodyText"/>
        <w:ind w:left="640"/>
      </w:pPr>
      <w:r>
        <w:rPr/>
        <w:t>有下列情形之一的，《基金合同》应当终止：</w:t>
      </w:r>
    </w:p>
    <w:p>
      <w:pPr>
        <w:pStyle w:val="BodyText"/>
        <w:spacing w:before="7"/>
        <w:rPr>
          <w:sz w:val="15"/>
        </w:rPr>
      </w:pPr>
    </w:p>
    <w:p>
      <w:pPr>
        <w:pStyle w:val="BodyText"/>
        <w:ind w:left="640"/>
      </w:pPr>
      <w:r>
        <w:rPr>
          <w:rFonts w:ascii="Times New Roman" w:eastAsia="Times New Roman"/>
        </w:rPr>
        <w:t>1</w:t>
      </w:r>
      <w:r>
        <w:rPr/>
        <w:t>、基金份额持有人大会决定终止的；</w:t>
      </w:r>
    </w:p>
    <w:p>
      <w:pPr>
        <w:pStyle w:val="BodyText"/>
        <w:spacing w:before="6"/>
        <w:rPr>
          <w:sz w:val="15"/>
        </w:rPr>
      </w:pPr>
    </w:p>
    <w:p>
      <w:pPr>
        <w:pStyle w:val="BodyText"/>
        <w:spacing w:line="417" w:lineRule="auto" w:before="1"/>
        <w:ind w:left="220" w:right="53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640"/>
      </w:pPr>
      <w:r>
        <w:rPr>
          <w:rFonts w:ascii="Times New Roman" w:eastAsia="Times New Roman"/>
        </w:rPr>
        <w:t>3</w:t>
      </w:r>
      <w:r>
        <w:rPr/>
        <w:t>《基金合同》约定的其他情形；</w:t>
      </w:r>
    </w:p>
    <w:p>
      <w:pPr>
        <w:pStyle w:val="BodyText"/>
        <w:spacing w:before="6"/>
        <w:rPr>
          <w:sz w:val="15"/>
        </w:rPr>
      </w:pPr>
    </w:p>
    <w:p>
      <w:pPr>
        <w:pStyle w:val="BodyText"/>
        <w:spacing w:line="417" w:lineRule="auto"/>
        <w:ind w:left="640" w:right="3966"/>
      </w:pPr>
      <w:r>
        <w:rPr>
          <w:rFonts w:ascii="Times New Roman" w:eastAsia="Times New Roman"/>
        </w:rPr>
        <w:t>4</w:t>
      </w:r>
      <w:r>
        <w:rPr/>
        <w:t>、相关法律法规和中国证监会规定的其他情况。三、基金财产的清算</w:t>
      </w:r>
    </w:p>
    <w:p>
      <w:pPr>
        <w:pStyle w:val="BodyText"/>
        <w:spacing w:line="417" w:lineRule="auto"/>
        <w:ind w:left="220" w:right="593" w:firstLine="419"/>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spacing w:after="0" w:line="417" w:lineRule="auto"/>
        <w:sectPr>
          <w:pgSz w:w="11910" w:h="16840"/>
          <w:pgMar w:header="877" w:footer="995" w:top="1420" w:bottom="1180" w:left="1580" w:right="1200"/>
        </w:sectPr>
      </w:pPr>
    </w:p>
    <w:p>
      <w:pPr>
        <w:pStyle w:val="BodyText"/>
        <w:spacing w:line="417" w:lineRule="auto" w:before="110"/>
        <w:ind w:left="220" w:right="59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220" w:right="59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640"/>
      </w:pPr>
      <w:r>
        <w:rPr>
          <w:rFonts w:ascii="Times New Roman" w:eastAsia="Times New Roman"/>
        </w:rPr>
        <w:t>4</w:t>
      </w:r>
      <w:r>
        <w:rPr/>
        <w:t>、基金财产清算程序：</w:t>
      </w:r>
    </w:p>
    <w:p>
      <w:pPr>
        <w:pStyle w:val="BodyText"/>
        <w:spacing w:before="6"/>
        <w:rPr>
          <w:sz w:val="15"/>
        </w:rPr>
      </w:pPr>
    </w:p>
    <w:p>
      <w:pPr>
        <w:pStyle w:val="ListParagraph"/>
        <w:numPr>
          <w:ilvl w:val="0"/>
          <w:numId w:val="53"/>
        </w:numPr>
        <w:tabs>
          <w:tab w:pos="1170" w:val="left" w:leader="none"/>
        </w:tabs>
        <w:spacing w:line="240" w:lineRule="auto" w:before="0" w:after="0"/>
        <w:ind w:left="116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53"/>
        </w:numPr>
        <w:tabs>
          <w:tab w:pos="1170" w:val="left" w:leader="none"/>
        </w:tabs>
        <w:spacing w:line="240" w:lineRule="auto" w:before="0" w:after="0"/>
        <w:ind w:left="116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53"/>
        </w:numPr>
        <w:tabs>
          <w:tab w:pos="1170" w:val="left" w:leader="none"/>
        </w:tabs>
        <w:spacing w:line="240" w:lineRule="auto" w:before="0" w:after="0"/>
        <w:ind w:left="116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53"/>
        </w:numPr>
        <w:tabs>
          <w:tab w:pos="1170" w:val="left" w:leader="none"/>
        </w:tabs>
        <w:spacing w:line="240" w:lineRule="auto" w:before="0" w:after="0"/>
        <w:ind w:left="1169" w:right="0" w:hanging="530"/>
        <w:jc w:val="left"/>
        <w:rPr>
          <w:sz w:val="21"/>
        </w:rPr>
      </w:pPr>
      <w:r>
        <w:rPr>
          <w:spacing w:val="-3"/>
          <w:sz w:val="21"/>
        </w:rPr>
        <w:t>制作清算报告；</w:t>
      </w:r>
    </w:p>
    <w:p>
      <w:pPr>
        <w:pStyle w:val="BodyText"/>
        <w:spacing w:before="6"/>
        <w:rPr>
          <w:sz w:val="15"/>
        </w:rPr>
      </w:pPr>
    </w:p>
    <w:p>
      <w:pPr>
        <w:pStyle w:val="ListParagraph"/>
        <w:numPr>
          <w:ilvl w:val="0"/>
          <w:numId w:val="53"/>
        </w:numPr>
        <w:tabs>
          <w:tab w:pos="1170" w:val="left" w:leader="none"/>
        </w:tabs>
        <w:spacing w:line="417" w:lineRule="auto" w:before="1" w:after="0"/>
        <w:ind w:left="220" w:right="59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3"/>
        </w:numPr>
        <w:tabs>
          <w:tab w:pos="1170" w:val="left" w:leader="none"/>
        </w:tabs>
        <w:spacing w:line="269" w:lineRule="exact" w:before="0" w:after="0"/>
        <w:ind w:left="116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53"/>
        </w:numPr>
        <w:tabs>
          <w:tab w:pos="1170" w:val="left" w:leader="none"/>
        </w:tabs>
        <w:spacing w:line="240" w:lineRule="auto" w:before="0" w:after="0"/>
        <w:ind w:left="1169" w:right="0" w:hanging="530"/>
        <w:jc w:val="left"/>
        <w:rPr>
          <w:sz w:val="21"/>
        </w:rPr>
      </w:pPr>
      <w:r>
        <w:rPr>
          <w:spacing w:val="-3"/>
          <w:sz w:val="21"/>
        </w:rPr>
        <w:t>对基金财产进行分配。</w:t>
      </w:r>
    </w:p>
    <w:p>
      <w:pPr>
        <w:pStyle w:val="BodyText"/>
        <w:spacing w:before="7"/>
        <w:rPr>
          <w:sz w:val="15"/>
        </w:rPr>
      </w:pPr>
    </w:p>
    <w:p>
      <w:pPr>
        <w:pStyle w:val="BodyText"/>
        <w:spacing w:line="417" w:lineRule="auto"/>
        <w:ind w:left="640" w:right="5163"/>
      </w:pPr>
      <w:r>
        <w:rPr>
          <w:rFonts w:ascii="Times New Roman" w:eastAsia="Times New Roman"/>
        </w:rPr>
        <w:t>5</w:t>
      </w:r>
      <w:r>
        <w:rPr/>
        <w:t>、基金财产清算的期限为 </w:t>
      </w:r>
      <w:r>
        <w:rPr>
          <w:rFonts w:ascii="Times New Roman" w:eastAsia="Times New Roman"/>
        </w:rPr>
        <w:t>6 </w:t>
      </w:r>
      <w:r>
        <w:rPr/>
        <w:t>个月。四、清算费用</w:t>
      </w:r>
    </w:p>
    <w:p>
      <w:pPr>
        <w:pStyle w:val="BodyText"/>
        <w:spacing w:line="417" w:lineRule="auto"/>
        <w:ind w:left="220" w:right="59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640"/>
      </w:pPr>
      <w:r>
        <w:rPr/>
        <w:t>五、基金财产清算剩余资产的分配</w:t>
      </w:r>
    </w:p>
    <w:p>
      <w:pPr>
        <w:pStyle w:val="BodyText"/>
        <w:spacing w:before="7"/>
        <w:rPr>
          <w:sz w:val="15"/>
        </w:rPr>
      </w:pPr>
    </w:p>
    <w:p>
      <w:pPr>
        <w:pStyle w:val="BodyText"/>
        <w:spacing w:line="417" w:lineRule="auto"/>
        <w:ind w:left="220" w:right="59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ind w:left="640"/>
      </w:pPr>
      <w:r>
        <w:rPr/>
        <w:t>六、基金财产清算的公告</w:t>
      </w:r>
    </w:p>
    <w:p>
      <w:pPr>
        <w:pStyle w:val="BodyText"/>
        <w:spacing w:before="7"/>
        <w:rPr>
          <w:sz w:val="15"/>
        </w:rPr>
      </w:pPr>
    </w:p>
    <w:p>
      <w:pPr>
        <w:pStyle w:val="BodyText"/>
        <w:spacing w:line="417" w:lineRule="auto"/>
        <w:ind w:left="220" w:right="59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line="269" w:lineRule="exact"/>
        <w:ind w:left="640"/>
      </w:pPr>
      <w:r>
        <w:rPr/>
        <w:t>七、基金财产清算账册及文件的保存</w:t>
      </w:r>
    </w:p>
    <w:p>
      <w:pPr>
        <w:pStyle w:val="BodyText"/>
        <w:spacing w:before="6"/>
        <w:rPr>
          <w:sz w:val="15"/>
        </w:rPr>
      </w:pPr>
    </w:p>
    <w:p>
      <w:pPr>
        <w:pStyle w:val="BodyText"/>
        <w:spacing w:before="1"/>
        <w:ind w:left="640"/>
      </w:pPr>
      <w:r>
        <w:rPr/>
        <w:t>基金财产清算账册及有关文件由基金托管人保存 </w:t>
      </w:r>
      <w:r>
        <w:rPr>
          <w:rFonts w:ascii="Times New Roman" w:eastAsia="Times New Roman"/>
        </w:rPr>
        <w:t>15 </w:t>
      </w:r>
      <w:r>
        <w:rPr/>
        <w:t>年以上。</w:t>
      </w:r>
    </w:p>
    <w:p>
      <w:pPr>
        <w:pStyle w:val="BodyText"/>
        <w:spacing w:before="6"/>
        <w:rPr>
          <w:sz w:val="15"/>
        </w:rPr>
      </w:pPr>
    </w:p>
    <w:p>
      <w:pPr>
        <w:tabs>
          <w:tab w:pos="4480" w:val="left" w:leader="none"/>
        </w:tabs>
        <w:spacing w:before="0"/>
        <w:ind w:left="3425" w:right="0" w:firstLine="0"/>
        <w:jc w:val="left"/>
        <w:rPr>
          <w:b/>
          <w:sz w:val="21"/>
        </w:rPr>
      </w:pPr>
      <w:r>
        <w:rPr>
          <w:b/>
          <w:sz w:val="21"/>
        </w:rPr>
        <w:t>第八部分</w:t>
        <w:tab/>
        <w:t>争议解</w:t>
      </w:r>
      <w:r>
        <w:rPr>
          <w:b/>
          <w:spacing w:val="-3"/>
          <w:sz w:val="21"/>
        </w:rPr>
        <w:t>决</w:t>
      </w:r>
      <w:r>
        <w:rPr>
          <w:b/>
          <w:sz w:val="21"/>
        </w:rPr>
        <w:t>方式</w:t>
      </w:r>
    </w:p>
    <w:p>
      <w:pPr>
        <w:pStyle w:val="BodyText"/>
        <w:spacing w:before="7"/>
        <w:rPr>
          <w:b/>
          <w:sz w:val="15"/>
        </w:rPr>
      </w:pPr>
    </w:p>
    <w:p>
      <w:pPr>
        <w:pStyle w:val="BodyText"/>
        <w:spacing w:line="417" w:lineRule="auto" w:before="1"/>
        <w:ind w:left="220" w:right="591" w:firstLine="419"/>
      </w:pPr>
      <w:r>
        <w:rPr>
          <w:spacing w:val="-11"/>
        </w:rPr>
        <w:t>各方当事人同意，因《基金合同》而产生的或与《基金合同》有关的一切争议，如经友</w:t>
      </w:r>
      <w:r>
        <w:rPr>
          <w:spacing w:val="-13"/>
        </w:rPr>
        <w:t>好协商未能解决的，应提交北京仲裁委员会，根据该会当时有效的仲裁规则按照普通程序进</w:t>
      </w:r>
    </w:p>
    <w:p>
      <w:pPr>
        <w:spacing w:after="0" w:line="417" w:lineRule="auto"/>
        <w:sectPr>
          <w:pgSz w:w="11910" w:h="16840"/>
          <w:pgMar w:header="877" w:footer="995" w:top="1420" w:bottom="1180" w:left="1580" w:right="1200"/>
        </w:sectPr>
      </w:pPr>
    </w:p>
    <w:p>
      <w:pPr>
        <w:pStyle w:val="BodyText"/>
        <w:spacing w:line="417" w:lineRule="auto" w:before="110"/>
        <w:ind w:left="220" w:right="591"/>
      </w:pPr>
      <w:r>
        <w:rPr>
          <w:spacing w:val="-11"/>
        </w:rPr>
        <w:t>行仲裁，仲裁地点为北京，仲裁裁决是终局性的并对各方当事人具有约束力，仲裁费由败诉</w:t>
      </w:r>
      <w:r>
        <w:rPr>
          <w:spacing w:val="-7"/>
        </w:rPr>
        <w:t>方承担。</w:t>
      </w:r>
    </w:p>
    <w:p>
      <w:pPr>
        <w:pStyle w:val="BodyText"/>
        <w:spacing w:line="269" w:lineRule="exact"/>
        <w:ind w:left="640"/>
      </w:pPr>
      <w:r>
        <w:rPr/>
        <w:t>《基金合同》受中国法律管辖。</w:t>
      </w:r>
    </w:p>
    <w:p>
      <w:pPr>
        <w:pStyle w:val="BodyText"/>
        <w:spacing w:before="6"/>
        <w:rPr>
          <w:sz w:val="15"/>
        </w:rPr>
      </w:pPr>
    </w:p>
    <w:p>
      <w:pPr>
        <w:tabs>
          <w:tab w:pos="3004" w:val="left" w:leader="none"/>
        </w:tabs>
        <w:spacing w:before="0"/>
        <w:ind w:left="1948" w:right="0" w:firstLine="0"/>
        <w:jc w:val="left"/>
        <w:rPr>
          <w:b/>
          <w:sz w:val="21"/>
        </w:rPr>
      </w:pPr>
      <w:r>
        <w:rPr>
          <w:b/>
          <w:sz w:val="21"/>
        </w:rPr>
        <w:t>第九部分</w:t>
        <w:tab/>
        <w:t>基金合</w:t>
      </w:r>
      <w:r>
        <w:rPr>
          <w:b/>
          <w:spacing w:val="-3"/>
          <w:sz w:val="21"/>
        </w:rPr>
        <w:t>同</w:t>
      </w:r>
      <w:r>
        <w:rPr>
          <w:b/>
          <w:sz w:val="21"/>
        </w:rPr>
        <w:t>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pPr>
        <w:pStyle w:val="BodyText"/>
        <w:spacing w:before="7"/>
        <w:rPr>
          <w:b/>
          <w:sz w:val="15"/>
        </w:rPr>
      </w:pPr>
    </w:p>
    <w:p>
      <w:pPr>
        <w:pStyle w:val="BodyText"/>
        <w:spacing w:line="417" w:lineRule="auto"/>
        <w:ind w:left="220" w:right="591" w:firstLine="419"/>
      </w:pPr>
      <w:r>
        <w:rPr>
          <w:spacing w:val="-10"/>
        </w:rPr>
        <w:t>《基金合同》正本一式六份，除上报有关监管机构一式二份外，基金管理人、基金托管</w:t>
      </w:r>
      <w:r>
        <w:rPr>
          <w:spacing w:val="-5"/>
        </w:rPr>
        <w:t>人各持有二份，每份具有同等的法律效力。</w:t>
      </w:r>
    </w:p>
    <w:p>
      <w:pPr>
        <w:pStyle w:val="BodyText"/>
        <w:spacing w:line="417" w:lineRule="auto"/>
        <w:ind w:left="220" w:right="591" w:firstLine="419"/>
      </w:pPr>
      <w:r>
        <w:rPr>
          <w:spacing w:val="-10"/>
        </w:rPr>
        <w:t>《基金合同》可印制成册，供投资者在基金管理人、基金托管人、销售机构的办公场所</w:t>
      </w:r>
      <w:r>
        <w:rPr>
          <w:spacing w:val="-5"/>
        </w:rPr>
        <w:t>和营业场所查阅。</w:t>
      </w:r>
    </w:p>
    <w:p>
      <w:pPr>
        <w:pStyle w:val="BodyText"/>
        <w:spacing w:line="417" w:lineRule="auto"/>
        <w:ind w:left="220" w:right="591" w:firstLine="419"/>
      </w:pPr>
      <w:r>
        <w:rPr>
          <w:spacing w:val="-10"/>
        </w:rPr>
        <w:t>依法必须披露的信息发布后，基金管理人、基金托管人应当按照相关法律法规规定将信</w:t>
      </w:r>
      <w:r>
        <w:rPr>
          <w:spacing w:val="-5"/>
        </w:rPr>
        <w:t>息置备于公司住所，供社会公众查阅、复制。</w:t>
      </w:r>
    </w:p>
    <w:p>
      <w:pPr>
        <w:spacing w:after="0" w:line="417" w:lineRule="auto"/>
        <w:sectPr>
          <w:pgSz w:w="11910" w:h="16840"/>
          <w:pgMar w:header="877" w:footer="995" w:top="1420" w:bottom="1180" w:left="1580" w:right="1200"/>
        </w:sectPr>
      </w:pPr>
    </w:p>
    <w:p>
      <w:pPr>
        <w:pStyle w:val="BodyText"/>
        <w:spacing w:before="4"/>
        <w:rPr>
          <w:sz w:val="12"/>
        </w:rPr>
      </w:pPr>
    </w:p>
    <w:p>
      <w:pPr>
        <w:pStyle w:val="Heading1"/>
        <w:spacing w:before="72"/>
        <w:ind w:right="1136"/>
      </w:pPr>
      <w:bookmarkStart w:name="_bookmark25" w:id="26"/>
      <w:bookmarkEnd w:id="26"/>
      <w:r>
        <w:rPr>
          <w:b w:val="0"/>
        </w:rPr>
      </w:r>
      <w:r>
        <w:rPr/>
        <w:t>附件二：基金托管协议摘要</w:t>
      </w:r>
    </w:p>
    <w:p>
      <w:pPr>
        <w:pStyle w:val="BodyText"/>
        <w:spacing w:before="11"/>
        <w:rPr>
          <w:b/>
          <w:sz w:val="24"/>
        </w:rPr>
      </w:pPr>
    </w:p>
    <w:p>
      <w:pPr>
        <w:pStyle w:val="Heading1"/>
        <w:ind w:left="3425" w:right="0"/>
        <w:jc w:val="left"/>
      </w:pPr>
      <w:r>
        <w:rPr/>
        <w:t>一、托管协议当事人</w:t>
      </w:r>
    </w:p>
    <w:p>
      <w:pPr>
        <w:pStyle w:val="BodyText"/>
        <w:spacing w:before="7"/>
        <w:rPr>
          <w:b/>
          <w:sz w:val="15"/>
        </w:rPr>
      </w:pPr>
    </w:p>
    <w:p>
      <w:pPr>
        <w:pStyle w:val="BodyText"/>
        <w:spacing w:line="417" w:lineRule="auto"/>
        <w:ind w:left="640" w:right="4804"/>
      </w:pPr>
      <w:r>
        <w:rPr>
          <w:w w:val="100"/>
        </w:rPr>
        <w:t>（一</w:t>
      </w:r>
      <w:r>
        <w:rPr>
          <w:spacing w:val="-3"/>
          <w:w w:val="100"/>
        </w:rPr>
        <w:t>）基金管理人（</w:t>
      </w:r>
      <w:r>
        <w:rPr>
          <w:spacing w:val="-17"/>
          <w:w w:val="100"/>
        </w:rPr>
        <w:t>或简称“管理人”</w:t>
      </w:r>
      <w:r>
        <w:rPr>
          <w:spacing w:val="-7"/>
          <w:w w:val="100"/>
        </w:rPr>
        <w:t>）</w:t>
      </w:r>
      <w:r>
        <w:rPr>
          <w:spacing w:val="-3"/>
        </w:rPr>
        <w:t>名称：华夏基金管理有限公司</w:t>
      </w:r>
    </w:p>
    <w:p>
      <w:pPr>
        <w:pStyle w:val="BodyText"/>
        <w:spacing w:line="417" w:lineRule="auto"/>
        <w:ind w:left="640" w:right="4849"/>
      </w:pPr>
      <w:r>
        <w:rPr/>
        <w:t>住所：北京市顺义区安庆大街甲 </w:t>
      </w:r>
      <w:r>
        <w:rPr>
          <w:rFonts w:ascii="Times New Roman" w:eastAsia="Times New Roman"/>
        </w:rPr>
        <w:t>3 </w:t>
      </w:r>
      <w:r>
        <w:rPr/>
        <w:t>号院法定代表人：杨明辉</w:t>
      </w:r>
    </w:p>
    <w:p>
      <w:pPr>
        <w:pStyle w:val="BodyText"/>
        <w:spacing w:line="269" w:lineRule="exact"/>
        <w:ind w:left="64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ind w:left="640" w:right="2615"/>
      </w:pPr>
      <w:r>
        <w:rPr/>
        <w:t>批准设立机关及批准设立文号：中国证监会证监基字</w:t>
      </w:r>
      <w:r>
        <w:rPr>
          <w:rFonts w:ascii="Times New Roman" w:eastAsia="Times New Roman"/>
        </w:rPr>
        <w:t>[1998]16 </w:t>
      </w:r>
      <w:r>
        <w:rPr/>
        <w:t>号组织形式：有限责任公司</w:t>
      </w:r>
    </w:p>
    <w:p>
      <w:pPr>
        <w:pStyle w:val="BodyText"/>
        <w:spacing w:line="417" w:lineRule="auto"/>
        <w:ind w:left="640" w:right="596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spacing w:line="269" w:lineRule="exact"/>
        <w:ind w:left="640"/>
        <w:rPr>
          <w:rFonts w:ascii="Times New Roman" w:eastAsia="Times New Roman"/>
        </w:rPr>
      </w:pPr>
      <w:r>
        <w:rPr/>
        <w:t>联系电话：</w:t>
      </w:r>
      <w:r>
        <w:rPr>
          <w:rFonts w:ascii="Times New Roman" w:eastAsia="Times New Roman"/>
        </w:rPr>
        <w:t>400-818-6666</w:t>
      </w:r>
    </w:p>
    <w:p>
      <w:pPr>
        <w:pStyle w:val="BodyText"/>
        <w:spacing w:before="3"/>
        <w:rPr>
          <w:rFonts w:ascii="Times New Roman"/>
          <w:sz w:val="17"/>
        </w:rPr>
      </w:pPr>
    </w:p>
    <w:p>
      <w:pPr>
        <w:pStyle w:val="BodyText"/>
        <w:ind w:left="640"/>
      </w:pPr>
      <w:r>
        <w:rPr/>
        <w:t>存续期间：持续经营</w:t>
      </w:r>
    </w:p>
    <w:p>
      <w:pPr>
        <w:pStyle w:val="BodyText"/>
        <w:spacing w:before="7"/>
        <w:rPr>
          <w:sz w:val="15"/>
        </w:rPr>
      </w:pPr>
    </w:p>
    <w:p>
      <w:pPr>
        <w:pStyle w:val="BodyText"/>
        <w:ind w:left="640"/>
      </w:pPr>
      <w:r>
        <w:rPr>
          <w:w w:val="100"/>
        </w:rPr>
        <w:t>（二</w:t>
      </w:r>
      <w:r>
        <w:rPr>
          <w:spacing w:val="-3"/>
          <w:w w:val="100"/>
        </w:rPr>
        <w:t>）基金托管人（</w:t>
      </w:r>
      <w:r>
        <w:rPr>
          <w:spacing w:val="-16"/>
          <w:w w:val="100"/>
        </w:rPr>
        <w:t>或简称“托管人”</w:t>
      </w:r>
      <w:r>
        <w:rPr>
          <w:w w:val="100"/>
        </w:rPr>
        <w:t>）</w:t>
      </w:r>
    </w:p>
    <w:p>
      <w:pPr>
        <w:pStyle w:val="BodyText"/>
        <w:spacing w:before="7"/>
        <w:rPr>
          <w:sz w:val="15"/>
        </w:rPr>
      </w:pPr>
    </w:p>
    <w:p>
      <w:pPr>
        <w:pStyle w:val="BodyText"/>
        <w:spacing w:line="417" w:lineRule="auto"/>
        <w:ind w:left="640" w:right="3649"/>
      </w:pPr>
      <w:r>
        <w:rPr/>
        <w:t>名称：中国银行股份有限公司（简称“中国银行”） 住所及办公地址：北京市西城区复兴门内大街 </w:t>
      </w:r>
      <w:r>
        <w:rPr>
          <w:rFonts w:ascii="Times New Roman" w:hAnsi="Times New Roman" w:eastAsia="Times New Roman"/>
        </w:rPr>
        <w:t>1 </w:t>
      </w:r>
      <w:r>
        <w:rPr/>
        <w:t>号</w:t>
      </w:r>
    </w:p>
    <w:p>
      <w:pPr>
        <w:pStyle w:val="BodyText"/>
        <w:spacing w:line="269" w:lineRule="exact"/>
        <w:ind w:left="640"/>
      </w:pPr>
      <w:r>
        <w:rPr/>
        <w:t>首次注册登记日期：</w:t>
      </w:r>
      <w:r>
        <w:rPr>
          <w:rFonts w:ascii="Times New Roman" w:eastAsia="Times New Roman"/>
        </w:rPr>
        <w:t>1983 </w:t>
      </w:r>
      <w:r>
        <w:rPr/>
        <w:t>年 </w:t>
      </w:r>
      <w:r>
        <w:rPr>
          <w:rFonts w:ascii="Times New Roman" w:eastAsia="Times New Roman"/>
        </w:rPr>
        <w:t>10 </w:t>
      </w:r>
      <w:r>
        <w:rPr/>
        <w:t>月 </w:t>
      </w:r>
      <w:r>
        <w:rPr>
          <w:rFonts w:ascii="Times New Roman" w:eastAsia="Times New Roman"/>
        </w:rPr>
        <w:t>31 </w:t>
      </w:r>
      <w:r>
        <w:rPr/>
        <w:t>日</w:t>
      </w:r>
    </w:p>
    <w:p>
      <w:pPr>
        <w:pStyle w:val="BodyText"/>
        <w:spacing w:before="7"/>
        <w:rPr>
          <w:sz w:val="15"/>
        </w:rPr>
      </w:pPr>
    </w:p>
    <w:p>
      <w:pPr>
        <w:pStyle w:val="BodyText"/>
        <w:spacing w:line="417" w:lineRule="auto"/>
        <w:ind w:left="640" w:right="1546"/>
      </w:pPr>
      <w:r>
        <w:rPr/>
        <w:t>注册资本：人民币贰仟玖佰肆拾叁亿捌仟柒佰柒拾玖万壹仟贰佰肆拾壹元整法定代表人：刘连舸</w:t>
      </w:r>
    </w:p>
    <w:p>
      <w:pPr>
        <w:pStyle w:val="BodyText"/>
        <w:spacing w:line="417" w:lineRule="auto"/>
        <w:ind w:left="640" w:right="2967"/>
      </w:pPr>
      <w:r>
        <w:rPr/>
        <w:t>基金托管业务批准文号：中国证监会证监基字【</w:t>
      </w:r>
      <w:r>
        <w:rPr>
          <w:rFonts w:ascii="Times New Roman" w:eastAsia="Times New Roman"/>
        </w:rPr>
        <w:t>1998</w:t>
      </w:r>
      <w:r>
        <w:rPr/>
        <w:t>】</w:t>
      </w:r>
      <w:r>
        <w:rPr>
          <w:rFonts w:ascii="Times New Roman" w:eastAsia="Times New Roman"/>
        </w:rPr>
        <w:t>24 </w:t>
      </w:r>
      <w:r>
        <w:rPr/>
        <w:t>号托管部门信息披露联系人：王永民</w:t>
      </w:r>
    </w:p>
    <w:p>
      <w:pPr>
        <w:pStyle w:val="BodyText"/>
        <w:ind w:left="640"/>
        <w:rPr>
          <w:rFonts w:ascii="Times New Roman" w:eastAsia="Times New Roman"/>
        </w:rPr>
      </w:pPr>
      <w:r>
        <w:rPr>
          <w:spacing w:val="-36"/>
          <w:w w:val="100"/>
        </w:rPr>
        <w:t>传真：</w:t>
      </w:r>
      <w:r>
        <w:rPr>
          <w:spacing w:val="-1"/>
          <w:w w:val="100"/>
        </w:rPr>
        <w:t>（</w:t>
      </w:r>
      <w:r>
        <w:rPr>
          <w:rFonts w:ascii="Times New Roman" w:eastAsia="Times New Roman"/>
          <w:w w:val="100"/>
        </w:rPr>
        <w:t>01</w:t>
      </w:r>
      <w:r>
        <w:rPr>
          <w:rFonts w:ascii="Times New Roman" w:eastAsia="Times New Roman"/>
          <w:spacing w:val="-3"/>
          <w:w w:val="100"/>
        </w:rPr>
        <w:t>0</w:t>
      </w:r>
      <w:r>
        <w:rPr>
          <w:w w:val="100"/>
        </w:rPr>
        <w:t>）</w:t>
      </w:r>
      <w:r>
        <w:rPr>
          <w:rFonts w:ascii="Times New Roman" w:eastAsia="Times New Roman"/>
          <w:w w:val="100"/>
        </w:rPr>
        <w:t>6</w:t>
      </w:r>
      <w:r>
        <w:rPr>
          <w:rFonts w:ascii="Times New Roman" w:eastAsia="Times New Roman"/>
          <w:spacing w:val="-3"/>
          <w:w w:val="100"/>
        </w:rPr>
        <w:t>6</w:t>
      </w:r>
      <w:r>
        <w:rPr>
          <w:rFonts w:ascii="Times New Roman" w:eastAsia="Times New Roman"/>
          <w:w w:val="100"/>
        </w:rPr>
        <w:t>594</w:t>
      </w:r>
      <w:r>
        <w:rPr>
          <w:rFonts w:ascii="Times New Roman" w:eastAsia="Times New Roman"/>
          <w:spacing w:val="-3"/>
          <w:w w:val="100"/>
        </w:rPr>
        <w:t>9</w:t>
      </w:r>
      <w:r>
        <w:rPr>
          <w:rFonts w:ascii="Times New Roman" w:eastAsia="Times New Roman"/>
          <w:w w:val="100"/>
        </w:rPr>
        <w:t>42</w:t>
      </w:r>
    </w:p>
    <w:p>
      <w:pPr>
        <w:pStyle w:val="BodyText"/>
        <w:spacing w:before="3"/>
        <w:rPr>
          <w:rFonts w:ascii="Times New Roman"/>
          <w:sz w:val="17"/>
        </w:rPr>
      </w:pPr>
    </w:p>
    <w:p>
      <w:pPr>
        <w:pStyle w:val="BodyText"/>
        <w:ind w:left="640"/>
        <w:rPr>
          <w:rFonts w:ascii="Times New Roman" w:eastAsia="Times New Roman"/>
        </w:rPr>
      </w:pPr>
      <w:r>
        <w:rPr/>
        <w:t>中国银行客服电话：</w:t>
      </w:r>
      <w:r>
        <w:rPr>
          <w:rFonts w:ascii="Times New Roman" w:eastAsia="Times New Roman"/>
        </w:rPr>
        <w:t>95566</w:t>
      </w:r>
    </w:p>
    <w:p>
      <w:pPr>
        <w:pStyle w:val="BodyText"/>
        <w:spacing w:before="4"/>
        <w:rPr>
          <w:rFonts w:ascii="Times New Roman"/>
          <w:sz w:val="17"/>
        </w:rPr>
      </w:pPr>
    </w:p>
    <w:p>
      <w:pPr>
        <w:pStyle w:val="BodyText"/>
        <w:spacing w:line="417" w:lineRule="auto"/>
        <w:ind w:left="220" w:right="488" w:firstLine="419"/>
      </w:pPr>
      <w:r>
        <w:rPr>
          <w:spacing w:val="-3"/>
        </w:rPr>
        <w:t>经营范围：吸收人民币存款；发放短期、中期和长期贷款；办理结算；办理票据贴现； </w:t>
      </w:r>
      <w:r>
        <w:rPr>
          <w:spacing w:val="-10"/>
        </w:rPr>
        <w:t>发行金融债券；代理发行、代理兑付、承销政府债券；买卖政府债券；从事同业拆借；提供</w:t>
      </w:r>
      <w:r>
        <w:rPr>
          <w:spacing w:val="-20"/>
        </w:rPr>
        <w:t>信用证服务及担保；代理收付款项及代理保险业务；提供保险箱服务；外汇存款；外汇贷款； </w:t>
      </w:r>
      <w:r>
        <w:rPr>
          <w:spacing w:val="-14"/>
        </w:rPr>
        <w:t>外汇汇款；外汇兑换；国际结算；同业外汇拆借；外汇票据的承兑和贴现；外汇借款；外汇</w:t>
      </w:r>
      <w:r>
        <w:rPr>
          <w:spacing w:val="-13"/>
        </w:rPr>
        <w:t>担保；结汇、售汇；发行和代理发行股票以外的外币有价证券；买卖和代理买卖股票以外的外币有价证券；自营外汇买卖；代客外汇买卖；外汇信用卡的发行和代理国外信用卡的发行</w:t>
      </w:r>
    </w:p>
    <w:p>
      <w:pPr>
        <w:spacing w:after="0" w:line="417" w:lineRule="auto"/>
        <w:sectPr>
          <w:pgSz w:w="11910" w:h="16840"/>
          <w:pgMar w:header="877" w:footer="995" w:top="1420" w:bottom="1180" w:left="1580" w:right="1200"/>
        </w:sectPr>
      </w:pPr>
    </w:p>
    <w:p>
      <w:pPr>
        <w:pStyle w:val="BodyText"/>
        <w:spacing w:line="417" w:lineRule="auto" w:before="110"/>
        <w:ind w:left="220" w:right="591"/>
        <w:jc w:val="both"/>
      </w:pPr>
      <w:r>
        <w:rPr>
          <w:spacing w:val="-10"/>
        </w:rPr>
        <w:t>及付款；资信调查、咨询、见证业务；组织或参加银团贷款；国际贵金属买卖；海外分支机构经营与当地法律许可的一切银行业务；在港澳地区的分行依据当地法令可发行或参与代理</w:t>
      </w:r>
      <w:r>
        <w:rPr>
          <w:spacing w:val="-5"/>
        </w:rPr>
        <w:t>发行当地货币；经中国人民银行批准的其他业务。</w:t>
      </w:r>
    </w:p>
    <w:p>
      <w:pPr>
        <w:pStyle w:val="BodyText"/>
        <w:spacing w:line="269" w:lineRule="exact"/>
        <w:ind w:left="640"/>
      </w:pPr>
      <w:r>
        <w:rPr/>
        <w:t>存续期间：持续经营</w:t>
      </w:r>
    </w:p>
    <w:p>
      <w:pPr>
        <w:pStyle w:val="BodyText"/>
        <w:spacing w:before="6"/>
        <w:rPr>
          <w:sz w:val="15"/>
        </w:rPr>
      </w:pPr>
    </w:p>
    <w:p>
      <w:pPr>
        <w:spacing w:before="0"/>
        <w:ind w:left="758" w:right="714" w:firstLine="0"/>
        <w:jc w:val="center"/>
        <w:rPr>
          <w:b/>
          <w:sz w:val="21"/>
        </w:rPr>
      </w:pPr>
      <w:r>
        <w:rPr>
          <w:b/>
          <w:sz w:val="21"/>
        </w:rPr>
        <w:t>二、基金托管人对基金管理人的业务监督和核查</w:t>
      </w:r>
    </w:p>
    <w:p>
      <w:pPr>
        <w:pStyle w:val="BodyText"/>
        <w:spacing w:before="7"/>
        <w:rPr>
          <w:b/>
          <w:sz w:val="15"/>
        </w:rPr>
      </w:pPr>
    </w:p>
    <w:p>
      <w:pPr>
        <w:pStyle w:val="BodyText"/>
        <w:ind w:left="640"/>
      </w:pPr>
      <w:r>
        <w:rPr/>
        <w:t>（一）基金托管人根据有关法律法规的规定对基金管理人的下列投资运作进行监督：</w:t>
      </w:r>
    </w:p>
    <w:p>
      <w:pPr>
        <w:pStyle w:val="BodyText"/>
        <w:spacing w:before="7"/>
        <w:rPr>
          <w:sz w:val="15"/>
        </w:rPr>
      </w:pPr>
    </w:p>
    <w:p>
      <w:pPr>
        <w:pStyle w:val="BodyText"/>
        <w:spacing w:line="417" w:lineRule="auto"/>
        <w:ind w:left="220" w:right="591" w:firstLine="419"/>
        <w:jc w:val="both"/>
      </w:pPr>
      <w:r>
        <w:rPr>
          <w:rFonts w:ascii="Times New Roman" w:eastAsia="Times New Roman"/>
        </w:rPr>
        <w:t>1</w:t>
      </w:r>
      <w:r>
        <w:rPr>
          <w:spacing w:val="-3"/>
        </w:rPr>
        <w:t>、对基金的投资范围、投资对象进行监督。基金管理人可以根据实际情况的变化，对</w:t>
      </w:r>
      <w:r>
        <w:rPr>
          <w:spacing w:val="-8"/>
        </w:rPr>
        <w:t>各投资品种的具体范围予以更新和调整，并及时通知基金托管人。基金托管人根据上述投资</w:t>
      </w:r>
      <w:r>
        <w:rPr>
          <w:spacing w:val="-5"/>
        </w:rPr>
        <w:t>范围对基金的投资进行监督。</w:t>
      </w:r>
    </w:p>
    <w:p>
      <w:pPr>
        <w:pStyle w:val="BodyText"/>
        <w:ind w:left="640"/>
        <w:rPr>
          <w:rFonts w:ascii="Times New Roman" w:eastAsia="Times New Roman"/>
        </w:rPr>
      </w:pPr>
      <w:r>
        <w:rPr>
          <w:rFonts w:ascii="Times New Roman" w:eastAsia="Times New Roman"/>
        </w:rPr>
        <w:t>2</w:t>
      </w:r>
      <w:r>
        <w:rPr/>
        <w:t>、对基金投融资比例进行监督</w:t>
      </w:r>
      <w:r>
        <w:rPr>
          <w:rFonts w:ascii="Times New Roman" w:eastAsia="Times New Roman"/>
        </w:rPr>
        <w:t>:</w:t>
      </w:r>
    </w:p>
    <w:p>
      <w:pPr>
        <w:pStyle w:val="BodyText"/>
        <w:spacing w:before="3"/>
        <w:rPr>
          <w:rFonts w:ascii="Times New Roman"/>
          <w:sz w:val="17"/>
        </w:rPr>
      </w:pPr>
    </w:p>
    <w:p>
      <w:pPr>
        <w:pStyle w:val="ListParagraph"/>
        <w:numPr>
          <w:ilvl w:val="0"/>
          <w:numId w:val="54"/>
        </w:numPr>
        <w:tabs>
          <w:tab w:pos="1170" w:val="left" w:leader="none"/>
        </w:tabs>
        <w:spacing w:line="417" w:lineRule="auto" w:before="0" w:after="0"/>
        <w:ind w:left="220" w:right="593" w:firstLine="419"/>
        <w:jc w:val="both"/>
        <w:rPr>
          <w:sz w:val="21"/>
        </w:rPr>
      </w:pPr>
      <w:r>
        <w:rPr>
          <w:spacing w:val="-4"/>
          <w:sz w:val="21"/>
        </w:rPr>
        <w:t>本基金股票投资占基金资产的比例为 </w:t>
      </w:r>
      <w:r>
        <w:rPr>
          <w:rFonts w:ascii="Times New Roman" w:eastAsia="Times New Roman"/>
          <w:spacing w:val="-3"/>
          <w:sz w:val="21"/>
        </w:rPr>
        <w:t>80%-95%</w:t>
      </w:r>
      <w:r>
        <w:rPr>
          <w:spacing w:val="-5"/>
          <w:sz w:val="21"/>
        </w:rPr>
        <w:t>，其中，港股投资比例不超过股票</w:t>
      </w:r>
      <w:r>
        <w:rPr>
          <w:spacing w:val="-16"/>
          <w:sz w:val="21"/>
        </w:rPr>
        <w:t>资产的 </w:t>
      </w:r>
      <w:r>
        <w:rPr>
          <w:rFonts w:ascii="Times New Roman" w:eastAsia="Times New Roman"/>
          <w:sz w:val="21"/>
        </w:rPr>
        <w:t>50%</w:t>
      </w:r>
      <w:r>
        <w:rPr>
          <w:spacing w:val="-5"/>
          <w:sz w:val="21"/>
        </w:rPr>
        <w:t>，投资于科技成长主题的股票比例不低于非现金基金资产的 </w:t>
      </w:r>
      <w:r>
        <w:rPr>
          <w:rFonts w:ascii="Times New Roman" w:eastAsia="Times New Roman"/>
          <w:sz w:val="21"/>
        </w:rPr>
        <w:t>80%</w:t>
      </w:r>
      <w:r>
        <w:rPr>
          <w:sz w:val="21"/>
        </w:rPr>
        <w:t>；</w:t>
      </w:r>
    </w:p>
    <w:p>
      <w:pPr>
        <w:pStyle w:val="ListParagraph"/>
        <w:numPr>
          <w:ilvl w:val="0"/>
          <w:numId w:val="54"/>
        </w:numPr>
        <w:tabs>
          <w:tab w:pos="1170" w:val="left" w:leader="none"/>
        </w:tabs>
        <w:spacing w:line="417" w:lineRule="auto" w:before="0" w:after="0"/>
        <w:ind w:left="220" w:right="591" w:firstLine="419"/>
        <w:jc w:val="both"/>
        <w:rPr>
          <w:sz w:val="21"/>
        </w:rPr>
      </w:pPr>
      <w:r>
        <w:rPr>
          <w:spacing w:val="-3"/>
          <w:sz w:val="21"/>
        </w:rPr>
        <w:t>每个交易日日终在扣除股指期货、国债期货和股票期权合约需缴纳的交易保证金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包括结算备付金、存出保证金、应收申购款等；</w:t>
      </w:r>
    </w:p>
    <w:p>
      <w:pPr>
        <w:pStyle w:val="ListParagraph"/>
        <w:numPr>
          <w:ilvl w:val="0"/>
          <w:numId w:val="54"/>
        </w:numPr>
        <w:tabs>
          <w:tab w:pos="1170" w:val="left" w:leader="none"/>
        </w:tabs>
        <w:spacing w:line="240" w:lineRule="auto" w:before="0" w:after="0"/>
        <w:ind w:left="116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7"/>
        <w:rPr>
          <w:sz w:val="15"/>
        </w:rPr>
      </w:pPr>
    </w:p>
    <w:p>
      <w:pPr>
        <w:pStyle w:val="ListParagraph"/>
        <w:numPr>
          <w:ilvl w:val="0"/>
          <w:numId w:val="54"/>
        </w:numPr>
        <w:tabs>
          <w:tab w:pos="1170" w:val="left" w:leader="none"/>
        </w:tabs>
        <w:spacing w:line="417" w:lineRule="auto" w:before="0" w:after="0"/>
        <w:ind w:left="220" w:right="593" w:firstLine="419"/>
        <w:jc w:val="both"/>
        <w:rPr>
          <w:sz w:val="21"/>
        </w:rPr>
      </w:pPr>
      <w:r>
        <w:rPr>
          <w:spacing w:val="-3"/>
          <w:sz w:val="21"/>
        </w:rPr>
        <w:t>本基金管理人管理并由本基金托管人托管的全部基金持有一家公司发行的证券， </w:t>
      </w:r>
      <w:r>
        <w:rPr>
          <w:spacing w:val="-10"/>
          <w:sz w:val="21"/>
        </w:rPr>
        <w:t>不超过该证券的 </w:t>
      </w:r>
      <w:r>
        <w:rPr>
          <w:rFonts w:ascii="Times New Roman" w:eastAsia="Times New Roman"/>
          <w:sz w:val="21"/>
        </w:rPr>
        <w:t>10%</w:t>
      </w:r>
      <w:r>
        <w:rPr>
          <w:sz w:val="21"/>
        </w:rPr>
        <w:t>；</w:t>
      </w:r>
    </w:p>
    <w:p>
      <w:pPr>
        <w:pStyle w:val="ListParagraph"/>
        <w:numPr>
          <w:ilvl w:val="0"/>
          <w:numId w:val="54"/>
        </w:numPr>
        <w:tabs>
          <w:tab w:pos="1170" w:val="left" w:leader="none"/>
        </w:tabs>
        <w:spacing w:line="269" w:lineRule="exact" w:before="0" w:after="0"/>
        <w:ind w:left="1169" w:right="0" w:hanging="530"/>
        <w:jc w:val="both"/>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BodyText"/>
        <w:spacing w:before="6"/>
        <w:rPr>
          <w:sz w:val="15"/>
        </w:rPr>
      </w:pPr>
    </w:p>
    <w:p>
      <w:pPr>
        <w:pStyle w:val="ListParagraph"/>
        <w:numPr>
          <w:ilvl w:val="0"/>
          <w:numId w:val="54"/>
        </w:numPr>
        <w:tabs>
          <w:tab w:pos="1170" w:val="left" w:leader="none"/>
        </w:tabs>
        <w:spacing w:line="417" w:lineRule="auto" w:before="1" w:after="0"/>
        <w:ind w:left="220" w:right="594" w:firstLine="419"/>
        <w:jc w:val="both"/>
        <w:rPr>
          <w:sz w:val="21"/>
        </w:rPr>
      </w:pPr>
      <w:r>
        <w:rPr>
          <w:spacing w:val="-3"/>
          <w:sz w:val="21"/>
        </w:rPr>
        <w:t>本基金管理人管理并由本基金托管人托管的全部基金持有的同一权证，不得超过</w:t>
      </w:r>
      <w:r>
        <w:rPr>
          <w:spacing w:val="-13"/>
          <w:sz w:val="21"/>
        </w:rPr>
        <w:t>该权证的 </w:t>
      </w:r>
      <w:r>
        <w:rPr>
          <w:rFonts w:ascii="Times New Roman" w:eastAsia="Times New Roman"/>
          <w:sz w:val="21"/>
        </w:rPr>
        <w:t>10%</w:t>
      </w:r>
      <w:r>
        <w:rPr>
          <w:sz w:val="21"/>
        </w:rPr>
        <w:t>；</w:t>
      </w:r>
    </w:p>
    <w:p>
      <w:pPr>
        <w:pStyle w:val="ListParagraph"/>
        <w:numPr>
          <w:ilvl w:val="0"/>
          <w:numId w:val="54"/>
        </w:numPr>
        <w:tabs>
          <w:tab w:pos="1185" w:val="left" w:leader="none"/>
        </w:tabs>
        <w:spacing w:line="240" w:lineRule="auto" w:before="0" w:after="0"/>
        <w:ind w:left="1184" w:right="0" w:hanging="545"/>
        <w:jc w:val="left"/>
        <w:rPr>
          <w:sz w:val="21"/>
        </w:rPr>
      </w:pPr>
      <w:r>
        <w:rPr>
          <w:spacing w:val="3"/>
          <w:sz w:val="21"/>
        </w:rPr>
        <w:t>本基金在任何交易日买入权证的总金额，不得超过上一交易日基金资产净值的</w:t>
      </w:r>
    </w:p>
    <w:p>
      <w:pPr>
        <w:pStyle w:val="BodyText"/>
        <w:spacing w:before="6"/>
        <w:rPr>
          <w:sz w:val="15"/>
        </w:rPr>
      </w:pPr>
    </w:p>
    <w:p>
      <w:pPr>
        <w:pStyle w:val="BodyText"/>
        <w:spacing w:before="1"/>
        <w:ind w:left="220"/>
      </w:pPr>
      <w:r>
        <w:rPr>
          <w:rFonts w:ascii="Times New Roman" w:eastAsia="Times New Roman"/>
        </w:rPr>
        <w:t>0.5%</w:t>
      </w:r>
      <w:r>
        <w:rPr/>
        <w:t>；</w:t>
      </w:r>
    </w:p>
    <w:p>
      <w:pPr>
        <w:pStyle w:val="BodyText"/>
        <w:spacing w:before="6"/>
        <w:rPr>
          <w:sz w:val="15"/>
        </w:rPr>
      </w:pPr>
    </w:p>
    <w:p>
      <w:pPr>
        <w:pStyle w:val="ListParagraph"/>
        <w:numPr>
          <w:ilvl w:val="0"/>
          <w:numId w:val="54"/>
        </w:numPr>
        <w:tabs>
          <w:tab w:pos="1170" w:val="left" w:leader="none"/>
        </w:tabs>
        <w:spacing w:line="417" w:lineRule="auto" w:before="0" w:after="0"/>
        <w:ind w:left="220" w:right="594" w:firstLine="419"/>
        <w:jc w:val="left"/>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54"/>
        </w:numPr>
        <w:tabs>
          <w:tab w:pos="1170" w:val="left" w:leader="none"/>
        </w:tabs>
        <w:spacing w:line="269" w:lineRule="exact" w:before="0" w:after="0"/>
        <w:ind w:left="1169" w:right="0" w:hanging="530"/>
        <w:jc w:val="left"/>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7"/>
        <w:rPr>
          <w:sz w:val="15"/>
        </w:rPr>
      </w:pPr>
    </w:p>
    <w:p>
      <w:pPr>
        <w:pStyle w:val="ListParagraph"/>
        <w:numPr>
          <w:ilvl w:val="0"/>
          <w:numId w:val="54"/>
        </w:numPr>
        <w:tabs>
          <w:tab w:pos="1275" w:val="left" w:leader="none"/>
        </w:tabs>
        <w:spacing w:line="417" w:lineRule="auto" w:before="0" w:after="0"/>
        <w:ind w:left="220" w:right="591" w:firstLine="419"/>
        <w:jc w:val="left"/>
        <w:rPr>
          <w:sz w:val="21"/>
        </w:rPr>
      </w:pPr>
      <w:r>
        <w:rPr>
          <w:spacing w:val="-3"/>
          <w:sz w:val="21"/>
        </w:rPr>
        <w:t>本基金持有的同一</w:t>
      </w:r>
      <w:r>
        <w:rPr>
          <w:rFonts w:ascii="Times New Roman" w:eastAsia="Times New Roman"/>
          <w:spacing w:val="-4"/>
          <w:sz w:val="21"/>
        </w:rPr>
        <w:t>(</w:t>
      </w:r>
      <w:r>
        <w:rPr>
          <w:spacing w:val="-2"/>
          <w:sz w:val="21"/>
        </w:rPr>
        <w:t>指同一信用级别</w:t>
      </w:r>
      <w:r>
        <w:rPr>
          <w:rFonts w:ascii="Times New Roman" w:eastAsia="Times New Roman"/>
          <w:spacing w:val="-4"/>
          <w:sz w:val="21"/>
        </w:rPr>
        <w:t>)</w:t>
      </w:r>
      <w:r>
        <w:rPr>
          <w:spacing w:val="-4"/>
          <w:sz w:val="21"/>
        </w:rPr>
        <w:t>资产支持证券的比例，不得超过该资产支持</w:t>
      </w:r>
      <w:r>
        <w:rPr>
          <w:spacing w:val="-13"/>
          <w:sz w:val="21"/>
        </w:rPr>
        <w:t>证券规模的 </w:t>
      </w:r>
      <w:r>
        <w:rPr>
          <w:rFonts w:ascii="Times New Roman" w:eastAsia="Times New Roman"/>
          <w:sz w:val="21"/>
        </w:rPr>
        <w:t>10%</w:t>
      </w:r>
      <w:r>
        <w:rPr>
          <w:sz w:val="21"/>
        </w:rPr>
        <w:t>；</w:t>
      </w:r>
    </w:p>
    <w:p>
      <w:pPr>
        <w:pStyle w:val="ListParagraph"/>
        <w:numPr>
          <w:ilvl w:val="0"/>
          <w:numId w:val="54"/>
        </w:numPr>
        <w:tabs>
          <w:tab w:pos="1266" w:val="left" w:leader="none"/>
        </w:tabs>
        <w:spacing w:line="417" w:lineRule="auto" w:before="0" w:after="0"/>
        <w:ind w:left="220" w:right="591" w:firstLine="419"/>
        <w:jc w:val="left"/>
        <w:rPr>
          <w:sz w:val="21"/>
        </w:rPr>
      </w:pPr>
      <w:r>
        <w:rPr>
          <w:spacing w:val="-3"/>
          <w:sz w:val="21"/>
        </w:rPr>
        <w:t>本基金管理人管理并由本基金托管人托管的全部基金投资于同一原始权益人的</w:t>
      </w:r>
      <w:r>
        <w:rPr>
          <w:spacing w:val="-5"/>
          <w:sz w:val="21"/>
        </w:rPr>
        <w:t>各类资产支持证券，不得超过其各类资产支持证券合计规模的 </w:t>
      </w:r>
      <w:r>
        <w:rPr>
          <w:rFonts w:ascii="Times New Roman" w:eastAsia="Times New Roman"/>
          <w:sz w:val="21"/>
        </w:rPr>
        <w:t>10%</w:t>
      </w:r>
      <w:r>
        <w:rPr>
          <w:sz w:val="21"/>
        </w:rPr>
        <w:t>；</w:t>
      </w:r>
    </w:p>
    <w:p>
      <w:pPr>
        <w:spacing w:after="0" w:line="417" w:lineRule="auto"/>
        <w:jc w:val="left"/>
        <w:rPr>
          <w:sz w:val="21"/>
        </w:rPr>
        <w:sectPr>
          <w:pgSz w:w="11910" w:h="16840"/>
          <w:pgMar w:header="877" w:footer="995" w:top="1420" w:bottom="1180" w:left="1580" w:right="1200"/>
        </w:sectPr>
      </w:pPr>
    </w:p>
    <w:p>
      <w:pPr>
        <w:pStyle w:val="ListParagraph"/>
        <w:numPr>
          <w:ilvl w:val="0"/>
          <w:numId w:val="54"/>
        </w:numPr>
        <w:tabs>
          <w:tab w:pos="1275" w:val="left" w:leader="none"/>
        </w:tabs>
        <w:spacing w:line="417" w:lineRule="auto" w:before="110" w:after="0"/>
        <w:ind w:left="220" w:right="59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18"/>
          <w:sz w:val="21"/>
        </w:rPr>
        <w:t> </w:t>
      </w:r>
      <w:r>
        <w:rPr>
          <w:sz w:val="21"/>
        </w:rPr>
        <w:t>以上</w:t>
      </w:r>
      <w:r>
        <w:rPr>
          <w:rFonts w:ascii="Times New Roman" w:eastAsia="Times New Roman"/>
          <w:spacing w:val="-4"/>
          <w:sz w:val="21"/>
        </w:rPr>
        <w:t>(</w:t>
      </w:r>
      <w:r>
        <w:rPr>
          <w:spacing w:val="-17"/>
          <w:sz w:val="21"/>
        </w:rPr>
        <w:t>含 </w:t>
      </w:r>
      <w:r>
        <w:rPr>
          <w:rFonts w:ascii="Times New Roman" w:eastAsia="Times New Roman"/>
          <w:sz w:val="21"/>
        </w:rPr>
        <w:t>BBB)</w:t>
      </w:r>
      <w:r>
        <w:rPr>
          <w:spacing w:val="-3"/>
          <w:sz w:val="21"/>
        </w:rPr>
        <w:t>的资产支持证券。基金持有</w:t>
      </w:r>
      <w:r>
        <w:rPr>
          <w:spacing w:val="-8"/>
          <w:sz w:val="21"/>
        </w:rPr>
        <w:t>资产支持证券期间，如果其信用等级下降、不再符合投资标准，应在评级报告发布之日起 </w:t>
      </w:r>
      <w:r>
        <w:rPr>
          <w:rFonts w:ascii="Times New Roman" w:eastAsia="Times New Roman"/>
          <w:sz w:val="21"/>
        </w:rPr>
        <w:t>3 </w:t>
      </w:r>
      <w:r>
        <w:rPr>
          <w:spacing w:val="-3"/>
          <w:sz w:val="21"/>
        </w:rPr>
        <w:t>个月内予以全部卖出；</w:t>
      </w:r>
    </w:p>
    <w:p>
      <w:pPr>
        <w:pStyle w:val="ListParagraph"/>
        <w:numPr>
          <w:ilvl w:val="0"/>
          <w:numId w:val="54"/>
        </w:numPr>
        <w:tabs>
          <w:tab w:pos="1273" w:val="left" w:leader="none"/>
        </w:tabs>
        <w:spacing w:line="417" w:lineRule="auto" w:before="0" w:after="0"/>
        <w:ind w:left="220" w:right="59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54"/>
        </w:numPr>
        <w:tabs>
          <w:tab w:pos="1273" w:val="left" w:leader="none"/>
        </w:tabs>
        <w:spacing w:line="417" w:lineRule="auto" w:before="0" w:after="0"/>
        <w:ind w:left="220" w:right="591" w:firstLine="419"/>
        <w:jc w:val="both"/>
        <w:rPr>
          <w:sz w:val="21"/>
        </w:rPr>
      </w:pPr>
      <w:r>
        <w:rPr>
          <w:spacing w:val="-3"/>
          <w:sz w:val="21"/>
        </w:rPr>
        <w:t>本基金进入全国银行间同业市场进行债券回购的资金余额不得超过基金资产净值的 </w:t>
      </w:r>
      <w:r>
        <w:rPr>
          <w:rFonts w:ascii="Times New Roman" w:eastAsia="Times New Roman"/>
          <w:sz w:val="21"/>
        </w:rPr>
        <w:t>40%</w:t>
      </w:r>
      <w:r>
        <w:rPr>
          <w:spacing w:val="-4"/>
          <w:sz w:val="21"/>
        </w:rPr>
        <w:t>，本基金在全国银行间同业市场中的债券回购最长期限为 </w:t>
      </w:r>
      <w:r>
        <w:rPr>
          <w:rFonts w:ascii="Times New Roman" w:eastAsia="Times New Roman"/>
          <w:sz w:val="21"/>
        </w:rPr>
        <w:t>1</w:t>
      </w:r>
      <w:r>
        <w:rPr>
          <w:rFonts w:ascii="Times New Roman" w:eastAsia="Times New Roman"/>
          <w:spacing w:val="43"/>
          <w:sz w:val="21"/>
        </w:rPr>
        <w:t> </w:t>
      </w:r>
      <w:r>
        <w:rPr>
          <w:spacing w:val="-3"/>
          <w:sz w:val="21"/>
        </w:rPr>
        <w:t>年，债券回购到期后</w:t>
      </w:r>
      <w:r>
        <w:rPr>
          <w:spacing w:val="-1"/>
          <w:sz w:val="21"/>
        </w:rPr>
        <w:t>不得展期；</w:t>
      </w:r>
    </w:p>
    <w:p>
      <w:pPr>
        <w:pStyle w:val="ListParagraph"/>
        <w:numPr>
          <w:ilvl w:val="0"/>
          <w:numId w:val="54"/>
        </w:numPr>
        <w:tabs>
          <w:tab w:pos="1275" w:val="left" w:leader="none"/>
        </w:tabs>
        <w:spacing w:line="240" w:lineRule="auto" w:before="0" w:after="0"/>
        <w:ind w:left="1275" w:right="0" w:hanging="635"/>
        <w:jc w:val="both"/>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54"/>
        </w:numPr>
        <w:tabs>
          <w:tab w:pos="1275" w:val="left" w:leader="none"/>
        </w:tabs>
        <w:spacing w:line="240" w:lineRule="auto" w:before="0" w:after="0"/>
        <w:ind w:left="127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6"/>
        <w:rPr>
          <w:sz w:val="15"/>
        </w:rPr>
      </w:pPr>
    </w:p>
    <w:p>
      <w:pPr>
        <w:pStyle w:val="ListParagraph"/>
        <w:numPr>
          <w:ilvl w:val="0"/>
          <w:numId w:val="54"/>
        </w:numPr>
        <w:tabs>
          <w:tab w:pos="1273" w:val="left" w:leader="none"/>
        </w:tabs>
        <w:spacing w:line="417" w:lineRule="auto" w:before="0" w:after="0"/>
        <w:ind w:left="220" w:right="59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54"/>
        </w:numPr>
        <w:tabs>
          <w:tab w:pos="1273" w:val="left" w:leader="none"/>
        </w:tabs>
        <w:spacing w:line="417" w:lineRule="auto" w:before="0" w:after="0"/>
        <w:ind w:left="220" w:right="59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54"/>
        </w:numPr>
        <w:tabs>
          <w:tab w:pos="1275" w:val="left" w:leader="none"/>
        </w:tabs>
        <w:spacing w:line="417" w:lineRule="auto" w:before="0" w:after="0"/>
        <w:ind w:left="220" w:right="591" w:firstLine="419"/>
        <w:jc w:val="both"/>
        <w:rPr>
          <w:sz w:val="21"/>
        </w:rPr>
      </w:pPr>
      <w:r>
        <w:rPr>
          <w:spacing w:val="-9"/>
          <w:sz w:val="21"/>
        </w:rPr>
        <w:t>基金参与股指期货、国债期货交易，应当遵守下列要求：开放式基金在任何交 </w:t>
      </w:r>
      <w:r>
        <w:rPr>
          <w:spacing w:val="-6"/>
          <w:sz w:val="21"/>
        </w:rPr>
        <w:t>易日日终，持有的买入期货合约价值与有价证券市值之和，不得超过基金资产净值的 </w:t>
      </w:r>
      <w:r>
        <w:rPr>
          <w:rFonts w:ascii="Times New Roman" w:eastAsia="Times New Roman"/>
          <w:spacing w:val="-6"/>
          <w:sz w:val="21"/>
        </w:rPr>
        <w:t>95%</w:t>
      </w:r>
      <w:r>
        <w:rPr>
          <w:spacing w:val="-6"/>
          <w:sz w:val="21"/>
        </w:rPr>
        <w:t>；</w:t>
      </w:r>
    </w:p>
    <w:p>
      <w:pPr>
        <w:pStyle w:val="ListParagraph"/>
        <w:numPr>
          <w:ilvl w:val="0"/>
          <w:numId w:val="54"/>
        </w:numPr>
        <w:tabs>
          <w:tab w:pos="1273" w:val="left" w:leader="none"/>
        </w:tabs>
        <w:spacing w:line="417" w:lineRule="auto" w:before="0" w:after="0"/>
        <w:ind w:left="220" w:right="591" w:firstLine="419"/>
        <w:jc w:val="both"/>
        <w:rPr>
          <w:sz w:val="21"/>
        </w:rPr>
      </w:pPr>
      <w:r>
        <w:rPr>
          <w:spacing w:val="-3"/>
          <w:sz w:val="21"/>
        </w:rPr>
        <w:t>本基金管理人管理并由本基金托管人托管的全部开放式基金持有一家上市公司</w:t>
      </w:r>
      <w:r>
        <w:rPr>
          <w:spacing w:val="-5"/>
          <w:sz w:val="21"/>
        </w:rPr>
        <w:t>发行的可流通股票，不得超过该上市公司可流通股票的 </w:t>
      </w:r>
      <w:r>
        <w:rPr>
          <w:rFonts w:ascii="Times New Roman" w:eastAsia="Times New Roman"/>
          <w:sz w:val="21"/>
        </w:rPr>
        <w:t>15%</w:t>
      </w:r>
      <w:r>
        <w:rPr>
          <w:sz w:val="21"/>
        </w:rPr>
        <w:t>；</w:t>
      </w:r>
    </w:p>
    <w:p>
      <w:pPr>
        <w:pStyle w:val="ListParagraph"/>
        <w:numPr>
          <w:ilvl w:val="0"/>
          <w:numId w:val="54"/>
        </w:numPr>
        <w:tabs>
          <w:tab w:pos="1273" w:val="left" w:leader="none"/>
        </w:tabs>
        <w:spacing w:line="417" w:lineRule="auto" w:before="0" w:after="0"/>
        <w:ind w:left="220" w:right="591" w:firstLine="419"/>
        <w:jc w:val="both"/>
        <w:rPr>
          <w:sz w:val="21"/>
        </w:rPr>
      </w:pPr>
      <w:r>
        <w:rPr>
          <w:spacing w:val="-3"/>
          <w:sz w:val="21"/>
        </w:rPr>
        <w:t>本基金管理人管理并由本基金托管人托管的全部投资组合持有一家上市公司发</w:t>
      </w:r>
      <w:r>
        <w:rPr>
          <w:spacing w:val="-6"/>
          <w:sz w:val="21"/>
        </w:rPr>
        <w:t>行的可流通股票，不得超过该上市公司可流通股票的 </w:t>
      </w:r>
      <w:r>
        <w:rPr>
          <w:rFonts w:ascii="Times New Roman" w:eastAsia="Times New Roman"/>
          <w:sz w:val="21"/>
        </w:rPr>
        <w:t>30%</w:t>
      </w:r>
      <w:r>
        <w:rPr>
          <w:sz w:val="21"/>
        </w:rPr>
        <w:t>；</w:t>
      </w:r>
    </w:p>
    <w:p>
      <w:pPr>
        <w:pStyle w:val="ListParagraph"/>
        <w:numPr>
          <w:ilvl w:val="0"/>
          <w:numId w:val="54"/>
        </w:numPr>
        <w:tabs>
          <w:tab w:pos="1275" w:val="left" w:leader="none"/>
        </w:tabs>
        <w:spacing w:line="417" w:lineRule="auto" w:before="0" w:after="0"/>
        <w:ind w:left="220" w:right="591" w:firstLine="419"/>
        <w:jc w:val="both"/>
        <w:rPr>
          <w:sz w:val="21"/>
        </w:rPr>
      </w:pPr>
      <w:r>
        <w:rPr>
          <w:spacing w:val="-3"/>
          <w:sz w:val="21"/>
        </w:rPr>
        <w:t>本基金主动投资于流动性受限资产的市值合计不得超过本基金资产净值的</w:t>
      </w:r>
      <w:r>
        <w:rPr>
          <w:rFonts w:ascii="Times New Roman" w:eastAsia="Times New Roman"/>
          <w:spacing w:val="-3"/>
          <w:sz w:val="21"/>
        </w:rPr>
        <w:t>15%</w:t>
      </w:r>
      <w:r>
        <w:rPr>
          <w:spacing w:val="-11"/>
          <w:sz w:val="21"/>
        </w:rPr>
        <w:t>；因证券市场波动、上市公司股票停牌、基金规模变动等基金管理人之外的因素致使基</w:t>
      </w:r>
      <w:r>
        <w:rPr>
          <w:spacing w:val="-3"/>
          <w:sz w:val="21"/>
        </w:rPr>
        <w:t>金不符合前款所规定比例限制的，基金管理人不得主动新增流动性受限资产的投资；</w:t>
      </w:r>
    </w:p>
    <w:p>
      <w:pPr>
        <w:pStyle w:val="ListParagraph"/>
        <w:numPr>
          <w:ilvl w:val="0"/>
          <w:numId w:val="54"/>
        </w:numPr>
        <w:tabs>
          <w:tab w:pos="1273" w:val="left" w:leader="none"/>
        </w:tabs>
        <w:spacing w:line="417" w:lineRule="auto" w:before="0" w:after="0"/>
        <w:ind w:left="220" w:right="591" w:firstLine="419"/>
        <w:jc w:val="both"/>
        <w:rPr>
          <w:sz w:val="21"/>
        </w:rPr>
      </w:pPr>
      <w:r>
        <w:rPr>
          <w:spacing w:val="-3"/>
          <w:sz w:val="21"/>
        </w:rPr>
        <w:t>本基金与私募类证券资管产品及中国证监会认定的其他主体为交易对手开展逆</w:t>
      </w:r>
      <w:r>
        <w:rPr>
          <w:spacing w:val="-10"/>
          <w:sz w:val="21"/>
        </w:rPr>
        <w:t>回购交易的，可接受质押品的资质要求应当与基金合同约定的投资范围保持一致。本基金管理人承诺本基金与私募类证券资管产品及中国证监会认定的其他主体为交易对手开展逆回购</w:t>
      </w:r>
    </w:p>
    <w:p>
      <w:pPr>
        <w:spacing w:after="0" w:line="417" w:lineRule="auto"/>
        <w:jc w:val="both"/>
        <w:rPr>
          <w:sz w:val="21"/>
        </w:rPr>
        <w:sectPr>
          <w:pgSz w:w="11910" w:h="16840"/>
          <w:pgMar w:header="877" w:footer="995" w:top="1420" w:bottom="1180" w:left="1580" w:right="1200"/>
        </w:sectPr>
      </w:pPr>
    </w:p>
    <w:p>
      <w:pPr>
        <w:pStyle w:val="BodyText"/>
        <w:spacing w:line="417" w:lineRule="auto" w:before="110"/>
        <w:ind w:left="220" w:right="591"/>
      </w:pPr>
      <w:r>
        <w:rPr>
          <w:spacing w:val="-10"/>
        </w:rPr>
        <w:t>交易的，可接受质押品的资质要求应当与基金合同约定的投资范围保持一致，并承担由于不</w:t>
      </w:r>
      <w:r>
        <w:rPr>
          <w:spacing w:val="-5"/>
        </w:rPr>
        <w:t>一致所导致的风险和损失；</w:t>
      </w:r>
    </w:p>
    <w:p>
      <w:pPr>
        <w:pStyle w:val="ListParagraph"/>
        <w:numPr>
          <w:ilvl w:val="0"/>
          <w:numId w:val="54"/>
        </w:numPr>
        <w:tabs>
          <w:tab w:pos="1275" w:val="left" w:leader="none"/>
        </w:tabs>
        <w:spacing w:line="417" w:lineRule="auto" w:before="0" w:after="0"/>
        <w:ind w:left="220" w:right="59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54"/>
        </w:numPr>
        <w:tabs>
          <w:tab w:pos="1275" w:val="left" w:leader="none"/>
        </w:tabs>
        <w:spacing w:line="269" w:lineRule="exact" w:before="0" w:after="0"/>
        <w:ind w:left="1275" w:right="0" w:hanging="633"/>
        <w:jc w:val="left"/>
        <w:rPr>
          <w:sz w:val="21"/>
        </w:rPr>
      </w:pPr>
      <w:r>
        <w:rPr>
          <w:spacing w:val="-3"/>
          <w:sz w:val="21"/>
        </w:rPr>
        <w:t>法律法规及中国证监会规定的其他投资比例限制。</w:t>
      </w:r>
    </w:p>
    <w:p>
      <w:pPr>
        <w:pStyle w:val="BodyText"/>
        <w:spacing w:before="6"/>
        <w:rPr>
          <w:sz w:val="15"/>
        </w:rPr>
      </w:pPr>
    </w:p>
    <w:p>
      <w:pPr>
        <w:pStyle w:val="BodyText"/>
        <w:spacing w:line="417" w:lineRule="auto"/>
        <w:ind w:left="220" w:right="591" w:firstLine="422"/>
        <w:jc w:val="both"/>
      </w:pPr>
      <w:r>
        <w:rPr>
          <w:spacing w:val="-11"/>
        </w:rPr>
        <w:t>因证券期货市场波动、证券发行人合并、基金规模变动等基金管理人之外的因素致使基</w:t>
      </w:r>
      <w:r>
        <w:rPr>
          <w:spacing w:val="-8"/>
          <w:w w:val="100"/>
        </w:rPr>
        <w:t>金投资比例不符合上述规定投资比例的，除上述第</w:t>
      </w:r>
      <w:r>
        <w:rPr>
          <w:w w:val="100"/>
        </w:rPr>
        <w:t>（</w:t>
      </w:r>
      <w:r>
        <w:rPr>
          <w:rFonts w:ascii="Times New Roman" w:eastAsia="Times New Roman"/>
          <w:w w:val="100"/>
        </w:rPr>
        <w:t>2</w:t>
      </w:r>
      <w:r>
        <w:rPr>
          <w:spacing w:val="-106"/>
          <w:w w:val="100"/>
        </w:rPr>
        <w:t>）</w:t>
      </w:r>
      <w:r>
        <w:rPr>
          <w:spacing w:val="-123"/>
          <w:w w:val="100"/>
        </w:rPr>
        <w:t>、</w:t>
      </w:r>
      <w:r>
        <w:rPr>
          <w:w w:val="100"/>
        </w:rPr>
        <w:t>（</w:t>
      </w:r>
      <w:r>
        <w:rPr>
          <w:rFonts w:ascii="Times New Roman" w:eastAsia="Times New Roman"/>
          <w:w w:val="100"/>
        </w:rPr>
        <w:t>1</w:t>
      </w:r>
      <w:r>
        <w:rPr>
          <w:rFonts w:ascii="Times New Roman" w:eastAsia="Times New Roman"/>
          <w:spacing w:val="-3"/>
          <w:w w:val="100"/>
        </w:rPr>
        <w:t>2</w:t>
      </w:r>
      <w:r>
        <w:rPr>
          <w:spacing w:val="-106"/>
          <w:w w:val="100"/>
        </w:rPr>
        <w:t>）</w:t>
      </w:r>
      <w:r>
        <w:rPr>
          <w:spacing w:val="-123"/>
          <w:w w:val="100"/>
        </w:rPr>
        <w:t>、</w:t>
      </w:r>
      <w:r>
        <w:rPr>
          <w:w w:val="100"/>
        </w:rPr>
        <w:t>（</w:t>
      </w:r>
      <w:r>
        <w:rPr>
          <w:rFonts w:ascii="Times New Roman" w:eastAsia="Times New Roman"/>
          <w:w w:val="100"/>
        </w:rPr>
        <w:t>2</w:t>
      </w:r>
      <w:r>
        <w:rPr>
          <w:rFonts w:ascii="Times New Roman" w:eastAsia="Times New Roman"/>
          <w:spacing w:val="-3"/>
          <w:w w:val="100"/>
        </w:rPr>
        <w:t>2</w:t>
      </w:r>
      <w:r>
        <w:rPr>
          <w:spacing w:val="-106"/>
          <w:w w:val="100"/>
        </w:rPr>
        <w:t>）</w:t>
      </w:r>
      <w:r>
        <w:rPr>
          <w:spacing w:val="-123"/>
          <w:w w:val="100"/>
        </w:rPr>
        <w:t>、</w:t>
      </w:r>
      <w:r>
        <w:rPr>
          <w:w w:val="100"/>
        </w:rPr>
        <w:t>（</w:t>
      </w:r>
      <w:r>
        <w:rPr>
          <w:rFonts w:ascii="Times New Roman" w:eastAsia="Times New Roman"/>
          <w:w w:val="100"/>
        </w:rPr>
        <w:t>2</w:t>
      </w:r>
      <w:r>
        <w:rPr>
          <w:rFonts w:ascii="Times New Roman" w:eastAsia="Times New Roman"/>
          <w:spacing w:val="-3"/>
          <w:w w:val="100"/>
        </w:rPr>
        <w:t>3</w:t>
      </w:r>
      <w:r>
        <w:rPr>
          <w:spacing w:val="-106"/>
          <w:w w:val="100"/>
        </w:rPr>
        <w:t>）</w:t>
      </w:r>
      <w:r>
        <w:rPr>
          <w:spacing w:val="-5"/>
          <w:w w:val="100"/>
        </w:rPr>
        <w:t>，基金管理人应</w:t>
      </w:r>
      <w:r>
        <w:rPr>
          <w:spacing w:val="-13"/>
        </w:rPr>
        <w:t>当在 </w:t>
      </w:r>
      <w:r>
        <w:rPr>
          <w:rFonts w:ascii="Times New Roman" w:eastAsia="Times New Roman"/>
        </w:rPr>
        <w:t>10</w:t>
      </w:r>
      <w:r>
        <w:rPr>
          <w:rFonts w:ascii="Times New Roman" w:eastAsia="Times New Roman"/>
          <w:spacing w:val="21"/>
        </w:rPr>
        <w:t> </w:t>
      </w:r>
      <w:r>
        <w:rPr>
          <w:spacing w:val="-3"/>
        </w:rPr>
        <w:t>个交易日内进行调整。但中国证监会规定的特殊情形除外。法律法规另有规定的， 从其规定。</w:t>
      </w:r>
    </w:p>
    <w:p>
      <w:pPr>
        <w:pStyle w:val="BodyText"/>
        <w:spacing w:line="417" w:lineRule="auto"/>
        <w:ind w:left="220" w:right="59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的有关约定。期间，基金的投资范围、投资策略应当符合基金合同的约定。基金托管人对基</w:t>
      </w:r>
      <w:r>
        <w:rPr>
          <w:spacing w:val="-6"/>
        </w:rPr>
        <w:t>金的投资的监督与检查自基金合同生效之日起开始。</w:t>
      </w:r>
    </w:p>
    <w:p>
      <w:pPr>
        <w:pStyle w:val="BodyText"/>
        <w:spacing w:line="417" w:lineRule="auto"/>
        <w:ind w:left="220" w:right="488" w:firstLine="419"/>
      </w:pPr>
      <w:r>
        <w:rPr>
          <w:spacing w:val="-3"/>
        </w:rPr>
        <w:t>如果法律法规或监管部门对上述投资组合比例限制进行变更的，以变更后的规定为准。</w:t>
      </w:r>
      <w:r>
        <w:rPr>
          <w:spacing w:val="-8"/>
        </w:rPr>
        <w:t>法律法规或监管部门取消上述限制，如适用于本基金，基金管理人在履行适当程序后，则本</w:t>
      </w:r>
      <w:r>
        <w:rPr>
          <w:spacing w:val="-11"/>
        </w:rPr>
        <w:t>基金投资不再受相关限制，自动遵守届时有效的法律法规或监管规定，不需另行召开基金份</w:t>
      </w:r>
      <w:r>
        <w:rPr>
          <w:spacing w:val="-6"/>
        </w:rPr>
        <w:t>额持有人大会。</w:t>
      </w:r>
    </w:p>
    <w:p>
      <w:pPr>
        <w:pStyle w:val="BodyText"/>
        <w:spacing w:line="417" w:lineRule="auto"/>
        <w:ind w:left="220" w:right="384" w:firstLine="419"/>
      </w:pPr>
      <w:r>
        <w:rPr>
          <w:spacing w:val="-8"/>
        </w:rPr>
        <w:t>基金管理人运用基金财产买卖基金管理人、基金托管人及其控股股东、实际控制人或者 </w:t>
      </w:r>
      <w:r>
        <w:rPr>
          <w:spacing w:val="-9"/>
        </w:rPr>
        <w:t>与其有重大利害关系的公司发行的证券或者承销期内承销的证券，或者从事其他重大关联交 </w:t>
      </w:r>
      <w:r>
        <w:rPr>
          <w:spacing w:val="-11"/>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417" w:lineRule="auto"/>
        <w:ind w:left="220" w:right="591" w:firstLine="419"/>
        <w:jc w:val="both"/>
      </w:pPr>
      <w:r>
        <w:rPr/>
        <w:t>（二</w:t>
      </w:r>
      <w:r>
        <w:rPr>
          <w:spacing w:val="-27"/>
        </w:rPr>
        <w:t>）</w:t>
      </w:r>
      <w:r>
        <w:rPr>
          <w:spacing w:val="-7"/>
        </w:rPr>
        <w:t>基金托管人应根据有关法律法规的规定及《基金合同》的约定，对基金资产净值</w:t>
      </w:r>
      <w:r>
        <w:rPr>
          <w:spacing w:val="-12"/>
        </w:rPr>
        <w:t>计算、基金份额净值计算、应收资金到账、基金费用开支及收入确定、基金收益分配、相关</w:t>
      </w:r>
      <w:r>
        <w:rPr>
          <w:spacing w:val="-6"/>
        </w:rPr>
        <w:t>信息披露中登载基金业绩表现数据等进行复核。</w:t>
      </w:r>
    </w:p>
    <w:p>
      <w:pPr>
        <w:pStyle w:val="BodyText"/>
        <w:spacing w:line="417" w:lineRule="auto"/>
        <w:ind w:left="220" w:right="591" w:firstLine="419"/>
        <w:jc w:val="both"/>
      </w:pPr>
      <w:r>
        <w:rPr/>
        <w:t>（三</w:t>
      </w:r>
      <w:r>
        <w:rPr>
          <w:spacing w:val="-27"/>
        </w:rPr>
        <w:t>）</w:t>
      </w:r>
      <w:r>
        <w:rPr>
          <w:spacing w:val="-6"/>
        </w:rPr>
        <w:t>基金托管人在上述第</w:t>
      </w:r>
      <w:r>
        <w:rPr/>
        <w:t>（</w:t>
      </w:r>
      <w:r>
        <w:rPr>
          <w:spacing w:val="-3"/>
        </w:rPr>
        <w:t>一</w:t>
      </w:r>
      <w:r>
        <w:rPr>
          <w:spacing w:val="-106"/>
        </w:rPr>
        <w:t>）</w:t>
      </w:r>
      <w:r>
        <w:rPr>
          <w:spacing w:val="-130"/>
        </w:rPr>
        <w:t>、</w:t>
      </w:r>
      <w:r>
        <w:rPr>
          <w:spacing w:val="-3"/>
        </w:rPr>
        <w:t>（</w:t>
      </w:r>
      <w:r>
        <w:rPr/>
        <w:t>二</w:t>
      </w:r>
      <w:r>
        <w:rPr>
          <w:spacing w:val="-25"/>
        </w:rPr>
        <w:t>）</w:t>
      </w:r>
      <w:r>
        <w:rPr>
          <w:spacing w:val="-3"/>
        </w:rPr>
        <w:t>款的监督和核查中发现基金管理人违反上述约</w:t>
      </w:r>
      <w:r>
        <w:rPr>
          <w:spacing w:val="-12"/>
        </w:rPr>
        <w:t>定，应及时提示基金管理人，基金管理人收到提示后应及时核对确认并以书面形式对基金托管人发出回函并改正。在限期内，基金托管人有权随时对提示事项进行复查。基金管理人对</w:t>
      </w:r>
      <w:r>
        <w:rPr>
          <w:spacing w:val="-6"/>
        </w:rPr>
        <w:t>基金托管人提示的违规事项未能在限期内纠正的，基金托管人应及时向中国证监会报告。</w:t>
      </w:r>
    </w:p>
    <w:p>
      <w:pPr>
        <w:pStyle w:val="BodyText"/>
        <w:spacing w:line="269" w:lineRule="exact"/>
        <w:ind w:left="640"/>
      </w:pPr>
      <w:r>
        <w:rPr/>
        <w:t>（四）基金托管人发现基金管理人的投资指令违反法律法规、本协议的规定，应当拒绝</w:t>
      </w:r>
    </w:p>
    <w:p>
      <w:pPr>
        <w:spacing w:after="0" w:line="269" w:lineRule="exact"/>
        <w:sectPr>
          <w:pgSz w:w="11910" w:h="16840"/>
          <w:pgMar w:header="877" w:footer="995" w:top="1420" w:bottom="1180" w:left="1580" w:right="1200"/>
        </w:sectPr>
      </w:pPr>
    </w:p>
    <w:p>
      <w:pPr>
        <w:pStyle w:val="BodyText"/>
        <w:spacing w:line="417" w:lineRule="auto" w:before="110"/>
        <w:ind w:left="220" w:right="591"/>
        <w:jc w:val="both"/>
      </w:pPr>
      <w:r>
        <w:rPr>
          <w:spacing w:val="-11"/>
        </w:rPr>
        <w:t>执行，及时提示基金管理人，并依照法律法规的规定及时向中国证监会报告。基金托管人发</w:t>
      </w:r>
      <w:r>
        <w:rPr>
          <w:spacing w:val="-10"/>
        </w:rPr>
        <w:t>现基金管理人依据交易程序已经生效的指令违反法律法规、本协议规定的，应当及时提示基</w:t>
      </w:r>
      <w:r>
        <w:rPr>
          <w:spacing w:val="-5"/>
        </w:rPr>
        <w:t>金管理人，并依照法律法规的规定及时向中国证监会报告。</w:t>
      </w:r>
    </w:p>
    <w:p>
      <w:pPr>
        <w:pStyle w:val="BodyText"/>
        <w:spacing w:line="417" w:lineRule="auto"/>
        <w:ind w:left="220" w:right="591" w:firstLine="419"/>
        <w:jc w:val="both"/>
      </w:pPr>
      <w:r>
        <w:rPr/>
        <w:t>（</w:t>
      </w:r>
      <w:r>
        <w:rPr>
          <w:spacing w:val="-3"/>
        </w:rPr>
        <w:t>五</w:t>
      </w:r>
      <w:r>
        <w:rPr>
          <w:spacing w:val="-32"/>
        </w:rPr>
        <w:t>）</w:t>
      </w:r>
      <w:r>
        <w:rPr>
          <w:spacing w:val="-6"/>
        </w:rPr>
        <w:t>基金管理人应积极配合和协助基金托管人的监督和核查，包括但不限于：在规定</w:t>
      </w:r>
      <w:r>
        <w:rPr>
          <w:spacing w:val="-10"/>
        </w:rPr>
        <w:t>时间内答复基金托管人并改正，就基金托管人的疑义进行解释或举证，提供相关数据资料和</w:t>
      </w:r>
      <w:r>
        <w:rPr>
          <w:spacing w:val="-6"/>
        </w:rPr>
        <w:t>制度等。</w:t>
      </w:r>
    </w:p>
    <w:p>
      <w:pPr>
        <w:spacing w:line="269" w:lineRule="exact" w:before="0"/>
        <w:ind w:left="758" w:right="712" w:firstLine="0"/>
        <w:jc w:val="center"/>
        <w:rPr>
          <w:b/>
          <w:sz w:val="21"/>
        </w:rPr>
      </w:pPr>
      <w:r>
        <w:rPr>
          <w:b/>
          <w:sz w:val="21"/>
        </w:rPr>
        <w:t>三、基金管理人对基金托管人的业务核查</w:t>
      </w:r>
    </w:p>
    <w:p>
      <w:pPr>
        <w:pStyle w:val="BodyText"/>
        <w:spacing w:before="6"/>
        <w:rPr>
          <w:b/>
          <w:sz w:val="15"/>
        </w:rPr>
      </w:pPr>
    </w:p>
    <w:p>
      <w:pPr>
        <w:pStyle w:val="BodyText"/>
        <w:spacing w:line="417" w:lineRule="auto" w:before="1"/>
        <w:ind w:left="220" w:right="591" w:firstLine="419"/>
        <w:jc w:val="both"/>
      </w:pPr>
      <w:r>
        <w:rPr/>
        <w:t>（</w:t>
      </w:r>
      <w:r>
        <w:rPr>
          <w:spacing w:val="-3"/>
        </w:rPr>
        <w:t>一</w:t>
      </w:r>
      <w:r>
        <w:rPr>
          <w:spacing w:val="-32"/>
        </w:rPr>
        <w:t>）</w:t>
      </w:r>
      <w:r>
        <w:rPr>
          <w:spacing w:val="-9"/>
        </w:rPr>
        <w:t>在本协议的有效期内，在不违反公平、合理原则以及不妨碍基金托管人遵守相关</w:t>
      </w:r>
      <w:r>
        <w:rPr>
          <w:spacing w:val="-11"/>
        </w:rPr>
        <w:t>法律法规及其行业监管要求的基础上，基金管理人有权对基金托管人履行本协议的情况进行</w:t>
      </w:r>
      <w:r>
        <w:rPr>
          <w:spacing w:val="-12"/>
        </w:rPr>
        <w:t>必要的核查，核查事项包括但不限于基金托管人安全保管基金财产、开设基金财产的资金账户和证券账户、复核基金管理人计算的基金资产净值和基金份额净值、根据基金管理人指令</w:t>
      </w:r>
      <w:r>
        <w:rPr>
          <w:spacing w:val="-6"/>
        </w:rPr>
        <w:t>办理清算交收、相关信息披露和监督基金投资运作等行为。</w:t>
      </w:r>
    </w:p>
    <w:p>
      <w:pPr>
        <w:pStyle w:val="BodyText"/>
        <w:spacing w:line="417" w:lineRule="auto"/>
        <w:ind w:left="220" w:right="488" w:firstLine="419"/>
      </w:pPr>
      <w:r>
        <w:rPr/>
        <w:t>（</w:t>
      </w:r>
      <w:r>
        <w:rPr>
          <w:spacing w:val="-3"/>
        </w:rPr>
        <w:t>二</w:t>
      </w:r>
      <w:r>
        <w:rPr>
          <w:spacing w:val="-32"/>
        </w:rPr>
        <w:t>）</w:t>
      </w:r>
      <w:r>
        <w:rPr>
          <w:spacing w:val="-6"/>
        </w:rPr>
        <w:t>基金管理人发现基金托管人擅自挪用基金财产、未对基金财产实行分账管理、无</w:t>
      </w:r>
      <w:r>
        <w:rPr>
          <w:spacing w:val="-4"/>
        </w:rPr>
        <w:t>正当理由未执行或延迟执行基金管理人资金划拨指令、泄露基金投资信息等违反法律法规、</w:t>
      </w:r>
    </w:p>
    <w:p>
      <w:pPr>
        <w:pStyle w:val="BodyText"/>
        <w:spacing w:line="417" w:lineRule="auto"/>
        <w:ind w:left="220" w:right="591"/>
        <w:jc w:val="both"/>
      </w:pPr>
      <w:r>
        <w:rPr>
          <w:spacing w:val="-10"/>
        </w:rPr>
        <w:t>《基金合同》及本协议有关规定时，应及时以书面形式通知基金托管人限期纠正，基金托管</w:t>
      </w:r>
      <w:r>
        <w:rPr>
          <w:spacing w:val="-9"/>
        </w:rPr>
        <w:t>人收到通知后应及时核对并以书面形式对基金管理人发出回函。在限期内，基金管理人有权</w:t>
      </w:r>
      <w:r>
        <w:rPr>
          <w:spacing w:val="-11"/>
        </w:rPr>
        <w:t>随时对通知事项进行复查，督促基金托管人改正。基金托管人对基金管理人通知的违规事项</w:t>
      </w:r>
      <w:r>
        <w:rPr>
          <w:spacing w:val="-6"/>
        </w:rPr>
        <w:t>未能在限期内纠正的，基金管理人应依照法律法规的规定报告中国证监会。</w:t>
      </w:r>
    </w:p>
    <w:p>
      <w:pPr>
        <w:pStyle w:val="BodyText"/>
        <w:spacing w:line="417" w:lineRule="auto"/>
        <w:ind w:left="220" w:right="591" w:firstLine="419"/>
      </w:pPr>
      <w:r>
        <w:rPr/>
        <w:t>（</w:t>
      </w:r>
      <w:r>
        <w:rPr>
          <w:spacing w:val="-3"/>
        </w:rPr>
        <w:t>三</w:t>
      </w:r>
      <w:r>
        <w:rPr>
          <w:spacing w:val="-32"/>
        </w:rPr>
        <w:t>）</w:t>
      </w:r>
      <w:r>
        <w:rPr>
          <w:spacing w:val="-6"/>
        </w:rPr>
        <w:t>基金托管人应积极配合基金管理人的核查行为，包括但不限于：提交相关资料以</w:t>
      </w:r>
      <w:r>
        <w:rPr>
          <w:spacing w:val="-4"/>
        </w:rPr>
        <w:t>供基金管理人核查托管财产的完整性和真实性，在规定时间内答复基金管理人并改正。</w:t>
      </w:r>
    </w:p>
    <w:p>
      <w:pPr>
        <w:spacing w:line="269" w:lineRule="exact" w:before="0"/>
        <w:ind w:left="3636" w:right="0" w:firstLine="0"/>
        <w:jc w:val="left"/>
        <w:rPr>
          <w:b/>
          <w:sz w:val="21"/>
        </w:rPr>
      </w:pPr>
      <w:r>
        <w:rPr>
          <w:b/>
          <w:sz w:val="21"/>
        </w:rPr>
        <w:t>四、基金财产的保管</w:t>
      </w:r>
    </w:p>
    <w:p>
      <w:pPr>
        <w:pStyle w:val="BodyText"/>
        <w:spacing w:before="5"/>
        <w:rPr>
          <w:b/>
          <w:sz w:val="15"/>
        </w:rPr>
      </w:pPr>
    </w:p>
    <w:p>
      <w:pPr>
        <w:pStyle w:val="BodyText"/>
        <w:ind w:left="640"/>
      </w:pPr>
      <w:r>
        <w:rPr/>
        <w:t>（一）基金财产保管的原则</w:t>
      </w:r>
    </w:p>
    <w:p>
      <w:pPr>
        <w:pStyle w:val="BodyText"/>
        <w:spacing w:before="7"/>
        <w:rPr>
          <w:sz w:val="15"/>
        </w:rPr>
      </w:pPr>
    </w:p>
    <w:p>
      <w:pPr>
        <w:pStyle w:val="BodyText"/>
        <w:ind w:left="640"/>
      </w:pPr>
      <w:r>
        <w:rPr>
          <w:rFonts w:ascii="Times New Roman" w:eastAsia="Times New Roman"/>
        </w:rPr>
        <w:t>1</w:t>
      </w:r>
      <w:r>
        <w:rPr/>
        <w:t>、基金财产应独立于基金管理人、基金托管人的固有财产。</w:t>
      </w:r>
    </w:p>
    <w:p>
      <w:pPr>
        <w:pStyle w:val="BodyText"/>
        <w:spacing w:before="7"/>
        <w:rPr>
          <w:sz w:val="15"/>
        </w:rPr>
      </w:pPr>
    </w:p>
    <w:p>
      <w:pPr>
        <w:pStyle w:val="BodyText"/>
        <w:spacing w:line="417" w:lineRule="auto"/>
        <w:ind w:left="220" w:right="591" w:firstLine="419"/>
      </w:pPr>
      <w:r>
        <w:rPr>
          <w:rFonts w:ascii="Times New Roman" w:eastAsia="Times New Roman"/>
        </w:rPr>
        <w:t>2</w:t>
      </w:r>
      <w:r>
        <w:rPr>
          <w:spacing w:val="-9"/>
        </w:rPr>
        <w:t>、基金托管人应安全保管基金财产，未经基金管理人的合法合规指令或法律法规</w:t>
      </w:r>
      <w:r>
        <w:rPr>
          <w:spacing w:val="-47"/>
        </w:rPr>
        <w:t>、《基</w:t>
      </w:r>
      <w:r>
        <w:rPr>
          <w:spacing w:val="-11"/>
        </w:rPr>
        <w:t>金合同》及本协议另有规定，不得自行运用、处分、分配基金的任何财产。</w:t>
      </w:r>
    </w:p>
    <w:p>
      <w:pPr>
        <w:pStyle w:val="BodyText"/>
        <w:spacing w:line="269" w:lineRule="exact"/>
        <w:ind w:left="640"/>
      </w:pPr>
      <w:r>
        <w:rPr>
          <w:rFonts w:ascii="Times New Roman" w:eastAsia="Times New Roman"/>
        </w:rPr>
        <w:t>3</w:t>
      </w:r>
      <w:r>
        <w:rPr/>
        <w:t>、基金托管人按照规定开设基金财产的资金账户和证券账户。</w:t>
      </w:r>
    </w:p>
    <w:p>
      <w:pPr>
        <w:pStyle w:val="BodyText"/>
        <w:spacing w:before="6"/>
        <w:rPr>
          <w:sz w:val="15"/>
        </w:rPr>
      </w:pPr>
    </w:p>
    <w:p>
      <w:pPr>
        <w:pStyle w:val="BodyText"/>
        <w:spacing w:before="1"/>
        <w:ind w:left="640"/>
      </w:pPr>
      <w:r>
        <w:rPr>
          <w:rFonts w:ascii="Times New Roman" w:eastAsia="Times New Roman"/>
        </w:rPr>
        <w:t>4</w:t>
      </w:r>
      <w:r>
        <w:rPr/>
        <w:t>、基金托管人对所托管的不同基金财产分别设置账户，确保基金财产的完整与独立。</w:t>
      </w:r>
    </w:p>
    <w:p>
      <w:pPr>
        <w:pStyle w:val="BodyText"/>
        <w:spacing w:before="6"/>
        <w:rPr>
          <w:sz w:val="15"/>
        </w:rPr>
      </w:pPr>
    </w:p>
    <w:p>
      <w:pPr>
        <w:pStyle w:val="BodyText"/>
        <w:spacing w:line="417" w:lineRule="auto"/>
        <w:ind w:left="220" w:right="594" w:firstLine="419"/>
      </w:pPr>
      <w:r>
        <w:rPr>
          <w:rFonts w:ascii="Times New Roman" w:eastAsia="Times New Roman"/>
        </w:rPr>
        <w:t>5</w:t>
      </w:r>
      <w:r>
        <w:rPr>
          <w:spacing w:val="-23"/>
        </w:rPr>
        <w:t>、除依据《基金法》、《运作办法》、《基金合同》及其他有关法律法规规定外，基金托</w:t>
      </w:r>
      <w:r>
        <w:rPr>
          <w:spacing w:val="-8"/>
        </w:rPr>
        <w:t>管人不得委托第三人托管基金财产。</w:t>
      </w:r>
    </w:p>
    <w:p>
      <w:pPr>
        <w:spacing w:after="0" w:line="417" w:lineRule="auto"/>
        <w:sectPr>
          <w:pgSz w:w="11910" w:h="16840"/>
          <w:pgMar w:header="877" w:footer="995" w:top="1420" w:bottom="1180" w:left="1580" w:right="1200"/>
        </w:sectPr>
      </w:pPr>
    </w:p>
    <w:p>
      <w:pPr>
        <w:spacing w:before="110"/>
        <w:ind w:left="758" w:right="716" w:firstLine="0"/>
        <w:jc w:val="center"/>
        <w:rPr>
          <w:b/>
          <w:sz w:val="21"/>
        </w:rPr>
      </w:pPr>
      <w:r>
        <w:rPr>
          <w:b/>
          <w:sz w:val="21"/>
        </w:rPr>
        <w:t>五、基金资产净值的计算和复核</w:t>
      </w:r>
    </w:p>
    <w:p>
      <w:pPr>
        <w:pStyle w:val="BodyText"/>
        <w:spacing w:before="6"/>
        <w:rPr>
          <w:b/>
          <w:sz w:val="15"/>
        </w:rPr>
      </w:pPr>
    </w:p>
    <w:p>
      <w:pPr>
        <w:pStyle w:val="BodyText"/>
        <w:ind w:left="700"/>
      </w:pPr>
      <w:r>
        <w:rPr/>
        <w:t>（一）基金资产净值的计算及复核程序</w:t>
      </w:r>
    </w:p>
    <w:p>
      <w:pPr>
        <w:pStyle w:val="BodyText"/>
        <w:spacing w:before="7"/>
        <w:rPr>
          <w:sz w:val="15"/>
        </w:rPr>
      </w:pPr>
    </w:p>
    <w:p>
      <w:pPr>
        <w:pStyle w:val="BodyText"/>
        <w:spacing w:line="417" w:lineRule="auto"/>
        <w:ind w:left="220" w:right="594" w:firstLine="419"/>
      </w:pPr>
      <w:r>
        <w:rPr>
          <w:rFonts w:ascii="Times New Roman" w:eastAsia="Times New Roman"/>
        </w:rPr>
        <w:t>1</w:t>
      </w:r>
      <w:r>
        <w:rPr/>
        <w:t>、基金资产净值是指基金资产总值减去负债后的价值。基金份额净值是指计算日基金资产净值除以计算日该基金份额总数后的价值。</w:t>
      </w:r>
    </w:p>
    <w:p>
      <w:pPr>
        <w:pStyle w:val="BodyText"/>
        <w:spacing w:line="417" w:lineRule="auto"/>
        <w:ind w:left="220" w:right="488" w:firstLine="419"/>
      </w:pPr>
      <w:r>
        <w:rPr>
          <w:rFonts w:ascii="Times New Roman" w:eastAsia="Times New Roman"/>
        </w:rPr>
        <w:t>2</w:t>
      </w:r>
      <w:r>
        <w:rPr>
          <w:spacing w:val="-10"/>
        </w:rPr>
        <w:t>、基金管理人应每开放日对基金财产估值。估值原则应符合《基金合同》、《证券投资</w:t>
      </w:r>
      <w:r>
        <w:rPr>
          <w:spacing w:val="-12"/>
        </w:rPr>
        <w:t>基金会计核算业务指引》及其他法律法规的规定。用于基金信息披露的基金净值信息由基金</w:t>
      </w:r>
      <w:r>
        <w:rPr>
          <w:spacing w:val="-13"/>
        </w:rPr>
        <w:t>管理人负责计算，基金托管人复核。基金管理人应于每个开放日结束后计算得出当日的该基</w:t>
      </w:r>
      <w:r>
        <w:rPr>
          <w:spacing w:val="-12"/>
        </w:rPr>
        <w:t>金份额净值，并在盖章后以双方约定的方式发送给基金托管人。基金托管人应对净值计算结</w:t>
      </w:r>
      <w:r>
        <w:rPr>
          <w:spacing w:val="-6"/>
        </w:rPr>
        <w:t>果进行复核，并以双方约定的方式将复核结果传送给基金管理人，由基金管理人对外公布。</w:t>
      </w:r>
      <w:r>
        <w:rPr>
          <w:spacing w:val="-4"/>
        </w:rPr>
        <w:t>月末、年中和年末估值复核与基金会计账目的核对同时进行。</w:t>
      </w:r>
    </w:p>
    <w:p>
      <w:pPr>
        <w:pStyle w:val="BodyText"/>
        <w:spacing w:line="417" w:lineRule="auto"/>
        <w:ind w:left="220" w:right="593" w:firstLine="419"/>
      </w:pPr>
      <w:r>
        <w:rPr>
          <w:rFonts w:ascii="Times New Roman" w:eastAsia="Times New Roman"/>
        </w:rPr>
        <w:t>3</w:t>
      </w:r>
      <w:r>
        <w:rPr>
          <w:spacing w:val="-17"/>
        </w:rPr>
        <w:t>、当相关法律法规或《基金合同》规定的估值方法不能客观反映基金财产公允价值时， </w:t>
      </w:r>
      <w:r>
        <w:rPr>
          <w:spacing w:val="-7"/>
        </w:rPr>
        <w:t>基金管理人可根据具体情况，并与基金托管人商定后，按最能反映公允价值的价格估值。</w:t>
      </w:r>
    </w:p>
    <w:p>
      <w:pPr>
        <w:pStyle w:val="BodyText"/>
        <w:spacing w:line="417" w:lineRule="auto"/>
        <w:ind w:left="220" w:right="591" w:firstLine="419"/>
        <w:jc w:val="both"/>
      </w:pPr>
      <w:r>
        <w:rPr>
          <w:rFonts w:ascii="Times New Roman" w:eastAsia="Times New Roman"/>
        </w:rPr>
        <w:t>4</w:t>
      </w:r>
      <w:r>
        <w:rPr>
          <w:spacing w:val="-3"/>
        </w:rPr>
        <w:t>、基金管理人、基金托管人发现基金估值违反《基金合同》订明的估值方法、程序以</w:t>
      </w:r>
      <w:r>
        <w:rPr>
          <w:spacing w:val="-7"/>
        </w:rPr>
        <w:t>及相关法律法规的规定或者未能充分维护基金份额持有人利益时，双方应及时进行协商和纠正。</w:t>
      </w:r>
    </w:p>
    <w:p>
      <w:pPr>
        <w:pStyle w:val="BodyText"/>
        <w:spacing w:line="417" w:lineRule="auto"/>
        <w:ind w:left="220" w:right="490" w:firstLine="419"/>
        <w:jc w:val="both"/>
      </w:pPr>
      <w:r>
        <w:rPr>
          <w:rFonts w:ascii="Times New Roman" w:eastAsia="Times New Roman"/>
        </w:rPr>
        <w:t>5</w:t>
      </w:r>
      <w:r>
        <w:rPr>
          <w:spacing w:val="-3"/>
        </w:rPr>
        <w:t>、当基金资产的估值导致基金份额净值小数点后四位内发生差错时，视为基金份额净</w:t>
      </w:r>
      <w:r>
        <w:rPr>
          <w:spacing w:val="-10"/>
        </w:rPr>
        <w:t>值估值错误。当基金份额净值出现错误时，基金管理人应当立即予以纠正，并采取合理的措施防止损失进一步扩大；当计价错误达到基金份额净值的 </w:t>
      </w:r>
      <w:r>
        <w:rPr>
          <w:rFonts w:ascii="Times New Roman" w:eastAsia="Times New Roman"/>
        </w:rPr>
        <w:t>0.25%</w:t>
      </w:r>
      <w:r>
        <w:rPr>
          <w:spacing w:val="-7"/>
        </w:rPr>
        <w:t>时，基金管理人应当报中国</w:t>
      </w:r>
      <w:r>
        <w:rPr>
          <w:spacing w:val="-5"/>
        </w:rPr>
        <w:t>证监会备案；当计价错误达到基金份额净值的 </w:t>
      </w:r>
      <w:r>
        <w:rPr>
          <w:rFonts w:ascii="Times New Roman" w:eastAsia="Times New Roman"/>
        </w:rPr>
        <w:t>0.5%</w:t>
      </w:r>
      <w:r>
        <w:rPr>
          <w:spacing w:val="-3"/>
        </w:rPr>
        <w:t>时，基金管理人应当在报中国证监会备案的同时并及时进行公告。如法律法规或监管机关对前述内容另有规定的，按其规定处理。</w:t>
      </w:r>
    </w:p>
    <w:p>
      <w:pPr>
        <w:pStyle w:val="BodyText"/>
        <w:spacing w:line="417" w:lineRule="auto"/>
        <w:ind w:left="220" w:right="591" w:firstLine="419"/>
        <w:jc w:val="both"/>
      </w:pPr>
      <w:r>
        <w:rPr>
          <w:rFonts w:ascii="Times New Roman" w:eastAsia="Times New Roman"/>
        </w:rPr>
        <w:t>6</w:t>
      </w:r>
      <w:r>
        <w:rPr>
          <w:spacing w:val="-3"/>
        </w:rPr>
        <w:t>、由于基金管理人对外公布的任何基金净值数据错误，导致该基金财产或基金份额持</w:t>
      </w:r>
      <w:r>
        <w:rPr>
          <w:spacing w:val="-10"/>
        </w:rPr>
        <w:t>有人的实际损失，基金管理人应对此承担责任。若基金托管人计算的净值数据正确，则基金</w:t>
      </w:r>
      <w:r>
        <w:rPr>
          <w:spacing w:val="-11"/>
        </w:rPr>
        <w:t>托管人对该损失不承担责任；若基金托管人计算的净值数据也不正确，则基金托管人也应承</w:t>
      </w:r>
      <w:r>
        <w:rPr>
          <w:spacing w:val="-12"/>
        </w:rPr>
        <w:t>担部分未正确履行复核义务的责任。如果上述错误造成了基金财产或基金份额持有人的不当得利，且基金管理人及基金托管人已各自承担了赔偿责任，则基金管理人应负责向不当得利</w:t>
      </w:r>
      <w:r>
        <w:rPr>
          <w:spacing w:val="-13"/>
        </w:rPr>
        <w:t>之主体主张返还不当得利。如果返还金额不足以弥补基金管理人和基金托管人已承担的赔偿</w:t>
      </w:r>
      <w:r>
        <w:rPr>
          <w:spacing w:val="-6"/>
        </w:rPr>
        <w:t>金额，则双方按照各自赔偿金额的比例对返还金额进行分配。</w:t>
      </w:r>
    </w:p>
    <w:p>
      <w:pPr>
        <w:pStyle w:val="BodyText"/>
        <w:spacing w:line="417" w:lineRule="auto"/>
        <w:ind w:left="220" w:right="591" w:firstLine="419"/>
        <w:jc w:val="both"/>
      </w:pPr>
      <w:r>
        <w:rPr>
          <w:rFonts w:ascii="Times New Roman" w:eastAsia="Times New Roman"/>
        </w:rPr>
        <w:t>7</w:t>
      </w:r>
      <w:r>
        <w:rPr>
          <w:spacing w:val="-3"/>
        </w:rPr>
        <w:t>、由于证券交易所及其登记结算公司发送的数据错误，或由于其他不可抗力原因，基</w:t>
      </w:r>
      <w:r>
        <w:rPr>
          <w:spacing w:val="-8"/>
        </w:rPr>
        <w:t>金管理人和基金托管人虽然已经采取必要、适当、合理的措施进行检查，但是未能发现该错</w:t>
      </w:r>
      <w:r>
        <w:rPr>
          <w:spacing w:val="-10"/>
        </w:rPr>
        <w:t>误的，由此造成的基金资产估值错误，基金管理人和基金托管人可以免除赔偿责任。但基金</w:t>
      </w:r>
    </w:p>
    <w:p>
      <w:pPr>
        <w:spacing w:after="0" w:line="417" w:lineRule="auto"/>
        <w:jc w:val="both"/>
        <w:sectPr>
          <w:footerReference w:type="default" r:id="rId151"/>
          <w:pgSz w:w="11910" w:h="16840"/>
          <w:pgMar w:footer="995" w:header="877" w:top="1420" w:bottom="1180" w:left="1580" w:right="1200"/>
        </w:sectPr>
      </w:pPr>
    </w:p>
    <w:p>
      <w:pPr>
        <w:pStyle w:val="BodyText"/>
        <w:spacing w:before="110"/>
        <w:ind w:left="220"/>
      </w:pPr>
      <w:r>
        <w:rPr/>
        <w:t>管理人和基金托管人应当积极采取必要的措施消除由此造成的影响。</w:t>
      </w:r>
    </w:p>
    <w:p>
      <w:pPr>
        <w:pStyle w:val="BodyText"/>
        <w:spacing w:before="6"/>
        <w:rPr>
          <w:sz w:val="15"/>
        </w:rPr>
      </w:pPr>
    </w:p>
    <w:p>
      <w:pPr>
        <w:pStyle w:val="BodyText"/>
        <w:spacing w:line="417" w:lineRule="auto"/>
        <w:ind w:left="220" w:right="591" w:firstLine="419"/>
        <w:jc w:val="both"/>
      </w:pPr>
      <w:r>
        <w:rPr>
          <w:rFonts w:ascii="Times New Roman" w:eastAsia="Times New Roman"/>
        </w:rPr>
        <w:t>8</w:t>
      </w:r>
      <w:r>
        <w:rPr>
          <w:spacing w:val="-3"/>
        </w:rPr>
        <w:t>、如果基金托管人的复核结果与基金管理人的计算结果存在差异，且双方经协商未能</w:t>
      </w:r>
      <w:r>
        <w:rPr>
          <w:spacing w:val="-11"/>
        </w:rPr>
        <w:t>达成一致，基金管理人可以按照其对基金份额净值的计算结果对外予以公布，基金托管人可</w:t>
      </w:r>
      <w:r>
        <w:rPr>
          <w:spacing w:val="-6"/>
        </w:rPr>
        <w:t>以将相关情况报中国证监会备案。</w:t>
      </w:r>
    </w:p>
    <w:p>
      <w:pPr>
        <w:spacing w:line="269" w:lineRule="exact" w:before="0"/>
        <w:ind w:left="758" w:right="712" w:firstLine="0"/>
        <w:jc w:val="center"/>
        <w:rPr>
          <w:b/>
          <w:sz w:val="21"/>
        </w:rPr>
      </w:pPr>
      <w:r>
        <w:rPr>
          <w:b/>
          <w:sz w:val="21"/>
        </w:rPr>
        <w:t>六、基金份额持有人名册的登记与保管</w:t>
      </w:r>
    </w:p>
    <w:p>
      <w:pPr>
        <w:pStyle w:val="BodyText"/>
        <w:spacing w:before="7"/>
        <w:rPr>
          <w:b/>
          <w:sz w:val="15"/>
        </w:rPr>
      </w:pPr>
    </w:p>
    <w:p>
      <w:pPr>
        <w:pStyle w:val="BodyText"/>
        <w:ind w:left="640"/>
      </w:pPr>
      <w:r>
        <w:rPr/>
        <w:t>（一）基金份额持有人名册的内容</w:t>
      </w:r>
    </w:p>
    <w:p>
      <w:pPr>
        <w:pStyle w:val="BodyText"/>
        <w:spacing w:before="7"/>
        <w:rPr>
          <w:sz w:val="15"/>
        </w:rPr>
      </w:pPr>
    </w:p>
    <w:p>
      <w:pPr>
        <w:pStyle w:val="BodyText"/>
        <w:spacing w:line="417" w:lineRule="auto"/>
        <w:ind w:left="640" w:right="706"/>
      </w:pPr>
      <w:r>
        <w:rPr/>
        <w:t>基金份额持有人名册的内容包括但不限于基金份额持有人的名称和持有的基金份额。基金份额持有人名册包括以下几类：</w:t>
      </w:r>
    </w:p>
    <w:p>
      <w:pPr>
        <w:pStyle w:val="BodyText"/>
        <w:ind w:left="640"/>
      </w:pPr>
      <w:r>
        <w:rPr>
          <w:rFonts w:ascii="Times New Roman" w:eastAsia="Times New Roman"/>
        </w:rPr>
        <w:t>1</w:t>
      </w:r>
      <w:r>
        <w:rPr/>
        <w:t>、基金募集期结束时的基金份额持有人名册；</w:t>
      </w:r>
    </w:p>
    <w:p>
      <w:pPr>
        <w:pStyle w:val="BodyText"/>
        <w:spacing w:before="7"/>
        <w:rPr>
          <w:sz w:val="15"/>
        </w:rPr>
      </w:pPr>
    </w:p>
    <w:p>
      <w:pPr>
        <w:pStyle w:val="BodyText"/>
        <w:ind w:left="640"/>
      </w:pPr>
      <w:r>
        <w:rPr>
          <w:rFonts w:ascii="Times New Roman" w:eastAsia="Times New Roman"/>
        </w:rPr>
        <w:t>2</w:t>
      </w:r>
      <w:r>
        <w:rPr/>
        <w:t>、基金权益登记日的基金份额持有人名册；</w:t>
      </w:r>
    </w:p>
    <w:p>
      <w:pPr>
        <w:pStyle w:val="BodyText"/>
        <w:spacing w:before="7"/>
        <w:rPr>
          <w:sz w:val="15"/>
        </w:rPr>
      </w:pPr>
    </w:p>
    <w:p>
      <w:pPr>
        <w:pStyle w:val="BodyText"/>
        <w:ind w:left="640"/>
      </w:pPr>
      <w:r>
        <w:rPr>
          <w:rFonts w:ascii="Times New Roman" w:eastAsia="Times New Roman"/>
        </w:rPr>
        <w:t>3</w:t>
      </w:r>
      <w:r>
        <w:rPr/>
        <w:t>、基金份额持有人大会登记日的基金份额持有人名册；</w:t>
      </w:r>
    </w:p>
    <w:p>
      <w:pPr>
        <w:pStyle w:val="BodyText"/>
        <w:spacing w:before="6"/>
        <w:rPr>
          <w:sz w:val="15"/>
        </w:rPr>
      </w:pPr>
    </w:p>
    <w:p>
      <w:pPr>
        <w:pStyle w:val="BodyText"/>
        <w:ind w:left="640"/>
      </w:pPr>
      <w:r>
        <w:rPr>
          <w:rFonts w:ascii="Times New Roman" w:eastAsia="Times New Roman"/>
        </w:rPr>
        <w:t>4</w:t>
      </w:r>
      <w:r>
        <w:rPr/>
        <w:t>、每半年度最后一个交易日的基金份额持有人名册。</w:t>
      </w:r>
    </w:p>
    <w:p>
      <w:pPr>
        <w:pStyle w:val="BodyText"/>
        <w:spacing w:before="7"/>
        <w:rPr>
          <w:sz w:val="15"/>
        </w:rPr>
      </w:pPr>
    </w:p>
    <w:p>
      <w:pPr>
        <w:pStyle w:val="BodyText"/>
        <w:ind w:left="640"/>
      </w:pPr>
      <w:r>
        <w:rPr/>
        <w:t>（二）基金份额持有人名册的提供</w:t>
      </w:r>
    </w:p>
    <w:p>
      <w:pPr>
        <w:pStyle w:val="BodyText"/>
        <w:spacing w:before="7"/>
        <w:rPr>
          <w:sz w:val="15"/>
        </w:rPr>
      </w:pPr>
    </w:p>
    <w:p>
      <w:pPr>
        <w:pStyle w:val="BodyText"/>
        <w:spacing w:line="417" w:lineRule="auto"/>
        <w:ind w:left="220" w:right="488" w:firstLine="419"/>
      </w:pPr>
      <w:r>
        <w:rPr>
          <w:spacing w:val="-7"/>
        </w:rPr>
        <w:t>对于每半年度最后一个交易日的基金份额持有人名册，基金管理人应在每半年度结束后 </w:t>
      </w:r>
      <w:r>
        <w:rPr>
          <w:rFonts w:ascii="Times New Roman" w:eastAsia="Times New Roman"/>
          <w:spacing w:val="-7"/>
        </w:rPr>
        <w:t>5</w:t>
      </w:r>
      <w:r>
        <w:rPr>
          <w:rFonts w:ascii="Times New Roman" w:eastAsia="Times New Roman"/>
          <w:spacing w:val="14"/>
        </w:rPr>
        <w:t> </w:t>
      </w:r>
      <w:r>
        <w:rPr>
          <w:spacing w:val="-6"/>
        </w:rPr>
        <w:t>个工作日内定期向基金托管人提供。对于基金募集期结束时的基金份额持有人名册、基金</w:t>
      </w:r>
      <w:r>
        <w:rPr>
          <w:spacing w:val="-4"/>
        </w:rPr>
        <w:t>权益登记日的基金份额持有人名册以及基金份额持有人大会登记日的基金份额持有人名册， </w:t>
      </w:r>
      <w:r>
        <w:rPr>
          <w:spacing w:val="-7"/>
        </w:rPr>
        <w:t>基金管理人应在相关的名册生成后 </w:t>
      </w:r>
      <w:r>
        <w:rPr>
          <w:rFonts w:ascii="Times New Roman" w:eastAsia="Times New Roman"/>
        </w:rPr>
        <w:t>5 </w:t>
      </w:r>
      <w:r>
        <w:rPr>
          <w:spacing w:val="-3"/>
        </w:rPr>
        <w:t>个工作日内向基金托管人提供。</w:t>
      </w:r>
    </w:p>
    <w:p>
      <w:pPr>
        <w:pStyle w:val="BodyText"/>
        <w:spacing w:line="269" w:lineRule="exact"/>
        <w:ind w:left="640"/>
      </w:pPr>
      <w:r>
        <w:rPr/>
        <w:t>（三）基金份额持有人名册的保管</w:t>
      </w:r>
    </w:p>
    <w:p>
      <w:pPr>
        <w:pStyle w:val="BodyText"/>
        <w:spacing w:before="7"/>
        <w:rPr>
          <w:sz w:val="15"/>
        </w:rPr>
      </w:pPr>
    </w:p>
    <w:p>
      <w:pPr>
        <w:pStyle w:val="BodyText"/>
        <w:spacing w:line="417" w:lineRule="auto"/>
        <w:ind w:left="220" w:right="591" w:firstLine="419"/>
        <w:jc w:val="both"/>
      </w:pPr>
      <w:r>
        <w:rPr>
          <w:spacing w:val="-6"/>
        </w:rPr>
        <w:t>基金份额持有人名册由基金登记机构根据基金管理人的指令编制和保管，基金管理人和</w:t>
      </w:r>
      <w:r>
        <w:rPr>
          <w:spacing w:val="-5"/>
        </w:rPr>
        <w:t>基金托管人应分别保管基金份额持有人名册，基金登记机构保存期不少于 </w:t>
      </w:r>
      <w:r>
        <w:rPr>
          <w:rFonts w:ascii="Times New Roman" w:eastAsia="Times New Roman"/>
        </w:rPr>
        <w:t>20 </w:t>
      </w:r>
      <w:r>
        <w:rPr>
          <w:spacing w:val="-1"/>
        </w:rPr>
        <w:t>年，法律法规</w:t>
      </w:r>
      <w:r>
        <w:rPr>
          <w:spacing w:val="-3"/>
        </w:rPr>
        <w:t>另有规定或有权机关另有要求的除外。如不能妥善保管，则按相关法规承担责任。</w:t>
      </w:r>
    </w:p>
    <w:p>
      <w:pPr>
        <w:spacing w:before="0"/>
        <w:ind w:left="0" w:right="3693" w:firstLine="0"/>
        <w:jc w:val="right"/>
        <w:rPr>
          <w:b/>
          <w:sz w:val="21"/>
        </w:rPr>
      </w:pPr>
      <w:r>
        <w:rPr>
          <w:b/>
          <w:sz w:val="21"/>
        </w:rPr>
        <w:t>七、争议解决方式</w:t>
      </w:r>
    </w:p>
    <w:p>
      <w:pPr>
        <w:pStyle w:val="BodyText"/>
        <w:spacing w:before="6"/>
        <w:rPr>
          <w:b/>
          <w:sz w:val="15"/>
        </w:rPr>
      </w:pPr>
    </w:p>
    <w:p>
      <w:pPr>
        <w:pStyle w:val="BodyText"/>
        <w:spacing w:before="1"/>
        <w:ind w:right="3649"/>
        <w:jc w:val="right"/>
      </w:pPr>
      <w:r>
        <w:rPr/>
        <w:t>（一</w:t>
      </w:r>
      <w:r>
        <w:rPr>
          <w:spacing w:val="-3"/>
        </w:rPr>
        <w:t>）本协议适用中华人民共和国法律并从其解释。</w:t>
      </w:r>
    </w:p>
    <w:p>
      <w:pPr>
        <w:pStyle w:val="BodyText"/>
        <w:spacing w:before="6"/>
        <w:rPr>
          <w:sz w:val="15"/>
        </w:rPr>
      </w:pPr>
    </w:p>
    <w:p>
      <w:pPr>
        <w:pStyle w:val="BodyText"/>
        <w:spacing w:line="417" w:lineRule="auto"/>
        <w:ind w:left="220" w:right="591" w:firstLine="419"/>
        <w:jc w:val="both"/>
      </w:pPr>
      <w:r>
        <w:rPr/>
        <w:t>（</w:t>
      </w:r>
      <w:r>
        <w:rPr>
          <w:spacing w:val="-3"/>
        </w:rPr>
        <w:t>二</w:t>
      </w:r>
      <w:r>
        <w:rPr>
          <w:spacing w:val="-94"/>
        </w:rPr>
        <w:t>）</w:t>
      </w:r>
      <w:r>
        <w:rPr>
          <w:spacing w:val="-3"/>
        </w:rPr>
        <w:t>基金管理人与基金托管人之间因本协议产生的或与本协议有关的争议可通过友好</w:t>
      </w:r>
      <w:r>
        <w:rPr>
          <w:spacing w:val="-5"/>
        </w:rPr>
        <w:t>协商解决。但若自一方书面提出协商解决争议之日起 </w:t>
      </w:r>
      <w:r>
        <w:rPr>
          <w:rFonts w:ascii="Times New Roman" w:eastAsia="Times New Roman"/>
        </w:rPr>
        <w:t>60 </w:t>
      </w:r>
      <w:r>
        <w:rPr>
          <w:spacing w:val="-3"/>
        </w:rPr>
        <w:t>日内争议未能以协商方式解决的， </w:t>
      </w:r>
      <w:r>
        <w:rPr>
          <w:spacing w:val="-8"/>
        </w:rPr>
        <w:t>则任何一方有权将争议应提交北京仲裁委员会，根据该会当时有效的仲裁规则按照普通程序</w:t>
      </w:r>
      <w:r>
        <w:rPr>
          <w:spacing w:val="-12"/>
        </w:rPr>
        <w:t>进行仲裁，仲裁地点为北京，仲裁裁决是终局性的并对各方当事人具有约束力，仲裁费由败</w:t>
      </w:r>
      <w:r>
        <w:rPr>
          <w:spacing w:val="-6"/>
        </w:rPr>
        <w:t>诉方承担。</w:t>
      </w:r>
    </w:p>
    <w:p>
      <w:pPr>
        <w:pStyle w:val="BodyText"/>
        <w:spacing w:line="269" w:lineRule="exact"/>
        <w:ind w:left="640"/>
      </w:pPr>
      <w:r>
        <w:rPr/>
        <w:t>（三）除争议所涉的内容之外，本协议的当事人仍应履行本协议的其他规定。</w:t>
      </w:r>
    </w:p>
    <w:p>
      <w:pPr>
        <w:spacing w:after="0" w:line="269" w:lineRule="exact"/>
        <w:sectPr>
          <w:footerReference w:type="default" r:id="rId152"/>
          <w:pgSz w:w="11910" w:h="16840"/>
          <w:pgMar w:footer="995" w:header="877" w:top="1420" w:bottom="1180" w:left="1580" w:right="1200"/>
          <w:pgNumType w:start="141"/>
        </w:sectPr>
      </w:pPr>
    </w:p>
    <w:p>
      <w:pPr>
        <w:spacing w:before="110"/>
        <w:ind w:left="758" w:right="716" w:firstLine="0"/>
        <w:jc w:val="center"/>
        <w:rPr>
          <w:b/>
          <w:sz w:val="21"/>
        </w:rPr>
      </w:pPr>
      <w:r>
        <w:rPr>
          <w:b/>
          <w:sz w:val="21"/>
        </w:rPr>
        <w:t>八、托管协议的修改与终止</w:t>
      </w:r>
    </w:p>
    <w:p>
      <w:pPr>
        <w:pStyle w:val="BodyText"/>
        <w:spacing w:before="12"/>
        <w:rPr>
          <w:b/>
          <w:sz w:val="9"/>
        </w:rPr>
      </w:pPr>
    </w:p>
    <w:p>
      <w:pPr>
        <w:pStyle w:val="BodyText"/>
        <w:spacing w:before="71"/>
        <w:ind w:left="640"/>
      </w:pPr>
      <w:r>
        <w:rPr/>
        <w:t>（一）托管协议的变更</w:t>
      </w:r>
    </w:p>
    <w:p>
      <w:pPr>
        <w:pStyle w:val="BodyText"/>
        <w:spacing w:before="7"/>
        <w:rPr>
          <w:sz w:val="15"/>
        </w:rPr>
      </w:pPr>
    </w:p>
    <w:p>
      <w:pPr>
        <w:pStyle w:val="BodyText"/>
        <w:ind w:left="640"/>
      </w:pPr>
      <w:r>
        <w:rPr/>
        <w:t>本协议双方当事人经协商一致，可以对协议进行变更。变更后的新协议，其内容不得与</w:t>
      </w:r>
    </w:p>
    <w:p>
      <w:pPr>
        <w:pStyle w:val="BodyText"/>
        <w:spacing w:before="7"/>
        <w:rPr>
          <w:sz w:val="15"/>
        </w:rPr>
      </w:pPr>
    </w:p>
    <w:p>
      <w:pPr>
        <w:pStyle w:val="BodyText"/>
        <w:ind w:left="220"/>
      </w:pPr>
      <w:r>
        <w:rPr/>
        <w:t>《基金合同》的规定有任何冲突。变更后的新协议应当报中国证监会备案。</w:t>
      </w:r>
    </w:p>
    <w:p>
      <w:pPr>
        <w:pStyle w:val="BodyText"/>
        <w:spacing w:before="6"/>
        <w:rPr>
          <w:sz w:val="15"/>
        </w:rPr>
      </w:pPr>
    </w:p>
    <w:p>
      <w:pPr>
        <w:pStyle w:val="BodyText"/>
        <w:spacing w:before="1"/>
        <w:ind w:left="640"/>
      </w:pPr>
      <w:r>
        <w:rPr/>
        <w:t>（二）托管协议的终止</w:t>
      </w:r>
    </w:p>
    <w:p>
      <w:pPr>
        <w:pStyle w:val="BodyText"/>
        <w:spacing w:before="6"/>
        <w:rPr>
          <w:sz w:val="15"/>
        </w:rPr>
      </w:pPr>
    </w:p>
    <w:p>
      <w:pPr>
        <w:pStyle w:val="BodyText"/>
        <w:ind w:left="640"/>
      </w:pPr>
      <w:r>
        <w:rPr/>
        <w:t>发生以下情况，本托管协议应当终止：</w:t>
      </w:r>
    </w:p>
    <w:p>
      <w:pPr>
        <w:pStyle w:val="BodyText"/>
        <w:spacing w:before="7"/>
        <w:rPr>
          <w:sz w:val="15"/>
        </w:rPr>
      </w:pPr>
    </w:p>
    <w:p>
      <w:pPr>
        <w:pStyle w:val="BodyText"/>
        <w:ind w:left="640"/>
      </w:pPr>
      <w:r>
        <w:rPr>
          <w:rFonts w:ascii="Times New Roman" w:eastAsia="Times New Roman"/>
        </w:rPr>
        <w:t>1</w:t>
      </w:r>
      <w:r>
        <w:rPr/>
        <w:t>、《基金合同》终止；</w:t>
      </w:r>
    </w:p>
    <w:p>
      <w:pPr>
        <w:pStyle w:val="BodyText"/>
        <w:spacing w:before="7"/>
        <w:rPr>
          <w:sz w:val="15"/>
        </w:rPr>
      </w:pPr>
    </w:p>
    <w:p>
      <w:pPr>
        <w:pStyle w:val="BodyText"/>
        <w:ind w:left="640"/>
      </w:pPr>
      <w:r>
        <w:rPr>
          <w:rFonts w:ascii="Times New Roman" w:eastAsia="Times New Roman"/>
        </w:rPr>
        <w:t>2</w:t>
      </w:r>
      <w:r>
        <w:rPr>
          <w:spacing w:val="-3"/>
        </w:rPr>
        <w:t>、本基金更换基金托管人；</w:t>
      </w:r>
    </w:p>
    <w:p>
      <w:pPr>
        <w:pStyle w:val="BodyText"/>
        <w:spacing w:before="7"/>
        <w:rPr>
          <w:sz w:val="15"/>
        </w:rPr>
      </w:pPr>
    </w:p>
    <w:p>
      <w:pPr>
        <w:pStyle w:val="BodyText"/>
        <w:ind w:left="640"/>
      </w:pPr>
      <w:r>
        <w:rPr>
          <w:rFonts w:ascii="Times New Roman" w:eastAsia="Times New Roman"/>
        </w:rPr>
        <w:t>3</w:t>
      </w:r>
      <w:r>
        <w:rPr>
          <w:spacing w:val="-3"/>
        </w:rPr>
        <w:t>、本基金更换基金管理人；</w:t>
      </w:r>
    </w:p>
    <w:p>
      <w:pPr>
        <w:pStyle w:val="BodyText"/>
        <w:spacing w:before="7"/>
        <w:rPr>
          <w:sz w:val="15"/>
        </w:rPr>
      </w:pPr>
    </w:p>
    <w:p>
      <w:pPr>
        <w:pStyle w:val="BodyText"/>
        <w:ind w:left="640"/>
      </w:pPr>
      <w:r>
        <w:rPr>
          <w:rFonts w:ascii="Times New Roman" w:eastAsia="Times New Roman"/>
        </w:rPr>
        <w:t>4</w:t>
      </w:r>
      <w:r>
        <w:rPr/>
        <w:t>、发生《基金法》、《运作办法》或其他法律法规规定的终止事项。</w:t>
      </w:r>
    </w:p>
    <w:sectPr>
      <w:pgSz w:w="11910" w:h="16840"/>
      <w:pgMar w:header="877" w:footer="995" w:top="1420" w:bottom="1180" w:left="15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5126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5985024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492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848192"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4716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846144"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4512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853312"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88.369995pt;margin-top:42.865608pt;width:218pt;height:11pt;mso-position-horizontal-relative:page;mso-position-vertical-relative:page;z-index:-259852288" type="#_x0000_t202" filled="false" stroked="false">
          <v:textbox inset="0,0,0,0">
            <w:txbxContent>
              <w:p>
                <w:pPr>
                  <w:spacing w:line="220" w:lineRule="exact" w:before="0"/>
                  <w:ind w:left="20" w:right="0" w:firstLine="0"/>
                  <w:jc w:val="left"/>
                  <w:rPr>
                    <w:sz w:val="18"/>
                  </w:rPr>
                </w:pPr>
                <w:r>
                  <w:rPr>
                    <w:sz w:val="18"/>
                  </w:rPr>
                  <w:t>华夏科技成长股票型证券投资基金招募说明书（更新）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1"/>
      <w:numFmt w:val="decimal"/>
      <w:lvlText w:val="（%1）"/>
      <w:lvlJc w:val="left"/>
      <w:pPr>
        <w:ind w:left="220" w:hanging="529"/>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49">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53">
    <w:multiLevelType w:val="hybridMultilevel"/>
    <w:lvl w:ilvl="0">
      <w:start w:val="1"/>
      <w:numFmt w:val="decimal"/>
      <w:lvlText w:val="（%1）"/>
      <w:lvlJc w:val="left"/>
      <w:pPr>
        <w:ind w:left="220" w:hanging="529"/>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52">
    <w:multiLevelType w:val="hybridMultilevel"/>
    <w:lvl w:ilvl="0">
      <w:start w:val="1"/>
      <w:numFmt w:val="decimal"/>
      <w:lvlText w:val="（%1）"/>
      <w:lvlJc w:val="left"/>
      <w:pPr>
        <w:ind w:left="116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51">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8">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7">
    <w:multiLevelType w:val="hybridMultilevel"/>
    <w:lvl w:ilvl="0">
      <w:start w:val="1"/>
      <w:numFmt w:val="decimal"/>
      <w:lvlText w:val="（%1）"/>
      <w:lvlJc w:val="left"/>
      <w:pPr>
        <w:ind w:left="22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46">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45">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4">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3">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2">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1">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0">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9">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38">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37">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6">
    <w:multiLevelType w:val="hybridMultilevel"/>
    <w:lvl w:ilvl="0">
      <w:start w:val="1"/>
      <w:numFmt w:val="decimal"/>
      <w:lvlText w:val="（%1）"/>
      <w:lvlJc w:val="left"/>
      <w:pPr>
        <w:ind w:left="116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5">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4">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3">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32">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1">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0">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9">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28">
    <w:multiLevelType w:val="hybridMultilevel"/>
    <w:lvl w:ilvl="0">
      <w:start w:val="1"/>
      <w:numFmt w:val="decimal"/>
      <w:lvlText w:val="（%1）"/>
      <w:lvlJc w:val="left"/>
      <w:pPr>
        <w:ind w:left="22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7">
    <w:multiLevelType w:val="hybridMultilevel"/>
    <w:lvl w:ilvl="0">
      <w:start w:val="1"/>
      <w:numFmt w:val="decimal"/>
      <w:lvlText w:val="（%1）"/>
      <w:lvlJc w:val="left"/>
      <w:pPr>
        <w:ind w:left="22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6">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5">
    <w:multiLevelType w:val="hybridMultilevel"/>
    <w:lvl w:ilvl="0">
      <w:start w:val="1"/>
      <w:numFmt w:val="decimal"/>
      <w:lvlText w:val="（%1）"/>
      <w:lvlJc w:val="left"/>
      <w:pPr>
        <w:ind w:left="22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4">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3">
    <w:multiLevelType w:val="hybridMultilevel"/>
    <w:lvl w:ilvl="0">
      <w:start w:val="5"/>
      <w:numFmt w:val="decimal"/>
      <w:lvlText w:val="%1"/>
      <w:lvlJc w:val="left"/>
      <w:pPr>
        <w:ind w:left="616" w:hanging="396"/>
        <w:jc w:val="left"/>
      </w:pPr>
      <w:rPr>
        <w:rFonts w:hint="default"/>
        <w:lang w:val="zh-CN" w:eastAsia="zh-CN" w:bidi="zh-CN"/>
      </w:rPr>
    </w:lvl>
    <w:lvl w:ilvl="1">
      <w:start w:val="1"/>
      <w:numFmt w:val="decimal"/>
      <w:lvlText w:val="%1.%2"/>
      <w:lvlJc w:val="left"/>
      <w:pPr>
        <w:ind w:left="616" w:hanging="396"/>
        <w:jc w:val="left"/>
      </w:pPr>
      <w:rPr>
        <w:rFonts w:hint="default"/>
        <w:spacing w:val="-1"/>
        <w:w w:val="100"/>
        <w:lang w:val="zh-CN" w:eastAsia="zh-CN" w:bidi="zh-CN"/>
      </w:rPr>
    </w:lvl>
    <w:lvl w:ilvl="2">
      <w:start w:val="1"/>
      <w:numFmt w:val="decimal"/>
      <w:lvlText w:val="%1.%2.%3"/>
      <w:lvlJc w:val="left"/>
      <w:pPr>
        <w:ind w:left="746" w:hanging="526"/>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220" w:hanging="529"/>
        <w:jc w:val="left"/>
      </w:pPr>
      <w:rPr>
        <w:rFonts w:hint="default" w:ascii="宋体" w:hAnsi="宋体" w:eastAsia="宋体" w:cs="宋体"/>
        <w:spacing w:val="-27"/>
        <w:w w:val="100"/>
        <w:sz w:val="19"/>
        <w:szCs w:val="19"/>
        <w:lang w:val="zh-CN" w:eastAsia="zh-CN" w:bidi="zh-CN"/>
      </w:rPr>
    </w:lvl>
    <w:lvl w:ilvl="4">
      <w:start w:val="0"/>
      <w:numFmt w:val="bullet"/>
      <w:lvlText w:val="•"/>
      <w:lvlJc w:val="left"/>
      <w:pPr>
        <w:ind w:left="860" w:hanging="529"/>
      </w:pPr>
      <w:rPr>
        <w:rFonts w:hint="default"/>
        <w:lang w:val="zh-CN" w:eastAsia="zh-CN" w:bidi="zh-CN"/>
      </w:rPr>
    </w:lvl>
    <w:lvl w:ilvl="5">
      <w:start w:val="0"/>
      <w:numFmt w:val="bullet"/>
      <w:lvlText w:val="•"/>
      <w:lvlJc w:val="left"/>
      <w:pPr>
        <w:ind w:left="2237" w:hanging="529"/>
      </w:pPr>
      <w:rPr>
        <w:rFonts w:hint="default"/>
        <w:lang w:val="zh-CN" w:eastAsia="zh-CN" w:bidi="zh-CN"/>
      </w:rPr>
    </w:lvl>
    <w:lvl w:ilvl="6">
      <w:start w:val="0"/>
      <w:numFmt w:val="bullet"/>
      <w:lvlText w:val="•"/>
      <w:lvlJc w:val="left"/>
      <w:pPr>
        <w:ind w:left="3615" w:hanging="529"/>
      </w:pPr>
      <w:rPr>
        <w:rFonts w:hint="default"/>
        <w:lang w:val="zh-CN" w:eastAsia="zh-CN" w:bidi="zh-CN"/>
      </w:rPr>
    </w:lvl>
    <w:lvl w:ilvl="7">
      <w:start w:val="0"/>
      <w:numFmt w:val="bullet"/>
      <w:lvlText w:val="•"/>
      <w:lvlJc w:val="left"/>
      <w:pPr>
        <w:ind w:left="4993" w:hanging="529"/>
      </w:pPr>
      <w:rPr>
        <w:rFonts w:hint="default"/>
        <w:lang w:val="zh-CN" w:eastAsia="zh-CN" w:bidi="zh-CN"/>
      </w:rPr>
    </w:lvl>
    <w:lvl w:ilvl="8">
      <w:start w:val="0"/>
      <w:numFmt w:val="bullet"/>
      <w:lvlText w:val="•"/>
      <w:lvlJc w:val="left"/>
      <w:pPr>
        <w:ind w:left="6370" w:hanging="529"/>
      </w:pPr>
      <w:rPr>
        <w:rFonts w:hint="default"/>
        <w:lang w:val="zh-CN" w:eastAsia="zh-CN" w:bidi="zh-CN"/>
      </w:rPr>
    </w:lvl>
  </w:abstractNum>
  <w:abstractNum w:abstractNumId="22">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21">
    <w:multiLevelType w:val="hybridMultilevel"/>
    <w:lvl w:ilvl="0">
      <w:start w:val="1"/>
      <w:numFmt w:val="decimal"/>
      <w:lvlText w:val="（%1）"/>
      <w:lvlJc w:val="left"/>
      <w:pPr>
        <w:ind w:left="220" w:hanging="529"/>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0">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19">
    <w:multiLevelType w:val="hybridMultilevel"/>
    <w:lvl w:ilvl="0">
      <w:start w:val="1"/>
      <w:numFmt w:val="decimal"/>
      <w:lvlText w:val="%1）"/>
      <w:lvlJc w:val="left"/>
      <w:pPr>
        <w:ind w:left="958"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776" w:hanging="318"/>
      </w:pPr>
      <w:rPr>
        <w:rFonts w:hint="default"/>
        <w:lang w:val="zh-CN" w:eastAsia="zh-CN" w:bidi="zh-CN"/>
      </w:rPr>
    </w:lvl>
    <w:lvl w:ilvl="2">
      <w:start w:val="0"/>
      <w:numFmt w:val="bullet"/>
      <w:lvlText w:val="•"/>
      <w:lvlJc w:val="left"/>
      <w:pPr>
        <w:ind w:left="2593" w:hanging="318"/>
      </w:pPr>
      <w:rPr>
        <w:rFonts w:hint="default"/>
        <w:lang w:val="zh-CN" w:eastAsia="zh-CN" w:bidi="zh-CN"/>
      </w:rPr>
    </w:lvl>
    <w:lvl w:ilvl="3">
      <w:start w:val="0"/>
      <w:numFmt w:val="bullet"/>
      <w:lvlText w:val="•"/>
      <w:lvlJc w:val="left"/>
      <w:pPr>
        <w:ind w:left="3409" w:hanging="318"/>
      </w:pPr>
      <w:rPr>
        <w:rFonts w:hint="default"/>
        <w:lang w:val="zh-CN" w:eastAsia="zh-CN" w:bidi="zh-CN"/>
      </w:rPr>
    </w:lvl>
    <w:lvl w:ilvl="4">
      <w:start w:val="0"/>
      <w:numFmt w:val="bullet"/>
      <w:lvlText w:val="•"/>
      <w:lvlJc w:val="left"/>
      <w:pPr>
        <w:ind w:left="4226" w:hanging="318"/>
      </w:pPr>
      <w:rPr>
        <w:rFonts w:hint="default"/>
        <w:lang w:val="zh-CN" w:eastAsia="zh-CN" w:bidi="zh-CN"/>
      </w:rPr>
    </w:lvl>
    <w:lvl w:ilvl="5">
      <w:start w:val="0"/>
      <w:numFmt w:val="bullet"/>
      <w:lvlText w:val="•"/>
      <w:lvlJc w:val="left"/>
      <w:pPr>
        <w:ind w:left="5043" w:hanging="318"/>
      </w:pPr>
      <w:rPr>
        <w:rFonts w:hint="default"/>
        <w:lang w:val="zh-CN" w:eastAsia="zh-CN" w:bidi="zh-CN"/>
      </w:rPr>
    </w:lvl>
    <w:lvl w:ilvl="6">
      <w:start w:val="0"/>
      <w:numFmt w:val="bullet"/>
      <w:lvlText w:val="•"/>
      <w:lvlJc w:val="left"/>
      <w:pPr>
        <w:ind w:left="5859" w:hanging="318"/>
      </w:pPr>
      <w:rPr>
        <w:rFonts w:hint="default"/>
        <w:lang w:val="zh-CN" w:eastAsia="zh-CN" w:bidi="zh-CN"/>
      </w:rPr>
    </w:lvl>
    <w:lvl w:ilvl="7">
      <w:start w:val="0"/>
      <w:numFmt w:val="bullet"/>
      <w:lvlText w:val="•"/>
      <w:lvlJc w:val="left"/>
      <w:pPr>
        <w:ind w:left="6676" w:hanging="318"/>
      </w:pPr>
      <w:rPr>
        <w:rFonts w:hint="default"/>
        <w:lang w:val="zh-CN" w:eastAsia="zh-CN" w:bidi="zh-CN"/>
      </w:rPr>
    </w:lvl>
    <w:lvl w:ilvl="8">
      <w:start w:val="0"/>
      <w:numFmt w:val="bullet"/>
      <w:lvlText w:val="•"/>
      <w:lvlJc w:val="left"/>
      <w:pPr>
        <w:ind w:left="7493" w:hanging="318"/>
      </w:pPr>
      <w:rPr>
        <w:rFonts w:hint="default"/>
        <w:lang w:val="zh-CN" w:eastAsia="zh-CN" w:bidi="zh-CN"/>
      </w:rPr>
    </w:lvl>
  </w:abstractNum>
  <w:abstractNum w:abstractNumId="18">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17">
    <w:multiLevelType w:val="hybridMultilevel"/>
    <w:lvl w:ilvl="0">
      <w:start w:val="1"/>
      <w:numFmt w:val="decimal"/>
      <w:lvlText w:val="（%1）"/>
      <w:lvlJc w:val="left"/>
      <w:pPr>
        <w:ind w:left="1169"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16">
    <w:multiLevelType w:val="hybridMultilevel"/>
    <w:lvl w:ilvl="0">
      <w:start w:val="1"/>
      <w:numFmt w:val="decimal"/>
      <w:lvlText w:val="（%1）"/>
      <w:lvlJc w:val="left"/>
      <w:pPr>
        <w:ind w:left="22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15">
    <w:multiLevelType w:val="hybridMultilevel"/>
    <w:lvl w:ilvl="0">
      <w:start w:val="1"/>
      <w:numFmt w:val="decimal"/>
      <w:lvlText w:val="（%1）"/>
      <w:lvlJc w:val="left"/>
      <w:pPr>
        <w:ind w:left="22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14">
    <w:multiLevelType w:val="hybridMultilevel"/>
    <w:lvl w:ilvl="0">
      <w:start w:val="1"/>
      <w:numFmt w:val="decimal"/>
      <w:lvlText w:val="（%1）"/>
      <w:lvlJc w:val="left"/>
      <w:pPr>
        <w:ind w:left="22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13">
    <w:multiLevelType w:val="hybridMultilevel"/>
    <w:lvl w:ilvl="0">
      <w:start w:val="1"/>
      <w:numFmt w:val="decimal"/>
      <w:lvlText w:val="（%1）"/>
      <w:lvlJc w:val="left"/>
      <w:pPr>
        <w:ind w:left="22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12">
    <w:multiLevelType w:val="hybridMultilevel"/>
    <w:lvl w:ilvl="0">
      <w:start w:val="1"/>
      <w:numFmt w:val="decimal"/>
      <w:lvlText w:val="（%1）"/>
      <w:lvlJc w:val="left"/>
      <w:pPr>
        <w:ind w:left="220" w:hanging="527"/>
        <w:jc w:val="left"/>
      </w:pPr>
      <w:rPr>
        <w:rFonts w:hint="default" w:ascii="宋体" w:hAnsi="宋体" w:eastAsia="宋体" w:cs="宋体"/>
        <w:spacing w:val="-80"/>
        <w:w w:val="100"/>
        <w:sz w:val="19"/>
        <w:szCs w:val="19"/>
        <w:lang w:val="zh-CN" w:eastAsia="zh-CN" w:bidi="zh-CN"/>
      </w:rPr>
    </w:lvl>
    <w:lvl w:ilvl="1">
      <w:start w:val="0"/>
      <w:numFmt w:val="bullet"/>
      <w:lvlText w:val="•"/>
      <w:lvlJc w:val="left"/>
      <w:pPr>
        <w:ind w:left="1110" w:hanging="527"/>
      </w:pPr>
      <w:rPr>
        <w:rFonts w:hint="default"/>
        <w:lang w:val="zh-CN" w:eastAsia="zh-CN" w:bidi="zh-CN"/>
      </w:rPr>
    </w:lvl>
    <w:lvl w:ilvl="2">
      <w:start w:val="0"/>
      <w:numFmt w:val="bullet"/>
      <w:lvlText w:val="•"/>
      <w:lvlJc w:val="left"/>
      <w:pPr>
        <w:ind w:left="2001" w:hanging="527"/>
      </w:pPr>
      <w:rPr>
        <w:rFonts w:hint="default"/>
        <w:lang w:val="zh-CN" w:eastAsia="zh-CN" w:bidi="zh-CN"/>
      </w:rPr>
    </w:lvl>
    <w:lvl w:ilvl="3">
      <w:start w:val="0"/>
      <w:numFmt w:val="bullet"/>
      <w:lvlText w:val="•"/>
      <w:lvlJc w:val="left"/>
      <w:pPr>
        <w:ind w:left="2891" w:hanging="527"/>
      </w:pPr>
      <w:rPr>
        <w:rFonts w:hint="default"/>
        <w:lang w:val="zh-CN" w:eastAsia="zh-CN" w:bidi="zh-CN"/>
      </w:rPr>
    </w:lvl>
    <w:lvl w:ilvl="4">
      <w:start w:val="0"/>
      <w:numFmt w:val="bullet"/>
      <w:lvlText w:val="•"/>
      <w:lvlJc w:val="left"/>
      <w:pPr>
        <w:ind w:left="3782" w:hanging="527"/>
      </w:pPr>
      <w:rPr>
        <w:rFonts w:hint="default"/>
        <w:lang w:val="zh-CN" w:eastAsia="zh-CN" w:bidi="zh-CN"/>
      </w:rPr>
    </w:lvl>
    <w:lvl w:ilvl="5">
      <w:start w:val="0"/>
      <w:numFmt w:val="bullet"/>
      <w:lvlText w:val="•"/>
      <w:lvlJc w:val="left"/>
      <w:pPr>
        <w:ind w:left="4673" w:hanging="527"/>
      </w:pPr>
      <w:rPr>
        <w:rFonts w:hint="default"/>
        <w:lang w:val="zh-CN" w:eastAsia="zh-CN" w:bidi="zh-CN"/>
      </w:rPr>
    </w:lvl>
    <w:lvl w:ilvl="6">
      <w:start w:val="0"/>
      <w:numFmt w:val="bullet"/>
      <w:lvlText w:val="•"/>
      <w:lvlJc w:val="left"/>
      <w:pPr>
        <w:ind w:left="5563" w:hanging="527"/>
      </w:pPr>
      <w:rPr>
        <w:rFonts w:hint="default"/>
        <w:lang w:val="zh-CN" w:eastAsia="zh-CN" w:bidi="zh-CN"/>
      </w:rPr>
    </w:lvl>
    <w:lvl w:ilvl="7">
      <w:start w:val="0"/>
      <w:numFmt w:val="bullet"/>
      <w:lvlText w:val="•"/>
      <w:lvlJc w:val="left"/>
      <w:pPr>
        <w:ind w:left="6454" w:hanging="527"/>
      </w:pPr>
      <w:rPr>
        <w:rFonts w:hint="default"/>
        <w:lang w:val="zh-CN" w:eastAsia="zh-CN" w:bidi="zh-CN"/>
      </w:rPr>
    </w:lvl>
    <w:lvl w:ilvl="8">
      <w:start w:val="0"/>
      <w:numFmt w:val="bullet"/>
      <w:lvlText w:val="•"/>
      <w:lvlJc w:val="left"/>
      <w:pPr>
        <w:ind w:left="7345" w:hanging="527"/>
      </w:pPr>
      <w:rPr>
        <w:rFonts w:hint="default"/>
        <w:lang w:val="zh-CN" w:eastAsia="zh-CN" w:bidi="zh-CN"/>
      </w:rPr>
    </w:lvl>
  </w:abstractNum>
  <w:abstractNum w:abstractNumId="11">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10">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9">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8">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7">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6">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5">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
    <w:multiLevelType w:val="hybridMultilevel"/>
    <w:lvl w:ilvl="0">
      <w:start w:val="1"/>
      <w:numFmt w:val="decimal"/>
      <w:lvlText w:val="（%1）"/>
      <w:lvlJc w:val="left"/>
      <w:pPr>
        <w:ind w:left="118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74" w:hanging="529"/>
      </w:pPr>
      <w:rPr>
        <w:rFonts w:hint="default"/>
        <w:lang w:val="zh-CN" w:eastAsia="zh-CN" w:bidi="zh-CN"/>
      </w:rPr>
    </w:lvl>
    <w:lvl w:ilvl="2">
      <w:start w:val="0"/>
      <w:numFmt w:val="bullet"/>
      <w:lvlText w:val="•"/>
      <w:lvlJc w:val="left"/>
      <w:pPr>
        <w:ind w:left="2769" w:hanging="529"/>
      </w:pPr>
      <w:rPr>
        <w:rFonts w:hint="default"/>
        <w:lang w:val="zh-CN" w:eastAsia="zh-CN" w:bidi="zh-CN"/>
      </w:rPr>
    </w:lvl>
    <w:lvl w:ilvl="3">
      <w:start w:val="0"/>
      <w:numFmt w:val="bullet"/>
      <w:lvlText w:val="•"/>
      <w:lvlJc w:val="left"/>
      <w:pPr>
        <w:ind w:left="3563" w:hanging="529"/>
      </w:pPr>
      <w:rPr>
        <w:rFonts w:hint="default"/>
        <w:lang w:val="zh-CN" w:eastAsia="zh-CN" w:bidi="zh-CN"/>
      </w:rPr>
    </w:lvl>
    <w:lvl w:ilvl="4">
      <w:start w:val="0"/>
      <w:numFmt w:val="bullet"/>
      <w:lvlText w:val="•"/>
      <w:lvlJc w:val="left"/>
      <w:pPr>
        <w:ind w:left="4358"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47" w:hanging="529"/>
      </w:pPr>
      <w:rPr>
        <w:rFonts w:hint="default"/>
        <w:lang w:val="zh-CN" w:eastAsia="zh-CN" w:bidi="zh-CN"/>
      </w:rPr>
    </w:lvl>
    <w:lvl w:ilvl="7">
      <w:start w:val="0"/>
      <w:numFmt w:val="bullet"/>
      <w:lvlText w:val="•"/>
      <w:lvlJc w:val="left"/>
      <w:pPr>
        <w:ind w:left="6742" w:hanging="529"/>
      </w:pPr>
      <w:rPr>
        <w:rFonts w:hint="default"/>
        <w:lang w:val="zh-CN" w:eastAsia="zh-CN" w:bidi="zh-CN"/>
      </w:rPr>
    </w:lvl>
    <w:lvl w:ilvl="8">
      <w:start w:val="0"/>
      <w:numFmt w:val="bullet"/>
      <w:lvlText w:val="•"/>
      <w:lvlJc w:val="left"/>
      <w:pPr>
        <w:ind w:left="7537" w:hanging="529"/>
      </w:pPr>
      <w:rPr>
        <w:rFonts w:hint="default"/>
        <w:lang w:val="zh-CN" w:eastAsia="zh-CN" w:bidi="zh-CN"/>
      </w:rPr>
    </w:lvl>
  </w:abstractNum>
  <w:abstractNum w:abstractNumId="3">
    <w:multiLevelType w:val="hybridMultilevel"/>
    <w:lvl w:ilvl="0">
      <w:start w:val="1"/>
      <w:numFmt w:val="decimal"/>
      <w:lvlText w:val="（%1）"/>
      <w:lvlJc w:val="left"/>
      <w:pPr>
        <w:ind w:left="22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1">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0">
    <w:multiLevelType w:val="hybridMultilevel"/>
    <w:lvl w:ilvl="0">
      <w:start w:val="14"/>
      <w:numFmt w:val="decimal"/>
      <w:lvlText w:val="%1"/>
      <w:lvlJc w:val="left"/>
      <w:pPr>
        <w:ind w:left="640" w:hanging="264"/>
        <w:jc w:val="left"/>
      </w:pPr>
      <w:rPr>
        <w:rFonts w:hint="default" w:ascii="Times New Roman" w:hAnsi="Times New Roman" w:eastAsia="Times New Roman" w:cs="Times New Roman"/>
        <w:w w:val="100"/>
        <w:sz w:val="21"/>
        <w:szCs w:val="21"/>
        <w:lang w:val="zh-CN" w:eastAsia="zh-CN" w:bidi="zh-CN"/>
      </w:rPr>
    </w:lvl>
    <w:lvl w:ilvl="1">
      <w:start w:val="1"/>
      <w:numFmt w:val="decimal"/>
      <w:lvlText w:val="（%2）"/>
      <w:lvlJc w:val="left"/>
      <w:pPr>
        <w:ind w:left="1169"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045" w:hanging="529"/>
      </w:pPr>
      <w:rPr>
        <w:rFonts w:hint="default"/>
        <w:lang w:val="zh-CN" w:eastAsia="zh-CN" w:bidi="zh-CN"/>
      </w:rPr>
    </w:lvl>
    <w:lvl w:ilvl="3">
      <w:start w:val="0"/>
      <w:numFmt w:val="bullet"/>
      <w:lvlText w:val="•"/>
      <w:lvlJc w:val="left"/>
      <w:pPr>
        <w:ind w:left="2930" w:hanging="529"/>
      </w:pPr>
      <w:rPr>
        <w:rFonts w:hint="default"/>
        <w:lang w:val="zh-CN" w:eastAsia="zh-CN" w:bidi="zh-CN"/>
      </w:rPr>
    </w:lvl>
    <w:lvl w:ilvl="4">
      <w:start w:val="0"/>
      <w:numFmt w:val="bullet"/>
      <w:lvlText w:val="•"/>
      <w:lvlJc w:val="left"/>
      <w:pPr>
        <w:ind w:left="3815" w:hanging="529"/>
      </w:pPr>
      <w:rPr>
        <w:rFonts w:hint="default"/>
        <w:lang w:val="zh-CN" w:eastAsia="zh-CN" w:bidi="zh-CN"/>
      </w:rPr>
    </w:lvl>
    <w:lvl w:ilvl="5">
      <w:start w:val="0"/>
      <w:numFmt w:val="bullet"/>
      <w:lvlText w:val="•"/>
      <w:lvlJc w:val="left"/>
      <w:pPr>
        <w:ind w:left="4700" w:hanging="529"/>
      </w:pPr>
      <w:rPr>
        <w:rFonts w:hint="default"/>
        <w:lang w:val="zh-CN" w:eastAsia="zh-CN" w:bidi="zh-CN"/>
      </w:rPr>
    </w:lvl>
    <w:lvl w:ilvl="6">
      <w:start w:val="0"/>
      <w:numFmt w:val="bullet"/>
      <w:lvlText w:val="•"/>
      <w:lvlJc w:val="left"/>
      <w:pPr>
        <w:ind w:left="5585" w:hanging="529"/>
      </w:pPr>
      <w:rPr>
        <w:rFonts w:hint="default"/>
        <w:lang w:val="zh-CN" w:eastAsia="zh-CN" w:bidi="zh-CN"/>
      </w:rPr>
    </w:lvl>
    <w:lvl w:ilvl="7">
      <w:start w:val="0"/>
      <w:numFmt w:val="bullet"/>
      <w:lvlText w:val="•"/>
      <w:lvlJc w:val="left"/>
      <w:pPr>
        <w:ind w:left="6470" w:hanging="529"/>
      </w:pPr>
      <w:rPr>
        <w:rFonts w:hint="default"/>
        <w:lang w:val="zh-CN" w:eastAsia="zh-CN" w:bidi="zh-CN"/>
      </w:rPr>
    </w:lvl>
    <w:lvl w:ilvl="8">
      <w:start w:val="0"/>
      <w:numFmt w:val="bullet"/>
      <w:lvlText w:val="•"/>
      <w:lvlJc w:val="left"/>
      <w:pPr>
        <w:ind w:left="7356" w:hanging="529"/>
      </w:pPr>
      <w:rPr>
        <w:rFonts w:hint="default"/>
        <w:lang w:val="zh-CN" w:eastAsia="zh-CN" w:bidi="zh-CN"/>
      </w:rPr>
    </w:lvl>
  </w:abstractNum>
  <w:num w:numId="51">
    <w:abstractNumId w:val="50"/>
  </w:num>
  <w:num w:numId="50">
    <w:abstractNumId w:val="49"/>
  </w:num>
  <w:num w:numId="54">
    <w:abstractNumId w:val="53"/>
  </w:num>
  <w:num w:numId="53">
    <w:abstractNumId w:val="52"/>
  </w:num>
  <w:num w:numId="52">
    <w:abstractNumId w:val="51"/>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220"/>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758" w:right="1131"/>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169" w:hanging="530"/>
    </w:pPr>
    <w:rPr>
      <w:rFonts w:ascii="宋体" w:hAnsi="宋体" w:eastAsia="宋体" w:cs="宋体"/>
      <w:lang w:val="zh-CN" w:eastAsia="zh-CN" w:bidi="zh-CN"/>
    </w:rPr>
  </w:style>
  <w:style w:styleId="TableParagraph" w:type="paragraph">
    <w:name w:val="Table Paragraph"/>
    <w:basedOn w:val="Normal"/>
    <w:uiPriority w:val="1"/>
    <w:qFormat/>
    <w:pPr>
      <w:spacing w:before="34"/>
      <w:jc w:val="righ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http://www.chinaamc.com/" TargetMode="External"/><Relationship Id="rId15" Type="http://schemas.openxmlformats.org/officeDocument/2006/relationships/hyperlink" Target="http://www.boc.cn/" TargetMode="External"/><Relationship Id="rId16" Type="http://schemas.openxmlformats.org/officeDocument/2006/relationships/hyperlink" Target="http://www.bankcomm.com/" TargetMode="External"/><Relationship Id="rId17" Type="http://schemas.openxmlformats.org/officeDocument/2006/relationships/hyperlink" Target="http://www.srcb.com/" TargetMode="External"/><Relationship Id="rId18" Type="http://schemas.openxmlformats.org/officeDocument/2006/relationships/hyperlink" Target="http://www.bjrcb.com/" TargetMode="External"/><Relationship Id="rId19" Type="http://schemas.openxmlformats.org/officeDocument/2006/relationships/hyperlink" Target="http://www.dongguanbank.cn/" TargetMode="External"/><Relationship Id="rId20" Type="http://schemas.openxmlformats.org/officeDocument/2006/relationships/hyperlink" Target="http://www.cbhb.com.cn/" TargetMode="External"/><Relationship Id="rId21" Type="http://schemas.openxmlformats.org/officeDocument/2006/relationships/hyperlink" Target="http://www.drcbank.com/" TargetMode="External"/><Relationship Id="rId22" Type="http://schemas.openxmlformats.org/officeDocument/2006/relationships/hyperlink" Target="http://www.szrcb.com/" TargetMode="External"/><Relationship Id="rId23" Type="http://schemas.openxmlformats.org/officeDocument/2006/relationships/hyperlink" Target="http://www.hfbank.com.cn/" TargetMode="External"/><Relationship Id="rId24" Type="http://schemas.openxmlformats.org/officeDocument/2006/relationships/hyperlink" Target="http://www/" TargetMode="External"/><Relationship Id="rId25" Type="http://schemas.openxmlformats.org/officeDocument/2006/relationships/hyperlink" Target="http://www.borf.cn/" TargetMode="External"/><Relationship Id="rId26" Type="http://schemas.openxmlformats.org/officeDocument/2006/relationships/hyperlink" Target="http://8.jrj.com.cn/" TargetMode="External"/><Relationship Id="rId27" Type="http://schemas.openxmlformats.org/officeDocument/2006/relationships/hyperlink" Target="http://www.huilinbd.com/" TargetMode="External"/><Relationship Id="rId28" Type="http://schemas.openxmlformats.org/officeDocument/2006/relationships/hyperlink" Target="http://www.wacaijijin.com/" TargetMode="External"/><Relationship Id="rId29" Type="http://schemas.openxmlformats.org/officeDocument/2006/relationships/hyperlink" Target="http://www.xiquefund.com/" TargetMode="External"/><Relationship Id="rId30" Type="http://schemas.openxmlformats.org/officeDocument/2006/relationships/hyperlink" Target="http://www.baiyingfund.com/" TargetMode="External"/><Relationship Id="rId31" Type="http://schemas.openxmlformats.org/officeDocument/2006/relationships/hyperlink" Target="http://www.noah-fund.com/" TargetMode="External"/><Relationship Id="rId32" Type="http://schemas.openxmlformats.org/officeDocument/2006/relationships/hyperlink" Target="http://www.zlfund.cn/" TargetMode="External"/><Relationship Id="rId33" Type="http://schemas.openxmlformats.org/officeDocument/2006/relationships/hyperlink" Target="http://www.1234567.com.cn/" TargetMode="External"/><Relationship Id="rId34" Type="http://schemas.openxmlformats.org/officeDocument/2006/relationships/hyperlink" Target="http://www.ehowbuy.com/" TargetMode="External"/><Relationship Id="rId35" Type="http://schemas.openxmlformats.org/officeDocument/2006/relationships/hyperlink" Target="http://www.fund123.cn/" TargetMode="External"/><Relationship Id="rId36" Type="http://schemas.openxmlformats.org/officeDocument/2006/relationships/hyperlink" Target="http://www.erichfund.com/" TargetMode="External"/><Relationship Id="rId37" Type="http://schemas.openxmlformats.org/officeDocument/2006/relationships/hyperlink" Target="http://www.5ifund.com/" TargetMode="External"/><Relationship Id="rId38" Type="http://schemas.openxmlformats.org/officeDocument/2006/relationships/hyperlink" Target="http://www.leadfund.com.cn/" TargetMode="External"/><Relationship Id="rId39" Type="http://schemas.openxmlformats.org/officeDocument/2006/relationships/hyperlink" Target="http://www.5irich.com/" TargetMode="External"/><Relationship Id="rId40" Type="http://schemas.openxmlformats.org/officeDocument/2006/relationships/hyperlink" Target="http://www.puyifund.com/" TargetMode="External"/><Relationship Id="rId41" Type="http://schemas.openxmlformats.org/officeDocument/2006/relationships/hyperlink" Target="http://www.yixinfund.com/" TargetMode="External"/><Relationship Id="rId42" Type="http://schemas.openxmlformats.org/officeDocument/2006/relationships/hyperlink" Target="http://www.snjijin.com/" TargetMode="External"/><Relationship Id="rId43" Type="http://schemas.openxmlformats.org/officeDocument/2006/relationships/hyperlink" Target="http://www.zscffund.com/" TargetMode="External"/><Relationship Id="rId44" Type="http://schemas.openxmlformats.org/officeDocument/2006/relationships/hyperlink" Target="http://www.tonghuafund.com/" TargetMode="External"/><Relationship Id="rId45" Type="http://schemas.openxmlformats.org/officeDocument/2006/relationships/hyperlink" Target="http://www.chtwm.com/" TargetMode="External"/><Relationship Id="rId46" Type="http://schemas.openxmlformats.org/officeDocument/2006/relationships/hyperlink" Target="http://www.hcjijin.com/" TargetMode="External"/><Relationship Id="rId47" Type="http://schemas.openxmlformats.org/officeDocument/2006/relationships/hyperlink" Target="http://www.niuji.net/" TargetMode="External"/><Relationship Id="rId48" Type="http://schemas.openxmlformats.org/officeDocument/2006/relationships/hyperlink" Target="http://www.zhixin-inv.com/" TargetMode="External"/><Relationship Id="rId49" Type="http://schemas.openxmlformats.org/officeDocument/2006/relationships/hyperlink" Target="http://www.fundhaiyin.com/" TargetMode="External"/><Relationship Id="rId50" Type="http://schemas.openxmlformats.org/officeDocument/2006/relationships/hyperlink" Target="http://www.jianfortune.com/" TargetMode="External"/><Relationship Id="rId51" Type="http://schemas.openxmlformats.org/officeDocument/2006/relationships/hyperlink" Target="http://www.520fund.com.cn/" TargetMode="External"/><Relationship Id="rId52" Type="http://schemas.openxmlformats.org/officeDocument/2006/relationships/hyperlink" Target="http://www.66liantai.com/" TargetMode="External"/><Relationship Id="rId53" Type="http://schemas.openxmlformats.org/officeDocument/2006/relationships/hyperlink" Target="http://www.jhjzfund.com/" TargetMode="External"/><Relationship Id="rId54" Type="http://schemas.openxmlformats.org/officeDocument/2006/relationships/hyperlink" Target="http://www.haojiyoujijin.com/" TargetMode="External"/><Relationship Id="rId55" Type="http://schemas.openxmlformats.org/officeDocument/2006/relationships/hyperlink" Target="http://www.hotjijin.com/" TargetMode="External"/><Relationship Id="rId56" Type="http://schemas.openxmlformats.org/officeDocument/2006/relationships/hyperlink" Target="http://www.jiyufund.com.cn/" TargetMode="External"/><Relationship Id="rId57" Type="http://schemas.openxmlformats.org/officeDocument/2006/relationships/hyperlink" Target="http://www.zhongzhengfund.com/" TargetMode="External"/><Relationship Id="rId58" Type="http://schemas.openxmlformats.org/officeDocument/2006/relationships/hyperlink" Target="http://www.hongdianfund.com/" TargetMode="External"/><Relationship Id="rId59" Type="http://schemas.openxmlformats.org/officeDocument/2006/relationships/hyperlink" Target="http://www.lufunds.com/" TargetMode="External"/><Relationship Id="rId60" Type="http://schemas.openxmlformats.org/officeDocument/2006/relationships/hyperlink" Target="http://www.yingmi.cn/" TargetMode="External"/><Relationship Id="rId61" Type="http://schemas.openxmlformats.org/officeDocument/2006/relationships/hyperlink" Target="http://www.hgccpb.com/" TargetMode="External"/><Relationship Id="rId62" Type="http://schemas.openxmlformats.org/officeDocument/2006/relationships/hyperlink" Target="http://www.ifastps.com.cn/" TargetMode="External"/><Relationship Id="rId63" Type="http://schemas.openxmlformats.org/officeDocument/2006/relationships/hyperlink" Target="http://www.jnlc.com/" TargetMode="External"/><Relationship Id="rId64" Type="http://schemas.openxmlformats.org/officeDocument/2006/relationships/hyperlink" Target="http://fund.jd.com/" TargetMode="External"/><Relationship Id="rId65" Type="http://schemas.openxmlformats.org/officeDocument/2006/relationships/hyperlink" Target="http://www.yibaijin.com/" TargetMode="External"/><Relationship Id="rId66" Type="http://schemas.openxmlformats.org/officeDocument/2006/relationships/hyperlink" Target="http://www.cmiwm.com/" TargetMode="External"/><Relationship Id="rId67" Type="http://schemas.openxmlformats.org/officeDocument/2006/relationships/hyperlink" Target="http://www.jfzinv.com/" TargetMode="External"/><Relationship Id="rId68" Type="http://schemas.openxmlformats.org/officeDocument/2006/relationships/hyperlink" Target="http://www.wanjiawealth.com/" TargetMode="External"/><Relationship Id="rId69" Type="http://schemas.openxmlformats.org/officeDocument/2006/relationships/hyperlink" Target="http://www.amcfortune.com/" TargetMode="External"/><Relationship Id="rId70" Type="http://schemas.openxmlformats.org/officeDocument/2006/relationships/hyperlink" Target="http://www.citicsf.com/" TargetMode="External"/><Relationship Id="rId71" Type="http://schemas.openxmlformats.org/officeDocument/2006/relationships/hyperlink" Target="http://www.ftol.com.cn/" TargetMode="External"/><Relationship Id="rId72" Type="http://schemas.openxmlformats.org/officeDocument/2006/relationships/hyperlink" Target="http://www.csc108.com/" TargetMode="External"/><Relationship Id="rId73" Type="http://schemas.openxmlformats.org/officeDocument/2006/relationships/hyperlink" Target="http://www.gf.com.cn/" TargetMode="External"/><Relationship Id="rId74" Type="http://schemas.openxmlformats.org/officeDocument/2006/relationships/hyperlink" Target="http://www.cs.ecitic.com/" TargetMode="External"/><Relationship Id="rId75" Type="http://schemas.openxmlformats.org/officeDocument/2006/relationships/hyperlink" Target="http://www.chinastock.com.cn/" TargetMode="External"/><Relationship Id="rId76" Type="http://schemas.openxmlformats.org/officeDocument/2006/relationships/hyperlink" Target="http://www.swhysc.com/" TargetMode="External"/><Relationship Id="rId77" Type="http://schemas.openxmlformats.org/officeDocument/2006/relationships/hyperlink" Target="http://www.essence.com.cn/" TargetMode="External"/><Relationship Id="rId78" Type="http://schemas.openxmlformats.org/officeDocument/2006/relationships/hyperlink" Target="http://www.wlzq.com.cn/" TargetMode="External"/><Relationship Id="rId79" Type="http://schemas.openxmlformats.org/officeDocument/2006/relationships/hyperlink" Target="http://www.ewww.com.cn/" TargetMode="External"/><Relationship Id="rId80" Type="http://schemas.openxmlformats.org/officeDocument/2006/relationships/hyperlink" Target="http://sd.citics.com/" TargetMode="External"/><Relationship Id="rId81" Type="http://schemas.openxmlformats.org/officeDocument/2006/relationships/hyperlink" Target="http://www.dwzq.com.cn/" TargetMode="External"/><Relationship Id="rId82" Type="http://schemas.openxmlformats.org/officeDocument/2006/relationships/hyperlink" Target="http://www.cindasc.com/" TargetMode="External"/><Relationship Id="rId83" Type="http://schemas.openxmlformats.org/officeDocument/2006/relationships/hyperlink" Target="http://www.cgws.com/" TargetMode="External"/><Relationship Id="rId84" Type="http://schemas.openxmlformats.org/officeDocument/2006/relationships/hyperlink" Target="http://www.ebscn.com/" TargetMode="External"/><Relationship Id="rId85" Type="http://schemas.openxmlformats.org/officeDocument/2006/relationships/hyperlink" Target="http://www.gzs.com.cn/" TargetMode="External"/><Relationship Id="rId86" Type="http://schemas.openxmlformats.org/officeDocument/2006/relationships/hyperlink" Target="http://www.nesc.cn/" TargetMode="External"/><Relationship Id="rId87" Type="http://schemas.openxmlformats.org/officeDocument/2006/relationships/hyperlink" Target="http://www.njzq.com.cn/" TargetMode="External"/><Relationship Id="rId88" Type="http://schemas.openxmlformats.org/officeDocument/2006/relationships/hyperlink" Target="http://www.xsdzq.cn/" TargetMode="External"/><Relationship Id="rId89" Type="http://schemas.openxmlformats.org/officeDocument/2006/relationships/hyperlink" Target="http://www.dtsbc.com.cn/" TargetMode="External"/><Relationship Id="rId90" Type="http://schemas.openxmlformats.org/officeDocument/2006/relationships/hyperlink" Target="http://www.glsc.com.cn/" TargetMode="External"/><Relationship Id="rId91" Type="http://schemas.openxmlformats.org/officeDocument/2006/relationships/hyperlink" Target="http://www.pingan.com/" TargetMode="External"/><Relationship Id="rId92" Type="http://schemas.openxmlformats.org/officeDocument/2006/relationships/hyperlink" Target="http://www.hazq.com/" TargetMode="External"/><Relationship Id="rId93" Type="http://schemas.openxmlformats.org/officeDocument/2006/relationships/hyperlink" Target="http://www.guodu.com/" TargetMode="External"/><Relationship Id="rId94" Type="http://schemas.openxmlformats.org/officeDocument/2006/relationships/hyperlink" Target="http://www.longone.com.cn/" TargetMode="External"/><Relationship Id="rId95" Type="http://schemas.openxmlformats.org/officeDocument/2006/relationships/hyperlink" Target="http://www.bocichina.com.cn/" TargetMode="External"/><Relationship Id="rId96" Type="http://schemas.openxmlformats.org/officeDocument/2006/relationships/hyperlink" Target="http://www.cnht.com.cn/" TargetMode="External"/><Relationship Id="rId97" Type="http://schemas.openxmlformats.org/officeDocument/2006/relationships/hyperlink" Target="http://www.hx168.com.cn/" TargetMode="External"/><Relationship Id="rId98" Type="http://schemas.openxmlformats.org/officeDocument/2006/relationships/hyperlink" Target="http://www.hysec.com/" TargetMode="External"/><Relationship Id="rId99" Type="http://schemas.openxmlformats.org/officeDocument/2006/relationships/hyperlink" Target="http://www.csco.com.cn/" TargetMode="External"/><Relationship Id="rId100" Type="http://schemas.openxmlformats.org/officeDocument/2006/relationships/hyperlink" Target="http://www.firstcapital.com.cn/" TargetMode="External"/><Relationship Id="rId101" Type="http://schemas.openxmlformats.org/officeDocument/2006/relationships/hyperlink" Target="http://www.jyzq.cn/" TargetMode="External"/><Relationship Id="rId102" Type="http://schemas.openxmlformats.org/officeDocument/2006/relationships/hyperlink" Target="http://www.hfzq.com.cn/" TargetMode="External"/><Relationship Id="rId103" Type="http://schemas.openxmlformats.org/officeDocument/2006/relationships/hyperlink" Target="http://www.hlzqgs.com/" TargetMode="External"/><Relationship Id="rId104" Type="http://schemas.openxmlformats.org/officeDocument/2006/relationships/hyperlink" Target="http://www.ctsec.com/" TargetMode="External"/><Relationship Id="rId105" Type="http://schemas.openxmlformats.org/officeDocument/2006/relationships/hyperlink" Target="http://www.cfsc.com.cn/" TargetMode="External"/><Relationship Id="rId106" Type="http://schemas.openxmlformats.org/officeDocument/2006/relationships/hyperlink" Target="http://www.zszq.com/" TargetMode="External"/><Relationship Id="rId107" Type="http://schemas.openxmlformats.org/officeDocument/2006/relationships/hyperlink" Target="http://www.ykzq.com/" TargetMode="External"/><Relationship Id="rId108" Type="http://schemas.openxmlformats.org/officeDocument/2006/relationships/hyperlink" Target="http://www.gjzq.com.cn/" TargetMode="External"/><Relationship Id="rId109" Type="http://schemas.openxmlformats.org/officeDocument/2006/relationships/hyperlink" Target="http://www.gwgsc.com/" TargetMode="External"/><Relationship Id="rId110" Type="http://schemas.openxmlformats.org/officeDocument/2006/relationships/hyperlink" Target="http://www.ajzq.com/" TargetMode="External"/><Relationship Id="rId111" Type="http://schemas.openxmlformats.org/officeDocument/2006/relationships/hyperlink" Target="http://www.hrsec.com.cn/" TargetMode="External"/><Relationship Id="rId112" Type="http://schemas.openxmlformats.org/officeDocument/2006/relationships/hyperlink" Target="http://www.tfzq.com/" TargetMode="External"/><Relationship Id="rId113" Type="http://schemas.openxmlformats.org/officeDocument/2006/relationships/hyperlink" Target="http://www.wanhesec.com.cn/" TargetMode="External"/><Relationship Id="rId114" Type="http://schemas.openxmlformats.org/officeDocument/2006/relationships/hyperlink" Target="http://www.hxzq.cn/" TargetMode="External"/><Relationship Id="rId115" Type="http://schemas.openxmlformats.org/officeDocument/2006/relationships/hyperlink" Target="http://www.kysec.cn/" TargetMode="External"/><Relationship Id="rId116" Type="http://schemas.openxmlformats.org/officeDocument/2006/relationships/hyperlink" Target="http://www.lczq.com/" TargetMode="External"/><Relationship Id="rId117" Type="http://schemas.openxmlformats.org/officeDocument/2006/relationships/hyperlink" Target="http://fund.sinosig.com/" TargetMode="External"/><Relationship Id="rId118" Type="http://schemas.openxmlformats.org/officeDocument/2006/relationships/hyperlink" Target="http://www.e-chinalife.com/" TargetMode="External"/><Relationship Id="rId119" Type="http://schemas.openxmlformats.org/officeDocument/2006/relationships/hyperlink" Target="http://www.ChinaAMC.com/" TargetMode="External"/><Relationship Id="rId120" Type="http://schemas.openxmlformats.org/officeDocument/2006/relationships/image" Target="media/image8.png"/><Relationship Id="rId121" Type="http://schemas.openxmlformats.org/officeDocument/2006/relationships/image" Target="media/image9.png"/><Relationship Id="rId122" Type="http://schemas.openxmlformats.org/officeDocument/2006/relationships/image" Target="media/image10.png"/><Relationship Id="rId123" Type="http://schemas.openxmlformats.org/officeDocument/2006/relationships/image" Target="media/image11.png"/><Relationship Id="rId124" Type="http://schemas.openxmlformats.org/officeDocument/2006/relationships/image" Target="media/image12.png"/><Relationship Id="rId125" Type="http://schemas.openxmlformats.org/officeDocument/2006/relationships/image" Target="media/image13.png"/><Relationship Id="rId126" Type="http://schemas.openxmlformats.org/officeDocument/2006/relationships/image" Target="media/image14.png"/><Relationship Id="rId127" Type="http://schemas.openxmlformats.org/officeDocument/2006/relationships/image" Target="media/image15.png"/><Relationship Id="rId128" Type="http://schemas.openxmlformats.org/officeDocument/2006/relationships/image" Target="media/image16.png"/><Relationship Id="rId129" Type="http://schemas.openxmlformats.org/officeDocument/2006/relationships/image" Target="media/image17.png"/><Relationship Id="rId130" Type="http://schemas.openxmlformats.org/officeDocument/2006/relationships/image" Target="media/image18.png"/><Relationship Id="rId131" Type="http://schemas.openxmlformats.org/officeDocument/2006/relationships/image" Target="media/image19.png"/><Relationship Id="rId132" Type="http://schemas.openxmlformats.org/officeDocument/2006/relationships/image" Target="media/image20.png"/><Relationship Id="rId133" Type="http://schemas.openxmlformats.org/officeDocument/2006/relationships/image" Target="media/image21.png"/><Relationship Id="rId134" Type="http://schemas.openxmlformats.org/officeDocument/2006/relationships/image" Target="media/image22.png"/><Relationship Id="rId135" Type="http://schemas.openxmlformats.org/officeDocument/2006/relationships/image" Target="media/image23.png"/><Relationship Id="rId136" Type="http://schemas.openxmlformats.org/officeDocument/2006/relationships/image" Target="media/image24.png"/><Relationship Id="rId137" Type="http://schemas.openxmlformats.org/officeDocument/2006/relationships/image" Target="media/image25.png"/><Relationship Id="rId138" Type="http://schemas.openxmlformats.org/officeDocument/2006/relationships/image" Target="media/image26.png"/><Relationship Id="rId139" Type="http://schemas.openxmlformats.org/officeDocument/2006/relationships/image" Target="media/image27.png"/><Relationship Id="rId140" Type="http://schemas.openxmlformats.org/officeDocument/2006/relationships/image" Target="media/image28.png"/><Relationship Id="rId141" Type="http://schemas.openxmlformats.org/officeDocument/2006/relationships/image" Target="media/image29.png"/><Relationship Id="rId142" Type="http://schemas.openxmlformats.org/officeDocument/2006/relationships/image" Target="media/image30.png"/><Relationship Id="rId143" Type="http://schemas.openxmlformats.org/officeDocument/2006/relationships/image" Target="media/image31.png"/><Relationship Id="rId144" Type="http://schemas.openxmlformats.org/officeDocument/2006/relationships/image" Target="media/image32.png"/><Relationship Id="rId145" Type="http://schemas.openxmlformats.org/officeDocument/2006/relationships/image" Target="media/image33.png"/><Relationship Id="rId146" Type="http://schemas.openxmlformats.org/officeDocument/2006/relationships/footer" Target="footer2.xml"/><Relationship Id="rId147" Type="http://schemas.openxmlformats.org/officeDocument/2006/relationships/hyperlink" Target="mailto:service@ChinaAMC.com" TargetMode="External"/><Relationship Id="rId148" Type="http://schemas.openxmlformats.org/officeDocument/2006/relationships/footer" Target="footer3.xml"/><Relationship Id="rId149" Type="http://schemas.openxmlformats.org/officeDocument/2006/relationships/footer" Target="footer4.xml"/><Relationship Id="rId150" Type="http://schemas.openxmlformats.org/officeDocument/2006/relationships/footer" Target="footer5.xml"/><Relationship Id="rId151" Type="http://schemas.openxmlformats.org/officeDocument/2006/relationships/footer" Target="footer6.xml"/><Relationship Id="rId152" Type="http://schemas.openxmlformats.org/officeDocument/2006/relationships/footer" Target="footer7.xml"/><Relationship Id="rId1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dcterms:created xsi:type="dcterms:W3CDTF">2020-11-22T13:55:12Z</dcterms:created>
  <dcterms:modified xsi:type="dcterms:W3CDTF">2020-11-22T13:55:12Z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Office Word 2007</vt:lpwstr>
  </property>
  <property fmtid="{D5CDD505-2E9C-101B-9397-08002B2CF9AE}" pid="4" name="LastSaved">
    <vt:filetime>2020-11-22T00:00:00Z</vt:filetime>
  </property>
</Properties>
</file>